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0"/>
        <w:jc w:val="center"/>
        <w:textAlignment w:val="auto"/>
        <w:rPr>
          <w:rFonts w:hint="eastAsia" w:ascii="方正小标宋简体" w:hAnsi="方正小标宋简体" w:eastAsia="方正小标宋简体" w:cs="方正小标宋简体"/>
          <w:sz w:val="56"/>
          <w:szCs w:val="56"/>
        </w:rPr>
      </w:pPr>
      <w:r>
        <w:rPr>
          <w:rFonts w:hint="eastAsia" w:ascii="方正小标宋简体" w:hAnsi="方正小标宋简体" w:eastAsia="方正小标宋简体" w:cs="方正小标宋简体"/>
          <w:color w:val="000000"/>
          <w:spacing w:val="0"/>
          <w:w w:val="100"/>
          <w:position w:val="0"/>
          <w:sz w:val="56"/>
          <w:szCs w:val="56"/>
        </w:rPr>
        <w:t>2021</w:t>
      </w:r>
      <w:r>
        <w:rPr>
          <w:rFonts w:hint="eastAsia" w:ascii="方正小标宋简体" w:hAnsi="方正小标宋简体" w:eastAsia="方正小标宋简体" w:cs="方正小标宋简体"/>
          <w:b w:val="0"/>
          <w:bCs w:val="0"/>
          <w:color w:val="000000"/>
          <w:spacing w:val="0"/>
          <w:w w:val="100"/>
          <w:position w:val="0"/>
          <w:sz w:val="56"/>
          <w:szCs w:val="56"/>
          <w:lang w:val="zh-TW" w:eastAsia="zh-TW" w:bidi="zh-TW"/>
        </w:rPr>
        <w:t>年度</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0"/>
        <w:jc w:val="center"/>
        <w:textAlignment w:val="auto"/>
        <w:rPr>
          <w:rFonts w:hint="eastAsia" w:ascii="方正小标宋简体" w:hAnsi="方正小标宋简体" w:eastAsia="方正小标宋简体" w:cs="方正小标宋简体"/>
          <w:color w:val="000000"/>
          <w:spacing w:val="0"/>
          <w:w w:val="100"/>
          <w:position w:val="0"/>
          <w:sz w:val="56"/>
          <w:szCs w:val="56"/>
          <w:lang w:eastAsia="zh-CN"/>
        </w:rPr>
      </w:pPr>
      <w:r>
        <w:rPr>
          <w:rFonts w:hint="eastAsia" w:ascii="方正小标宋简体" w:hAnsi="方正小标宋简体" w:eastAsia="方正小标宋简体" w:cs="方正小标宋简体"/>
          <w:color w:val="000000"/>
          <w:spacing w:val="0"/>
          <w:w w:val="100"/>
          <w:position w:val="0"/>
          <w:sz w:val="56"/>
          <w:szCs w:val="56"/>
        </w:rPr>
        <w:t>淄博市张店区行政审批服务</w:t>
      </w:r>
    </w:p>
    <w:p>
      <w:pPr>
        <w:pStyle w:val="13"/>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0"/>
        <w:jc w:val="center"/>
        <w:textAlignment w:val="auto"/>
        <w:rPr>
          <w:rFonts w:hint="eastAsia" w:ascii="方正小标宋简体" w:hAnsi="方正小标宋简体" w:eastAsia="方正小标宋简体" w:cs="方正小标宋简体"/>
          <w:sz w:val="56"/>
          <w:szCs w:val="56"/>
        </w:rPr>
        <w:sectPr>
          <w:footerReference r:id="rId5" w:type="default"/>
          <w:footnotePr>
            <w:numFmt w:val="decimal"/>
          </w:footnotePr>
          <w:pgSz w:w="11900" w:h="16840"/>
          <w:pgMar w:top="5454" w:right="1611" w:bottom="5454" w:left="1625" w:header="5026" w:footer="3" w:gutter="0"/>
          <w:pgNumType w:start="1"/>
          <w:cols w:space="720" w:num="1"/>
          <w:rtlGutter w:val="0"/>
          <w:docGrid w:linePitch="360" w:charSpace="0"/>
        </w:sectPr>
      </w:pPr>
      <w:r>
        <w:rPr>
          <w:rFonts w:hint="eastAsia" w:ascii="方正小标宋简体" w:hAnsi="方正小标宋简体" w:eastAsia="方正小标宋简体" w:cs="方正小标宋简体"/>
          <w:color w:val="000000"/>
          <w:spacing w:val="0"/>
          <w:w w:val="100"/>
          <w:position w:val="0"/>
          <w:sz w:val="56"/>
          <w:szCs w:val="56"/>
        </w:rPr>
        <w:t>局本级决算</w:t>
      </w:r>
    </w:p>
    <w:p>
      <w:pPr>
        <w:spacing w:beforeLines="0" w:after="305" w:afterLines="50" w:line="580" w:lineRule="exact"/>
        <w:jc w:val="center"/>
        <w:rPr>
          <w:rFonts w:hint="eastAsia" w:ascii="方正小标宋简体" w:hAnsi="Times New Roman" w:eastAsia="方正小标宋简体"/>
          <w:sz w:val="44"/>
          <w:szCs w:val="24"/>
        </w:rPr>
      </w:pPr>
      <w:r>
        <w:rPr>
          <w:rFonts w:hint="eastAsia" w:ascii="方正小标宋简体" w:hAnsi="Times New Roman" w:eastAsia="方正小标宋简体"/>
          <w:sz w:val="44"/>
          <w:szCs w:val="24"/>
        </w:rPr>
        <w:t>目  录</w:t>
      </w:r>
    </w:p>
    <w:p>
      <w:pPr>
        <w:spacing w:beforeLines="0" w:afterLines="0" w:line="580" w:lineRule="exact"/>
        <w:ind w:firstLine="320" w:firstLineChars="100"/>
        <w:rPr>
          <w:rFonts w:hint="eastAsia" w:ascii="黑体" w:hAnsi="黑体" w:eastAsia="黑体"/>
          <w:sz w:val="32"/>
          <w:szCs w:val="24"/>
        </w:rPr>
      </w:pPr>
      <w:r>
        <w:rPr>
          <w:rFonts w:hint="eastAsia" w:ascii="黑体" w:hAnsi="黑体" w:eastAsia="黑体"/>
          <w:sz w:val="32"/>
          <w:szCs w:val="24"/>
        </w:rPr>
        <w:t>第一部分  单位概况</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一、单位职责</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二、机构设置</w:t>
      </w:r>
    </w:p>
    <w:p>
      <w:pPr>
        <w:spacing w:beforeLines="0" w:afterLines="0" w:line="580" w:lineRule="exact"/>
        <w:ind w:firstLine="320" w:firstLineChars="100"/>
        <w:rPr>
          <w:rFonts w:hint="eastAsia" w:ascii="黑体" w:hAnsi="黑体" w:eastAsia="黑体"/>
          <w:sz w:val="32"/>
          <w:szCs w:val="24"/>
        </w:rPr>
      </w:pPr>
      <w:r>
        <w:rPr>
          <w:rFonts w:hint="eastAsia" w:ascii="黑体" w:hAnsi="黑体" w:eastAsia="黑体"/>
          <w:sz w:val="32"/>
          <w:szCs w:val="24"/>
        </w:rPr>
        <w:t>第二部分  2021年度单位决算表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一、收入支出决算总表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二、收入决算表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三、支出决算表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四、财政拨款收入支出决算总表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五、一般公共预算财政拨款支出决算表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六、一般公共预算财政拨款基本支出决算表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七、一般公共预算财政拨款“三公”经费支出决算表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八、政府性基金预算财政拨款收入支出决算表</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九、国有资本经营预算财政拨款支出决算表</w:t>
      </w:r>
    </w:p>
    <w:p>
      <w:pPr>
        <w:spacing w:beforeLines="0" w:afterLines="0" w:line="580" w:lineRule="exact"/>
        <w:ind w:firstLine="320" w:firstLineChars="100"/>
        <w:rPr>
          <w:rFonts w:hint="eastAsia" w:ascii="黑体" w:hAnsi="黑体" w:eastAsia="黑体"/>
          <w:sz w:val="32"/>
          <w:szCs w:val="24"/>
        </w:rPr>
      </w:pPr>
      <w:r>
        <w:rPr>
          <w:rFonts w:hint="eastAsia" w:ascii="黑体" w:hAnsi="黑体" w:eastAsia="黑体"/>
          <w:sz w:val="32"/>
          <w:szCs w:val="24"/>
        </w:rPr>
        <w:t>第三部分  2021年度单位决算情况说明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一、收入支出决算总体情况说明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二、收入决算情况说明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三、支出决算情况说明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四、财政拨款收入支出决算总体情况说明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五、一般公共预算财政拨款支出决算情况说明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六、一般公共预算财政拨款基本支出决算情况说明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七、一般公共预算财政拨款“三公”经费支出决算情况说明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八、政府性基金预算财政拨款收入支出决算情况说明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九、国有资本经营预算财政拨款支出决算情况说明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十、其他重要事项情况说明</w:t>
      </w:r>
    </w:p>
    <w:p>
      <w:pPr>
        <w:spacing w:beforeLines="0" w:afterLines="0" w:line="580" w:lineRule="exact"/>
        <w:ind w:firstLine="640" w:firstLineChars="200"/>
        <w:rPr>
          <w:rFonts w:hint="eastAsia" w:ascii="仿宋_GB2312" w:hAnsi="Times New Roman" w:eastAsia="仿宋_GB2312"/>
          <w:sz w:val="32"/>
          <w:szCs w:val="24"/>
        </w:rPr>
      </w:pPr>
      <w:r>
        <w:rPr>
          <w:rFonts w:hint="eastAsia" w:ascii="仿宋_GB2312" w:hAnsi="Times New Roman" w:eastAsia="仿宋_GB2312"/>
          <w:sz w:val="32"/>
          <w:szCs w:val="24"/>
        </w:rPr>
        <w:t>十一、预算绩效情况说明</w:t>
      </w:r>
    </w:p>
    <w:p>
      <w:pPr>
        <w:spacing w:beforeLines="0" w:afterLines="0" w:line="580" w:lineRule="exact"/>
        <w:ind w:firstLine="320" w:firstLineChars="100"/>
        <w:rPr>
          <w:rFonts w:hint="eastAsia" w:ascii="黑体" w:hAnsi="黑体" w:eastAsia="黑体"/>
          <w:sz w:val="32"/>
          <w:szCs w:val="24"/>
        </w:rPr>
      </w:pPr>
      <w:r>
        <w:rPr>
          <w:rFonts w:hint="eastAsia" w:ascii="黑体" w:hAnsi="黑体" w:eastAsia="黑体"/>
          <w:sz w:val="32"/>
          <w:szCs w:val="24"/>
        </w:rPr>
        <w:t>第四部分  名词解释</w:t>
      </w:r>
    </w:p>
    <w:p>
      <w:pPr>
        <w:spacing w:beforeLines="0" w:afterLines="0" w:line="580" w:lineRule="exact"/>
        <w:ind w:firstLine="320" w:firstLineChars="100"/>
        <w:rPr>
          <w:rFonts w:hint="eastAsia" w:ascii="黑体" w:hAnsi="黑体" w:eastAsia="黑体"/>
          <w:sz w:val="21"/>
          <w:szCs w:val="24"/>
        </w:rPr>
      </w:pPr>
      <w:r>
        <w:rPr>
          <w:rFonts w:hint="eastAsia" w:ascii="黑体" w:hAnsi="黑体" w:eastAsia="黑体"/>
          <w:sz w:val="32"/>
          <w:szCs w:val="24"/>
        </w:rPr>
        <w:t xml:space="preserve">第五部分  附件    </w:t>
      </w:r>
      <w:r>
        <w:rPr>
          <w:rFonts w:hint="eastAsia" w:ascii="黑体" w:hAnsi="黑体" w:eastAsia="黑体"/>
          <w:sz w:val="21"/>
          <w:szCs w:val="24"/>
        </w:rPr>
        <w:t xml:space="preserve"> </w:t>
      </w:r>
    </w:p>
    <w:p>
      <w:pPr>
        <w:pStyle w:val="17"/>
        <w:keepNext w:val="0"/>
        <w:keepLines w:val="0"/>
        <w:widowControl w:val="0"/>
        <w:shd w:val="clear" w:color="auto" w:fill="auto"/>
        <w:bidi w:val="0"/>
        <w:spacing w:before="0" w:line="240" w:lineRule="auto"/>
        <w:ind w:left="0" w:right="0" w:firstLine="0"/>
        <w:jc w:val="left"/>
        <w:rPr>
          <w:color w:val="000000"/>
          <w:spacing w:val="0"/>
          <w:w w:val="100"/>
          <w:position w:val="0"/>
        </w:rPr>
      </w:pPr>
    </w:p>
    <w:p>
      <w:pPr>
        <w:pStyle w:val="17"/>
        <w:keepNext w:val="0"/>
        <w:keepLines w:val="0"/>
        <w:widowControl w:val="0"/>
        <w:shd w:val="clear" w:color="auto" w:fill="auto"/>
        <w:bidi w:val="0"/>
        <w:spacing w:before="0" w:line="240" w:lineRule="auto"/>
        <w:ind w:left="0" w:right="0" w:firstLine="0"/>
        <w:jc w:val="left"/>
        <w:rPr>
          <w:color w:val="000000"/>
          <w:spacing w:val="0"/>
          <w:w w:val="100"/>
          <w:position w:val="0"/>
        </w:rPr>
      </w:pPr>
    </w:p>
    <w:p>
      <w:pPr>
        <w:pStyle w:val="17"/>
        <w:keepNext w:val="0"/>
        <w:keepLines w:val="0"/>
        <w:widowControl w:val="0"/>
        <w:shd w:val="clear" w:color="auto" w:fill="auto"/>
        <w:bidi w:val="0"/>
        <w:spacing w:before="0" w:line="240" w:lineRule="auto"/>
        <w:ind w:left="0" w:right="0" w:firstLine="0"/>
        <w:jc w:val="left"/>
        <w:rPr>
          <w:color w:val="000000"/>
          <w:spacing w:val="0"/>
          <w:w w:val="100"/>
          <w:position w:val="0"/>
        </w:rPr>
      </w:pPr>
    </w:p>
    <w:p>
      <w:pPr>
        <w:pStyle w:val="17"/>
        <w:keepNext w:val="0"/>
        <w:keepLines w:val="0"/>
        <w:widowControl w:val="0"/>
        <w:shd w:val="clear" w:color="auto" w:fill="auto"/>
        <w:bidi w:val="0"/>
        <w:spacing w:before="0" w:line="240" w:lineRule="auto"/>
        <w:ind w:left="0" w:right="0" w:firstLine="0"/>
        <w:jc w:val="left"/>
        <w:rPr>
          <w:color w:val="000000"/>
          <w:spacing w:val="0"/>
          <w:w w:val="100"/>
          <w:position w:val="0"/>
        </w:rPr>
      </w:pPr>
    </w:p>
    <w:p>
      <w:pPr>
        <w:pStyle w:val="17"/>
        <w:keepNext w:val="0"/>
        <w:keepLines w:val="0"/>
        <w:widowControl w:val="0"/>
        <w:shd w:val="clear" w:color="auto" w:fill="auto"/>
        <w:bidi w:val="0"/>
        <w:spacing w:before="0" w:line="240" w:lineRule="auto"/>
        <w:ind w:left="0" w:right="0" w:firstLine="0"/>
        <w:jc w:val="left"/>
        <w:rPr>
          <w:color w:val="000000"/>
          <w:spacing w:val="0"/>
          <w:w w:val="100"/>
          <w:position w:val="0"/>
        </w:rPr>
      </w:pPr>
    </w:p>
    <w:p>
      <w:pPr>
        <w:pStyle w:val="17"/>
        <w:keepNext w:val="0"/>
        <w:keepLines w:val="0"/>
        <w:widowControl w:val="0"/>
        <w:shd w:val="clear" w:color="auto" w:fill="auto"/>
        <w:bidi w:val="0"/>
        <w:spacing w:before="0" w:line="240" w:lineRule="auto"/>
        <w:ind w:left="0" w:right="0" w:firstLine="0"/>
        <w:jc w:val="left"/>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color w:val="000000"/>
          <w:spacing w:val="0"/>
          <w:w w:val="100"/>
          <w:position w:val="0"/>
          <w:sz w:val="48"/>
          <w:szCs w:val="48"/>
        </w:rPr>
        <w:t>第一部分</w:t>
      </w:r>
    </w:p>
    <w:p>
      <w:pPr>
        <w:pStyle w:val="19"/>
        <w:keepNext/>
        <w:keepLines/>
        <w:widowControl w:val="0"/>
        <w:shd w:val="clear" w:color="auto" w:fill="auto"/>
        <w:bidi w:val="0"/>
        <w:spacing w:before="0" w:after="0" w:line="240" w:lineRule="auto"/>
        <w:ind w:left="0" w:right="0" w:firstLine="0"/>
        <w:jc w:val="center"/>
        <w:rPr>
          <w:rFonts w:hint="eastAsia" w:ascii="方正小标宋简体" w:hAnsi="方正小标宋简体" w:eastAsia="方正小标宋简体" w:cs="方正小标宋简体"/>
          <w:sz w:val="48"/>
          <w:szCs w:val="48"/>
        </w:rPr>
        <w:sectPr>
          <w:footnotePr>
            <w:numFmt w:val="decimal"/>
          </w:footnotePr>
          <w:pgSz w:w="11900" w:h="16840"/>
          <w:pgMar w:top="2098" w:right="1474" w:bottom="1984" w:left="1587" w:header="4440" w:footer="3" w:gutter="0"/>
          <w:cols w:space="720" w:num="1"/>
          <w:rtlGutter w:val="0"/>
          <w:docGrid w:linePitch="360" w:charSpace="0"/>
        </w:sectPr>
      </w:pPr>
      <w:bookmarkStart w:id="0" w:name="bookmark21"/>
      <w:bookmarkStart w:id="1" w:name="bookmark20"/>
      <w:bookmarkStart w:id="2" w:name="bookmark22"/>
      <w:r>
        <w:rPr>
          <w:rFonts w:hint="eastAsia" w:ascii="方正小标宋简体" w:hAnsi="方正小标宋简体" w:eastAsia="方正小标宋简体" w:cs="方正小标宋简体"/>
          <w:color w:val="000000"/>
          <w:spacing w:val="0"/>
          <w:w w:val="100"/>
          <w:position w:val="0"/>
          <w:sz w:val="48"/>
          <w:szCs w:val="48"/>
        </w:rPr>
        <w:t>单位概况</w:t>
      </w:r>
      <w:bookmarkEnd w:id="0"/>
      <w:bookmarkEnd w:id="1"/>
      <w:bookmarkEnd w:id="2"/>
    </w:p>
    <w:p>
      <w:pPr>
        <w:pStyle w:val="15"/>
        <w:keepNext w:val="0"/>
        <w:keepLines w:val="0"/>
        <w:widowControl w:val="0"/>
        <w:shd w:val="clear" w:color="auto" w:fill="auto"/>
        <w:bidi w:val="0"/>
        <w:spacing w:before="0" w:after="0" w:line="576" w:lineRule="exact"/>
        <w:ind w:left="0" w:right="0" w:firstLine="640"/>
        <w:jc w:val="both"/>
        <w:rPr>
          <w:rFonts w:hint="eastAsia" w:ascii="黑体" w:hAnsi="黑体" w:eastAsia="黑体" w:cs="黑体"/>
        </w:rPr>
      </w:pPr>
      <w:r>
        <w:rPr>
          <w:rFonts w:hint="eastAsia" w:ascii="黑体" w:hAnsi="黑体" w:eastAsia="黑体" w:cs="黑体"/>
          <w:color w:val="000000"/>
          <w:spacing w:val="0"/>
          <w:w w:val="100"/>
          <w:position w:val="0"/>
        </w:rPr>
        <w:t>一</w:t>
      </w:r>
      <w:r>
        <w:rPr>
          <w:rFonts w:hint="eastAsia" w:ascii="黑体" w:hAnsi="黑体" w:eastAsia="黑体" w:cs="黑体"/>
          <w:color w:val="000000"/>
          <w:spacing w:val="0"/>
          <w:w w:val="100"/>
          <w:position w:val="0"/>
          <w:lang w:eastAsia="zh-CN"/>
        </w:rPr>
        <w:t>、单位</w:t>
      </w:r>
      <w:r>
        <w:rPr>
          <w:rFonts w:hint="eastAsia" w:ascii="黑体" w:hAnsi="黑体" w:eastAsia="黑体" w:cs="黑体"/>
          <w:color w:val="000000"/>
          <w:spacing w:val="0"/>
          <w:w w:val="100"/>
          <w:position w:val="0"/>
        </w:rPr>
        <w:t>职责</w:t>
      </w:r>
    </w:p>
    <w:p>
      <w:pPr>
        <w:pStyle w:val="15"/>
        <w:keepNext w:val="0"/>
        <w:keepLines w:val="0"/>
        <w:widowControl w:val="0"/>
        <w:numPr>
          <w:ilvl w:val="0"/>
          <w:numId w:val="1"/>
        </w:numPr>
        <w:shd w:val="clear" w:color="auto" w:fill="auto"/>
        <w:tabs>
          <w:tab w:val="left" w:pos="1040"/>
        </w:tabs>
        <w:bidi w:val="0"/>
        <w:spacing w:before="0" w:after="0" w:line="576" w:lineRule="exact"/>
        <w:ind w:left="0" w:right="0" w:firstLine="640"/>
        <w:jc w:val="both"/>
        <w:rPr>
          <w:rFonts w:hint="eastAsia" w:ascii="仿宋_GB2312" w:hAnsi="仿宋_GB2312" w:eastAsia="仿宋_GB2312" w:cs="仿宋_GB2312"/>
          <w:sz w:val="32"/>
          <w:szCs w:val="32"/>
        </w:rPr>
      </w:pPr>
      <w:bookmarkStart w:id="3" w:name="bookmark23"/>
      <w:bookmarkEnd w:id="3"/>
      <w:r>
        <w:rPr>
          <w:rFonts w:hint="eastAsia" w:ascii="仿宋_GB2312" w:hAnsi="仿宋_GB2312" w:eastAsia="仿宋_GB2312" w:cs="仿宋_GB2312"/>
          <w:color w:val="000000"/>
          <w:spacing w:val="0"/>
          <w:w w:val="100"/>
          <w:position w:val="0"/>
          <w:sz w:val="32"/>
          <w:szCs w:val="32"/>
        </w:rPr>
        <w:t>负责建立和完善行政审批工作机制，研究行政审批过程中遇到的各类问题并提出解决的意见建议，为区委、区政府决策提供参考。</w:t>
      </w:r>
    </w:p>
    <w:p>
      <w:pPr>
        <w:pStyle w:val="15"/>
        <w:keepNext w:val="0"/>
        <w:keepLines w:val="0"/>
        <w:widowControl w:val="0"/>
        <w:numPr>
          <w:ilvl w:val="0"/>
          <w:numId w:val="1"/>
        </w:numPr>
        <w:shd w:val="clear" w:color="auto" w:fill="auto"/>
        <w:tabs>
          <w:tab w:val="left" w:pos="1006"/>
        </w:tabs>
        <w:bidi w:val="0"/>
        <w:spacing w:before="0" w:after="0" w:line="574" w:lineRule="exact"/>
        <w:ind w:left="0" w:right="0" w:firstLine="640"/>
        <w:jc w:val="both"/>
        <w:rPr>
          <w:rFonts w:hint="eastAsia" w:ascii="仿宋_GB2312" w:hAnsi="仿宋_GB2312" w:eastAsia="仿宋_GB2312" w:cs="仿宋_GB2312"/>
          <w:sz w:val="32"/>
          <w:szCs w:val="32"/>
        </w:rPr>
      </w:pPr>
      <w:bookmarkStart w:id="4" w:name="bookmark24"/>
      <w:bookmarkEnd w:id="4"/>
      <w:r>
        <w:rPr>
          <w:rFonts w:hint="eastAsia" w:ascii="仿宋_GB2312" w:hAnsi="仿宋_GB2312" w:eastAsia="仿宋_GB2312" w:cs="仿宋_GB2312"/>
          <w:color w:val="000000"/>
          <w:spacing w:val="0"/>
          <w:w w:val="100"/>
          <w:position w:val="0"/>
          <w:sz w:val="32"/>
          <w:szCs w:val="32"/>
        </w:rPr>
        <w:t>负责审批职责范围内的行政许可事项和相关政务服务事项的办理，并对审批行为承担相应的法律责任。</w:t>
      </w:r>
    </w:p>
    <w:p>
      <w:pPr>
        <w:pStyle w:val="15"/>
        <w:keepNext w:val="0"/>
        <w:keepLines w:val="0"/>
        <w:widowControl w:val="0"/>
        <w:numPr>
          <w:ilvl w:val="0"/>
          <w:numId w:val="1"/>
        </w:numPr>
        <w:shd w:val="clear" w:color="auto" w:fill="auto"/>
        <w:tabs>
          <w:tab w:val="left" w:pos="1040"/>
        </w:tabs>
        <w:bidi w:val="0"/>
        <w:spacing w:before="0" w:after="0" w:line="574" w:lineRule="exact"/>
        <w:ind w:left="0" w:right="0" w:firstLine="640"/>
        <w:jc w:val="both"/>
        <w:rPr>
          <w:rFonts w:hint="eastAsia" w:ascii="仿宋_GB2312" w:hAnsi="仿宋_GB2312" w:eastAsia="仿宋_GB2312" w:cs="仿宋_GB2312"/>
          <w:sz w:val="32"/>
          <w:szCs w:val="32"/>
        </w:rPr>
      </w:pPr>
      <w:bookmarkStart w:id="5" w:name="bookmark25"/>
      <w:bookmarkEnd w:id="5"/>
      <w:r>
        <w:rPr>
          <w:rFonts w:hint="eastAsia" w:ascii="仿宋_GB2312" w:hAnsi="仿宋_GB2312" w:eastAsia="仿宋_GB2312" w:cs="仿宋_GB2312"/>
          <w:color w:val="000000"/>
          <w:spacing w:val="0"/>
          <w:w w:val="100"/>
          <w:position w:val="0"/>
          <w:sz w:val="32"/>
          <w:szCs w:val="32"/>
        </w:rPr>
        <w:t>负责规范行政审批服务行为，制定和优化行政审批服务流程，创新行政审批服务方式，健全审批与监管有效协调沟通和信息双向反馈机制，提高行政审批效能。</w:t>
      </w:r>
    </w:p>
    <w:p>
      <w:pPr>
        <w:pStyle w:val="15"/>
        <w:keepNext w:val="0"/>
        <w:keepLines w:val="0"/>
        <w:widowControl w:val="0"/>
        <w:numPr>
          <w:ilvl w:val="0"/>
          <w:numId w:val="1"/>
        </w:numPr>
        <w:shd w:val="clear" w:color="auto" w:fill="auto"/>
        <w:tabs>
          <w:tab w:val="left" w:pos="1016"/>
        </w:tabs>
        <w:bidi w:val="0"/>
        <w:spacing w:before="0" w:after="0" w:line="574" w:lineRule="exact"/>
        <w:ind w:left="0" w:right="0" w:firstLine="640"/>
        <w:jc w:val="both"/>
        <w:rPr>
          <w:rFonts w:hint="eastAsia" w:ascii="仿宋_GB2312" w:hAnsi="仿宋_GB2312" w:eastAsia="仿宋_GB2312" w:cs="仿宋_GB2312"/>
          <w:sz w:val="32"/>
          <w:szCs w:val="32"/>
        </w:rPr>
      </w:pPr>
      <w:bookmarkStart w:id="6" w:name="bookmark26"/>
      <w:bookmarkEnd w:id="6"/>
      <w:r>
        <w:rPr>
          <w:rFonts w:hint="eastAsia" w:ascii="仿宋_GB2312" w:hAnsi="仿宋_GB2312" w:eastAsia="仿宋_GB2312" w:cs="仿宋_GB2312"/>
          <w:color w:val="000000"/>
          <w:spacing w:val="0"/>
          <w:w w:val="100"/>
          <w:position w:val="0"/>
          <w:sz w:val="32"/>
          <w:szCs w:val="32"/>
        </w:rPr>
        <w:t>负责全区政务服务管理工作，建立和完善相应工作机制</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负责全区政务服务体系规划和建设。</w:t>
      </w:r>
    </w:p>
    <w:p>
      <w:pPr>
        <w:pStyle w:val="15"/>
        <w:keepNext w:val="0"/>
        <w:keepLines w:val="0"/>
        <w:widowControl w:val="0"/>
        <w:numPr>
          <w:ilvl w:val="0"/>
          <w:numId w:val="1"/>
        </w:numPr>
        <w:shd w:val="clear" w:color="auto" w:fill="auto"/>
        <w:tabs>
          <w:tab w:val="left" w:pos="1040"/>
        </w:tabs>
        <w:bidi w:val="0"/>
        <w:spacing w:before="0" w:after="0" w:line="574" w:lineRule="exact"/>
        <w:ind w:left="0" w:right="0" w:firstLine="640"/>
        <w:jc w:val="both"/>
        <w:rPr>
          <w:rFonts w:hint="eastAsia" w:ascii="仿宋_GB2312" w:hAnsi="仿宋_GB2312" w:eastAsia="仿宋_GB2312" w:cs="仿宋_GB2312"/>
          <w:sz w:val="32"/>
          <w:szCs w:val="32"/>
        </w:rPr>
      </w:pPr>
      <w:bookmarkStart w:id="7" w:name="bookmark27"/>
      <w:bookmarkEnd w:id="7"/>
      <w:r>
        <w:rPr>
          <w:rFonts w:hint="eastAsia" w:ascii="仿宋_GB2312" w:hAnsi="仿宋_GB2312" w:eastAsia="仿宋_GB2312" w:cs="仿宋_GB2312"/>
          <w:color w:val="000000"/>
          <w:spacing w:val="0"/>
          <w:w w:val="100"/>
          <w:position w:val="0"/>
          <w:sz w:val="32"/>
          <w:szCs w:val="32"/>
        </w:rPr>
        <w:t>负责管理区政务服务中心，对进驻区政务服务中心的各部门单位审批服务进行规范、监督和考核，对区级部门单位业务大 厅及工作人员进行指导、监督。</w:t>
      </w:r>
    </w:p>
    <w:p>
      <w:pPr>
        <w:pStyle w:val="15"/>
        <w:keepNext w:val="0"/>
        <w:keepLines w:val="0"/>
        <w:widowControl w:val="0"/>
        <w:numPr>
          <w:ilvl w:val="0"/>
          <w:numId w:val="1"/>
        </w:numPr>
        <w:shd w:val="clear" w:color="auto" w:fill="auto"/>
        <w:tabs>
          <w:tab w:val="left" w:pos="1030"/>
        </w:tabs>
        <w:bidi w:val="0"/>
        <w:spacing w:before="0" w:after="0" w:line="547" w:lineRule="exact"/>
        <w:ind w:left="0" w:right="0" w:firstLine="640"/>
        <w:jc w:val="both"/>
        <w:rPr>
          <w:rFonts w:hint="eastAsia" w:ascii="仿宋_GB2312" w:hAnsi="仿宋_GB2312" w:eastAsia="仿宋_GB2312" w:cs="仿宋_GB2312"/>
          <w:sz w:val="32"/>
          <w:szCs w:val="32"/>
        </w:rPr>
      </w:pPr>
      <w:bookmarkStart w:id="8" w:name="bookmark28"/>
      <w:bookmarkEnd w:id="8"/>
      <w:r>
        <w:rPr>
          <w:rFonts w:hint="eastAsia" w:ascii="仿宋_GB2312" w:hAnsi="仿宋_GB2312" w:eastAsia="仿宋_GB2312" w:cs="仿宋_GB2312"/>
          <w:color w:val="000000"/>
          <w:spacing w:val="0"/>
          <w:w w:val="100"/>
          <w:position w:val="0"/>
          <w:sz w:val="32"/>
          <w:szCs w:val="32"/>
        </w:rPr>
        <w:t>负责受理对进驻区政务服务中心的政务服务事项办理情况 和相关工作的投诉举报。</w:t>
      </w:r>
    </w:p>
    <w:p>
      <w:pPr>
        <w:pStyle w:val="15"/>
        <w:keepNext w:val="0"/>
        <w:keepLines w:val="0"/>
        <w:widowControl w:val="0"/>
        <w:numPr>
          <w:ilvl w:val="0"/>
          <w:numId w:val="1"/>
        </w:numPr>
        <w:shd w:val="clear" w:color="auto" w:fill="auto"/>
        <w:tabs>
          <w:tab w:val="left" w:pos="1035"/>
        </w:tabs>
        <w:bidi w:val="0"/>
        <w:spacing w:before="0" w:after="0" w:line="574" w:lineRule="exact"/>
        <w:ind w:left="0" w:right="0" w:firstLine="640"/>
        <w:jc w:val="both"/>
        <w:rPr>
          <w:rFonts w:hint="eastAsia" w:ascii="仿宋_GB2312" w:hAnsi="仿宋_GB2312" w:eastAsia="仿宋_GB2312" w:cs="仿宋_GB2312"/>
          <w:sz w:val="32"/>
          <w:szCs w:val="32"/>
        </w:rPr>
      </w:pPr>
      <w:bookmarkStart w:id="9" w:name="bookmark29"/>
      <w:bookmarkEnd w:id="9"/>
      <w:r>
        <w:rPr>
          <w:rFonts w:hint="eastAsia" w:ascii="仿宋_GB2312" w:hAnsi="仿宋_GB2312" w:eastAsia="仿宋_GB2312" w:cs="仿宋_GB2312"/>
          <w:color w:val="000000"/>
          <w:spacing w:val="0"/>
          <w:w w:val="100"/>
          <w:position w:val="0"/>
          <w:sz w:val="32"/>
          <w:szCs w:val="32"/>
        </w:rPr>
        <w:t>负责制定行政审批服务信息化建设的有关制度，负责研究运用信息化手段推进政务服务网上运行等工作，推进区级政务服务事项上网运行并进行电子监察。</w:t>
      </w:r>
    </w:p>
    <w:p>
      <w:pPr>
        <w:pStyle w:val="15"/>
        <w:keepNext w:val="0"/>
        <w:keepLines w:val="0"/>
        <w:widowControl w:val="0"/>
        <w:numPr>
          <w:ilvl w:val="0"/>
          <w:numId w:val="1"/>
        </w:numPr>
        <w:shd w:val="clear" w:color="auto" w:fill="auto"/>
        <w:tabs>
          <w:tab w:val="left" w:pos="1026"/>
        </w:tabs>
        <w:bidi w:val="0"/>
        <w:spacing w:before="0" w:after="0" w:line="574" w:lineRule="exact"/>
        <w:ind w:left="0" w:right="0" w:firstLine="640"/>
        <w:jc w:val="both"/>
        <w:rPr>
          <w:rFonts w:hint="eastAsia" w:ascii="仿宋_GB2312" w:hAnsi="仿宋_GB2312" w:eastAsia="仿宋_GB2312" w:cs="仿宋_GB2312"/>
          <w:sz w:val="32"/>
          <w:szCs w:val="32"/>
        </w:rPr>
      </w:pPr>
      <w:bookmarkStart w:id="10" w:name="bookmark30"/>
      <w:bookmarkEnd w:id="10"/>
      <w:r>
        <w:rPr>
          <w:rFonts w:hint="eastAsia" w:ascii="仿宋_GB2312" w:hAnsi="仿宋_GB2312" w:eastAsia="仿宋_GB2312" w:cs="仿宋_GB2312"/>
          <w:color w:val="000000"/>
          <w:spacing w:val="0"/>
          <w:w w:val="100"/>
          <w:position w:val="0"/>
          <w:sz w:val="32"/>
          <w:szCs w:val="32"/>
        </w:rPr>
        <w:t>指导各镇（街道）便民服务中心和村（社区）便民服务点 工作。</w:t>
      </w:r>
    </w:p>
    <w:p>
      <w:pPr>
        <w:pStyle w:val="15"/>
        <w:keepNext w:val="0"/>
        <w:keepLines w:val="0"/>
        <w:widowControl w:val="0"/>
        <w:numPr>
          <w:ilvl w:val="0"/>
          <w:numId w:val="1"/>
        </w:numPr>
        <w:shd w:val="clear" w:color="auto" w:fill="auto"/>
        <w:tabs>
          <w:tab w:val="left" w:pos="1032"/>
        </w:tabs>
        <w:bidi w:val="0"/>
        <w:spacing w:before="0" w:after="0" w:line="574" w:lineRule="exact"/>
        <w:ind w:left="0" w:right="0" w:firstLine="640"/>
        <w:jc w:val="both"/>
        <w:rPr>
          <w:rFonts w:hint="eastAsia" w:ascii="仿宋_GB2312" w:hAnsi="仿宋_GB2312" w:eastAsia="仿宋_GB2312" w:cs="仿宋_GB2312"/>
          <w:sz w:val="32"/>
          <w:szCs w:val="32"/>
        </w:rPr>
      </w:pPr>
      <w:bookmarkStart w:id="11" w:name="bookmark31"/>
      <w:bookmarkEnd w:id="11"/>
      <w:r>
        <w:rPr>
          <w:rFonts w:hint="eastAsia" w:ascii="仿宋_GB2312" w:hAnsi="仿宋_GB2312" w:eastAsia="仿宋_GB2312" w:cs="仿宋_GB2312"/>
          <w:color w:val="000000"/>
          <w:spacing w:val="0"/>
          <w:w w:val="100"/>
          <w:position w:val="0"/>
          <w:sz w:val="32"/>
          <w:szCs w:val="32"/>
        </w:rPr>
        <w:t>负责本</w:t>
      </w:r>
      <w:r>
        <w:rPr>
          <w:rFonts w:hint="eastAsia" w:ascii="仿宋_GB2312" w:hAnsi="仿宋_GB2312" w:eastAsia="仿宋_GB2312" w:cs="仿宋_GB2312"/>
          <w:color w:val="000000"/>
          <w:spacing w:val="0"/>
          <w:w w:val="100"/>
          <w:position w:val="0"/>
          <w:sz w:val="32"/>
          <w:szCs w:val="32"/>
          <w:lang w:eastAsia="zh-CN"/>
        </w:rPr>
        <w:t>单位</w:t>
      </w:r>
      <w:r>
        <w:rPr>
          <w:rFonts w:hint="eastAsia" w:ascii="仿宋_GB2312" w:hAnsi="仿宋_GB2312" w:eastAsia="仿宋_GB2312" w:cs="仿宋_GB2312"/>
          <w:color w:val="000000"/>
          <w:spacing w:val="0"/>
          <w:w w:val="100"/>
          <w:position w:val="0"/>
          <w:sz w:val="32"/>
          <w:szCs w:val="32"/>
        </w:rPr>
        <w:t>职责范围的安全生产监督管理工作。</w:t>
      </w:r>
    </w:p>
    <w:p>
      <w:pPr>
        <w:pStyle w:val="15"/>
        <w:keepNext w:val="0"/>
        <w:keepLines w:val="0"/>
        <w:widowControl w:val="0"/>
        <w:numPr>
          <w:ilvl w:val="0"/>
          <w:numId w:val="1"/>
        </w:numPr>
        <w:shd w:val="clear" w:color="auto" w:fill="auto"/>
        <w:tabs>
          <w:tab w:val="left" w:pos="1181"/>
        </w:tabs>
        <w:bidi w:val="0"/>
        <w:spacing w:before="0" w:after="0" w:line="574" w:lineRule="exact"/>
        <w:ind w:left="0" w:right="0" w:firstLine="640"/>
        <w:jc w:val="both"/>
        <w:rPr>
          <w:rFonts w:hint="eastAsia" w:ascii="仿宋_GB2312" w:hAnsi="仿宋_GB2312" w:eastAsia="仿宋_GB2312" w:cs="仿宋_GB2312"/>
          <w:sz w:val="32"/>
          <w:szCs w:val="32"/>
        </w:rPr>
      </w:pPr>
      <w:bookmarkStart w:id="12" w:name="bookmark32"/>
      <w:bookmarkEnd w:id="12"/>
      <w:r>
        <w:rPr>
          <w:rFonts w:hint="eastAsia" w:ascii="仿宋_GB2312" w:hAnsi="仿宋_GB2312" w:eastAsia="仿宋_GB2312" w:cs="仿宋_GB2312"/>
          <w:color w:val="000000"/>
          <w:spacing w:val="0"/>
          <w:w w:val="100"/>
          <w:position w:val="0"/>
          <w:sz w:val="32"/>
          <w:szCs w:val="32"/>
        </w:rPr>
        <w:t>负责单位党的建设工作。</w:t>
      </w:r>
    </w:p>
    <w:p>
      <w:pPr>
        <w:pStyle w:val="15"/>
        <w:keepNext w:val="0"/>
        <w:keepLines w:val="0"/>
        <w:widowControl w:val="0"/>
        <w:numPr>
          <w:ilvl w:val="0"/>
          <w:numId w:val="0"/>
        </w:numPr>
        <w:shd w:val="clear" w:color="auto" w:fill="auto"/>
        <w:bidi w:val="0"/>
        <w:spacing w:before="0" w:after="0" w:line="578" w:lineRule="exact"/>
        <w:ind w:left="640" w:leftChars="0" w:right="0" w:rightChars="0"/>
        <w:jc w:val="left"/>
        <w:rPr>
          <w:rFonts w:hint="eastAsia" w:ascii="仿宋_GB2312" w:hAnsi="仿宋_GB2312" w:eastAsia="仿宋_GB2312" w:cs="仿宋_GB2312"/>
          <w:sz w:val="32"/>
          <w:szCs w:val="32"/>
        </w:rPr>
      </w:pPr>
      <w:bookmarkStart w:id="13" w:name="bookmark33"/>
      <w:bookmarkEnd w:id="13"/>
      <w:r>
        <w:rPr>
          <w:rFonts w:hint="default" w:ascii="Times New Roman" w:hAnsi="Times New Roman" w:eastAsia="仿宋_GB2312" w:cs="Times New Roman"/>
          <w:color w:val="000000"/>
          <w:spacing w:val="0"/>
          <w:w w:val="100"/>
          <w:position w:val="0"/>
          <w:sz w:val="32"/>
          <w:szCs w:val="32"/>
          <w:lang w:val="en-US" w:eastAsia="zh-CN"/>
        </w:rPr>
        <w:t>11.</w:t>
      </w:r>
      <w:r>
        <w:rPr>
          <w:rFonts w:hint="eastAsia" w:ascii="仿宋_GB2312" w:hAnsi="仿宋_GB2312" w:eastAsia="仿宋_GB2312" w:cs="仿宋_GB2312"/>
          <w:color w:val="000000"/>
          <w:spacing w:val="0"/>
          <w:w w:val="100"/>
          <w:position w:val="0"/>
          <w:sz w:val="32"/>
          <w:szCs w:val="32"/>
        </w:rPr>
        <w:t>完成区委、区政府交办的其他任务。</w:t>
      </w:r>
    </w:p>
    <w:p>
      <w:pPr>
        <w:pStyle w:val="15"/>
        <w:keepNext w:val="0"/>
        <w:keepLines w:val="0"/>
        <w:widowControl w:val="0"/>
        <w:shd w:val="clear" w:color="auto" w:fill="auto"/>
        <w:bidi w:val="0"/>
        <w:spacing w:before="0" w:after="0" w:line="576" w:lineRule="exact"/>
        <w:ind w:left="0" w:right="0" w:firstLine="640"/>
        <w:jc w:val="both"/>
        <w:rPr>
          <w:rFonts w:hint="eastAsia" w:ascii="黑体" w:hAnsi="黑体" w:eastAsia="黑体" w:cs="黑体"/>
          <w:color w:val="000000"/>
          <w:spacing w:val="0"/>
          <w:w w:val="100"/>
          <w:position w:val="0"/>
        </w:rPr>
      </w:pPr>
      <w:r>
        <w:rPr>
          <w:rFonts w:hint="eastAsia" w:ascii="黑体" w:hAnsi="黑体" w:eastAsia="黑体" w:cs="黑体"/>
          <w:color w:val="000000"/>
          <w:spacing w:val="0"/>
          <w:w w:val="100"/>
          <w:position w:val="0"/>
        </w:rPr>
        <w:t>二</w:t>
      </w:r>
      <w:r>
        <w:rPr>
          <w:rFonts w:hint="eastAsia" w:ascii="黑体" w:hAnsi="黑体" w:eastAsia="黑体" w:cs="黑体"/>
          <w:color w:val="000000"/>
          <w:spacing w:val="0"/>
          <w:w w:val="100"/>
          <w:position w:val="0"/>
          <w:lang w:eastAsia="zh-CN"/>
        </w:rPr>
        <w:t>、</w:t>
      </w:r>
      <w:r>
        <w:rPr>
          <w:rFonts w:hint="eastAsia" w:ascii="黑体" w:hAnsi="黑体" w:eastAsia="黑体" w:cs="黑体"/>
          <w:color w:val="000000"/>
          <w:spacing w:val="0"/>
          <w:w w:val="100"/>
          <w:position w:val="0"/>
          <w:lang w:val="zh-CN" w:eastAsia="zh-CN"/>
        </w:rPr>
        <w:t>机</w:t>
      </w:r>
      <w:r>
        <w:rPr>
          <w:rFonts w:hint="eastAsia" w:ascii="黑体" w:hAnsi="黑体" w:eastAsia="黑体" w:cs="黑体"/>
          <w:color w:val="000000"/>
          <w:spacing w:val="0"/>
          <w:w w:val="100"/>
          <w:position w:val="0"/>
        </w:rPr>
        <w:t>构设置</w:t>
      </w:r>
    </w:p>
    <w:p>
      <w:pPr>
        <w:pStyle w:val="15"/>
        <w:keepNext w:val="0"/>
        <w:keepLines w:val="0"/>
        <w:widowControl w:val="0"/>
        <w:shd w:val="clear" w:color="auto" w:fill="auto"/>
        <w:bidi w:val="0"/>
        <w:spacing w:before="0" w:after="0" w:line="583" w:lineRule="exact"/>
        <w:ind w:left="0" w:right="0" w:firstLine="640"/>
        <w:jc w:val="left"/>
        <w:rPr>
          <w:rFonts w:hint="eastAsia" w:ascii="仿宋_GB2312" w:hAnsi="仿宋_GB2312" w:eastAsia="仿宋_GB2312" w:cs="仿宋_GB2312"/>
          <w:b w:val="0"/>
          <w:bCs w:val="0"/>
          <w:i w:val="0"/>
          <w:iCs w:val="0"/>
          <w:smallCaps w:val="0"/>
          <w:strike w:val="0"/>
          <w:color w:val="000000"/>
          <w:spacing w:val="0"/>
          <w:w w:val="100"/>
          <w:position w:val="0"/>
          <w:sz w:val="32"/>
          <w:szCs w:val="32"/>
        </w:rPr>
        <w:sectPr>
          <w:footerReference r:id="rId6" w:type="default"/>
          <w:footnotePr>
            <w:numFmt w:val="decimal"/>
          </w:footnotePr>
          <w:pgSz w:w="11900" w:h="16840"/>
          <w:pgMar w:top="1556" w:right="1527" w:bottom="1874" w:left="1508" w:header="1128" w:footer="3" w:gutter="0"/>
          <w:cols w:space="720" w:num="1"/>
          <w:rtlGutter w:val="0"/>
          <w:docGrid w:linePitch="360" w:charSpace="0"/>
        </w:sectPr>
      </w:pPr>
      <w:r>
        <w:rPr>
          <w:rFonts w:hint="eastAsia" w:ascii="仿宋_GB2312" w:hAnsi="仿宋_GB2312" w:eastAsia="仿宋_GB2312" w:cs="仿宋_GB2312"/>
          <w:b w:val="0"/>
          <w:bCs w:val="0"/>
          <w:i w:val="0"/>
          <w:iCs w:val="0"/>
          <w:smallCaps w:val="0"/>
          <w:strike w:val="0"/>
          <w:color w:val="000000"/>
          <w:spacing w:val="0"/>
          <w:w w:val="100"/>
          <w:position w:val="0"/>
          <w:sz w:val="32"/>
          <w:szCs w:val="32"/>
        </w:rPr>
        <w:t>本单位内设9个职能科室，分别是：办公室、政务服务管理 科、审批管理科、商事登记科、市场准入科、社会事务科、联合 勘验科、建设工程科、交通城管科。</w:t>
      </w:r>
    </w:p>
    <w:p>
      <w:pPr>
        <w:pStyle w:val="15"/>
        <w:keepNext w:val="0"/>
        <w:keepLines w:val="0"/>
        <w:widowControl w:val="0"/>
        <w:shd w:val="clear" w:color="auto" w:fill="auto"/>
        <w:bidi w:val="0"/>
        <w:spacing w:before="0" w:after="0" w:line="566" w:lineRule="exact"/>
        <w:ind w:left="0" w:right="0" w:firstLine="640"/>
        <w:jc w:val="left"/>
        <w:rPr>
          <w:rFonts w:hint="eastAsia" w:ascii="仿宋_GB2312" w:hAnsi="仿宋_GB2312" w:eastAsia="仿宋_GB2312" w:cs="仿宋_GB2312"/>
          <w:sz w:val="32"/>
          <w:szCs w:val="32"/>
        </w:rPr>
      </w:pPr>
    </w:p>
    <w:p>
      <w:pPr>
        <w:pStyle w:val="17"/>
        <w:keepNext w:val="0"/>
        <w:keepLines w:val="0"/>
        <w:widowControl w:val="0"/>
        <w:shd w:val="clear" w:color="auto" w:fill="auto"/>
        <w:bidi w:val="0"/>
        <w:spacing w:before="560" w:after="2600" w:line="240" w:lineRule="auto"/>
        <w:ind w:right="0"/>
        <w:jc w:val="left"/>
        <w:rPr>
          <w:rFonts w:hint="eastAsia" w:ascii="方正小标宋简体" w:hAnsi="Times New Roman" w:eastAsia="方正小标宋简体" w:cs="Times New Roman"/>
          <w:b w:val="0"/>
          <w:bCs w:val="0"/>
          <w:i w:val="0"/>
          <w:iCs w:val="0"/>
          <w:smallCaps w:val="0"/>
          <w:strike w:val="0"/>
          <w:spacing w:val="60"/>
          <w:w w:val="100"/>
          <w:kern w:val="2"/>
          <w:position w:val="0"/>
          <w:sz w:val="42"/>
          <w:szCs w:val="24"/>
          <w:u w:val="none"/>
          <w:shd w:val="clear"/>
          <w:lang w:val="en-US" w:eastAsia="zh-CN" w:bidi="ar-SA"/>
        </w:rPr>
      </w:pPr>
      <w:r>
        <w:rPr>
          <w:rFonts w:hint="eastAsia" w:ascii="方正小标宋简体" w:hAnsi="Times New Roman" w:eastAsia="方正小标宋简体" w:cs="Times New Roman"/>
          <w:b w:val="0"/>
          <w:bCs w:val="0"/>
          <w:i w:val="0"/>
          <w:iCs w:val="0"/>
          <w:smallCaps w:val="0"/>
          <w:strike w:val="0"/>
          <w:spacing w:val="60"/>
          <w:w w:val="100"/>
          <w:kern w:val="2"/>
          <w:position w:val="0"/>
          <w:sz w:val="42"/>
          <w:szCs w:val="24"/>
          <w:u w:val="none"/>
          <w:shd w:val="clear"/>
          <w:lang w:val="en-US" w:eastAsia="zh-CN" w:bidi="ar-SA"/>
        </w:rPr>
        <w:t>第二部分</w:t>
      </w:r>
    </w:p>
    <w:p>
      <w:pPr>
        <w:pStyle w:val="23"/>
        <w:keepNext w:val="0"/>
        <w:keepLines w:val="0"/>
        <w:widowControl w:val="0"/>
        <w:shd w:val="clear" w:color="auto" w:fill="auto"/>
        <w:bidi w:val="0"/>
        <w:spacing w:before="0" w:after="0" w:line="240" w:lineRule="auto"/>
        <w:ind w:left="0" w:right="0" w:firstLine="0"/>
        <w:jc w:val="center"/>
        <w:rPr>
          <w:rFonts w:hint="eastAsia" w:ascii="方正小标宋简体" w:hAnsi="Times New Roman" w:eastAsia="方正小标宋简体" w:cs="Times New Roman"/>
          <w:b w:val="0"/>
          <w:bCs w:val="0"/>
          <w:i w:val="0"/>
          <w:iCs w:val="0"/>
          <w:smallCaps w:val="0"/>
          <w:strike w:val="0"/>
          <w:spacing w:val="60"/>
          <w:w w:val="100"/>
          <w:kern w:val="2"/>
          <w:position w:val="0"/>
          <w:sz w:val="42"/>
          <w:szCs w:val="24"/>
          <w:u w:val="none"/>
          <w:shd w:val="clear"/>
          <w:lang w:val="en-US" w:eastAsia="zh-CN" w:bidi="ar-SA"/>
        </w:rPr>
        <w:sectPr>
          <w:footerReference r:id="rId7" w:type="default"/>
          <w:footnotePr>
            <w:numFmt w:val="decimal"/>
          </w:footnotePr>
          <w:pgSz w:w="11900" w:h="16840"/>
          <w:pgMar w:top="2732" w:right="1529" w:bottom="2732" w:left="1515" w:header="2304" w:footer="3" w:gutter="0"/>
          <w:cols w:space="720" w:num="1"/>
          <w:rtlGutter w:val="0"/>
          <w:docGrid w:linePitch="360" w:charSpace="0"/>
        </w:sectPr>
      </w:pPr>
      <w:r>
        <w:rPr>
          <w:rFonts w:hint="eastAsia" w:ascii="方正小标宋简体" w:hAnsi="Times New Roman" w:eastAsia="方正小标宋简体" w:cs="Times New Roman"/>
          <w:b w:val="0"/>
          <w:bCs w:val="0"/>
          <w:i w:val="0"/>
          <w:iCs w:val="0"/>
          <w:smallCaps w:val="0"/>
          <w:strike w:val="0"/>
          <w:spacing w:val="60"/>
          <w:w w:val="100"/>
          <w:kern w:val="2"/>
          <w:position w:val="0"/>
          <w:sz w:val="42"/>
          <w:szCs w:val="24"/>
          <w:u w:val="none"/>
          <w:shd w:val="clear"/>
          <w:lang w:val="en-US" w:eastAsia="zh-CN" w:bidi="ar-SA"/>
        </w:rPr>
        <w:t>2021年度单位决算表</w:t>
      </w:r>
    </w:p>
    <w:p>
      <w:pPr>
        <w:pStyle w:val="25"/>
        <w:keepNext/>
        <w:keepLines/>
        <w:widowControl w:val="0"/>
        <w:shd w:val="clear" w:color="auto" w:fill="auto"/>
        <w:bidi w:val="0"/>
        <w:spacing w:before="140" w:after="500" w:line="240" w:lineRule="auto"/>
        <w:ind w:left="0" w:right="0" w:firstLine="0"/>
        <w:jc w:val="center"/>
      </w:pPr>
      <w:bookmarkStart w:id="14" w:name="bookmark39"/>
      <w:bookmarkStart w:id="15" w:name="bookmark37"/>
      <w:bookmarkStart w:id="16" w:name="bookmark38"/>
      <w:r>
        <w:rPr>
          <w:color w:val="000000"/>
          <w:spacing w:val="0"/>
          <w:w w:val="100"/>
          <w:position w:val="0"/>
        </w:rPr>
        <w:drawing>
          <wp:inline distT="0" distB="0" distL="114300" distR="114300">
            <wp:extent cx="5622925" cy="5755640"/>
            <wp:effectExtent l="0" t="0" r="15875" b="165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20"/>
                    <a:stretch>
                      <a:fillRect/>
                    </a:stretch>
                  </pic:blipFill>
                  <pic:spPr>
                    <a:xfrm>
                      <a:off x="0" y="0"/>
                      <a:ext cx="5622925" cy="5755640"/>
                    </a:xfrm>
                    <a:prstGeom prst="rect">
                      <a:avLst/>
                    </a:prstGeom>
                  </pic:spPr>
                </pic:pic>
              </a:graphicData>
            </a:graphic>
          </wp:inline>
        </w:drawing>
      </w:r>
      <w:bookmarkEnd w:id="14"/>
      <w:bookmarkEnd w:id="15"/>
      <w:bookmarkEnd w:id="16"/>
    </w:p>
    <w:p>
      <w:pPr>
        <w:pStyle w:val="17"/>
        <w:keepNext w:val="0"/>
        <w:keepLines w:val="0"/>
        <w:widowControl w:val="0"/>
        <w:shd w:val="clear" w:color="auto" w:fill="auto"/>
        <w:bidi w:val="0"/>
        <w:spacing w:before="0" w:after="1120" w:line="240" w:lineRule="auto"/>
        <w:ind w:left="0" w:right="0" w:firstLine="0"/>
        <w:jc w:val="left"/>
        <w:rPr>
          <w:color w:val="000000"/>
          <w:spacing w:val="0"/>
          <w:w w:val="100"/>
          <w:position w:val="0"/>
        </w:rPr>
      </w:pPr>
    </w:p>
    <w:p>
      <w:pPr>
        <w:pStyle w:val="17"/>
        <w:keepNext w:val="0"/>
        <w:keepLines w:val="0"/>
        <w:widowControl w:val="0"/>
        <w:shd w:val="clear" w:color="auto" w:fill="auto"/>
        <w:bidi w:val="0"/>
        <w:spacing w:before="0" w:after="1120" w:line="240" w:lineRule="auto"/>
        <w:ind w:left="0" w:right="0" w:firstLine="0"/>
        <w:jc w:val="left"/>
        <w:rPr>
          <w:color w:val="000000"/>
          <w:spacing w:val="0"/>
          <w:w w:val="100"/>
          <w:position w:val="0"/>
        </w:rPr>
      </w:pPr>
    </w:p>
    <w:p>
      <w:pPr>
        <w:pStyle w:val="17"/>
        <w:keepNext w:val="0"/>
        <w:keepLines w:val="0"/>
        <w:widowControl w:val="0"/>
        <w:shd w:val="clear" w:color="auto" w:fill="auto"/>
        <w:bidi w:val="0"/>
        <w:spacing w:before="0" w:after="1120" w:line="240" w:lineRule="auto"/>
        <w:ind w:left="0" w:right="0" w:firstLine="0"/>
        <w:jc w:val="left"/>
        <w:rPr>
          <w:rFonts w:hint="eastAsia" w:eastAsia="宋体"/>
          <w:color w:val="000000"/>
          <w:spacing w:val="0"/>
          <w:w w:val="100"/>
          <w:position w:val="0"/>
          <w:lang w:eastAsia="zh-CN"/>
        </w:rPr>
      </w:pPr>
      <w:r>
        <w:rPr>
          <w:rFonts w:hint="eastAsia" w:eastAsia="宋体"/>
          <w:color w:val="000000"/>
          <w:spacing w:val="0"/>
          <w:w w:val="100"/>
          <w:position w:val="0"/>
          <w:lang w:eastAsia="zh-CN"/>
        </w:rPr>
        <w:drawing>
          <wp:inline distT="0" distB="0" distL="114300" distR="114300">
            <wp:extent cx="5611495" cy="3174365"/>
            <wp:effectExtent l="0" t="0" r="8255" b="698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21"/>
                    <a:stretch>
                      <a:fillRect/>
                    </a:stretch>
                  </pic:blipFill>
                  <pic:spPr>
                    <a:xfrm>
                      <a:off x="0" y="0"/>
                      <a:ext cx="5611495" cy="3174365"/>
                    </a:xfrm>
                    <a:prstGeom prst="rect">
                      <a:avLst/>
                    </a:prstGeom>
                  </pic:spPr>
                </pic:pic>
              </a:graphicData>
            </a:graphic>
          </wp:inline>
        </w:drawing>
      </w:r>
    </w:p>
    <w:p>
      <w:pPr>
        <w:pStyle w:val="17"/>
        <w:keepNext w:val="0"/>
        <w:keepLines w:val="0"/>
        <w:widowControl w:val="0"/>
        <w:shd w:val="clear" w:color="auto" w:fill="auto"/>
        <w:bidi w:val="0"/>
        <w:spacing w:before="0" w:after="1120" w:line="240" w:lineRule="auto"/>
        <w:ind w:left="0" w:right="0" w:firstLine="0"/>
        <w:jc w:val="left"/>
        <w:rPr>
          <w:rFonts w:hint="eastAsia" w:eastAsia="宋体"/>
          <w:color w:val="000000"/>
          <w:spacing w:val="0"/>
          <w:w w:val="100"/>
          <w:position w:val="0"/>
          <w:lang w:eastAsia="zh-CN"/>
        </w:rPr>
      </w:pPr>
      <w:r>
        <w:rPr>
          <w:rFonts w:hint="eastAsia" w:eastAsia="宋体"/>
          <w:color w:val="000000"/>
          <w:spacing w:val="0"/>
          <w:w w:val="100"/>
          <w:position w:val="0"/>
          <w:lang w:eastAsia="zh-CN"/>
        </w:rPr>
        <w:drawing>
          <wp:inline distT="0" distB="0" distL="114300" distR="114300">
            <wp:extent cx="5603240" cy="3358515"/>
            <wp:effectExtent l="0" t="0" r="16510" b="13335"/>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22"/>
                    <a:stretch>
                      <a:fillRect/>
                    </a:stretch>
                  </pic:blipFill>
                  <pic:spPr>
                    <a:xfrm>
                      <a:off x="0" y="0"/>
                      <a:ext cx="5603240" cy="3358515"/>
                    </a:xfrm>
                    <a:prstGeom prst="rect">
                      <a:avLst/>
                    </a:prstGeom>
                  </pic:spPr>
                </pic:pic>
              </a:graphicData>
            </a:graphic>
          </wp:inline>
        </w:drawing>
      </w:r>
    </w:p>
    <w:p>
      <w:pPr>
        <w:pStyle w:val="17"/>
        <w:keepNext w:val="0"/>
        <w:keepLines w:val="0"/>
        <w:widowControl w:val="0"/>
        <w:shd w:val="clear" w:color="auto" w:fill="auto"/>
        <w:bidi w:val="0"/>
        <w:spacing w:before="0" w:after="1120" w:line="240" w:lineRule="auto"/>
        <w:ind w:left="0" w:right="0" w:firstLine="0"/>
        <w:jc w:val="left"/>
        <w:rPr>
          <w:rFonts w:hint="eastAsia" w:eastAsia="宋体"/>
          <w:color w:val="000000"/>
          <w:spacing w:val="0"/>
          <w:w w:val="100"/>
          <w:position w:val="0"/>
          <w:lang w:eastAsia="zh-CN"/>
        </w:rPr>
      </w:pPr>
      <w:r>
        <w:rPr>
          <w:rFonts w:hint="eastAsia" w:eastAsia="宋体"/>
          <w:color w:val="000000"/>
          <w:spacing w:val="0"/>
          <w:w w:val="100"/>
          <w:position w:val="0"/>
          <w:lang w:eastAsia="zh-CN"/>
        </w:rPr>
        <w:drawing>
          <wp:inline distT="0" distB="0" distL="114300" distR="114300">
            <wp:extent cx="5607685" cy="5088255"/>
            <wp:effectExtent l="0" t="0" r="12065" b="17145"/>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23"/>
                    <a:stretch>
                      <a:fillRect/>
                    </a:stretch>
                  </pic:blipFill>
                  <pic:spPr>
                    <a:xfrm>
                      <a:off x="0" y="0"/>
                      <a:ext cx="5607685" cy="5088255"/>
                    </a:xfrm>
                    <a:prstGeom prst="rect">
                      <a:avLst/>
                    </a:prstGeom>
                  </pic:spPr>
                </pic:pic>
              </a:graphicData>
            </a:graphic>
          </wp:inline>
        </w:drawing>
      </w:r>
    </w:p>
    <w:p>
      <w:pPr>
        <w:pStyle w:val="17"/>
        <w:keepNext w:val="0"/>
        <w:keepLines w:val="0"/>
        <w:widowControl w:val="0"/>
        <w:shd w:val="clear" w:color="auto" w:fill="auto"/>
        <w:bidi w:val="0"/>
        <w:spacing w:before="0" w:after="1120" w:line="240" w:lineRule="auto"/>
        <w:ind w:left="0" w:right="0" w:firstLine="0"/>
        <w:jc w:val="left"/>
        <w:rPr>
          <w:rFonts w:hint="eastAsia" w:eastAsia="宋体"/>
          <w:color w:val="000000"/>
          <w:spacing w:val="0"/>
          <w:w w:val="100"/>
          <w:position w:val="0"/>
          <w:lang w:eastAsia="zh-CN"/>
        </w:rPr>
      </w:pPr>
      <w:r>
        <w:rPr>
          <w:rFonts w:hint="eastAsia" w:eastAsia="宋体"/>
          <w:color w:val="000000"/>
          <w:spacing w:val="0"/>
          <w:w w:val="100"/>
          <w:position w:val="0"/>
          <w:lang w:eastAsia="zh-CN"/>
        </w:rPr>
        <w:drawing>
          <wp:inline distT="0" distB="0" distL="114300" distR="114300">
            <wp:extent cx="5610860" cy="3522980"/>
            <wp:effectExtent l="0" t="0" r="8890" b="1270"/>
            <wp:docPr id="10"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
                    <pic:cNvPicPr>
                      <a:picLocks noChangeAspect="1"/>
                    </pic:cNvPicPr>
                  </pic:nvPicPr>
                  <pic:blipFill>
                    <a:blip r:embed="rId24"/>
                    <a:stretch>
                      <a:fillRect/>
                    </a:stretch>
                  </pic:blipFill>
                  <pic:spPr>
                    <a:xfrm>
                      <a:off x="0" y="0"/>
                      <a:ext cx="5610860" cy="3522980"/>
                    </a:xfrm>
                    <a:prstGeom prst="rect">
                      <a:avLst/>
                    </a:prstGeom>
                  </pic:spPr>
                </pic:pic>
              </a:graphicData>
            </a:graphic>
          </wp:inline>
        </w:drawing>
      </w:r>
    </w:p>
    <w:p>
      <w:pPr>
        <w:pStyle w:val="17"/>
        <w:keepNext w:val="0"/>
        <w:keepLines w:val="0"/>
        <w:widowControl w:val="0"/>
        <w:shd w:val="clear" w:color="auto" w:fill="auto"/>
        <w:bidi w:val="0"/>
        <w:spacing w:before="0" w:after="1120" w:line="240" w:lineRule="auto"/>
        <w:ind w:left="0" w:right="0" w:firstLine="0"/>
        <w:jc w:val="left"/>
        <w:rPr>
          <w:rFonts w:hint="eastAsia" w:eastAsia="宋体"/>
          <w:color w:val="000000"/>
          <w:spacing w:val="0"/>
          <w:w w:val="100"/>
          <w:position w:val="0"/>
          <w:lang w:eastAsia="zh-CN"/>
        </w:rPr>
      </w:pPr>
      <w:r>
        <w:rPr>
          <w:rFonts w:hint="eastAsia" w:eastAsia="宋体"/>
          <w:color w:val="000000"/>
          <w:spacing w:val="0"/>
          <w:w w:val="100"/>
          <w:position w:val="0"/>
          <w:lang w:eastAsia="zh-CN"/>
        </w:rPr>
        <w:drawing>
          <wp:inline distT="0" distB="0" distL="114300" distR="114300">
            <wp:extent cx="5610225" cy="5184775"/>
            <wp:effectExtent l="0" t="0" r="9525" b="15875"/>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25"/>
                    <a:stretch>
                      <a:fillRect/>
                    </a:stretch>
                  </pic:blipFill>
                  <pic:spPr>
                    <a:xfrm>
                      <a:off x="0" y="0"/>
                      <a:ext cx="5610225" cy="5184775"/>
                    </a:xfrm>
                    <a:prstGeom prst="rect">
                      <a:avLst/>
                    </a:prstGeom>
                  </pic:spPr>
                </pic:pic>
              </a:graphicData>
            </a:graphic>
          </wp:inline>
        </w:drawing>
      </w:r>
    </w:p>
    <w:p>
      <w:pPr>
        <w:pStyle w:val="17"/>
        <w:keepNext w:val="0"/>
        <w:keepLines w:val="0"/>
        <w:widowControl w:val="0"/>
        <w:shd w:val="clear" w:color="auto" w:fill="auto"/>
        <w:bidi w:val="0"/>
        <w:spacing w:before="0" w:after="1120" w:line="240" w:lineRule="auto"/>
        <w:ind w:left="0" w:right="0" w:firstLine="0"/>
        <w:jc w:val="left"/>
        <w:rPr>
          <w:rFonts w:hint="eastAsia" w:eastAsia="宋体"/>
          <w:color w:val="000000"/>
          <w:spacing w:val="0"/>
          <w:w w:val="100"/>
          <w:position w:val="0"/>
          <w:lang w:eastAsia="zh-CN"/>
        </w:rPr>
      </w:pPr>
      <w:r>
        <w:rPr>
          <w:rFonts w:hint="eastAsia" w:eastAsia="宋体"/>
          <w:color w:val="000000"/>
          <w:spacing w:val="0"/>
          <w:w w:val="100"/>
          <w:position w:val="0"/>
          <w:lang w:eastAsia="zh-CN"/>
        </w:rPr>
        <w:drawing>
          <wp:inline distT="0" distB="0" distL="114300" distR="114300">
            <wp:extent cx="5611495" cy="2434590"/>
            <wp:effectExtent l="0" t="0" r="8255" b="3810"/>
            <wp:docPr id="12"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
                    <pic:cNvPicPr>
                      <a:picLocks noChangeAspect="1"/>
                    </pic:cNvPicPr>
                  </pic:nvPicPr>
                  <pic:blipFill>
                    <a:blip r:embed="rId26"/>
                    <a:stretch>
                      <a:fillRect/>
                    </a:stretch>
                  </pic:blipFill>
                  <pic:spPr>
                    <a:xfrm>
                      <a:off x="0" y="0"/>
                      <a:ext cx="5611495" cy="2434590"/>
                    </a:xfrm>
                    <a:prstGeom prst="rect">
                      <a:avLst/>
                    </a:prstGeom>
                  </pic:spPr>
                </pic:pic>
              </a:graphicData>
            </a:graphic>
          </wp:inline>
        </w:drawing>
      </w:r>
    </w:p>
    <w:p>
      <w:pPr>
        <w:pStyle w:val="17"/>
        <w:keepNext w:val="0"/>
        <w:keepLines w:val="0"/>
        <w:widowControl w:val="0"/>
        <w:shd w:val="clear" w:color="auto" w:fill="auto"/>
        <w:bidi w:val="0"/>
        <w:spacing w:before="0" w:after="1120" w:line="240" w:lineRule="auto"/>
        <w:ind w:left="0" w:right="0" w:firstLine="0"/>
        <w:jc w:val="left"/>
        <w:rPr>
          <w:rFonts w:hint="eastAsia" w:eastAsia="宋体"/>
          <w:color w:val="000000"/>
          <w:spacing w:val="0"/>
          <w:w w:val="100"/>
          <w:position w:val="0"/>
          <w:lang w:eastAsia="zh-CN"/>
        </w:rPr>
      </w:pPr>
      <w:r>
        <w:rPr>
          <w:rFonts w:hint="eastAsia" w:eastAsia="宋体"/>
          <w:color w:val="000000"/>
          <w:spacing w:val="0"/>
          <w:w w:val="100"/>
          <w:position w:val="0"/>
          <w:lang w:eastAsia="zh-CN"/>
        </w:rPr>
        <w:drawing>
          <wp:inline distT="0" distB="0" distL="114300" distR="114300">
            <wp:extent cx="5608320" cy="2040890"/>
            <wp:effectExtent l="0" t="0" r="11430" b="16510"/>
            <wp:docPr id="13" name="图片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
                    <pic:cNvPicPr>
                      <a:picLocks noChangeAspect="1"/>
                    </pic:cNvPicPr>
                  </pic:nvPicPr>
                  <pic:blipFill>
                    <a:blip r:embed="rId27"/>
                    <a:stretch>
                      <a:fillRect/>
                    </a:stretch>
                  </pic:blipFill>
                  <pic:spPr>
                    <a:xfrm>
                      <a:off x="0" y="0"/>
                      <a:ext cx="5608320" cy="2040890"/>
                    </a:xfrm>
                    <a:prstGeom prst="rect">
                      <a:avLst/>
                    </a:prstGeom>
                  </pic:spPr>
                </pic:pic>
              </a:graphicData>
            </a:graphic>
          </wp:inline>
        </w:drawing>
      </w:r>
    </w:p>
    <w:p>
      <w:pPr>
        <w:pStyle w:val="17"/>
        <w:keepNext w:val="0"/>
        <w:keepLines w:val="0"/>
        <w:widowControl w:val="0"/>
        <w:shd w:val="clear" w:color="auto" w:fill="auto"/>
        <w:bidi w:val="0"/>
        <w:spacing w:before="0" w:after="1120" w:line="240" w:lineRule="auto"/>
        <w:ind w:left="0" w:right="0" w:firstLine="0"/>
        <w:jc w:val="left"/>
        <w:rPr>
          <w:rFonts w:hint="eastAsia" w:eastAsia="宋体"/>
          <w:color w:val="000000"/>
          <w:spacing w:val="0"/>
          <w:w w:val="100"/>
          <w:position w:val="0"/>
          <w:lang w:eastAsia="zh-CN"/>
        </w:rPr>
      </w:pPr>
      <w:r>
        <w:rPr>
          <w:rFonts w:hint="eastAsia" w:eastAsia="宋体"/>
          <w:color w:val="000000"/>
          <w:spacing w:val="0"/>
          <w:w w:val="100"/>
          <w:position w:val="0"/>
          <w:lang w:eastAsia="zh-CN"/>
        </w:rPr>
        <w:drawing>
          <wp:inline distT="0" distB="0" distL="114300" distR="114300">
            <wp:extent cx="5603875" cy="1978660"/>
            <wp:effectExtent l="0" t="0" r="15875" b="2540"/>
            <wp:docPr id="14" name="图片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
                    <pic:cNvPicPr>
                      <a:picLocks noChangeAspect="1"/>
                    </pic:cNvPicPr>
                  </pic:nvPicPr>
                  <pic:blipFill>
                    <a:blip r:embed="rId28"/>
                    <a:stretch>
                      <a:fillRect/>
                    </a:stretch>
                  </pic:blipFill>
                  <pic:spPr>
                    <a:xfrm>
                      <a:off x="0" y="0"/>
                      <a:ext cx="5603875" cy="1978660"/>
                    </a:xfrm>
                    <a:prstGeom prst="rect">
                      <a:avLst/>
                    </a:prstGeom>
                  </pic:spPr>
                </pic:pic>
              </a:graphicData>
            </a:graphic>
          </wp:inline>
        </w:drawing>
      </w:r>
    </w:p>
    <w:p>
      <w:pPr>
        <w:pStyle w:val="17"/>
        <w:keepNext w:val="0"/>
        <w:keepLines w:val="0"/>
        <w:widowControl w:val="0"/>
        <w:shd w:val="clear" w:color="auto" w:fill="auto"/>
        <w:bidi w:val="0"/>
        <w:spacing w:before="0" w:after="1120" w:line="240" w:lineRule="auto"/>
        <w:ind w:left="0" w:right="0" w:firstLine="0"/>
        <w:jc w:val="left"/>
        <w:rPr>
          <w:color w:val="000000"/>
          <w:spacing w:val="0"/>
          <w:w w:val="100"/>
          <w:position w:val="0"/>
        </w:rPr>
      </w:pPr>
    </w:p>
    <w:p>
      <w:pPr>
        <w:keepNext w:val="0"/>
        <w:keepLines w:val="0"/>
        <w:shd w:val="clear"/>
        <w:bidi w:val="0"/>
        <w:spacing w:before="0" w:after="0" w:line="240" w:lineRule="auto"/>
        <w:ind w:left="0" w:right="0" w:firstLine="540" w:firstLineChars="100"/>
        <w:jc w:val="both"/>
        <w:rPr>
          <w:rFonts w:hint="eastAsia" w:ascii="方正小标宋简体" w:hAnsi="Times New Roman" w:eastAsia="方正小标宋简体" w:cs="Times New Roman"/>
          <w:spacing w:val="60"/>
          <w:w w:val="100"/>
          <w:kern w:val="2"/>
          <w:position w:val="0"/>
          <w:sz w:val="42"/>
          <w:shd w:val="clear"/>
          <w:lang w:eastAsia="zh-CN" w:bidi="ar-SA"/>
        </w:rPr>
      </w:pPr>
      <w:r>
        <w:rPr>
          <w:rFonts w:hint="eastAsia" w:ascii="方正小标宋简体" w:hAnsi="Times New Roman" w:eastAsia="方正小标宋简体" w:cs="Times New Roman"/>
          <w:spacing w:val="60"/>
          <w:w w:val="100"/>
          <w:kern w:val="2"/>
          <w:position w:val="0"/>
          <w:sz w:val="42"/>
          <w:shd w:val="clear"/>
          <w:lang w:eastAsia="zh-CN" w:bidi="ar-SA"/>
        </w:rPr>
        <w:t>第三部分</w:t>
      </w:r>
    </w:p>
    <w:p>
      <w:pPr>
        <w:keepNext w:val="0"/>
        <w:keepLines w:val="0"/>
        <w:shd w:val="clear"/>
        <w:bidi w:val="0"/>
        <w:spacing w:before="0" w:after="0" w:line="240" w:lineRule="auto"/>
        <w:ind w:left="0" w:right="0" w:firstLine="540" w:firstLineChars="100"/>
        <w:jc w:val="both"/>
        <w:rPr>
          <w:rFonts w:hint="eastAsia" w:ascii="方正小标宋简体" w:hAnsi="Times New Roman" w:eastAsia="方正小标宋简体" w:cs="Times New Roman"/>
          <w:spacing w:val="60"/>
          <w:w w:val="100"/>
          <w:kern w:val="2"/>
          <w:position w:val="0"/>
          <w:sz w:val="42"/>
          <w:shd w:val="clear"/>
          <w:lang w:eastAsia="zh-CN" w:bidi="ar-SA"/>
        </w:rPr>
      </w:pPr>
    </w:p>
    <w:p>
      <w:pPr>
        <w:keepNext w:val="0"/>
        <w:keepLines w:val="0"/>
        <w:shd w:val="clear"/>
        <w:bidi w:val="0"/>
        <w:spacing w:before="0" w:after="0" w:line="240" w:lineRule="auto"/>
        <w:ind w:left="0" w:right="0" w:firstLine="540" w:firstLineChars="100"/>
        <w:jc w:val="both"/>
        <w:rPr>
          <w:rFonts w:hint="eastAsia" w:ascii="方正小标宋简体" w:hAnsi="Times New Roman" w:eastAsia="方正小标宋简体" w:cs="Times New Roman"/>
          <w:spacing w:val="60"/>
          <w:w w:val="100"/>
          <w:kern w:val="2"/>
          <w:position w:val="0"/>
          <w:sz w:val="42"/>
          <w:shd w:val="clear"/>
          <w:lang w:eastAsia="zh-CN" w:bidi="ar-SA"/>
        </w:rPr>
      </w:pPr>
    </w:p>
    <w:p>
      <w:pPr>
        <w:keepNext w:val="0"/>
        <w:keepLines w:val="0"/>
        <w:shd w:val="clear"/>
        <w:bidi w:val="0"/>
        <w:spacing w:before="0" w:after="0" w:line="240" w:lineRule="auto"/>
        <w:ind w:left="0" w:right="0" w:firstLine="540" w:firstLineChars="100"/>
        <w:jc w:val="both"/>
        <w:rPr>
          <w:rFonts w:hint="eastAsia" w:ascii="方正小标宋简体" w:hAnsi="Times New Roman" w:eastAsia="方正小标宋简体" w:cs="Times New Roman"/>
          <w:spacing w:val="60"/>
          <w:w w:val="100"/>
          <w:kern w:val="2"/>
          <w:position w:val="0"/>
          <w:sz w:val="42"/>
          <w:shd w:val="clear"/>
          <w:lang w:eastAsia="zh-CN" w:bidi="ar-SA"/>
        </w:rPr>
      </w:pPr>
    </w:p>
    <w:p>
      <w:pPr>
        <w:keepNext w:val="0"/>
        <w:keepLines w:val="0"/>
        <w:shd w:val="clear"/>
        <w:bidi w:val="0"/>
        <w:spacing w:before="0" w:after="0" w:line="240" w:lineRule="auto"/>
        <w:ind w:left="0" w:right="0" w:firstLine="540" w:firstLineChars="100"/>
        <w:jc w:val="center"/>
        <w:rPr>
          <w:rFonts w:hint="eastAsia" w:ascii="方正小标宋简体" w:hAnsi="Times New Roman" w:eastAsia="方正小标宋简体" w:cs="Times New Roman"/>
          <w:spacing w:val="60"/>
          <w:w w:val="100"/>
          <w:kern w:val="2"/>
          <w:position w:val="0"/>
          <w:sz w:val="42"/>
          <w:shd w:val="clear"/>
          <w:lang w:eastAsia="zh-CN" w:bidi="ar-SA"/>
        </w:rPr>
        <w:sectPr>
          <w:footerReference r:id="rId8" w:type="default"/>
          <w:footnotePr>
            <w:numFmt w:val="decimal"/>
          </w:footnotePr>
          <w:pgSz w:w="11900" w:h="16840"/>
          <w:pgMar w:top="2098" w:right="1474" w:bottom="1984" w:left="1587" w:header="4451" w:footer="3" w:gutter="0"/>
          <w:cols w:space="720" w:num="1"/>
          <w:rtlGutter w:val="0"/>
          <w:docGrid w:linePitch="360" w:charSpace="0"/>
        </w:sectPr>
      </w:pPr>
      <w:r>
        <w:rPr>
          <w:rFonts w:hint="eastAsia" w:ascii="方正小标宋简体" w:hAnsi="Times New Roman" w:eastAsia="方正小标宋简体" w:cs="Times New Roman"/>
          <w:spacing w:val="60"/>
          <w:w w:val="100"/>
          <w:kern w:val="2"/>
          <w:position w:val="0"/>
          <w:sz w:val="42"/>
          <w:shd w:val="clear"/>
          <w:lang w:eastAsia="zh-CN" w:bidi="ar-SA"/>
        </w:rPr>
        <w:t>2021年度单位决算情况说明</w:t>
      </w:r>
    </w:p>
    <w:p>
      <w:pPr>
        <w:pStyle w:val="35"/>
        <w:keepNext w:val="0"/>
        <w:keepLines w:val="0"/>
        <w:widowControl w:val="0"/>
        <w:shd w:val="clear" w:color="auto" w:fill="auto"/>
        <w:bidi w:val="0"/>
        <w:spacing w:before="0" w:after="0"/>
        <w:ind w:left="0" w:right="0" w:firstLine="640" w:firstLineChars="200"/>
        <w:jc w:val="both"/>
        <w:rPr>
          <w:rFonts w:hint="eastAsia" w:ascii="黑体" w:hAnsi="宋体" w:eastAsia="黑体" w:cs="黑体"/>
          <w:color w:val="000000"/>
          <w:spacing w:val="0"/>
          <w:sz w:val="32"/>
          <w:szCs w:val="32"/>
        </w:rPr>
      </w:pPr>
      <w:r>
        <w:rPr>
          <w:rFonts w:hint="eastAsia" w:ascii="黑体" w:hAnsi="黑体" w:eastAsia="黑体" w:cs="黑体"/>
          <w:color w:val="000000"/>
          <w:spacing w:val="0"/>
          <w:w w:val="100"/>
          <w:position w:val="0"/>
          <w:sz w:val="32"/>
          <w:szCs w:val="32"/>
          <w:lang w:eastAsia="zh-CN"/>
        </w:rPr>
        <w:t>一、</w:t>
      </w:r>
      <w:r>
        <w:rPr>
          <w:rFonts w:hint="eastAsia" w:ascii="黑体" w:hAnsi="黑体" w:eastAsia="黑体" w:cs="黑体"/>
          <w:color w:val="000000"/>
          <w:spacing w:val="0"/>
          <w:w w:val="100"/>
          <w:position w:val="0"/>
          <w:sz w:val="32"/>
          <w:szCs w:val="32"/>
        </w:rPr>
        <w:t>收入支出决算总体情况说明</w:t>
      </w:r>
    </w:p>
    <w:p>
      <w:pPr>
        <w:keepNext w:val="0"/>
        <w:keepLines w:val="0"/>
        <w:widowControl w:val="0"/>
        <w:suppressLineNumbers w:val="0"/>
        <w:spacing w:before="0" w:beforeAutospacing="0" w:after="0" w:afterAutospacing="0"/>
        <w:ind w:left="0" w:right="0" w:firstLine="640" w:firstLineChars="200"/>
        <w:jc w:val="left"/>
      </w:pPr>
      <w:r>
        <w:rPr>
          <w:rFonts w:hint="eastAsia" w:ascii="仿宋_GB2312" w:hAnsi="Times New Roman" w:eastAsia="仿宋_GB2312" w:cs="仿宋_GB2312"/>
          <w:color w:val="000000"/>
          <w:spacing w:val="0"/>
          <w:w w:val="100"/>
          <w:kern w:val="0"/>
          <w:position w:val="0"/>
          <w:sz w:val="32"/>
          <w:szCs w:val="32"/>
          <w:shd w:val="clear" w:color="auto" w:fill="auto"/>
          <w:lang w:val="en-US" w:eastAsia="zh-CN" w:bidi="ar"/>
        </w:rPr>
        <w:t>2021年度收、支总计1,463.00万元。与2020年度相比，收、支总计各减少621.11万元，下降29.80%。主要是压缩经费，项目支出减少。</w:t>
      </w:r>
    </w:p>
    <w:p>
      <w:pPr>
        <w:widowControl w:val="0"/>
        <w:jc w:val="both"/>
        <w:rPr>
          <w:sz w:val="2"/>
          <w:szCs w:val="2"/>
        </w:rPr>
      </w:pPr>
      <w:r>
        <w:drawing>
          <wp:inline distT="0" distB="0" distL="114300" distR="114300">
            <wp:extent cx="5718175" cy="271907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utre 17"/>
                    <pic:cNvPicPr/>
                  </pic:nvPicPr>
                  <pic:blipFill>
                    <a:blip r:embed="rId29"/>
                    <a:stretch>
                      <a:fillRect/>
                    </a:stretch>
                  </pic:blipFill>
                  <pic:spPr>
                    <a:xfrm>
                      <a:off x="0" y="0"/>
                      <a:ext cx="5718175" cy="2719070"/>
                    </a:xfrm>
                    <a:prstGeom prst="rect">
                      <a:avLst/>
                    </a:prstGeom>
                  </pic:spPr>
                </pic:pic>
              </a:graphicData>
            </a:graphic>
          </wp:inline>
        </w:drawing>
      </w:r>
    </w:p>
    <w:p>
      <w:pPr>
        <w:widowControl w:val="0"/>
        <w:spacing w:after="259" w:line="1" w:lineRule="exact"/>
      </w:pPr>
    </w:p>
    <w:p>
      <w:pPr>
        <w:pStyle w:val="35"/>
        <w:spacing w:beforeLines="0" w:afterLines="0"/>
        <w:ind w:firstLine="640" w:firstLineChars="200"/>
        <w:jc w:val="both"/>
        <w:rPr>
          <w:rFonts w:hint="eastAsia" w:ascii="黑体" w:hAnsi="黑体" w:eastAsia="黑体" w:cs="黑体"/>
          <w:sz w:val="32"/>
          <w:szCs w:val="32"/>
          <w:lang w:eastAsia="zh-CN"/>
        </w:rPr>
      </w:pPr>
      <w:r>
        <w:rPr>
          <w:rFonts w:hint="eastAsia" w:ascii="黑体" w:hAnsi="黑体" w:eastAsia="黑体" w:cs="黑体"/>
          <w:sz w:val="32"/>
          <w:szCs w:val="32"/>
          <w:lang w:eastAsia="zh-CN"/>
        </w:rPr>
        <w:t>二、收入决算情况说明</w:t>
      </w:r>
    </w:p>
    <w:p>
      <w:pPr>
        <w:spacing w:beforeLines="0" w:afterLines="0" w:line="580" w:lineRule="exact"/>
        <w:ind w:firstLine="640" w:firstLineChars="200"/>
        <w:jc w:val="both"/>
        <w:rPr>
          <w:rFonts w:hint="eastAsia" w:ascii="楷体_GB2312" w:eastAsia="楷体_GB2312"/>
          <w:kern w:val="2"/>
          <w:sz w:val="32"/>
          <w:szCs w:val="32"/>
          <w:lang w:eastAsia="zh-CN" w:bidi="ar-SA"/>
        </w:rPr>
      </w:pPr>
      <w:r>
        <w:rPr>
          <w:rFonts w:hint="eastAsia" w:ascii="楷体_GB2312" w:eastAsia="楷体_GB2312"/>
          <w:kern w:val="2"/>
          <w:sz w:val="32"/>
          <w:szCs w:val="32"/>
          <w:lang w:eastAsia="zh-CN" w:bidi="ar-SA"/>
        </w:rPr>
        <w:t>（一）收入决算结构情况</w:t>
      </w:r>
    </w:p>
    <w:p>
      <w:pPr>
        <w:pStyle w:val="15"/>
        <w:spacing w:beforeLines="0" w:after="260" w:afterLines="0" w:line="566" w:lineRule="exact"/>
        <w:ind w:firstLine="700"/>
        <w:rPr>
          <w:rFonts w:hint="eastAsia" w:ascii="仿宋_GB2312" w:hAnsi="仿宋_GB2312" w:eastAsia="仿宋_GB2312" w:cs="仿宋_GB2312"/>
          <w:sz w:val="32"/>
          <w:szCs w:val="32"/>
        </w:rPr>
        <w:sectPr>
          <w:footerReference r:id="rId9" w:type="default"/>
          <w:footnotePr>
            <w:numFmt w:val="decimal"/>
          </w:footnotePr>
          <w:pgSz w:w="11900" w:h="16840"/>
          <w:pgMar w:top="1570" w:right="1448" w:bottom="1570" w:left="1448" w:header="1142" w:footer="3" w:gutter="0"/>
          <w:lnNumType w:countBy="0" w:distance="360"/>
          <w:cols w:space="720" w:num="1"/>
          <w:rtlGutter w:val="0"/>
          <w:docGrid w:linePitch="360" w:charSpace="0"/>
        </w:sectPr>
      </w:pPr>
      <w:r>
        <w:rPr>
          <w:rFonts w:hint="eastAsia" w:ascii="仿宋_GB2312" w:hAnsi="仿宋_GB2312" w:eastAsia="仿宋_GB2312" w:cs="仿宋_GB2312"/>
          <w:sz w:val="32"/>
          <w:szCs w:val="32"/>
        </w:rPr>
        <w:t>本年收入合计</w:t>
      </w:r>
      <w:r>
        <w:rPr>
          <w:rFonts w:hint="eastAsia" w:ascii="仿宋_GB2312" w:hAnsi="仿宋_GB2312" w:eastAsia="仿宋_GB2312" w:cs="仿宋_GB2312"/>
          <w:sz w:val="32"/>
          <w:szCs w:val="32"/>
          <w:lang w:val="en-US" w:eastAsia="en-US"/>
        </w:rPr>
        <w:t>1,463.00</w:t>
      </w:r>
      <w:r>
        <w:rPr>
          <w:rFonts w:hint="eastAsia" w:ascii="仿宋_GB2312" w:hAnsi="仿宋_GB2312" w:eastAsia="仿宋_GB2312" w:cs="仿宋_GB2312"/>
          <w:sz w:val="32"/>
          <w:szCs w:val="32"/>
        </w:rPr>
        <w:t>万元，其中：财政拨款收入</w:t>
      </w:r>
      <w:r>
        <w:rPr>
          <w:rFonts w:hint="eastAsia" w:ascii="仿宋_GB2312" w:hAnsi="仿宋_GB2312" w:eastAsia="仿宋_GB2312" w:cs="仿宋_GB2312"/>
          <w:sz w:val="32"/>
          <w:szCs w:val="32"/>
          <w:lang w:val="en-US" w:eastAsia="en-US"/>
        </w:rPr>
        <w:t>1,463.0</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lang w:val="en-US" w:eastAsia="en-US"/>
        </w:rPr>
        <w:t xml:space="preserve"> </w:t>
      </w:r>
      <w:r>
        <w:rPr>
          <w:rFonts w:hint="eastAsia" w:ascii="仿宋_GB2312" w:hAnsi="仿宋_GB2312" w:eastAsia="仿宋_GB2312" w:cs="仿宋_GB2312"/>
          <w:sz w:val="32"/>
          <w:szCs w:val="32"/>
        </w:rPr>
        <w:t>万元，占100.00%。</w:t>
      </w:r>
    </w:p>
    <w:p>
      <w:pPr>
        <w:widowControl w:val="0"/>
        <w:jc w:val="both"/>
        <w:rPr>
          <w:sz w:val="2"/>
          <w:szCs w:val="2"/>
        </w:rPr>
      </w:pPr>
      <w:r>
        <w:drawing>
          <wp:inline distT="0" distB="0" distL="114300" distR="114300">
            <wp:extent cx="5718175" cy="285877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utre 20"/>
                    <pic:cNvPicPr/>
                  </pic:nvPicPr>
                  <pic:blipFill>
                    <a:blip r:embed="rId30"/>
                    <a:stretch>
                      <a:fillRect/>
                    </a:stretch>
                  </pic:blipFill>
                  <pic:spPr>
                    <a:xfrm>
                      <a:off x="0" y="0"/>
                      <a:ext cx="5718175" cy="2858770"/>
                    </a:xfrm>
                    <a:prstGeom prst="rect">
                      <a:avLst/>
                    </a:prstGeom>
                  </pic:spPr>
                </pic:pic>
              </a:graphicData>
            </a:graphic>
          </wp:inline>
        </w:drawing>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楷体_GB2312" w:hAnsi="Times New Roman" w:eastAsia="楷体_GB2312" w:cs="Times New Roman"/>
          <w:color w:val="000000"/>
          <w:spacing w:val="0"/>
          <w:kern w:val="2"/>
          <w:sz w:val="32"/>
          <w:szCs w:val="32"/>
        </w:rPr>
      </w:pPr>
      <w:r>
        <w:rPr>
          <w:rFonts w:hint="eastAsia" w:ascii="楷体_GB2312" w:hAnsi="Times New Roman" w:eastAsia="楷体_GB2312" w:cs="楷体_GB2312"/>
          <w:color w:val="000000"/>
          <w:spacing w:val="0"/>
          <w:w w:val="100"/>
          <w:kern w:val="2"/>
          <w:position w:val="0"/>
          <w:sz w:val="32"/>
          <w:szCs w:val="32"/>
          <w:shd w:val="clear" w:color="auto" w:fill="auto"/>
          <w:lang w:val="en-US" w:eastAsia="zh-CN" w:bidi="ar"/>
        </w:rPr>
        <w:t>（二）收入决算具体情况</w:t>
      </w:r>
    </w:p>
    <w:p>
      <w:pPr>
        <w:pStyle w:val="5"/>
        <w:keepNext w:val="0"/>
        <w:keepLines w:val="0"/>
        <w:widowControl w:val="0"/>
        <w:suppressLineNumbers w:val="0"/>
        <w:autoSpaceDE w:val="0"/>
        <w:autoSpaceDN/>
        <w:spacing w:before="0" w:beforeAutospacing="0" w:after="0" w:afterAutospacing="0" w:line="576" w:lineRule="exact"/>
        <w:ind w:left="0" w:right="0" w:firstLine="640" w:firstLineChars="20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1、财政拨款收入1,463. 00万元。与2020年度相比，减少621.11万元，下降29.80%。主要是压缩经费，项目收入减少。</w:t>
      </w:r>
    </w:p>
    <w:p>
      <w:pPr>
        <w:pStyle w:val="5"/>
        <w:keepNext w:val="0"/>
        <w:keepLines w:val="0"/>
        <w:widowControl w:val="0"/>
        <w:suppressLineNumbers w:val="0"/>
        <w:autoSpaceDE w:val="0"/>
        <w:autoSpaceDN/>
        <w:spacing w:before="0" w:beforeAutospacing="0" w:after="0" w:afterAutospacing="0" w:line="576" w:lineRule="exact"/>
        <w:ind w:left="0" w:right="0" w:firstLine="640" w:firstLineChars="20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2、上级补助收入0.00万元。与上年决算数一致。</w:t>
      </w:r>
    </w:p>
    <w:p>
      <w:pPr>
        <w:pStyle w:val="5"/>
        <w:keepNext w:val="0"/>
        <w:keepLines w:val="0"/>
        <w:widowControl w:val="0"/>
        <w:suppressLineNumbers w:val="0"/>
        <w:autoSpaceDE w:val="0"/>
        <w:autoSpaceDN/>
        <w:spacing w:before="0" w:beforeAutospacing="0" w:after="0" w:afterAutospacing="0" w:line="576" w:lineRule="exact"/>
        <w:ind w:left="0" w:right="0" w:firstLine="640" w:firstLineChars="20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3、事业收入0.00万元。与上年决算数一致。</w:t>
      </w:r>
    </w:p>
    <w:p>
      <w:pPr>
        <w:pStyle w:val="5"/>
        <w:keepNext w:val="0"/>
        <w:keepLines w:val="0"/>
        <w:widowControl w:val="0"/>
        <w:suppressLineNumbers w:val="0"/>
        <w:autoSpaceDE w:val="0"/>
        <w:autoSpaceDN/>
        <w:spacing w:before="0" w:beforeAutospacing="0" w:after="0" w:afterAutospacing="0" w:line="576" w:lineRule="exact"/>
        <w:ind w:left="0" w:right="0" w:firstLine="640" w:firstLineChars="20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4、经营收入0.00万元。与上年决算数一致。</w:t>
      </w:r>
    </w:p>
    <w:p>
      <w:pPr>
        <w:pStyle w:val="5"/>
        <w:keepNext w:val="0"/>
        <w:keepLines w:val="0"/>
        <w:widowControl w:val="0"/>
        <w:suppressLineNumbers w:val="0"/>
        <w:autoSpaceDE w:val="0"/>
        <w:autoSpaceDN/>
        <w:spacing w:before="0" w:beforeAutospacing="0" w:after="0" w:afterAutospacing="0" w:line="576" w:lineRule="exact"/>
        <w:ind w:left="0" w:right="0" w:firstLine="640" w:firstLineChars="20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5、附属单位上缴收入0.00万元。与上年决算数一致。</w:t>
      </w:r>
    </w:p>
    <w:p>
      <w:pPr>
        <w:pStyle w:val="5"/>
        <w:keepNext w:val="0"/>
        <w:keepLines w:val="0"/>
        <w:widowControl w:val="0"/>
        <w:suppressLineNumbers w:val="0"/>
        <w:autoSpaceDE w:val="0"/>
        <w:autoSpaceDN/>
        <w:spacing w:before="0" w:beforeAutospacing="0" w:after="0" w:afterAutospacing="0" w:line="576" w:lineRule="exact"/>
        <w:ind w:left="0" w:right="0" w:firstLine="640" w:firstLineChars="20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6、其他收入0.00万元。与上年决算数一致。</w:t>
      </w:r>
    </w:p>
    <w:p>
      <w:pPr>
        <w:pStyle w:val="5"/>
        <w:keepNext w:val="0"/>
        <w:keepLines w:val="0"/>
        <w:widowControl w:val="0"/>
        <w:suppressLineNumbers w:val="0"/>
        <w:spacing w:before="0" w:beforeAutospacing="0" w:after="0" w:afterAutospacing="0" w:line="593" w:lineRule="exact"/>
        <w:ind w:left="0" w:right="0" w:firstLine="640" w:firstLineChars="200"/>
        <w:jc w:val="both"/>
        <w:rPr>
          <w:rFonts w:hint="eastAsia" w:ascii="黑体" w:hAnsi="宋体" w:eastAsia="黑体" w:cs="黑体"/>
          <w:color w:val="000000"/>
          <w:spacing w:val="0"/>
          <w:sz w:val="32"/>
          <w:szCs w:val="32"/>
        </w:rPr>
      </w:pPr>
      <w:r>
        <w:rPr>
          <w:rFonts w:hint="eastAsia" w:ascii="黑体" w:hAnsi="宋体" w:eastAsia="黑体" w:cs="黑体"/>
          <w:color w:val="000000"/>
          <w:spacing w:val="0"/>
          <w:kern w:val="0"/>
          <w:sz w:val="32"/>
          <w:szCs w:val="32"/>
          <w:lang w:val="en-US" w:eastAsia="zh-CN" w:bidi="ar"/>
        </w:rPr>
        <w:t>三、支出决算情况说明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楷体_GB2312" w:hAnsi="Times New Roman" w:eastAsia="楷体_GB2312" w:cs="Times New Roman"/>
          <w:color w:val="000000"/>
          <w:spacing w:val="0"/>
          <w:kern w:val="2"/>
          <w:sz w:val="32"/>
          <w:szCs w:val="32"/>
        </w:rPr>
      </w:pPr>
      <w:r>
        <w:rPr>
          <w:rFonts w:hint="eastAsia" w:ascii="楷体_GB2312" w:hAnsi="Times New Roman" w:eastAsia="楷体_GB2312" w:cs="楷体_GB2312"/>
          <w:color w:val="000000"/>
          <w:spacing w:val="0"/>
          <w:w w:val="100"/>
          <w:kern w:val="2"/>
          <w:position w:val="0"/>
          <w:sz w:val="32"/>
          <w:szCs w:val="32"/>
          <w:shd w:val="clear" w:color="auto" w:fill="auto"/>
          <w:lang w:val="en-US" w:eastAsia="zh-CN" w:bidi="ar"/>
        </w:rPr>
        <w:t>（一）支出决算结构情况</w:t>
      </w:r>
    </w:p>
    <w:p>
      <w:pPr>
        <w:pStyle w:val="5"/>
        <w:keepNext w:val="0"/>
        <w:keepLines w:val="0"/>
        <w:widowControl w:val="0"/>
        <w:suppressLineNumbers w:val="0"/>
        <w:spacing w:before="0" w:beforeAutospacing="0" w:after="0" w:afterAutospacing="0" w:line="566" w:lineRule="exact"/>
        <w:ind w:left="0" w:right="0" w:firstLine="70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本年支出合计1,463.00万元，其中：基本支出698.33万元, 占47.73% ；项目支出764.67万元，占52.27%。</w:t>
      </w:r>
    </w:p>
    <w:p>
      <w:pPr>
        <w:pStyle w:val="5"/>
        <w:keepNext w:val="0"/>
        <w:keepLines w:val="0"/>
        <w:widowControl w:val="0"/>
        <w:suppressLineNumbers w:val="0"/>
        <w:spacing w:before="0" w:beforeAutospacing="0" w:after="0" w:afterAutospacing="0" w:line="593" w:lineRule="exact"/>
        <w:ind w:left="0" w:leftChars="0" w:right="0" w:firstLine="0" w:firstLineChars="0"/>
        <w:jc w:val="center"/>
        <w:rPr>
          <w:rFonts w:hint="eastAsia" w:ascii="黑体" w:hAnsi="宋体" w:eastAsia="黑体" w:cs="黑体"/>
          <w:color w:val="000000"/>
          <w:spacing w:val="0"/>
          <w:sz w:val="32"/>
          <w:szCs w:val="32"/>
        </w:rPr>
      </w:pPr>
      <w:r>
        <w:rPr>
          <w:rFonts w:hint="eastAsia" w:ascii="黑体" w:hAnsi="宋体" w:eastAsia="黑体" w:cs="黑体"/>
          <w:color w:val="404040"/>
          <w:spacing w:val="0"/>
          <w:kern w:val="0"/>
          <w:sz w:val="32"/>
          <w:szCs w:val="32"/>
          <w:lang w:val="en-US" w:eastAsia="zh-CN" w:bidi="ar"/>
        </w:rPr>
        <w:t>图3</w:t>
      </w:r>
      <w:r>
        <w:rPr>
          <w:rFonts w:hint="eastAsia" w:ascii="黑体" w:hAnsi="宋体" w:eastAsia="黑体" w:cs="黑体"/>
          <w:color w:val="404040"/>
          <w:spacing w:val="0"/>
          <w:kern w:val="0"/>
          <w:sz w:val="40"/>
          <w:szCs w:val="40"/>
          <w:lang w:val="en-US" w:eastAsia="zh-CN" w:bidi="ar"/>
        </w:rPr>
        <w:t xml:space="preserve"> </w:t>
      </w:r>
      <w:r>
        <w:rPr>
          <w:rFonts w:hint="eastAsia" w:ascii="黑体" w:hAnsi="宋体" w:eastAsia="黑体" w:cs="黑体"/>
          <w:color w:val="404040"/>
          <w:spacing w:val="0"/>
          <w:kern w:val="0"/>
          <w:sz w:val="32"/>
          <w:szCs w:val="32"/>
          <w:lang w:val="en-US" w:eastAsia="zh-CN" w:bidi="ar"/>
        </w:rPr>
        <w:t>:本年支出构成情况</w:t>
      </w:r>
    </w:p>
    <w:p>
      <w:pPr>
        <w:widowControl w:val="0"/>
        <w:jc w:val="center"/>
        <w:rPr>
          <w:sz w:val="2"/>
          <w:szCs w:val="2"/>
        </w:rPr>
      </w:pPr>
      <w:r>
        <w:drawing>
          <wp:inline distT="0" distB="0" distL="114300" distR="114300">
            <wp:extent cx="3505200" cy="158496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utre 21"/>
                    <pic:cNvPicPr/>
                  </pic:nvPicPr>
                  <pic:blipFill>
                    <a:blip r:embed="rId31"/>
                    <a:stretch>
                      <a:fillRect/>
                    </a:stretch>
                  </pic:blipFill>
                  <pic:spPr>
                    <a:xfrm>
                      <a:off x="0" y="0"/>
                      <a:ext cx="3505200" cy="1584960"/>
                    </a:xfrm>
                    <a:prstGeom prst="rect">
                      <a:avLst/>
                    </a:prstGeom>
                  </pic:spPr>
                </pic:pic>
              </a:graphicData>
            </a:graphic>
          </wp:inline>
        </w:drawing>
      </w:r>
    </w:p>
    <w:p>
      <w:pPr>
        <w:widowControl w:val="0"/>
        <w:spacing w:after="1019" w:line="1" w:lineRule="exact"/>
      </w:pP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楷体_GB2312" w:hAnsi="Times New Roman" w:eastAsia="楷体_GB2312" w:cs="Times New Roman"/>
          <w:color w:val="000000"/>
          <w:spacing w:val="0"/>
          <w:kern w:val="2"/>
          <w:sz w:val="32"/>
          <w:szCs w:val="32"/>
        </w:rPr>
      </w:pPr>
      <w:r>
        <w:rPr>
          <w:rFonts w:hint="eastAsia" w:ascii="楷体_GB2312" w:hAnsi="Times New Roman" w:eastAsia="楷体_GB2312" w:cs="楷体_GB2312"/>
          <w:color w:val="000000"/>
          <w:spacing w:val="0"/>
          <w:w w:val="100"/>
          <w:kern w:val="2"/>
          <w:position w:val="0"/>
          <w:sz w:val="32"/>
          <w:szCs w:val="32"/>
          <w:shd w:val="clear" w:color="auto" w:fill="auto"/>
          <w:lang w:val="en-US" w:eastAsia="zh-CN" w:bidi="ar"/>
        </w:rPr>
        <w:t>（二）支出决算具体情况</w:t>
      </w:r>
    </w:p>
    <w:p>
      <w:pPr>
        <w:pStyle w:val="5"/>
        <w:keepNext w:val="0"/>
        <w:keepLines w:val="0"/>
        <w:widowControl w:val="0"/>
        <w:suppressLineNumbers w:val="0"/>
        <w:spacing w:before="0" w:beforeAutospacing="0" w:after="0" w:afterAutospacing="0" w:line="566" w:lineRule="exact"/>
        <w:ind w:left="0" w:right="0" w:firstLine="70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1、基本支出698. 33万元。与2020年度相比，增加215. 92万元，增长44.76%。主要是行政运行、社会保障和就业、卫生健 康、住房公积金等经费支出增加。</w:t>
      </w:r>
    </w:p>
    <w:p>
      <w:pPr>
        <w:pStyle w:val="5"/>
        <w:keepNext w:val="0"/>
        <w:keepLines w:val="0"/>
        <w:widowControl w:val="0"/>
        <w:suppressLineNumbers w:val="0"/>
        <w:spacing w:before="0" w:beforeAutospacing="0" w:after="0" w:afterAutospacing="0" w:line="566" w:lineRule="exact"/>
        <w:ind w:left="0" w:right="0" w:firstLine="70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2、项目支出764. 67万元。与2020年度相比，减少837. 03万元，下降52.26%。主要是财政资金紧张，压缩项目经费，项目支出减少。</w:t>
      </w:r>
    </w:p>
    <w:p>
      <w:pPr>
        <w:pStyle w:val="5"/>
        <w:keepNext w:val="0"/>
        <w:keepLines w:val="0"/>
        <w:widowControl w:val="0"/>
        <w:suppressLineNumbers w:val="0"/>
        <w:spacing w:before="0" w:beforeAutospacing="0" w:after="0" w:afterAutospacing="0" w:line="566" w:lineRule="exact"/>
        <w:ind w:left="0" w:right="0" w:firstLine="70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3、上缴上级支出0.00万元。与上年决算数一致。</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6" w:lineRule="exact"/>
        <w:ind w:left="0" w:right="0" w:firstLine="700"/>
        <w:jc w:val="left"/>
        <w:textAlignment w:val="auto"/>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4、经营支出0.00万元。与上年决算数一致。</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6" w:lineRule="exact"/>
        <w:ind w:left="0" w:right="0" w:firstLine="700"/>
        <w:jc w:val="left"/>
        <w:textAlignment w:val="auto"/>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5、对附属单位补助支出0.00万元。与上年决算数一致。</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黑体" w:hAnsi="宋体" w:eastAsia="黑体" w:cs="黑体"/>
          <w:color w:val="000000"/>
          <w:spacing w:val="0"/>
          <w:sz w:val="32"/>
          <w:szCs w:val="32"/>
        </w:rPr>
      </w:pPr>
      <w:r>
        <w:rPr>
          <w:rFonts w:hint="eastAsia" w:ascii="黑体" w:hAnsi="宋体" w:eastAsia="黑体" w:cs="黑体"/>
          <w:color w:val="000000"/>
          <w:spacing w:val="0"/>
          <w:kern w:val="0"/>
          <w:sz w:val="32"/>
          <w:szCs w:val="32"/>
          <w:lang w:val="en-US" w:eastAsia="zh-CN" w:bidi="ar"/>
        </w:rPr>
        <w:t>四、财政拨款收入支出决算总体情况说明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left"/>
        <w:textAlignment w:val="auto"/>
      </w:pPr>
      <w:r>
        <w:rPr>
          <w:rFonts w:hint="eastAsia" w:ascii="仿宋_GB2312" w:hAnsi="Times New Roman" w:eastAsia="仿宋_GB2312" w:cs="仿宋_GB2312"/>
          <w:color w:val="000000"/>
          <w:spacing w:val="0"/>
          <w:w w:val="100"/>
          <w:kern w:val="0"/>
          <w:position w:val="0"/>
          <w:sz w:val="32"/>
          <w:szCs w:val="32"/>
          <w:shd w:val="clear" w:color="auto" w:fill="auto"/>
          <w:lang w:val="en-US" w:eastAsia="zh-CN" w:bidi="ar"/>
        </w:rPr>
        <w:t>2021年度财政拨款收、支总计1,463.00万元。与2020年度相比，财政拨款收、支总计各减少621.11万元，下降29.80%。主要是压缩经费，项目收支减少。</w:t>
      </w:r>
    </w:p>
    <w:p>
      <w:pPr>
        <w:pStyle w:val="15"/>
        <w:keepNext w:val="0"/>
        <w:keepLines w:val="0"/>
        <w:widowControl w:val="0"/>
        <w:shd w:val="clear" w:color="auto" w:fill="auto"/>
        <w:bidi w:val="0"/>
        <w:spacing w:before="0" w:after="520" w:line="586" w:lineRule="exact"/>
        <w:ind w:left="0" w:right="0" w:firstLine="640"/>
        <w:jc w:val="both"/>
      </w:pPr>
      <w:r>
        <w:br w:type="page"/>
      </w:r>
    </w:p>
    <w:p>
      <w:pPr>
        <w:widowControl w:val="0"/>
        <w:jc w:val="center"/>
        <w:rPr>
          <w:sz w:val="2"/>
          <w:szCs w:val="2"/>
        </w:rPr>
      </w:pPr>
      <w:r>
        <w:drawing>
          <wp:inline distT="0" distB="0" distL="114300" distR="114300">
            <wp:extent cx="5718175" cy="285877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utre 22"/>
                    <pic:cNvPicPr/>
                  </pic:nvPicPr>
                  <pic:blipFill>
                    <a:blip r:embed="rId32"/>
                    <a:stretch>
                      <a:fillRect/>
                    </a:stretch>
                  </pic:blipFill>
                  <pic:spPr>
                    <a:xfrm>
                      <a:off x="0" y="0"/>
                      <a:ext cx="5718175" cy="2858770"/>
                    </a:xfrm>
                    <a:prstGeom prst="rect">
                      <a:avLst/>
                    </a:prstGeom>
                  </pic:spPr>
                </pic:pic>
              </a:graphicData>
            </a:graphic>
          </wp:inline>
        </w:drawing>
      </w:r>
    </w:p>
    <w:p>
      <w:pPr>
        <w:pStyle w:val="5"/>
        <w:keepNext w:val="0"/>
        <w:keepLines w:val="0"/>
        <w:widowControl w:val="0"/>
        <w:suppressLineNumbers w:val="0"/>
        <w:spacing w:before="0" w:beforeAutospacing="0" w:after="0" w:afterAutospacing="0" w:line="593" w:lineRule="exact"/>
        <w:ind w:left="701" w:right="0" w:firstLine="0"/>
        <w:jc w:val="left"/>
        <w:rPr>
          <w:rFonts w:hint="eastAsia" w:ascii="黑体" w:hAnsi="宋体" w:eastAsia="黑体" w:cs="黑体"/>
          <w:color w:val="000000"/>
          <w:spacing w:val="0"/>
          <w:sz w:val="32"/>
          <w:szCs w:val="32"/>
        </w:rPr>
      </w:pPr>
      <w:r>
        <w:rPr>
          <w:rFonts w:hint="eastAsia" w:ascii="黑体" w:hAnsi="宋体" w:eastAsia="黑体" w:cs="黑体"/>
          <w:color w:val="000000"/>
          <w:spacing w:val="0"/>
          <w:kern w:val="0"/>
          <w:sz w:val="32"/>
          <w:szCs w:val="32"/>
          <w:lang w:val="en-US" w:eastAsia="zh-CN" w:bidi="ar"/>
        </w:rPr>
        <w:t>五、一般公共预算财政拨款支出决算情况说明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楷体_GB2312" w:hAnsi="Times New Roman" w:eastAsia="楷体_GB2312" w:cs="Times New Roman"/>
          <w:color w:val="000000"/>
          <w:spacing w:val="0"/>
          <w:kern w:val="2"/>
          <w:sz w:val="32"/>
          <w:szCs w:val="32"/>
        </w:rPr>
      </w:pPr>
      <w:r>
        <w:rPr>
          <w:rFonts w:hint="eastAsia" w:ascii="楷体_GB2312" w:hAnsi="Times New Roman" w:eastAsia="楷体_GB2312" w:cs="楷体_GB2312"/>
          <w:color w:val="000000"/>
          <w:spacing w:val="0"/>
          <w:w w:val="100"/>
          <w:kern w:val="2"/>
          <w:position w:val="0"/>
          <w:sz w:val="32"/>
          <w:szCs w:val="32"/>
          <w:shd w:val="clear" w:color="auto" w:fill="auto"/>
          <w:lang w:val="en-US" w:eastAsia="zh-CN" w:bidi="ar"/>
        </w:rPr>
        <w:t>（一）一般公共预算财政拨款支出决算总体情况</w:t>
      </w:r>
    </w:p>
    <w:p>
      <w:pPr>
        <w:pStyle w:val="5"/>
        <w:keepNext w:val="0"/>
        <w:keepLines w:val="0"/>
        <w:widowControl w:val="0"/>
        <w:suppressLineNumbers w:val="0"/>
        <w:spacing w:before="0" w:beforeAutospacing="0" w:after="0" w:afterAutospacing="0" w:line="574" w:lineRule="exact"/>
        <w:ind w:left="0" w:right="0" w:firstLine="640" w:firstLineChars="20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2021年度一般公共预算财政拨款支出1,463.00万元，占本年支出合计的100.00%。与2020年度相比，一般公共预算财政拨款支出减少621.11万元，下降29.80%。主要是压缩经费，项目支出减少。</w:t>
      </w:r>
    </w:p>
    <w:p>
      <w:pPr>
        <w:widowControl w:val="0"/>
        <w:jc w:val="center"/>
        <w:rPr>
          <w:sz w:val="2"/>
          <w:szCs w:val="2"/>
        </w:rPr>
      </w:pPr>
      <w:r>
        <w:drawing>
          <wp:inline distT="0" distB="0" distL="114300" distR="114300">
            <wp:extent cx="5718175" cy="28162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33"/>
                    <a:stretch>
                      <a:fillRect/>
                    </a:stretch>
                  </pic:blipFill>
                  <pic:spPr>
                    <a:xfrm>
                      <a:off x="0" y="0"/>
                      <a:ext cx="5718175" cy="2816225"/>
                    </a:xfrm>
                    <a:prstGeom prst="rect">
                      <a:avLst/>
                    </a:prstGeom>
                  </pic:spPr>
                </pic:pic>
              </a:graphicData>
            </a:graphic>
          </wp:inline>
        </w:drawing>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楷体_GB2312" w:hAnsi="Times New Roman" w:eastAsia="楷体_GB2312" w:cs="Times New Roman"/>
          <w:color w:val="000000"/>
          <w:spacing w:val="0"/>
          <w:kern w:val="2"/>
          <w:sz w:val="32"/>
          <w:szCs w:val="32"/>
        </w:rPr>
      </w:pPr>
      <w:r>
        <w:rPr>
          <w:rFonts w:hint="eastAsia" w:ascii="楷体_GB2312" w:hAnsi="Times New Roman" w:eastAsia="楷体_GB2312" w:cs="楷体_GB2312"/>
          <w:color w:val="000000"/>
          <w:spacing w:val="0"/>
          <w:w w:val="100"/>
          <w:kern w:val="2"/>
          <w:position w:val="0"/>
          <w:sz w:val="32"/>
          <w:szCs w:val="32"/>
          <w:shd w:val="clear" w:color="auto" w:fill="auto"/>
          <w:lang w:val="en-US" w:eastAsia="zh-CN" w:bidi="ar"/>
        </w:rPr>
        <w:t>（二）一般公共预算财政拨款支出决算结构情况</w:t>
      </w:r>
    </w:p>
    <w:p>
      <w:pPr>
        <w:pStyle w:val="5"/>
        <w:keepNext w:val="0"/>
        <w:keepLines w:val="0"/>
        <w:widowControl w:val="0"/>
        <w:suppressLineNumbers w:val="0"/>
        <w:spacing w:before="0" w:beforeAutospacing="0" w:after="0" w:afterAutospacing="0" w:line="574" w:lineRule="exact"/>
        <w:ind w:left="0" w:right="0" w:firstLine="640" w:firstLineChars="20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2021年度一般公共预算财政拨款支出1,463.00万元，主要用于以下方面：一般公共服务（类）支出1,327.75万元，占90.76%； 社会保障和就业（类）支出57.22万元，占3.91%;卫生健康（类）支 出33. 39万元，占2.28%；住房保障（类）支出44. 64万元，占3.05%。</w:t>
      </w:r>
    </w:p>
    <w:p>
      <w:pPr>
        <w:widowControl w:val="0"/>
        <w:jc w:val="center"/>
        <w:rPr>
          <w:sz w:val="2"/>
          <w:szCs w:val="2"/>
        </w:rPr>
      </w:pPr>
      <w:r>
        <w:drawing>
          <wp:inline distT="0" distB="0" distL="114300" distR="114300">
            <wp:extent cx="5718175" cy="285877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34"/>
                    <a:stretch>
                      <a:fillRect/>
                    </a:stretch>
                  </pic:blipFill>
                  <pic:spPr>
                    <a:xfrm>
                      <a:off x="0" y="0"/>
                      <a:ext cx="5718175" cy="2858770"/>
                    </a:xfrm>
                    <a:prstGeom prst="rect">
                      <a:avLst/>
                    </a:prstGeom>
                  </pic:spPr>
                </pic:pic>
              </a:graphicData>
            </a:graphic>
          </wp:inline>
        </w:drawing>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楷体_GB2312" w:hAnsi="Times New Roman" w:eastAsia="楷体_GB2312" w:cs="Times New Roman"/>
          <w:color w:val="000000"/>
          <w:spacing w:val="0"/>
          <w:kern w:val="2"/>
          <w:sz w:val="32"/>
          <w:szCs w:val="32"/>
        </w:rPr>
      </w:pPr>
      <w:r>
        <w:rPr>
          <w:rFonts w:hint="eastAsia" w:ascii="楷体_GB2312" w:hAnsi="Times New Roman" w:eastAsia="楷体_GB2312" w:cs="楷体_GB2312"/>
          <w:color w:val="000000"/>
          <w:spacing w:val="0"/>
          <w:w w:val="100"/>
          <w:kern w:val="2"/>
          <w:position w:val="0"/>
          <w:sz w:val="32"/>
          <w:szCs w:val="32"/>
          <w:shd w:val="clear" w:color="auto" w:fill="auto"/>
          <w:lang w:val="en-US" w:eastAsia="zh-CN" w:bidi="ar"/>
        </w:rPr>
        <w:t>（三）一般公共预算财政拨款支出决算具体情况</w:t>
      </w:r>
    </w:p>
    <w:p>
      <w:pPr>
        <w:pStyle w:val="5"/>
        <w:keepNext w:val="0"/>
        <w:keepLines w:val="0"/>
        <w:widowControl w:val="0"/>
        <w:suppressLineNumbers w:val="0"/>
        <w:spacing w:before="0" w:beforeAutospacing="0" w:after="0" w:afterAutospacing="0" w:line="574" w:lineRule="exact"/>
        <w:ind w:left="0" w:right="0" w:firstLine="640" w:firstLineChars="20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2021年度一般公共预算财政拨款支出年初预算为2, 022. 34万 元，支出决算为1,463.00万元，完成年初预算的72.34%。决算数 小于年初预算数的主要原因是财政资金紧张，压缩项目经费，项目支出减少。其中：</w:t>
      </w:r>
    </w:p>
    <w:p>
      <w:pPr>
        <w:pStyle w:val="5"/>
        <w:keepNext w:val="0"/>
        <w:keepLines w:val="0"/>
        <w:widowControl w:val="0"/>
        <w:suppressLineNumbers w:val="0"/>
        <w:spacing w:before="0" w:beforeAutospacing="0" w:after="0" w:afterAutospacing="0" w:line="574" w:lineRule="exact"/>
        <w:ind w:left="0" w:right="0" w:firstLine="640" w:firstLineChars="200"/>
        <w:jc w:val="both"/>
      </w:pPr>
      <w:r>
        <w:rPr>
          <w:rFonts w:hint="eastAsia" w:ascii="仿宋_GB2312" w:hAnsi="宋体" w:eastAsia="仿宋_GB2312" w:cs="仿宋_GB2312"/>
          <w:color w:val="000000"/>
          <w:spacing w:val="0"/>
          <w:kern w:val="0"/>
          <w:sz w:val="32"/>
          <w:szCs w:val="32"/>
          <w:lang w:val="en-US" w:eastAsia="zh-CN" w:bidi="ar"/>
        </w:rPr>
        <w:t>1、一般公共服务支出（类）政府办公厅（室）及相关机构事 务（款）行政运行（项）。年初预算为529.86万元，支出决算为 1,002.74万元，完成年初预算的189.25%。决算数大于年初预算 数的主要原因是增加部分主要为劳务派遣人员的行政审批服务工 作经费。</w:t>
      </w:r>
    </w:p>
    <w:p>
      <w:pPr>
        <w:rPr>
          <w:rFonts w:hint="eastAsia" w:ascii="仿宋_GB2312" w:eastAsia="仿宋_GB2312" w:cs="仿宋_GB2312"/>
          <w:color w:val="000000"/>
          <w:spacing w:val="0"/>
          <w:sz w:val="32"/>
          <w:szCs w:val="32"/>
        </w:rPr>
        <w:sectPr>
          <w:footerReference r:id="rId10" w:type="default"/>
          <w:footnotePr>
            <w:numFmt w:val="decimal"/>
          </w:footnotePr>
          <w:type w:val="continuous"/>
          <w:pgSz w:w="11900" w:h="16840"/>
          <w:pgMar w:top="1616" w:right="1465" w:bottom="1724" w:left="1431" w:header="1188" w:footer="3" w:gutter="0"/>
          <w:cols w:space="720" w:num="1"/>
          <w:rtlGutter w:val="0"/>
          <w:docGrid w:type="lines" w:linePitch="360" w:charSpace="0"/>
        </w:sectPr>
      </w:pPr>
    </w:p>
    <w:p>
      <w:pPr>
        <w:pStyle w:val="5"/>
        <w:keepNext w:val="0"/>
        <w:keepLines w:val="0"/>
        <w:widowControl w:val="0"/>
        <w:suppressLineNumbers w:val="0"/>
        <w:spacing w:before="0" w:beforeAutospacing="0" w:after="0" w:afterAutospacing="0" w:line="574" w:lineRule="exact"/>
        <w:ind w:left="0" w:right="0" w:firstLine="640" w:firstLineChars="20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2、一般公共服务支出（类）政府办公厅（室）及相关机构事务（款）政务公开审批（项）。年初预算为1,343.77万元，支出决算 为309.51万元，完成年初预算的23.03%。决算数小于年初预算数 的主要原因是财政资金紧张，压缩项目经费，项目支出减少。</w:t>
      </w:r>
    </w:p>
    <w:p>
      <w:pPr>
        <w:pStyle w:val="5"/>
        <w:keepNext w:val="0"/>
        <w:keepLines w:val="0"/>
        <w:widowControl w:val="0"/>
        <w:suppressLineNumbers w:val="0"/>
        <w:spacing w:before="0" w:beforeAutospacing="0" w:after="0" w:afterAutospacing="0" w:line="574" w:lineRule="exact"/>
        <w:ind w:left="0" w:right="0" w:firstLine="640" w:firstLineChars="20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3、一般公共服务支出（类）商贸事务（款）招商引资（项）。年 初预算为0.00万元，支出决算为15.50万元，决算数大于年初预 算数的主要原因是此部分为年中追加预算，用于招商引资活动相 关的支出。</w:t>
      </w:r>
    </w:p>
    <w:p>
      <w:pPr>
        <w:pStyle w:val="5"/>
        <w:keepNext w:val="0"/>
        <w:keepLines w:val="0"/>
        <w:widowControl w:val="0"/>
        <w:suppressLineNumbers w:val="0"/>
        <w:spacing w:before="0" w:beforeAutospacing="0" w:after="0" w:afterAutospacing="0" w:line="574" w:lineRule="exact"/>
        <w:ind w:left="0" w:right="0" w:firstLine="640" w:firstLineChars="20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4、社会保障和就业支出（类）行政事业单位养老支出（款）机 关事业单位基本养老保险缴费支出（项）年初预算为58. 71万 元，支出决算为52. 38万元，完成年初预算的89.22%。决算数小 于年初预算数的主要原因是有人员调走，在编人数变动，养老保 险缴费减少。</w:t>
      </w:r>
    </w:p>
    <w:p>
      <w:pPr>
        <w:pStyle w:val="5"/>
        <w:keepNext w:val="0"/>
        <w:keepLines w:val="0"/>
        <w:widowControl w:val="0"/>
        <w:suppressLineNumbers w:val="0"/>
        <w:spacing w:before="0" w:beforeAutospacing="0" w:after="0" w:afterAutospacing="0" w:line="574" w:lineRule="exact"/>
        <w:ind w:left="0" w:right="0" w:firstLine="640" w:firstLineChars="20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5、社会保障和就业支出（类）行政事业单位养老支出（款）机 关事业单位职业年金缴费支出（项）年初预算为0.00万元，支出 决算为2.83万元，决算数大于年初预算数的主要原因是用于支付 调走人员坐实职业年金费用。</w:t>
      </w:r>
    </w:p>
    <w:p>
      <w:pPr>
        <w:pStyle w:val="5"/>
        <w:keepNext w:val="0"/>
        <w:keepLines w:val="0"/>
        <w:widowControl w:val="0"/>
        <w:suppressLineNumbers w:val="0"/>
        <w:spacing w:before="0" w:beforeAutospacing="0" w:after="0" w:afterAutospacing="0" w:line="574" w:lineRule="exact"/>
        <w:ind w:left="0" w:right="0" w:firstLine="640" w:firstLineChars="20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6、社会保障和就业支出（类）其他社会保障和就业支出（款） 其他社会保障和就业支出（项）。年初预算为2.23万元，支出决算为2.01万元，完成年初预算的90.13%。决算数小于年初预算数的 主要原因是有人员调走，在编人数变动，其他社会保障和就业支出减少。</w:t>
      </w:r>
    </w:p>
    <w:p>
      <w:pPr>
        <w:pStyle w:val="5"/>
        <w:keepNext w:val="0"/>
        <w:keepLines w:val="0"/>
        <w:widowControl w:val="0"/>
        <w:suppressLineNumbers w:val="0"/>
        <w:spacing w:before="0" w:beforeAutospacing="0" w:after="0" w:afterAutospacing="0" w:line="574" w:lineRule="exact"/>
        <w:ind w:left="0" w:right="0" w:firstLine="640" w:firstLineChars="20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7、卫生健康支出（类）行政事业单位医疗（款）行政单位医疗 （项）。年初预算为25.69万元，支出决算为23.57万元，完成年初 预算的91. 75%。决算数小于年初预算数的主要原因是有人员调 走，在编人数变动，行政单位医疗支出减少。</w:t>
      </w:r>
    </w:p>
    <w:p>
      <w:pPr>
        <w:pStyle w:val="5"/>
        <w:keepNext w:val="0"/>
        <w:keepLines w:val="0"/>
        <w:widowControl w:val="0"/>
        <w:suppressLineNumbers w:val="0"/>
        <w:spacing w:before="0" w:beforeAutospacing="0" w:after="0" w:afterAutospacing="0" w:line="574" w:lineRule="exact"/>
        <w:ind w:left="0" w:right="0" w:firstLine="640" w:firstLineChars="20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8、卫生健康支出（类）行政事业单位医疗（款）公务员医疗补助（项）年初预算为11.01万元，支出决算为9.82万元，完成年初预算的89. 19%。决算数小于年初预算数的主要原因是有人员调走，在编人数变动，公务员医疗补助支出减少。</w:t>
      </w:r>
    </w:p>
    <w:p>
      <w:pPr>
        <w:pStyle w:val="5"/>
        <w:keepNext w:val="0"/>
        <w:keepLines w:val="0"/>
        <w:widowControl w:val="0"/>
        <w:suppressLineNumbers w:val="0"/>
        <w:spacing w:before="0" w:beforeAutospacing="0" w:after="0" w:afterAutospacing="0" w:line="574" w:lineRule="exact"/>
        <w:ind w:left="0" w:right="0" w:firstLine="640" w:firstLineChars="20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9、住房保障支出（类）住房改革支出（款）住房公积金（项）。 年初预算为51.07万元，支出决算为44.64万元，完成年初预算的 87.41%。决算数小于年初预算数的主要原因是有人员调走，在编人数变动，住房公积金支出减少。</w:t>
      </w:r>
    </w:p>
    <w:p>
      <w:pPr>
        <w:pStyle w:val="5"/>
        <w:keepNext w:val="0"/>
        <w:keepLines w:val="0"/>
        <w:widowControl w:val="0"/>
        <w:suppressLineNumbers w:val="0"/>
        <w:spacing w:before="0" w:beforeAutospacing="0" w:after="0" w:afterAutospacing="0" w:line="570" w:lineRule="exact"/>
        <w:ind w:left="0" w:right="0" w:firstLine="500"/>
        <w:jc w:val="both"/>
        <w:rPr>
          <w:rFonts w:hint="eastAsia" w:ascii="黑体" w:hAnsi="宋体" w:eastAsia="黑体" w:cs="黑体"/>
          <w:color w:val="000000"/>
          <w:spacing w:val="0"/>
          <w:sz w:val="32"/>
          <w:szCs w:val="32"/>
        </w:rPr>
      </w:pPr>
      <w:r>
        <w:rPr>
          <w:rFonts w:hint="eastAsia" w:ascii="黑体" w:hAnsi="宋体" w:eastAsia="黑体" w:cs="黑体"/>
          <w:color w:val="000000"/>
          <w:spacing w:val="0"/>
          <w:kern w:val="0"/>
          <w:sz w:val="32"/>
          <w:szCs w:val="32"/>
          <w:lang w:val="en-US" w:eastAsia="zh-CN" w:bidi="ar"/>
        </w:rPr>
        <w:t>六、一般公共预算财政拨款基本支出决算情况说明</w:t>
      </w:r>
    </w:p>
    <w:p>
      <w:pPr>
        <w:pStyle w:val="5"/>
        <w:keepNext w:val="0"/>
        <w:keepLines w:val="0"/>
        <w:widowControl w:val="0"/>
        <w:suppressLineNumbers w:val="0"/>
        <w:spacing w:before="0" w:beforeAutospacing="0" w:after="0" w:afterAutospacing="0" w:line="600" w:lineRule="exact"/>
        <w:ind w:left="0" w:right="0" w:firstLine="64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2021年度一般公共预算财政拨款基本支出决算698. 33万元， 包括人员经费和公用经费，支出具体情况如下：</w:t>
      </w:r>
    </w:p>
    <w:p>
      <w:pPr>
        <w:pStyle w:val="5"/>
        <w:keepNext w:val="0"/>
        <w:keepLines w:val="0"/>
        <w:widowControl w:val="0"/>
        <w:suppressLineNumbers w:val="0"/>
        <w:spacing w:before="0" w:beforeAutospacing="0" w:after="0" w:afterAutospacing="0" w:line="578" w:lineRule="exact"/>
        <w:ind w:left="0" w:right="0" w:firstLine="64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人员经费657. 06万元，主要包括：基本工资、津贴补贴、奖 金、机关事业单位基本养老保险缴费、职业年金缴费、职工基本 医疗保险缴费、公务员医疗补助缴费、其他社会保障缴费、住房 公积金、其他对个人和家庭的补助等。</w:t>
      </w:r>
    </w:p>
    <w:p>
      <w:pPr>
        <w:pStyle w:val="5"/>
        <w:keepNext w:val="0"/>
        <w:keepLines w:val="0"/>
        <w:widowControl w:val="0"/>
        <w:suppressLineNumbers w:val="0"/>
        <w:spacing w:before="0" w:beforeAutospacing="0" w:after="0" w:afterAutospacing="0" w:line="586" w:lineRule="exact"/>
        <w:ind w:left="0" w:right="0" w:firstLine="64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公用经费41. 27万元，主要包括：办公费、邮电费、差旅 费、工会经费、公务用车运行维护费、其他交通费用、其他商品 和服务支出、办公设备购置等。</w:t>
      </w:r>
    </w:p>
    <w:p>
      <w:pPr>
        <w:pStyle w:val="5"/>
        <w:keepNext w:val="0"/>
        <w:keepLines w:val="0"/>
        <w:widowControl w:val="0"/>
        <w:suppressLineNumbers w:val="0"/>
        <w:spacing w:before="0" w:beforeAutospacing="0" w:after="0" w:afterAutospacing="0" w:line="570" w:lineRule="exact"/>
        <w:ind w:left="0" w:right="0" w:firstLine="500"/>
        <w:jc w:val="both"/>
        <w:rPr>
          <w:rFonts w:hint="eastAsia" w:ascii="黑体" w:hAnsi="宋体" w:eastAsia="黑体" w:cs="黑体"/>
          <w:color w:val="000000"/>
          <w:spacing w:val="0"/>
          <w:sz w:val="32"/>
          <w:szCs w:val="32"/>
        </w:rPr>
      </w:pPr>
      <w:r>
        <w:rPr>
          <w:rFonts w:hint="eastAsia" w:ascii="黑体" w:hAnsi="宋体" w:eastAsia="黑体" w:cs="黑体"/>
          <w:color w:val="000000"/>
          <w:spacing w:val="0"/>
          <w:kern w:val="0"/>
          <w:sz w:val="32"/>
          <w:szCs w:val="32"/>
          <w:lang w:val="en-US" w:eastAsia="zh-CN" w:bidi="ar"/>
        </w:rPr>
        <w:t>七、一般公共预算财政拨款“三公”经费支出决算情况说明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楷体_GB2312" w:hAnsi="Times New Roman" w:eastAsia="楷体_GB2312" w:cs="Times New Roman"/>
          <w:color w:val="000000"/>
          <w:spacing w:val="0"/>
          <w:kern w:val="2"/>
          <w:sz w:val="32"/>
          <w:szCs w:val="32"/>
        </w:rPr>
      </w:pPr>
      <w:r>
        <w:rPr>
          <w:rFonts w:hint="eastAsia" w:ascii="楷体_GB2312" w:hAnsi="Times New Roman" w:eastAsia="楷体_GB2312" w:cs="楷体_GB2312"/>
          <w:color w:val="000000"/>
          <w:spacing w:val="0"/>
          <w:w w:val="100"/>
          <w:kern w:val="2"/>
          <w:position w:val="0"/>
          <w:sz w:val="32"/>
          <w:szCs w:val="32"/>
          <w:shd w:val="clear" w:color="auto" w:fill="auto"/>
          <w:lang w:val="en-US" w:eastAsia="zh-CN" w:bidi="ar"/>
        </w:rPr>
        <w:t>（一）“三公"经费支出决算总体情况说明</w:t>
      </w:r>
    </w:p>
    <w:p>
      <w:pPr>
        <w:pStyle w:val="5"/>
        <w:keepNext w:val="0"/>
        <w:keepLines w:val="0"/>
        <w:widowControl w:val="0"/>
        <w:suppressLineNumbers w:val="0"/>
        <w:spacing w:before="0" w:beforeAutospacing="0" w:after="0" w:afterAutospacing="0" w:line="576" w:lineRule="exact"/>
        <w:ind w:left="0" w:right="0" w:firstLine="64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2021年度一般公共预算财政拨款“三公”经费支出年初预算 为6.20万元，支出决算为2.21万元，比年初预算减少3.99万元， 完成年初预算的35.65%，决算数小于年初预算数的主要原因是本 着节约原则，尽量压缩公务接待等费用支出。</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楷体_GB2312" w:hAnsi="Times New Roman" w:eastAsia="楷体_GB2312" w:cs="Times New Roman"/>
          <w:color w:val="000000"/>
          <w:spacing w:val="0"/>
          <w:kern w:val="2"/>
          <w:sz w:val="32"/>
          <w:szCs w:val="32"/>
        </w:rPr>
      </w:pPr>
      <w:r>
        <w:rPr>
          <w:rFonts w:hint="eastAsia" w:ascii="楷体_GB2312" w:hAnsi="Times New Roman" w:eastAsia="楷体_GB2312" w:cs="楷体_GB2312"/>
          <w:color w:val="000000"/>
          <w:spacing w:val="0"/>
          <w:w w:val="100"/>
          <w:kern w:val="2"/>
          <w:position w:val="0"/>
          <w:sz w:val="32"/>
          <w:szCs w:val="32"/>
          <w:shd w:val="clear" w:color="auto" w:fill="auto"/>
          <w:lang w:val="en-US" w:eastAsia="zh-CN" w:bidi="ar"/>
        </w:rPr>
        <w:t>（二）“三公”经费支出决算具体情况</w:t>
      </w:r>
    </w:p>
    <w:p>
      <w:pPr>
        <w:pStyle w:val="5"/>
        <w:keepNext w:val="0"/>
        <w:keepLines w:val="0"/>
        <w:widowControl w:val="0"/>
        <w:suppressLineNumbers w:val="0"/>
        <w:spacing w:before="0" w:beforeAutospacing="0" w:after="0" w:afterAutospacing="0" w:line="572" w:lineRule="exact"/>
        <w:ind w:left="0" w:right="0" w:firstLine="64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1、因公出国（境）费年初预算为0.00万元，支出决算为</w:t>
      </w:r>
    </w:p>
    <w:p>
      <w:pPr>
        <w:pStyle w:val="5"/>
        <w:keepNext w:val="0"/>
        <w:keepLines w:val="0"/>
        <w:widowControl w:val="0"/>
        <w:suppressLineNumbers w:val="0"/>
        <w:spacing w:before="0" w:beforeAutospacing="0" w:after="0" w:afterAutospacing="0" w:line="572" w:lineRule="exact"/>
        <w:ind w:left="0" w:right="0" w:firstLine="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0. 00万元，与2021年预算基本持平，全年支出涉及因公出国 （境）团组0个，累计0人次。</w:t>
      </w:r>
    </w:p>
    <w:p>
      <w:pPr>
        <w:pStyle w:val="5"/>
        <w:keepNext w:val="0"/>
        <w:keepLines w:val="0"/>
        <w:widowControl w:val="0"/>
        <w:suppressLineNumbers w:val="0"/>
        <w:spacing w:before="0" w:beforeAutospacing="0" w:after="0" w:afterAutospacing="0" w:line="572" w:lineRule="exact"/>
        <w:ind w:left="0" w:right="0" w:firstLine="64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2、公务用车购置及运行维护费年初预算为3.20万元，支出决算为2.21万元，比年初预算减少0.99万元，完成年初预算的 69.06%，决算数小于年初预算数的主要原因是前期已集中对我单 位公务用车进行维修维护，运行维护费用减少。其中：</w:t>
      </w:r>
    </w:p>
    <w:p>
      <w:pPr>
        <w:pStyle w:val="5"/>
        <w:keepNext w:val="0"/>
        <w:keepLines w:val="0"/>
        <w:widowControl w:val="0"/>
        <w:suppressLineNumbers w:val="0"/>
        <w:spacing w:before="0" w:beforeAutospacing="0" w:after="0" w:afterAutospacing="0" w:line="572" w:lineRule="exact"/>
        <w:ind w:left="0" w:right="0" w:firstLine="64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公务用车购置费支出0.00万元，2021年淄博市张店区行政审批服务局等单位使用财政拨款购置公务用车0辆。</w:t>
      </w:r>
    </w:p>
    <w:p>
      <w:pPr>
        <w:pStyle w:val="5"/>
        <w:keepNext w:val="0"/>
        <w:keepLines w:val="0"/>
        <w:widowControl w:val="0"/>
        <w:suppressLineNumbers w:val="0"/>
        <w:spacing w:before="0" w:beforeAutospacing="0" w:after="0" w:afterAutospacing="0" w:line="572" w:lineRule="exact"/>
        <w:ind w:left="0" w:right="0" w:firstLine="64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公务用车运行维护费2.21万元，主要是按规定保留的公务用 车的维修费、燃油费等支出。截至2021年12月31日，淄博市张店区行政审批服务局等单位财政拨款开支运行维护费的公务用车保有量为2辆。</w:t>
      </w:r>
    </w:p>
    <w:p>
      <w:pPr>
        <w:pStyle w:val="5"/>
        <w:keepNext w:val="0"/>
        <w:keepLines w:val="0"/>
        <w:widowControl w:val="0"/>
        <w:suppressLineNumbers w:val="0"/>
        <w:spacing w:before="0" w:beforeAutospacing="0" w:after="0" w:afterAutospacing="0" w:line="572" w:lineRule="exact"/>
        <w:ind w:left="0" w:right="0" w:firstLine="64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3、公务接待费年初预算为3. 00万元，支出决算为0.00万元，比年初预算减少3.00万元，决算数小于年初预算数的主要原因是本着节约原则，尽量压缩公务接待费用支出。其中：</w:t>
      </w:r>
    </w:p>
    <w:p>
      <w:pPr>
        <w:pStyle w:val="5"/>
        <w:keepNext w:val="0"/>
        <w:keepLines w:val="0"/>
        <w:widowControl w:val="0"/>
        <w:suppressLineNumbers w:val="0"/>
        <w:spacing w:before="0" w:beforeAutospacing="0" w:after="0" w:afterAutospacing="0" w:line="552" w:lineRule="exact"/>
        <w:ind w:left="0" w:right="0" w:firstLine="640"/>
        <w:jc w:val="both"/>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国内接待费0.00万元，共计接待0批次、0人次（含外事接待0批次、0人次）；</w:t>
      </w:r>
    </w:p>
    <w:p>
      <w:pPr>
        <w:pStyle w:val="5"/>
        <w:keepNext w:val="0"/>
        <w:keepLines w:val="0"/>
        <w:widowControl w:val="0"/>
        <w:suppressLineNumbers w:val="0"/>
        <w:spacing w:before="0" w:beforeAutospacing="0" w:after="0" w:afterAutospacing="0" w:line="552" w:lineRule="exact"/>
        <w:ind w:left="0" w:right="0" w:firstLine="64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国（境）外接待费0.00万元，共计接待0批次、0人次。</w:t>
      </w:r>
    </w:p>
    <w:p>
      <w:pPr>
        <w:pStyle w:val="5"/>
        <w:keepNext w:val="0"/>
        <w:keepLines w:val="0"/>
        <w:widowControl w:val="0"/>
        <w:suppressLineNumbers w:val="0"/>
        <w:spacing w:before="0" w:beforeAutospacing="0" w:after="0" w:afterAutospacing="0" w:line="571" w:lineRule="exact"/>
        <w:ind w:left="0" w:right="0" w:firstLine="640"/>
        <w:jc w:val="left"/>
        <w:rPr>
          <w:rFonts w:hint="eastAsia" w:ascii="黑体" w:hAnsi="宋体" w:eastAsia="黑体" w:cs="黑体"/>
          <w:color w:val="000000"/>
          <w:spacing w:val="0"/>
          <w:sz w:val="32"/>
          <w:szCs w:val="32"/>
        </w:rPr>
      </w:pPr>
      <w:r>
        <w:rPr>
          <w:rFonts w:hint="eastAsia" w:ascii="黑体" w:hAnsi="宋体" w:eastAsia="黑体" w:cs="黑体"/>
          <w:color w:val="000000"/>
          <w:spacing w:val="0"/>
          <w:kern w:val="0"/>
          <w:sz w:val="32"/>
          <w:szCs w:val="32"/>
          <w:lang w:val="en-US" w:eastAsia="zh-CN" w:bidi="ar"/>
        </w:rPr>
        <w:t>八、政府性基金预算财政拨款收入支出决算情况说明</w:t>
      </w:r>
    </w:p>
    <w:p>
      <w:pPr>
        <w:pStyle w:val="5"/>
        <w:keepNext w:val="0"/>
        <w:keepLines w:val="0"/>
        <w:widowControl w:val="0"/>
        <w:suppressLineNumbers w:val="0"/>
        <w:spacing w:before="0" w:beforeAutospacing="0" w:after="0" w:afterAutospacing="0" w:line="552" w:lineRule="exact"/>
        <w:ind w:left="0" w:right="0" w:firstLine="64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本部门没有政府性基金财政拨款收支。</w:t>
      </w:r>
    </w:p>
    <w:p>
      <w:pPr>
        <w:pStyle w:val="5"/>
        <w:keepNext w:val="0"/>
        <w:keepLines w:val="0"/>
        <w:widowControl w:val="0"/>
        <w:suppressLineNumbers w:val="0"/>
        <w:spacing w:before="0" w:beforeAutospacing="0" w:after="0" w:afterAutospacing="0" w:line="571" w:lineRule="exact"/>
        <w:ind w:left="0" w:right="0" w:firstLine="640"/>
        <w:jc w:val="left"/>
        <w:rPr>
          <w:rFonts w:hint="eastAsia" w:ascii="黑体" w:hAnsi="宋体" w:eastAsia="黑体" w:cs="黑体"/>
          <w:color w:val="000000"/>
          <w:spacing w:val="0"/>
          <w:sz w:val="32"/>
          <w:szCs w:val="32"/>
        </w:rPr>
      </w:pPr>
      <w:r>
        <w:rPr>
          <w:rFonts w:hint="eastAsia" w:ascii="黑体" w:hAnsi="宋体" w:eastAsia="黑体" w:cs="黑体"/>
          <w:color w:val="000000"/>
          <w:spacing w:val="0"/>
          <w:kern w:val="0"/>
          <w:sz w:val="32"/>
          <w:szCs w:val="32"/>
          <w:lang w:val="en-US" w:eastAsia="zh-CN" w:bidi="ar"/>
        </w:rPr>
        <w:t>九、国有资本经营预算财政拨款支出决算情况说明</w:t>
      </w:r>
    </w:p>
    <w:p>
      <w:pPr>
        <w:pStyle w:val="5"/>
        <w:keepNext w:val="0"/>
        <w:keepLines w:val="0"/>
        <w:widowControl w:val="0"/>
        <w:suppressLineNumbers w:val="0"/>
        <w:spacing w:before="0" w:beforeAutospacing="0" w:after="0" w:afterAutospacing="0" w:line="552" w:lineRule="exact"/>
        <w:ind w:left="0" w:right="0" w:firstLine="64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本部门没有使用国有资本经营预算安排的支出。</w:t>
      </w:r>
    </w:p>
    <w:p>
      <w:pPr>
        <w:pStyle w:val="5"/>
        <w:keepNext w:val="0"/>
        <w:keepLines w:val="0"/>
        <w:widowControl w:val="0"/>
        <w:suppressLineNumbers w:val="0"/>
        <w:spacing w:before="0" w:beforeAutospacing="0" w:after="0" w:afterAutospacing="0" w:line="571" w:lineRule="exact"/>
        <w:ind w:left="0" w:right="0" w:firstLine="640"/>
        <w:jc w:val="left"/>
        <w:rPr>
          <w:rFonts w:hint="eastAsia" w:ascii="黑体" w:hAnsi="宋体" w:eastAsia="黑体" w:cs="黑体"/>
          <w:color w:val="000000"/>
          <w:spacing w:val="0"/>
          <w:sz w:val="32"/>
          <w:szCs w:val="32"/>
        </w:rPr>
      </w:pPr>
      <w:r>
        <w:rPr>
          <w:rFonts w:hint="eastAsia" w:ascii="黑体" w:hAnsi="宋体" w:eastAsia="黑体" w:cs="黑体"/>
          <w:color w:val="000000"/>
          <w:spacing w:val="0"/>
          <w:kern w:val="0"/>
          <w:sz w:val="32"/>
          <w:szCs w:val="32"/>
          <w:lang w:val="en-US" w:eastAsia="zh-CN" w:bidi="ar"/>
        </w:rPr>
        <w:t>十、其他重要事项情况说明</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楷体_GB2312" w:hAnsi="Times New Roman" w:eastAsia="楷体_GB2312" w:cs="Times New Roman"/>
          <w:color w:val="000000"/>
          <w:spacing w:val="0"/>
          <w:kern w:val="2"/>
          <w:sz w:val="32"/>
          <w:szCs w:val="32"/>
        </w:rPr>
      </w:pPr>
      <w:r>
        <w:rPr>
          <w:rFonts w:hint="eastAsia" w:ascii="楷体_GB2312" w:hAnsi="Times New Roman" w:eastAsia="楷体_GB2312" w:cs="楷体_GB2312"/>
          <w:color w:val="000000"/>
          <w:spacing w:val="0"/>
          <w:w w:val="100"/>
          <w:kern w:val="2"/>
          <w:position w:val="0"/>
          <w:sz w:val="32"/>
          <w:szCs w:val="32"/>
          <w:shd w:val="clear" w:color="auto" w:fill="auto"/>
          <w:lang w:val="en-US" w:eastAsia="zh-CN" w:bidi="ar"/>
        </w:rPr>
        <w:t>（一）机关运行经费支出情况</w:t>
      </w:r>
    </w:p>
    <w:p>
      <w:pPr>
        <w:pStyle w:val="5"/>
        <w:keepNext w:val="0"/>
        <w:keepLines w:val="0"/>
        <w:widowControl w:val="0"/>
        <w:suppressLineNumbers w:val="0"/>
        <w:spacing w:before="0" w:beforeAutospacing="0" w:after="0" w:afterAutospacing="0" w:line="552" w:lineRule="exact"/>
        <w:ind w:left="0" w:right="0" w:firstLine="64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2021年度机关运行经费支出41. 27万元，比年初预算数减少 14.44万元，下降25. 92%，主要原因是压缩经费，减少办公费支 出。</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楷体_GB2312" w:hAnsi="Times New Roman" w:eastAsia="楷体_GB2312" w:cs="Times New Roman"/>
          <w:color w:val="000000"/>
          <w:spacing w:val="0"/>
          <w:kern w:val="2"/>
          <w:sz w:val="32"/>
          <w:szCs w:val="32"/>
        </w:rPr>
      </w:pPr>
      <w:r>
        <w:rPr>
          <w:rFonts w:hint="eastAsia" w:ascii="楷体_GB2312" w:hAnsi="Times New Roman" w:eastAsia="楷体_GB2312" w:cs="楷体_GB2312"/>
          <w:color w:val="000000"/>
          <w:spacing w:val="0"/>
          <w:w w:val="100"/>
          <w:kern w:val="2"/>
          <w:position w:val="0"/>
          <w:sz w:val="32"/>
          <w:szCs w:val="32"/>
          <w:shd w:val="clear" w:color="auto" w:fill="auto"/>
          <w:lang w:val="en-US" w:eastAsia="zh-CN" w:bidi="ar"/>
        </w:rPr>
        <w:t>（二）政府采购支出情况</w:t>
      </w:r>
    </w:p>
    <w:p>
      <w:pPr>
        <w:pStyle w:val="5"/>
        <w:keepNext w:val="0"/>
        <w:keepLines w:val="0"/>
        <w:widowControl w:val="0"/>
        <w:suppressLineNumbers w:val="0"/>
        <w:spacing w:before="0" w:beforeAutospacing="0" w:after="0" w:afterAutospacing="0" w:line="552" w:lineRule="exact"/>
        <w:ind w:left="0" w:right="0" w:firstLine="640"/>
        <w:jc w:val="left"/>
        <w:rPr>
          <w:rFonts w:hint="eastAsia" w:ascii="仿宋_GB2312" w:eastAsia="仿宋_GB2312" w:cs="仿宋_GB2312"/>
          <w:color w:val="000000"/>
          <w:spacing w:val="0"/>
          <w:sz w:val="32"/>
          <w:szCs w:val="32"/>
        </w:rPr>
      </w:pPr>
      <w:r>
        <w:rPr>
          <w:rFonts w:hint="eastAsia" w:ascii="仿宋_GB2312" w:hAnsi="宋体" w:eastAsia="仿宋_GB2312" w:cs="仿宋_GB2312"/>
          <w:color w:val="000000"/>
          <w:spacing w:val="0"/>
          <w:kern w:val="0"/>
          <w:sz w:val="32"/>
          <w:szCs w:val="32"/>
          <w:lang w:val="en-US" w:eastAsia="zh-CN" w:bidi="ar"/>
        </w:rPr>
        <w:t>2021年度政府采购支出总额277.88万元，其中：政府采购货 物支出32. 00万元、政府采购工程支出0.00万元、政府采购服务 支出245.88万元。授予中小企业合同金额0.00万元，其中：授予 小微企业合同金额0.00万元。</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楷体_GB2312" w:hAnsi="Times New Roman" w:eastAsia="楷体_GB2312" w:cs="Times New Roman"/>
          <w:color w:val="000000"/>
          <w:spacing w:val="0"/>
          <w:kern w:val="2"/>
          <w:sz w:val="32"/>
          <w:szCs w:val="32"/>
        </w:rPr>
      </w:pPr>
      <w:r>
        <w:rPr>
          <w:rFonts w:hint="eastAsia" w:ascii="楷体_GB2312" w:hAnsi="Times New Roman" w:eastAsia="楷体_GB2312" w:cs="楷体_GB2312"/>
          <w:color w:val="000000"/>
          <w:spacing w:val="0"/>
          <w:w w:val="100"/>
          <w:kern w:val="2"/>
          <w:position w:val="0"/>
          <w:sz w:val="32"/>
          <w:szCs w:val="32"/>
          <w:shd w:val="clear" w:color="auto" w:fill="auto"/>
          <w:lang w:val="en-US" w:eastAsia="zh-CN" w:bidi="ar"/>
        </w:rPr>
        <w:t>（三）国有资产占用情况</w:t>
      </w:r>
    </w:p>
    <w:p>
      <w:pPr>
        <w:pStyle w:val="5"/>
        <w:keepNext w:val="0"/>
        <w:keepLines w:val="0"/>
        <w:widowControl w:val="0"/>
        <w:suppressLineNumbers w:val="0"/>
        <w:spacing w:before="0" w:beforeAutospacing="0" w:after="0" w:afterAutospacing="0" w:line="552" w:lineRule="exact"/>
        <w:ind w:left="0" w:right="0" w:firstLine="640"/>
        <w:jc w:val="left"/>
        <w:rPr>
          <w:rFonts w:hint="eastAsia" w:ascii="仿宋_GB2312" w:hAnsi="宋体" w:eastAsia="仿宋_GB2312" w:cs="仿宋_GB2312"/>
          <w:color w:val="000000"/>
          <w:spacing w:val="0"/>
          <w:kern w:val="0"/>
          <w:sz w:val="32"/>
          <w:szCs w:val="32"/>
          <w:lang w:val="en-US" w:eastAsia="zh-CN" w:bidi="ar"/>
        </w:rPr>
      </w:pPr>
      <w:r>
        <w:rPr>
          <w:rFonts w:hint="eastAsia" w:ascii="仿宋_GB2312" w:hAnsi="宋体" w:eastAsia="仿宋_GB2312" w:cs="仿宋_GB2312"/>
          <w:color w:val="000000"/>
          <w:spacing w:val="0"/>
          <w:kern w:val="0"/>
          <w:sz w:val="32"/>
          <w:szCs w:val="32"/>
          <w:lang w:val="en-US" w:eastAsia="zh-CN" w:bidi="ar"/>
        </w:rPr>
        <w:t>截至2021年12月31日，本部门共有车辆2辆，其中，符合规 定领导干部用车0辆、机要通信用车1辆、应急保障用车0辆、执 法执勤用车1辆、特种专业技术用车0辆、离退休干部用车0辆、 其他用车0辆；单位价值50万元以上通用设备6台（套）；单位价 值100万元以上专用设备0台（套）。</w:t>
      </w:r>
    </w:p>
    <w:p>
      <w:pPr>
        <w:pStyle w:val="5"/>
        <w:keepNext w:val="0"/>
        <w:keepLines w:val="0"/>
        <w:widowControl w:val="0"/>
        <w:suppressLineNumbers w:val="0"/>
        <w:spacing w:before="0" w:beforeAutospacing="0" w:after="0" w:afterAutospacing="0" w:line="552" w:lineRule="exact"/>
        <w:ind w:left="0" w:right="0" w:firstLine="640"/>
        <w:jc w:val="left"/>
        <w:rPr>
          <w:rFonts w:hint="eastAsia" w:ascii="黑体" w:hAnsi="黑体" w:eastAsia="黑体" w:cs="黑体"/>
          <w:b w:val="0"/>
          <w:bCs w:val="0"/>
          <w:i w:val="0"/>
          <w:iCs w:val="0"/>
          <w:smallCaps w:val="0"/>
          <w:strike w:val="0"/>
          <w:color w:val="000000"/>
          <w:spacing w:val="0"/>
          <w:w w:val="100"/>
          <w:position w:val="0"/>
          <w:sz w:val="32"/>
          <w:szCs w:val="32"/>
          <w:lang w:val="zh-CN" w:eastAsia="zh-CN" w:bidi="zh-CN"/>
        </w:rPr>
      </w:pPr>
      <w:r>
        <w:rPr>
          <w:rFonts w:hint="eastAsia" w:ascii="黑体" w:hAnsi="黑体" w:eastAsia="黑体" w:cs="黑体"/>
          <w:b w:val="0"/>
          <w:bCs w:val="0"/>
          <w:i w:val="0"/>
          <w:iCs w:val="0"/>
          <w:smallCaps w:val="0"/>
          <w:strike w:val="0"/>
          <w:color w:val="000000"/>
          <w:spacing w:val="0"/>
          <w:w w:val="100"/>
          <w:position w:val="0"/>
          <w:sz w:val="32"/>
          <w:szCs w:val="32"/>
          <w:lang w:val="zh-CN" w:eastAsia="zh-CN" w:bidi="zh-CN"/>
        </w:rPr>
        <w:t>十一、预算绩效情况说明</w:t>
      </w:r>
    </w:p>
    <w:p>
      <w:pPr>
        <w:pStyle w:val="5"/>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仿宋_GB2312" w:eastAsia="仿宋_GB2312" w:cs="仿宋_GB2312"/>
          <w:color w:val="000000"/>
          <w:spacing w:val="0"/>
          <w:sz w:val="32"/>
          <w:szCs w:val="32"/>
        </w:rPr>
      </w:pPr>
      <w:r>
        <w:rPr>
          <w:rFonts w:hint="eastAsia" w:ascii="楷体_GB2312" w:hAnsi="Times New Roman" w:eastAsia="楷体_GB2312" w:cs="楷体_GB2312"/>
          <w:color w:val="000000"/>
          <w:spacing w:val="0"/>
          <w:kern w:val="2"/>
          <w:sz w:val="32"/>
          <w:szCs w:val="32"/>
          <w:lang w:val="en-US" w:eastAsia="zh-CN" w:bidi="ar"/>
        </w:rPr>
        <w:t>（一）预算绩效管理工作开展情况。</w:t>
      </w:r>
      <w:r>
        <w:rPr>
          <w:rFonts w:hint="eastAsia" w:ascii="仿宋_GB2312" w:hAnsi="宋体" w:eastAsia="仿宋_GB2312" w:cs="仿宋_GB2312"/>
          <w:color w:val="000000"/>
          <w:spacing w:val="0"/>
          <w:kern w:val="0"/>
          <w:sz w:val="32"/>
          <w:szCs w:val="32"/>
          <w:lang w:val="en-US" w:eastAsia="zh-CN" w:bidi="ar"/>
        </w:rPr>
        <w:t>根据预算绩效管理要求，淄博市张店区行政审批服务局按照“谁用款、谁评价”的原 则，组织所属单位对2021年度区级预算项目支出进行全面自评，涵盖项目7个；涉及预算资金764.67万元，占部门预算项目支出 总额的100.00%。</w:t>
      </w:r>
    </w:p>
    <w:p>
      <w:pPr>
        <w:keepNext w:val="0"/>
        <w:keepLines w:val="0"/>
        <w:pageBreakBefore w:val="0"/>
        <w:widowControl/>
        <w:suppressLineNumbers w:val="0"/>
        <w:kinsoku/>
        <w:wordWrap/>
        <w:overflowPunct/>
        <w:topLinePunct w:val="0"/>
        <w:autoSpaceDE/>
        <w:autoSpaceDN/>
        <w:bidi w:val="0"/>
        <w:adjustRightInd/>
        <w:snapToGrid/>
        <w:spacing w:line="576" w:lineRule="exact"/>
        <w:ind w:firstLine="640" w:firstLineChars="200"/>
        <w:jc w:val="left"/>
        <w:textAlignment w:val="auto"/>
        <w:rPr>
          <w:rFonts w:hint="eastAsia" w:ascii="仿宋_GB2312" w:hAnsi="宋体" w:eastAsia="仿宋_GB2312" w:cs="仿宋_GB2312"/>
          <w:color w:val="000000"/>
          <w:spacing w:val="0"/>
          <w:w w:val="100"/>
          <w:kern w:val="0"/>
          <w:position w:val="0"/>
          <w:sz w:val="32"/>
          <w:szCs w:val="32"/>
          <w:shd w:val="clear" w:color="auto" w:fill="auto"/>
          <w:lang w:val="en-US" w:eastAsia="zh-CN" w:bidi="ar"/>
        </w:rPr>
      </w:pPr>
      <w:bookmarkStart w:id="17" w:name="bookmark113"/>
      <w:r>
        <w:rPr>
          <w:rFonts w:hint="eastAsia" w:ascii="仿宋_GB2312" w:hAnsi="宋体" w:eastAsia="仿宋_GB2312" w:cs="仿宋_GB2312"/>
          <w:color w:val="000000"/>
          <w:spacing w:val="0"/>
          <w:w w:val="100"/>
          <w:kern w:val="0"/>
          <w:position w:val="0"/>
          <w:sz w:val="32"/>
          <w:szCs w:val="32"/>
          <w:shd w:val="clear" w:color="auto" w:fill="auto"/>
          <w:lang w:val="en-US" w:eastAsia="zh-CN" w:bidi="ar"/>
        </w:rPr>
        <w:t>组织对行政审批服务工作经费等1个项目开展了重点绩效评价，涉及预算资金439.66万元。</w:t>
      </w:r>
      <w:bookmarkStart w:id="40" w:name="_GoBack"/>
      <w:bookmarkEnd w:id="40"/>
    </w:p>
    <w:p>
      <w:pPr>
        <w:pStyle w:val="15"/>
        <w:keepNext w:val="0"/>
        <w:keepLines w:val="0"/>
        <w:widowControl w:val="0"/>
        <w:shd w:val="clear" w:color="auto" w:fill="auto"/>
        <w:tabs>
          <w:tab w:val="left" w:pos="1538"/>
        </w:tabs>
        <w:bidi w:val="0"/>
        <w:spacing w:before="0" w:after="0" w:line="574" w:lineRule="exact"/>
        <w:ind w:left="0" w:right="0" w:firstLine="640"/>
        <w:jc w:val="left"/>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pPr>
      <w:r>
        <w:rPr>
          <w:rFonts w:hint="eastAsia" w:ascii="楷体_GB2312" w:hAnsi="Times New Roman" w:eastAsia="楷体_GB2312" w:cs="楷体_GB2312"/>
          <w:b w:val="0"/>
          <w:bCs w:val="0"/>
          <w:i w:val="0"/>
          <w:iCs w:val="0"/>
          <w:smallCaps w:val="0"/>
          <w:strike w:val="0"/>
          <w:color w:val="000000"/>
          <w:spacing w:val="0"/>
          <w:w w:val="100"/>
          <w:kern w:val="2"/>
          <w:position w:val="0"/>
          <w:sz w:val="32"/>
          <w:szCs w:val="32"/>
          <w:u w:val="none"/>
          <w:shd w:val="clear" w:color="auto" w:fill="auto"/>
          <w:lang w:val="en-US" w:eastAsia="zh-CN" w:bidi="ar"/>
        </w:rPr>
        <w:t>（</w:t>
      </w:r>
      <w:bookmarkEnd w:id="17"/>
      <w:r>
        <w:rPr>
          <w:rFonts w:hint="eastAsia" w:ascii="楷体_GB2312" w:hAnsi="Times New Roman" w:eastAsia="楷体_GB2312" w:cs="楷体_GB2312"/>
          <w:b w:val="0"/>
          <w:bCs w:val="0"/>
          <w:i w:val="0"/>
          <w:iCs w:val="0"/>
          <w:smallCaps w:val="0"/>
          <w:strike w:val="0"/>
          <w:color w:val="000000"/>
          <w:spacing w:val="0"/>
          <w:w w:val="100"/>
          <w:kern w:val="2"/>
          <w:position w:val="0"/>
          <w:sz w:val="32"/>
          <w:szCs w:val="32"/>
          <w:u w:val="none"/>
          <w:shd w:val="clear" w:color="auto" w:fill="auto"/>
          <w:lang w:val="en-US" w:eastAsia="zh-CN" w:bidi="ar"/>
        </w:rPr>
        <w:t>二）项目绩效自评结果。</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淄博市张店区行政审批服务局本级2021年度区级预算项目支出绩效自评的7个项目中，7个项目自 评等级为优，0个项目自评等级为良，0个项目自评等级为中。从 自评情况看，项目支出绩效管理的重视程度进一步提升，大部分 项目有序开展，执行和完成情况较好，资金使用比较规范，预算 项目绩效自评工作为进一步加强项目管理，提高财政资金的使用效益，为下一步预算资金安排提供重要参考。</w:t>
      </w:r>
    </w:p>
    <w:p>
      <w:pPr>
        <w:pStyle w:val="15"/>
        <w:keepNext w:val="0"/>
        <w:keepLines w:val="0"/>
        <w:widowControl w:val="0"/>
        <w:shd w:val="clear" w:color="auto" w:fill="auto"/>
        <w:bidi w:val="0"/>
        <w:spacing w:before="0" w:after="0" w:line="566" w:lineRule="exact"/>
        <w:ind w:left="0" w:right="0" w:firstLine="640"/>
        <w:jc w:val="left"/>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pP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今年在单位决算中反映了 2021年度预算项目支出绩效自评情 况，以及新办企业刻制印章费用等</w:t>
      </w:r>
      <w:r>
        <w:rPr>
          <w:rFonts w:hint="eastAsia" w:ascii="仿宋_GB2312"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3</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个项目的绩效自评结果。</w:t>
      </w:r>
    </w:p>
    <w:p>
      <w:pPr>
        <w:pStyle w:val="15"/>
        <w:keepNext w:val="0"/>
        <w:keepLines w:val="0"/>
        <w:widowControl w:val="0"/>
        <w:numPr>
          <w:ilvl w:val="0"/>
          <w:numId w:val="2"/>
        </w:numPr>
        <w:shd w:val="clear" w:color="auto" w:fill="auto"/>
        <w:bidi w:val="0"/>
        <w:spacing w:before="0" w:after="0" w:line="572" w:lineRule="exact"/>
        <w:ind w:left="0" w:right="0" w:firstLine="640"/>
        <w:jc w:val="left"/>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pPr>
      <w:bookmarkStart w:id="18" w:name="bookmark114"/>
      <w:bookmarkEnd w:id="18"/>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新办企业刻制印章费用项目绩效自评综述：根据年初设定 的绩效目标，项目自评得分为</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en-US" w:bidi="ar"/>
        </w:rPr>
        <w:t>98.5</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分。全年预算数为</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en-US" w:bidi="ar"/>
        </w:rPr>
        <w:t>125.83</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万 元，执行数为</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en-US" w:bidi="ar"/>
        </w:rPr>
        <w:t>125.83</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万元，完成预算的100%。项目绩效目标完成 情况：用于新办企业刻制印章费用，节约了企业成本，提高了企 业满意度。发现的主要问题及原因：新办企业数量存在变动，刻 章总数量也有所浮动。下一步改进措施：充分利用大数据分析系 统，分析明年新办企业数量，更为准确填报预算。</w:t>
      </w:r>
    </w:p>
    <w:p>
      <w:pPr>
        <w:pStyle w:val="15"/>
        <w:keepNext w:val="0"/>
        <w:keepLines w:val="0"/>
        <w:widowControl w:val="0"/>
        <w:numPr>
          <w:ilvl w:val="0"/>
          <w:numId w:val="2"/>
        </w:numPr>
        <w:shd w:val="clear" w:color="auto" w:fill="auto"/>
        <w:tabs>
          <w:tab w:val="left" w:pos="1016"/>
        </w:tabs>
        <w:bidi w:val="0"/>
        <w:spacing w:before="0" w:after="0" w:line="568" w:lineRule="exact"/>
        <w:ind w:left="0" w:right="0" w:firstLine="640"/>
        <w:jc w:val="both"/>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pPr>
      <w:bookmarkStart w:id="19" w:name="bookmark115"/>
      <w:bookmarkEnd w:id="19"/>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服装经费项目绩效自评综述：根据年初设定的绩效目标， 项目自评得分为</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en-US" w:bidi="ar"/>
        </w:rPr>
        <w:t>93.81</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分。全年预算数为</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en-US" w:bidi="ar"/>
        </w:rPr>
        <w:t>6.</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37万元，执行数为</w:t>
      </w:r>
    </w:p>
    <w:p>
      <w:pPr>
        <w:pStyle w:val="15"/>
        <w:keepNext w:val="0"/>
        <w:keepLines w:val="0"/>
        <w:widowControl w:val="0"/>
        <w:shd w:val="clear" w:color="auto" w:fill="auto"/>
        <w:bidi w:val="0"/>
        <w:spacing w:before="0" w:after="0" w:line="568" w:lineRule="exact"/>
        <w:ind w:left="0" w:right="0" w:firstLine="0"/>
        <w:jc w:val="both"/>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pP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en-US" w:bidi="ar"/>
        </w:rPr>
        <w:t>6.</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37万元，完成预算的100%。项目绩效目标完成情况：用于支付 局机关人员、劳务派遣人员以及张店市民中心相关入驻部门工作 人员的工装费用，统一工作人员着装，提升服务形象。发现的主 要问题及原因：大厅人员变动导致服装数量变动，导致自评得分 相对较低。下一步改进措施：严格控制大厅人员数量。</w:t>
      </w:r>
    </w:p>
    <w:p>
      <w:pPr>
        <w:pStyle w:val="15"/>
        <w:keepNext w:val="0"/>
        <w:keepLines w:val="0"/>
        <w:widowControl w:val="0"/>
        <w:numPr>
          <w:ilvl w:val="0"/>
          <w:numId w:val="2"/>
        </w:numPr>
        <w:shd w:val="clear" w:color="auto" w:fill="auto"/>
        <w:tabs>
          <w:tab w:val="left" w:pos="1040"/>
        </w:tabs>
        <w:bidi w:val="0"/>
        <w:spacing w:before="0" w:after="0" w:line="568" w:lineRule="exact"/>
        <w:ind w:left="0" w:right="0" w:firstLine="640"/>
        <w:jc w:val="both"/>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pPr>
      <w:bookmarkStart w:id="20" w:name="bookmark116"/>
      <w:bookmarkEnd w:id="20"/>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证照办理费用项目绩效自评综述：根据年初设定的绩效目 标，项目自评得分为</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en-US" w:bidi="ar"/>
        </w:rPr>
        <w:t>99.88</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分。全年预算数为65万元，执行数为 65万元，完成预算的100%。项目绩效目标完成情况：按时完成了 各类证照印刷，保障各类审批业务办理，提高办事群众满意度。 下一步将继续按照单位需求进行证照印刷，据实拨付印刷费用，保证印刷质量。</w:t>
      </w:r>
    </w:p>
    <w:p>
      <w:pPr>
        <w:pStyle w:val="15"/>
        <w:keepNext w:val="0"/>
        <w:keepLines w:val="0"/>
        <w:widowControl w:val="0"/>
        <w:shd w:val="clear" w:color="auto" w:fill="auto"/>
        <w:bidi w:val="0"/>
        <w:spacing w:before="0" w:after="0" w:line="600" w:lineRule="exact"/>
        <w:ind w:left="0" w:right="0" w:firstLine="640"/>
        <w:jc w:val="both"/>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pP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2021年度预算项目支出绩效自评情况汇总表和区级预算项目 支出绩效自评表详见</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zh-CN" w:eastAsia="zh-CN" w:bidi="ar"/>
        </w:rPr>
        <w:t>“第</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五部分附件”。</w:t>
      </w:r>
    </w:p>
    <w:p>
      <w:pPr>
        <w:pStyle w:val="15"/>
        <w:keepNext w:val="0"/>
        <w:keepLines w:val="0"/>
        <w:widowControl w:val="0"/>
        <w:shd w:val="clear" w:color="auto" w:fill="auto"/>
        <w:bidi w:val="0"/>
        <w:spacing w:before="0" w:after="0" w:line="586" w:lineRule="exact"/>
        <w:ind w:left="0" w:right="0" w:firstLine="640"/>
        <w:jc w:val="both"/>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pPr>
      <w:r>
        <w:rPr>
          <w:rFonts w:hint="eastAsia" w:ascii="楷体_GB2312" w:hAnsi="Times New Roman" w:eastAsia="楷体_GB2312" w:cs="楷体_GB2312"/>
          <w:b w:val="0"/>
          <w:bCs w:val="0"/>
          <w:i w:val="0"/>
          <w:iCs w:val="0"/>
          <w:smallCaps w:val="0"/>
          <w:strike w:val="0"/>
          <w:color w:val="000000"/>
          <w:spacing w:val="0"/>
          <w:w w:val="100"/>
          <w:kern w:val="2"/>
          <w:position w:val="0"/>
          <w:sz w:val="32"/>
          <w:szCs w:val="32"/>
          <w:u w:val="none"/>
          <w:shd w:val="clear" w:color="auto" w:fill="auto"/>
          <w:lang w:val="en-US" w:eastAsia="zh-CN" w:bidi="ar"/>
        </w:rPr>
        <w:t>（三）重点绩效评价项目评价结果。</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行政审批服务工作经费 项目，绩效评价综合得分为</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en-US" w:bidi="ar"/>
        </w:rPr>
        <w:t>99.63</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分，等级为优。</w:t>
      </w:r>
    </w:p>
    <w:p>
      <w:pPr>
        <w:pStyle w:val="15"/>
        <w:keepNext w:val="0"/>
        <w:keepLines w:val="0"/>
        <w:widowControl w:val="0"/>
        <w:shd w:val="clear" w:color="auto" w:fill="auto"/>
        <w:bidi w:val="0"/>
        <w:spacing w:before="0" w:after="0" w:line="586" w:lineRule="exact"/>
        <w:ind w:left="0" w:right="0" w:firstLine="640"/>
        <w:jc w:val="both"/>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sectPr>
          <w:footerReference r:id="rId11" w:type="default"/>
          <w:footnotePr>
            <w:numFmt w:val="decimal"/>
          </w:footnotePr>
          <w:type w:val="continuous"/>
          <w:pgSz w:w="11900" w:h="16840"/>
          <w:pgMar w:top="1627" w:right="1454" w:bottom="1712" w:left="1441" w:header="1199" w:footer="3" w:gutter="0"/>
          <w:cols w:space="720" w:num="1"/>
          <w:rtlGutter w:val="0"/>
          <w:docGrid w:linePitch="360" w:charSpace="0"/>
        </w:sectPr>
      </w:pP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绩效评价报告详见</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zh-CN" w:eastAsia="zh-CN" w:bidi="ar"/>
        </w:rPr>
        <w:t>“第</w:t>
      </w:r>
      <w:r>
        <w:rPr>
          <w:rFonts w:hint="eastAsia" w:ascii="仿宋_GB2312" w:hAnsi="宋体" w:eastAsia="仿宋_GB2312" w:cs="仿宋_GB2312"/>
          <w:b w:val="0"/>
          <w:bCs w:val="0"/>
          <w:i w:val="0"/>
          <w:iCs w:val="0"/>
          <w:smallCaps w:val="0"/>
          <w:strike w:val="0"/>
          <w:color w:val="000000"/>
          <w:spacing w:val="0"/>
          <w:w w:val="100"/>
          <w:kern w:val="0"/>
          <w:position w:val="0"/>
          <w:sz w:val="32"/>
          <w:szCs w:val="32"/>
          <w:u w:val="none"/>
          <w:shd w:val="clear" w:color="auto" w:fill="auto"/>
          <w:lang w:val="en-US" w:eastAsia="zh-CN" w:bidi="ar"/>
        </w:rPr>
        <w:t>五部分附件”。</w:t>
      </w:r>
    </w:p>
    <w:p>
      <w:pPr>
        <w:pStyle w:val="17"/>
        <w:keepNext w:val="0"/>
        <w:keepLines w:val="0"/>
        <w:widowControl w:val="0"/>
        <w:shd w:val="clear" w:color="auto" w:fill="auto"/>
        <w:bidi w:val="0"/>
        <w:spacing w:before="0" w:after="1620" w:line="240" w:lineRule="auto"/>
        <w:ind w:left="0" w:right="0" w:firstLine="0"/>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spacing w:val="0"/>
          <w:w w:val="100"/>
          <w:position w:val="0"/>
          <w:sz w:val="44"/>
          <w:szCs w:val="44"/>
        </w:rPr>
        <w:t>第四部分</w:t>
      </w:r>
    </w:p>
    <w:p>
      <w:pPr>
        <w:pStyle w:val="19"/>
        <w:keepNext/>
        <w:keepLines/>
        <w:widowControl w:val="0"/>
        <w:shd w:val="clear" w:color="auto" w:fill="auto"/>
        <w:bidi w:val="0"/>
        <w:spacing w:before="0" w:after="0" w:line="240" w:lineRule="auto"/>
        <w:ind w:left="0" w:right="0" w:firstLine="0"/>
        <w:jc w:val="center"/>
        <w:rPr>
          <w:rFonts w:hint="eastAsia" w:ascii="方正小标宋简体" w:hAnsi="方正小标宋简体" w:eastAsia="方正小标宋简体" w:cs="方正小标宋简体"/>
          <w:sz w:val="52"/>
          <w:szCs w:val="52"/>
        </w:rPr>
        <w:sectPr>
          <w:footnotePr>
            <w:numFmt w:val="decimal"/>
          </w:footnotePr>
          <w:pgSz w:w="11900" w:h="16840"/>
          <w:pgMar w:top="4930" w:right="1529" w:bottom="4930" w:left="1510" w:header="4502" w:footer="3" w:gutter="0"/>
          <w:cols w:space="720" w:num="1"/>
          <w:rtlGutter w:val="0"/>
          <w:docGrid w:linePitch="360" w:charSpace="0"/>
        </w:sectPr>
      </w:pPr>
      <w:bookmarkStart w:id="21" w:name="bookmark119"/>
      <w:bookmarkStart w:id="22" w:name="bookmark118"/>
      <w:bookmarkStart w:id="23" w:name="bookmark117"/>
      <w:r>
        <w:rPr>
          <w:rFonts w:hint="eastAsia" w:ascii="方正小标宋简体" w:hAnsi="方正小标宋简体" w:eastAsia="方正小标宋简体" w:cs="方正小标宋简体"/>
          <w:color w:val="000000"/>
          <w:spacing w:val="0"/>
          <w:w w:val="100"/>
          <w:position w:val="0"/>
          <w:sz w:val="52"/>
          <w:szCs w:val="52"/>
        </w:rPr>
        <w:t>名词解释</w:t>
      </w:r>
      <w:bookmarkEnd w:id="21"/>
      <w:bookmarkEnd w:id="22"/>
      <w:bookmarkEnd w:id="23"/>
    </w:p>
    <w:p>
      <w:pPr>
        <w:pStyle w:val="15"/>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sz w:val="32"/>
          <w:szCs w:val="32"/>
        </w:rPr>
      </w:pPr>
      <w:bookmarkStart w:id="24" w:name="bookmark120"/>
      <w:r>
        <w:rPr>
          <w:rFonts w:hint="eastAsia" w:ascii="黑体" w:hAnsi="黑体" w:eastAsia="黑体" w:cs="黑体"/>
          <w:color w:val="000000"/>
          <w:spacing w:val="0"/>
          <w:w w:val="100"/>
          <w:position w:val="0"/>
          <w:sz w:val="32"/>
          <w:szCs w:val="32"/>
        </w:rPr>
        <w:t>一</w:t>
      </w:r>
      <w:bookmarkEnd w:id="24"/>
      <w:r>
        <w:rPr>
          <w:rFonts w:hint="eastAsia" w:ascii="黑体" w:hAnsi="黑体" w:eastAsia="黑体" w:cs="黑体"/>
          <w:color w:val="000000"/>
          <w:spacing w:val="0"/>
          <w:w w:val="100"/>
          <w:position w:val="0"/>
          <w:sz w:val="32"/>
          <w:szCs w:val="32"/>
        </w:rPr>
        <w:t>、财政拨款收入：</w:t>
      </w:r>
      <w:r>
        <w:rPr>
          <w:rFonts w:hint="eastAsia" w:ascii="仿宋_GB2312" w:hAnsi="仿宋_GB2312" w:eastAsia="仿宋_GB2312" w:cs="仿宋_GB2312"/>
          <w:color w:val="000000"/>
          <w:spacing w:val="0"/>
          <w:w w:val="100"/>
          <w:position w:val="0"/>
          <w:sz w:val="32"/>
          <w:szCs w:val="32"/>
        </w:rPr>
        <w:t>指单位本年度从本级财政部门取得的财 政拨款，包括一般公共预算财政拨款、政府性基金预算财政拨款 和国有资本经营预算财政拨款。</w:t>
      </w:r>
    </w:p>
    <w:p>
      <w:pPr>
        <w:pStyle w:val="15"/>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bookmarkStart w:id="25" w:name="bookmark121"/>
      <w:r>
        <w:rPr>
          <w:rFonts w:hint="eastAsia" w:ascii="黑体" w:hAnsi="黑体" w:eastAsia="黑体" w:cs="黑体"/>
          <w:b w:val="0"/>
          <w:bCs w:val="0"/>
          <w:i w:val="0"/>
          <w:iCs w:val="0"/>
          <w:smallCaps w:val="0"/>
          <w:strike w:val="0"/>
          <w:color w:val="000000"/>
          <w:spacing w:val="0"/>
          <w:w w:val="100"/>
          <w:position w:val="0"/>
          <w:sz w:val="32"/>
          <w:szCs w:val="32"/>
        </w:rPr>
        <w:t>二</w:t>
      </w:r>
      <w:bookmarkEnd w:id="25"/>
      <w:r>
        <w:rPr>
          <w:rFonts w:hint="eastAsia" w:ascii="黑体" w:hAnsi="黑体" w:eastAsia="黑体" w:cs="黑体"/>
          <w:b w:val="0"/>
          <w:bCs w:val="0"/>
          <w:i w:val="0"/>
          <w:iCs w:val="0"/>
          <w:smallCaps w:val="0"/>
          <w:strike w:val="0"/>
          <w:color w:val="000000"/>
          <w:spacing w:val="0"/>
          <w:w w:val="100"/>
          <w:position w:val="0"/>
          <w:sz w:val="32"/>
          <w:szCs w:val="32"/>
        </w:rPr>
        <w:t>、上级补助收入：</w:t>
      </w:r>
      <w:r>
        <w:rPr>
          <w:rFonts w:hint="eastAsia" w:ascii="仿宋_GB2312" w:hAnsi="仿宋_GB2312" w:eastAsia="仿宋_GB2312" w:cs="仿宋_GB2312"/>
          <w:color w:val="000000"/>
          <w:spacing w:val="0"/>
          <w:w w:val="100"/>
          <w:position w:val="0"/>
          <w:sz w:val="32"/>
          <w:szCs w:val="32"/>
        </w:rPr>
        <w:t>指事业单位从主管部门和上级单位取得 的非财政补助收入。</w:t>
      </w:r>
    </w:p>
    <w:p>
      <w:pPr>
        <w:pStyle w:val="15"/>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bookmarkStart w:id="26" w:name="bookmark122"/>
      <w:r>
        <w:rPr>
          <w:rFonts w:hint="eastAsia" w:ascii="黑体" w:hAnsi="黑体" w:eastAsia="黑体" w:cs="黑体"/>
          <w:b w:val="0"/>
          <w:bCs w:val="0"/>
          <w:i w:val="0"/>
          <w:iCs w:val="0"/>
          <w:smallCaps w:val="0"/>
          <w:strike w:val="0"/>
          <w:color w:val="000000"/>
          <w:spacing w:val="0"/>
          <w:w w:val="100"/>
          <w:position w:val="0"/>
          <w:sz w:val="32"/>
          <w:szCs w:val="32"/>
        </w:rPr>
        <w:t>三</w:t>
      </w:r>
      <w:bookmarkEnd w:id="26"/>
      <w:r>
        <w:rPr>
          <w:rFonts w:hint="eastAsia" w:ascii="黑体" w:hAnsi="黑体" w:eastAsia="黑体" w:cs="黑体"/>
          <w:b w:val="0"/>
          <w:bCs w:val="0"/>
          <w:i w:val="0"/>
          <w:iCs w:val="0"/>
          <w:smallCaps w:val="0"/>
          <w:strike w:val="0"/>
          <w:color w:val="000000"/>
          <w:spacing w:val="0"/>
          <w:w w:val="100"/>
          <w:position w:val="0"/>
          <w:sz w:val="32"/>
          <w:szCs w:val="32"/>
        </w:rPr>
        <w:t>、事业收入：</w:t>
      </w:r>
      <w:r>
        <w:rPr>
          <w:rFonts w:hint="eastAsia" w:ascii="仿宋_GB2312" w:hAnsi="仿宋_GB2312" w:eastAsia="仿宋_GB2312" w:cs="仿宋_GB2312"/>
          <w:color w:val="000000"/>
          <w:spacing w:val="0"/>
          <w:w w:val="100"/>
          <w:position w:val="0"/>
          <w:sz w:val="32"/>
          <w:szCs w:val="32"/>
        </w:rPr>
        <w:t>指事业单位开展专业业务活动及其辅助活动 取得的收入；包括事业单位收到的财政专户实际核拨的教育收费 等。</w:t>
      </w:r>
    </w:p>
    <w:p>
      <w:pPr>
        <w:pStyle w:val="15"/>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bookmarkStart w:id="27" w:name="bookmark123"/>
      <w:r>
        <w:rPr>
          <w:rFonts w:hint="eastAsia" w:ascii="黑体" w:hAnsi="黑体" w:eastAsia="黑体" w:cs="黑体"/>
          <w:b w:val="0"/>
          <w:bCs w:val="0"/>
          <w:i w:val="0"/>
          <w:iCs w:val="0"/>
          <w:smallCaps w:val="0"/>
          <w:strike w:val="0"/>
          <w:color w:val="000000"/>
          <w:spacing w:val="0"/>
          <w:w w:val="100"/>
          <w:position w:val="0"/>
          <w:sz w:val="32"/>
          <w:szCs w:val="32"/>
        </w:rPr>
        <w:t>四</w:t>
      </w:r>
      <w:bookmarkEnd w:id="27"/>
      <w:r>
        <w:rPr>
          <w:rFonts w:hint="eastAsia" w:ascii="黑体" w:hAnsi="黑体" w:eastAsia="黑体" w:cs="黑体"/>
          <w:b w:val="0"/>
          <w:bCs w:val="0"/>
          <w:i w:val="0"/>
          <w:iCs w:val="0"/>
          <w:smallCaps w:val="0"/>
          <w:strike w:val="0"/>
          <w:color w:val="000000"/>
          <w:spacing w:val="0"/>
          <w:w w:val="100"/>
          <w:position w:val="0"/>
          <w:sz w:val="32"/>
          <w:szCs w:val="32"/>
        </w:rPr>
        <w:t>、经营收入：</w:t>
      </w:r>
      <w:r>
        <w:rPr>
          <w:rFonts w:hint="eastAsia" w:ascii="仿宋_GB2312" w:hAnsi="仿宋_GB2312" w:eastAsia="仿宋_GB2312" w:cs="仿宋_GB2312"/>
          <w:color w:val="000000"/>
          <w:spacing w:val="0"/>
          <w:w w:val="100"/>
          <w:position w:val="0"/>
          <w:sz w:val="32"/>
          <w:szCs w:val="32"/>
        </w:rPr>
        <w:t>指事业单位在专业业务活动及其辅助活动之 外开展非独立核算经营活动取得的收入。</w:t>
      </w:r>
    </w:p>
    <w:p>
      <w:pPr>
        <w:pStyle w:val="15"/>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bookmarkStart w:id="28" w:name="bookmark124"/>
      <w:r>
        <w:rPr>
          <w:rFonts w:hint="eastAsia" w:ascii="黑体" w:hAnsi="黑体" w:eastAsia="黑体" w:cs="黑体"/>
          <w:b w:val="0"/>
          <w:bCs w:val="0"/>
          <w:i w:val="0"/>
          <w:iCs w:val="0"/>
          <w:smallCaps w:val="0"/>
          <w:strike w:val="0"/>
          <w:color w:val="000000"/>
          <w:spacing w:val="0"/>
          <w:w w:val="100"/>
          <w:position w:val="0"/>
          <w:sz w:val="32"/>
          <w:szCs w:val="32"/>
        </w:rPr>
        <w:t>五</w:t>
      </w:r>
      <w:bookmarkEnd w:id="28"/>
      <w:r>
        <w:rPr>
          <w:rFonts w:hint="eastAsia" w:ascii="黑体" w:hAnsi="黑体" w:eastAsia="黑体" w:cs="黑体"/>
          <w:b w:val="0"/>
          <w:bCs w:val="0"/>
          <w:i w:val="0"/>
          <w:iCs w:val="0"/>
          <w:smallCaps w:val="0"/>
          <w:strike w:val="0"/>
          <w:color w:val="000000"/>
          <w:spacing w:val="0"/>
          <w:w w:val="100"/>
          <w:position w:val="0"/>
          <w:sz w:val="32"/>
          <w:szCs w:val="32"/>
        </w:rPr>
        <w:t>、附属单位上缴收入：</w:t>
      </w:r>
      <w:r>
        <w:rPr>
          <w:rFonts w:hint="eastAsia" w:ascii="仿宋_GB2312" w:hAnsi="仿宋_GB2312" w:eastAsia="仿宋_GB2312" w:cs="仿宋_GB2312"/>
          <w:color w:val="000000"/>
          <w:spacing w:val="0"/>
          <w:w w:val="100"/>
          <w:position w:val="0"/>
          <w:sz w:val="32"/>
          <w:szCs w:val="32"/>
        </w:rPr>
        <w:t>指事业单位附属独立核算单位按照 有关规定上缴的收入。</w:t>
      </w:r>
    </w:p>
    <w:p>
      <w:pPr>
        <w:pStyle w:val="15"/>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bookmarkStart w:id="29" w:name="bookmark125"/>
      <w:r>
        <w:rPr>
          <w:rFonts w:hint="eastAsia" w:ascii="黑体" w:hAnsi="黑体" w:eastAsia="黑体" w:cs="黑体"/>
          <w:b w:val="0"/>
          <w:bCs w:val="0"/>
          <w:i w:val="0"/>
          <w:iCs w:val="0"/>
          <w:smallCaps w:val="0"/>
          <w:strike w:val="0"/>
          <w:color w:val="000000"/>
          <w:spacing w:val="0"/>
          <w:w w:val="100"/>
          <w:position w:val="0"/>
          <w:sz w:val="32"/>
          <w:szCs w:val="32"/>
        </w:rPr>
        <w:t>六</w:t>
      </w:r>
      <w:bookmarkEnd w:id="29"/>
      <w:r>
        <w:rPr>
          <w:rFonts w:hint="eastAsia" w:ascii="黑体" w:hAnsi="黑体" w:eastAsia="黑体" w:cs="黑体"/>
          <w:b w:val="0"/>
          <w:bCs w:val="0"/>
          <w:i w:val="0"/>
          <w:iCs w:val="0"/>
          <w:smallCaps w:val="0"/>
          <w:strike w:val="0"/>
          <w:color w:val="000000"/>
          <w:spacing w:val="0"/>
          <w:w w:val="100"/>
          <w:position w:val="0"/>
          <w:sz w:val="32"/>
          <w:szCs w:val="32"/>
        </w:rPr>
        <w:t>、其他收入：</w:t>
      </w:r>
      <w:r>
        <w:rPr>
          <w:rFonts w:hint="eastAsia" w:ascii="仿宋_GB2312" w:hAnsi="仿宋_GB2312" w:eastAsia="仿宋_GB2312" w:cs="仿宋_GB2312"/>
          <w:color w:val="000000"/>
          <w:spacing w:val="0"/>
          <w:w w:val="100"/>
          <w:position w:val="0"/>
          <w:sz w:val="32"/>
          <w:szCs w:val="32"/>
        </w:rPr>
        <w:t>指单位取得的除上述</w:t>
      </w:r>
      <w:r>
        <w:rPr>
          <w:rFonts w:hint="eastAsia" w:ascii="仿宋_GB2312" w:hAnsi="仿宋_GB2312" w:eastAsia="仿宋_GB2312" w:cs="仿宋_GB2312"/>
          <w:color w:val="000000"/>
          <w:spacing w:val="0"/>
          <w:w w:val="100"/>
          <w:position w:val="0"/>
          <w:sz w:val="32"/>
          <w:szCs w:val="32"/>
          <w:lang w:val="zh-CN" w:eastAsia="zh-CN" w:bidi="zh-CN"/>
        </w:rPr>
        <w:t>“财</w:t>
      </w:r>
      <w:r>
        <w:rPr>
          <w:rFonts w:hint="eastAsia" w:ascii="仿宋_GB2312" w:hAnsi="仿宋_GB2312" w:eastAsia="仿宋_GB2312" w:cs="仿宋_GB2312"/>
          <w:color w:val="000000"/>
          <w:spacing w:val="0"/>
          <w:w w:val="100"/>
          <w:position w:val="0"/>
          <w:sz w:val="32"/>
          <w:szCs w:val="32"/>
        </w:rPr>
        <w:t>政拨款收入</w:t>
      </w:r>
      <w:r>
        <w:rPr>
          <w:rFonts w:hint="eastAsia" w:ascii="仿宋_GB2312" w:hAnsi="仿宋_GB2312" w:eastAsia="仿宋_GB2312" w:cs="仿宋_GB2312"/>
          <w:color w:val="000000"/>
          <w:spacing w:val="0"/>
          <w:w w:val="100"/>
          <w:position w:val="0"/>
          <w:sz w:val="32"/>
          <w:szCs w:val="32"/>
          <w:lang w:val="zh-CN" w:eastAsia="zh-CN" w:bidi="zh-CN"/>
        </w:rPr>
        <w:t xml:space="preserve">”“上 </w:t>
      </w:r>
      <w:r>
        <w:rPr>
          <w:rFonts w:hint="eastAsia" w:ascii="仿宋_GB2312" w:hAnsi="仿宋_GB2312" w:eastAsia="仿宋_GB2312" w:cs="仿宋_GB2312"/>
          <w:color w:val="000000"/>
          <w:spacing w:val="0"/>
          <w:w w:val="100"/>
          <w:position w:val="0"/>
          <w:sz w:val="32"/>
          <w:szCs w:val="32"/>
        </w:rPr>
        <w:t>级补助收入”</w:t>
      </w:r>
      <w:r>
        <w:rPr>
          <w:rFonts w:hint="eastAsia" w:ascii="仿宋_GB2312" w:hAnsi="仿宋_GB2312" w:eastAsia="仿宋_GB2312" w:cs="仿宋_GB2312"/>
          <w:color w:val="000000"/>
          <w:spacing w:val="0"/>
          <w:w w:val="100"/>
          <w:position w:val="0"/>
          <w:sz w:val="32"/>
          <w:szCs w:val="32"/>
          <w:lang w:val="zh-CN" w:eastAsia="zh-CN" w:bidi="zh-CN"/>
        </w:rPr>
        <w:t>“事业</w:t>
      </w:r>
      <w:r>
        <w:rPr>
          <w:rFonts w:hint="eastAsia" w:ascii="仿宋_GB2312" w:hAnsi="仿宋_GB2312" w:eastAsia="仿宋_GB2312" w:cs="仿宋_GB2312"/>
          <w:color w:val="000000"/>
          <w:spacing w:val="0"/>
          <w:w w:val="100"/>
          <w:position w:val="0"/>
          <w:sz w:val="32"/>
          <w:szCs w:val="32"/>
        </w:rPr>
        <w:t>收入”</w:t>
      </w:r>
      <w:r>
        <w:rPr>
          <w:rFonts w:hint="eastAsia" w:ascii="仿宋_GB2312" w:hAnsi="仿宋_GB2312" w:eastAsia="仿宋_GB2312" w:cs="仿宋_GB2312"/>
          <w:color w:val="000000"/>
          <w:spacing w:val="0"/>
          <w:w w:val="100"/>
          <w:position w:val="0"/>
          <w:sz w:val="32"/>
          <w:szCs w:val="32"/>
          <w:lang w:val="zh-CN" w:eastAsia="zh-CN" w:bidi="zh-CN"/>
        </w:rPr>
        <w:t>“经营</w:t>
      </w:r>
      <w:r>
        <w:rPr>
          <w:rFonts w:hint="eastAsia" w:ascii="仿宋_GB2312" w:hAnsi="仿宋_GB2312" w:eastAsia="仿宋_GB2312" w:cs="仿宋_GB2312"/>
          <w:color w:val="000000"/>
          <w:spacing w:val="0"/>
          <w:w w:val="100"/>
          <w:position w:val="0"/>
          <w:sz w:val="32"/>
          <w:szCs w:val="32"/>
        </w:rPr>
        <w:t>收入”</w:t>
      </w:r>
      <w:r>
        <w:rPr>
          <w:rFonts w:hint="eastAsia" w:ascii="仿宋_GB2312" w:hAnsi="仿宋_GB2312" w:eastAsia="仿宋_GB2312" w:cs="仿宋_GB2312"/>
          <w:color w:val="000000"/>
          <w:spacing w:val="0"/>
          <w:w w:val="100"/>
          <w:position w:val="0"/>
          <w:sz w:val="32"/>
          <w:szCs w:val="32"/>
          <w:lang w:val="zh-CN" w:eastAsia="zh-CN" w:bidi="zh-CN"/>
        </w:rPr>
        <w:t>“附</w:t>
      </w:r>
      <w:r>
        <w:rPr>
          <w:rFonts w:hint="eastAsia" w:ascii="仿宋_GB2312" w:hAnsi="仿宋_GB2312" w:eastAsia="仿宋_GB2312" w:cs="仿宋_GB2312"/>
          <w:color w:val="000000"/>
          <w:spacing w:val="0"/>
          <w:w w:val="100"/>
          <w:position w:val="0"/>
          <w:sz w:val="32"/>
          <w:szCs w:val="32"/>
        </w:rPr>
        <w:t>属单位上缴收入” 等以外的各项收入。</w:t>
      </w:r>
    </w:p>
    <w:p>
      <w:pPr>
        <w:pStyle w:val="15"/>
        <w:keepNext w:val="0"/>
        <w:keepLines w:val="0"/>
        <w:pageBreakBefore w:val="0"/>
        <w:widowControl w:val="0"/>
        <w:shd w:val="clear" w:color="auto" w:fill="auto"/>
        <w:tabs>
          <w:tab w:val="left" w:pos="1251"/>
        </w:tabs>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bookmarkStart w:id="30" w:name="bookmark126"/>
      <w:r>
        <w:rPr>
          <w:rFonts w:hint="eastAsia" w:ascii="黑体" w:hAnsi="黑体" w:eastAsia="黑体" w:cs="黑体"/>
          <w:b w:val="0"/>
          <w:bCs w:val="0"/>
          <w:i w:val="0"/>
          <w:iCs w:val="0"/>
          <w:smallCaps w:val="0"/>
          <w:strike w:val="0"/>
          <w:color w:val="000000"/>
          <w:spacing w:val="0"/>
          <w:w w:val="100"/>
          <w:position w:val="0"/>
          <w:sz w:val="32"/>
          <w:szCs w:val="32"/>
        </w:rPr>
        <w:t>七</w:t>
      </w:r>
      <w:bookmarkEnd w:id="30"/>
      <w:r>
        <w:rPr>
          <w:rFonts w:hint="eastAsia" w:ascii="黑体" w:hAnsi="黑体" w:eastAsia="黑体" w:cs="黑体"/>
          <w:b w:val="0"/>
          <w:bCs w:val="0"/>
          <w:i w:val="0"/>
          <w:iCs w:val="0"/>
          <w:smallCaps w:val="0"/>
          <w:strike w:val="0"/>
          <w:color w:val="000000"/>
          <w:spacing w:val="0"/>
          <w:w w:val="100"/>
          <w:position w:val="0"/>
          <w:sz w:val="32"/>
          <w:szCs w:val="32"/>
        </w:rPr>
        <w:t>、使用非财政拨款结余：</w:t>
      </w:r>
      <w:r>
        <w:rPr>
          <w:rFonts w:hint="eastAsia" w:ascii="仿宋_GB2312" w:hAnsi="仿宋_GB2312" w:eastAsia="仿宋_GB2312" w:cs="仿宋_GB2312"/>
          <w:color w:val="000000"/>
          <w:spacing w:val="0"/>
          <w:w w:val="100"/>
          <w:position w:val="0"/>
          <w:sz w:val="32"/>
          <w:szCs w:val="32"/>
        </w:rPr>
        <w:t>指事业单位按照预算管理要求使 用非财政拨款结余弥补收支差额的金额。</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rPr>
        <w:t>八</w:t>
      </w:r>
      <w:r>
        <w:rPr>
          <w:rFonts w:hint="eastAsia" w:ascii="黑体" w:hAnsi="黑体" w:eastAsia="黑体" w:cs="黑体"/>
          <w:b w:val="0"/>
          <w:bCs w:val="0"/>
          <w:i w:val="0"/>
          <w:iCs w:val="0"/>
          <w:smallCaps w:val="0"/>
          <w:strike w:val="0"/>
          <w:color w:val="000000"/>
          <w:spacing w:val="0"/>
          <w:w w:val="100"/>
          <w:position w:val="0"/>
          <w:sz w:val="32"/>
          <w:szCs w:val="32"/>
          <w:lang w:eastAsia="zh-CN"/>
        </w:rPr>
        <w:t>、</w:t>
      </w:r>
      <w:r>
        <w:rPr>
          <w:rFonts w:hint="eastAsia" w:ascii="黑体" w:hAnsi="黑体" w:eastAsia="黑体" w:cs="黑体"/>
          <w:b w:val="0"/>
          <w:bCs w:val="0"/>
          <w:i w:val="0"/>
          <w:iCs w:val="0"/>
          <w:smallCaps w:val="0"/>
          <w:strike w:val="0"/>
          <w:color w:val="000000"/>
          <w:spacing w:val="0"/>
          <w:w w:val="100"/>
          <w:position w:val="0"/>
          <w:sz w:val="32"/>
          <w:szCs w:val="32"/>
        </w:rPr>
        <w:t>年初结转和结余：</w:t>
      </w:r>
      <w:r>
        <w:rPr>
          <w:rFonts w:hint="eastAsia" w:ascii="仿宋_GB2312" w:hAnsi="仿宋_GB2312" w:eastAsia="仿宋_GB2312" w:cs="仿宋_GB2312"/>
          <w:color w:val="000000"/>
          <w:spacing w:val="0"/>
          <w:w w:val="100"/>
          <w:position w:val="0"/>
          <w:sz w:val="32"/>
          <w:szCs w:val="32"/>
        </w:rPr>
        <w:t>指单位以前年度尚未完成、结转到本 年仍按原规定用途继续使用的资金，或项目已完成等产生的结余 资金。</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sectPr>
          <w:footnotePr>
            <w:numFmt w:val="decimal"/>
          </w:footnotePr>
          <w:pgSz w:w="11900" w:h="16840"/>
          <w:pgMar w:top="1575" w:right="1561" w:bottom="1865" w:left="1487" w:header="1147" w:footer="3" w:gutter="0"/>
          <w:cols w:space="720" w:num="1"/>
          <w:rtlGutter w:val="0"/>
          <w:docGrid w:linePitch="360" w:charSpace="0"/>
        </w:sectPr>
      </w:pPr>
      <w:r>
        <w:rPr>
          <w:rFonts w:hint="eastAsia" w:ascii="黑体" w:hAnsi="黑体" w:eastAsia="黑体" w:cs="黑体"/>
          <w:b w:val="0"/>
          <w:bCs w:val="0"/>
          <w:i w:val="0"/>
          <w:iCs w:val="0"/>
          <w:smallCaps w:val="0"/>
          <w:strike w:val="0"/>
          <w:color w:val="000000"/>
          <w:spacing w:val="0"/>
          <w:w w:val="100"/>
          <w:position w:val="0"/>
          <w:sz w:val="32"/>
          <w:szCs w:val="32"/>
        </w:rPr>
        <w:t>九、结余分配：</w:t>
      </w:r>
      <w:r>
        <w:rPr>
          <w:rFonts w:hint="eastAsia" w:ascii="仿宋_GB2312" w:hAnsi="仿宋_GB2312" w:eastAsia="仿宋_GB2312" w:cs="仿宋_GB2312"/>
          <w:color w:val="000000"/>
          <w:spacing w:val="0"/>
          <w:w w:val="100"/>
          <w:position w:val="0"/>
          <w:sz w:val="32"/>
          <w:szCs w:val="32"/>
        </w:rPr>
        <w:t>指事业单位缴纳的所得税以及从非财政拨款 结余或经营结余中提取的各类结余。</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rPr>
        <w:t>十</w:t>
      </w:r>
      <w:r>
        <w:rPr>
          <w:rFonts w:hint="eastAsia" w:ascii="黑体" w:hAnsi="黑体" w:eastAsia="黑体" w:cs="黑体"/>
          <w:b w:val="0"/>
          <w:bCs w:val="0"/>
          <w:i w:val="0"/>
          <w:iCs w:val="0"/>
          <w:smallCaps w:val="0"/>
          <w:strike w:val="0"/>
          <w:color w:val="000000"/>
          <w:spacing w:val="0"/>
          <w:w w:val="100"/>
          <w:position w:val="0"/>
          <w:sz w:val="32"/>
          <w:szCs w:val="32"/>
          <w:lang w:eastAsia="zh-CN"/>
        </w:rPr>
        <w:t>、</w:t>
      </w:r>
      <w:r>
        <w:rPr>
          <w:rFonts w:hint="eastAsia" w:ascii="黑体" w:hAnsi="黑体" w:eastAsia="黑体" w:cs="黑体"/>
          <w:b w:val="0"/>
          <w:bCs w:val="0"/>
          <w:i w:val="0"/>
          <w:iCs w:val="0"/>
          <w:smallCaps w:val="0"/>
          <w:strike w:val="0"/>
          <w:color w:val="000000"/>
          <w:spacing w:val="0"/>
          <w:w w:val="100"/>
          <w:position w:val="0"/>
          <w:sz w:val="32"/>
          <w:szCs w:val="32"/>
        </w:rPr>
        <w:t>年末结转和结余：</w:t>
      </w:r>
      <w:r>
        <w:rPr>
          <w:rFonts w:hint="eastAsia" w:ascii="仿宋_GB2312" w:hAnsi="仿宋_GB2312" w:eastAsia="仿宋_GB2312" w:cs="仿宋_GB2312"/>
          <w:color w:val="000000"/>
          <w:spacing w:val="0"/>
          <w:w w:val="100"/>
          <w:position w:val="0"/>
          <w:sz w:val="32"/>
          <w:szCs w:val="32"/>
        </w:rPr>
        <w:t>指单位本年度或以前年度预算安排、 因客观条件发生变化未全部执行或未执行，结转到以后年度继续 使用的资金，或项目已完成等产生的结余资金。</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rPr>
        <w:t>十一、基本支出：</w:t>
      </w:r>
      <w:r>
        <w:rPr>
          <w:rFonts w:hint="eastAsia" w:ascii="仿宋_GB2312" w:hAnsi="仿宋_GB2312" w:eastAsia="仿宋_GB2312" w:cs="仿宋_GB2312"/>
          <w:color w:val="000000"/>
          <w:spacing w:val="0"/>
          <w:w w:val="100"/>
          <w:position w:val="0"/>
          <w:sz w:val="32"/>
          <w:szCs w:val="32"/>
        </w:rPr>
        <w:t>指单位为保障机构正常运转、完成日常工 作任务而发生的各项支出。</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rPr>
        <w:t>十二、项目支出：</w:t>
      </w:r>
      <w:r>
        <w:rPr>
          <w:rFonts w:hint="eastAsia" w:ascii="仿宋_GB2312" w:hAnsi="仿宋_GB2312" w:eastAsia="仿宋_GB2312" w:cs="仿宋_GB2312"/>
          <w:color w:val="000000"/>
          <w:spacing w:val="0"/>
          <w:w w:val="100"/>
          <w:position w:val="0"/>
          <w:sz w:val="32"/>
          <w:szCs w:val="32"/>
        </w:rPr>
        <w:t>指单位为完成特定的行政工作任务或事业 发展目标，在基本支出之外发生的各项支出。</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rPr>
        <w:t>十三、经营支出：</w:t>
      </w:r>
      <w:r>
        <w:rPr>
          <w:rFonts w:hint="eastAsia" w:ascii="仿宋_GB2312" w:hAnsi="仿宋_GB2312" w:eastAsia="仿宋_GB2312" w:cs="仿宋_GB2312"/>
          <w:color w:val="000000"/>
          <w:spacing w:val="0"/>
          <w:w w:val="100"/>
          <w:position w:val="0"/>
          <w:sz w:val="32"/>
          <w:szCs w:val="32"/>
        </w:rPr>
        <w:t>指事业单位在专业业务活动及其辅助活动 之外开展非独立核算经营活动发生的支出。</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rPr>
        <w:t>十四、</w:t>
      </w:r>
      <w:r>
        <w:rPr>
          <w:rFonts w:hint="eastAsia" w:ascii="黑体" w:hAnsi="黑体" w:eastAsia="黑体" w:cs="黑体"/>
          <w:b w:val="0"/>
          <w:bCs w:val="0"/>
          <w:i w:val="0"/>
          <w:iCs w:val="0"/>
          <w:smallCaps w:val="0"/>
          <w:strike w:val="0"/>
          <w:color w:val="000000"/>
          <w:spacing w:val="0"/>
          <w:w w:val="100"/>
          <w:position w:val="0"/>
          <w:sz w:val="32"/>
          <w:szCs w:val="32"/>
          <w:lang w:val="zh-CN" w:eastAsia="zh-CN"/>
        </w:rPr>
        <w:t>“三</w:t>
      </w:r>
      <w:r>
        <w:rPr>
          <w:rFonts w:hint="eastAsia" w:ascii="黑体" w:hAnsi="黑体" w:eastAsia="黑体" w:cs="黑体"/>
          <w:b w:val="0"/>
          <w:bCs w:val="0"/>
          <w:i w:val="0"/>
          <w:iCs w:val="0"/>
          <w:smallCaps w:val="0"/>
          <w:strike w:val="0"/>
          <w:color w:val="000000"/>
          <w:spacing w:val="0"/>
          <w:w w:val="100"/>
          <w:position w:val="0"/>
          <w:sz w:val="32"/>
          <w:szCs w:val="32"/>
        </w:rPr>
        <w:t>公”经费：</w:t>
      </w:r>
      <w:r>
        <w:rPr>
          <w:rFonts w:hint="eastAsia" w:ascii="仿宋_GB2312" w:hAnsi="仿宋_GB2312" w:eastAsia="仿宋_GB2312" w:cs="仿宋_GB2312"/>
          <w:color w:val="000000"/>
          <w:spacing w:val="0"/>
          <w:w w:val="100"/>
          <w:position w:val="0"/>
          <w:sz w:val="32"/>
          <w:szCs w:val="32"/>
        </w:rPr>
        <w:t>指单位用财政拨款安排的因公出国</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（境）费、公务用车购置及运行维护费和公务接待费。其中，因 公出国（境）费反映单位公务出国（境）的国际旅费、国外城市 间交通费、住宿费、伙食费、培训费、公杂费等支出；公务用车 购置及运行维护费反映单位公务用车购置支出（含车辆购置税） 及按规定保留的公务用车燃料费、维修费、过桥过路费、保险费、安全奖励费用等支出；公务接待费反映单位按规定开支的各类公务接待（含外宾接待）支出。</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2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rPr>
        <w:t>十五、机关运行经费</w:t>
      </w:r>
      <w:r>
        <w:rPr>
          <w:rFonts w:hint="eastAsia" w:ascii="仿宋_GB2312" w:hAnsi="仿宋_GB2312" w:eastAsia="仿宋_GB2312" w:cs="仿宋_GB2312"/>
          <w:color w:val="000000"/>
          <w:spacing w:val="0"/>
          <w:w w:val="100"/>
          <w:position w:val="0"/>
          <w:sz w:val="32"/>
          <w:szCs w:val="32"/>
        </w:rPr>
        <w:t>：指为保障行政单位（包括参照公务员 法管理的事业单位）运行用于购买货物和服务的各项资金，包括 办公及印刷费、邮电费、差旅费、会议费、福利费、日常维修费、专用材料及一般设备购置费、办公用房水电费、办公用房取暖费、办公用房物业管理费、公务用车运行维护费以及其他费用。</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rPr>
        <w:t>十六</w:t>
      </w:r>
      <w:r>
        <w:rPr>
          <w:rFonts w:hint="eastAsia" w:ascii="黑体" w:hAnsi="黑体" w:eastAsia="黑体" w:cs="黑体"/>
          <w:b w:val="0"/>
          <w:bCs w:val="0"/>
          <w:i w:val="0"/>
          <w:iCs w:val="0"/>
          <w:smallCaps w:val="0"/>
          <w:strike w:val="0"/>
          <w:color w:val="000000"/>
          <w:spacing w:val="0"/>
          <w:w w:val="100"/>
          <w:position w:val="0"/>
          <w:sz w:val="32"/>
          <w:szCs w:val="32"/>
          <w:lang w:eastAsia="zh-CN"/>
        </w:rPr>
        <w:t>、</w:t>
      </w:r>
      <w:r>
        <w:rPr>
          <w:rFonts w:hint="eastAsia" w:ascii="黑体" w:hAnsi="黑体" w:eastAsia="黑体" w:cs="黑体"/>
          <w:b w:val="0"/>
          <w:bCs w:val="0"/>
          <w:i w:val="0"/>
          <w:iCs w:val="0"/>
          <w:smallCaps w:val="0"/>
          <w:strike w:val="0"/>
          <w:color w:val="000000"/>
          <w:spacing w:val="0"/>
          <w:w w:val="100"/>
          <w:position w:val="0"/>
          <w:sz w:val="32"/>
          <w:szCs w:val="32"/>
          <w:lang w:val="zh-CN" w:eastAsia="zh-CN"/>
        </w:rPr>
        <w:t>一般</w:t>
      </w:r>
      <w:r>
        <w:rPr>
          <w:rFonts w:hint="eastAsia" w:ascii="黑体" w:hAnsi="黑体" w:eastAsia="黑体" w:cs="黑体"/>
          <w:b w:val="0"/>
          <w:bCs w:val="0"/>
          <w:i w:val="0"/>
          <w:iCs w:val="0"/>
          <w:smallCaps w:val="0"/>
          <w:strike w:val="0"/>
          <w:color w:val="000000"/>
          <w:spacing w:val="0"/>
          <w:w w:val="100"/>
          <w:position w:val="0"/>
          <w:sz w:val="32"/>
          <w:szCs w:val="32"/>
        </w:rPr>
        <w:t>公共服务支出（类）政府办公厅（室）及相关机构事务（款）行政运行（项）</w:t>
      </w:r>
      <w:r>
        <w:rPr>
          <w:rFonts w:hint="eastAsia" w:ascii="仿宋_GB2312" w:hAnsi="仿宋_GB2312" w:eastAsia="仿宋_GB2312" w:cs="仿宋_GB2312"/>
          <w:color w:val="000000"/>
          <w:spacing w:val="0"/>
          <w:w w:val="100"/>
          <w:position w:val="0"/>
          <w:sz w:val="32"/>
          <w:szCs w:val="32"/>
        </w:rPr>
        <w:t>：反映行政单位（包括实行公务员管理的事 业单位）用于保障机构正常运行、开展日常工作的基本支出。</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rPr>
        <w:t>十七</w:t>
      </w:r>
      <w:r>
        <w:rPr>
          <w:rFonts w:hint="eastAsia" w:ascii="黑体" w:hAnsi="黑体" w:eastAsia="黑体" w:cs="黑体"/>
          <w:b w:val="0"/>
          <w:bCs w:val="0"/>
          <w:i w:val="0"/>
          <w:iCs w:val="0"/>
          <w:smallCaps w:val="0"/>
          <w:strike w:val="0"/>
          <w:color w:val="000000"/>
          <w:spacing w:val="0"/>
          <w:w w:val="100"/>
          <w:position w:val="0"/>
          <w:sz w:val="32"/>
          <w:szCs w:val="32"/>
          <w:lang w:eastAsia="zh-CN"/>
        </w:rPr>
        <w:t>、</w:t>
      </w:r>
      <w:r>
        <w:rPr>
          <w:rFonts w:hint="eastAsia" w:ascii="黑体" w:hAnsi="黑体" w:eastAsia="黑体" w:cs="黑体"/>
          <w:b w:val="0"/>
          <w:bCs w:val="0"/>
          <w:i w:val="0"/>
          <w:iCs w:val="0"/>
          <w:smallCaps w:val="0"/>
          <w:strike w:val="0"/>
          <w:color w:val="000000"/>
          <w:spacing w:val="0"/>
          <w:w w:val="100"/>
          <w:position w:val="0"/>
          <w:sz w:val="32"/>
          <w:szCs w:val="32"/>
          <w:lang w:val="zh-CN" w:eastAsia="zh-CN"/>
        </w:rPr>
        <w:t>一般</w:t>
      </w:r>
      <w:r>
        <w:rPr>
          <w:rFonts w:hint="eastAsia" w:ascii="黑体" w:hAnsi="黑体" w:eastAsia="黑体" w:cs="黑体"/>
          <w:b w:val="0"/>
          <w:bCs w:val="0"/>
          <w:i w:val="0"/>
          <w:iCs w:val="0"/>
          <w:smallCaps w:val="0"/>
          <w:strike w:val="0"/>
          <w:color w:val="000000"/>
          <w:spacing w:val="0"/>
          <w:w w:val="100"/>
          <w:position w:val="0"/>
          <w:sz w:val="32"/>
          <w:szCs w:val="32"/>
        </w:rPr>
        <w:t>公共服务支出（类）政府办公厅（室）及相关机构事 务（款）政务公开审批（项）：</w:t>
      </w:r>
      <w:r>
        <w:rPr>
          <w:rFonts w:hint="eastAsia" w:ascii="仿宋_GB2312" w:hAnsi="仿宋_GB2312" w:eastAsia="仿宋_GB2312" w:cs="仿宋_GB2312"/>
          <w:color w:val="000000"/>
          <w:spacing w:val="0"/>
          <w:w w:val="100"/>
          <w:position w:val="0"/>
          <w:sz w:val="32"/>
          <w:szCs w:val="32"/>
        </w:rPr>
        <w:t>反映各级政府政务公开审批方面的支出。</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rPr>
        <w:t>十八</w:t>
      </w:r>
      <w:r>
        <w:rPr>
          <w:rFonts w:hint="eastAsia" w:ascii="黑体" w:hAnsi="黑体" w:eastAsia="黑体" w:cs="黑体"/>
          <w:b w:val="0"/>
          <w:bCs w:val="0"/>
          <w:i w:val="0"/>
          <w:iCs w:val="0"/>
          <w:smallCaps w:val="0"/>
          <w:strike w:val="0"/>
          <w:color w:val="000000"/>
          <w:spacing w:val="0"/>
          <w:w w:val="100"/>
          <w:position w:val="0"/>
          <w:sz w:val="32"/>
          <w:szCs w:val="32"/>
          <w:lang w:eastAsia="zh-CN"/>
        </w:rPr>
        <w:t>、</w:t>
      </w:r>
      <w:r>
        <w:rPr>
          <w:rFonts w:hint="eastAsia" w:ascii="黑体" w:hAnsi="黑体" w:eastAsia="黑体" w:cs="黑体"/>
          <w:b w:val="0"/>
          <w:bCs w:val="0"/>
          <w:i w:val="0"/>
          <w:iCs w:val="0"/>
          <w:smallCaps w:val="0"/>
          <w:strike w:val="0"/>
          <w:color w:val="000000"/>
          <w:spacing w:val="0"/>
          <w:w w:val="100"/>
          <w:position w:val="0"/>
          <w:sz w:val="32"/>
          <w:szCs w:val="32"/>
        </w:rPr>
        <w:t xml:space="preserve">一般公共服务支出（类）商贸事务（款）招商引资（项）： </w:t>
      </w:r>
      <w:r>
        <w:rPr>
          <w:rFonts w:hint="eastAsia" w:ascii="仿宋_GB2312" w:hAnsi="仿宋_GB2312" w:eastAsia="仿宋_GB2312" w:cs="仿宋_GB2312"/>
          <w:color w:val="000000"/>
          <w:spacing w:val="0"/>
          <w:w w:val="100"/>
          <w:position w:val="0"/>
          <w:sz w:val="32"/>
          <w:szCs w:val="32"/>
        </w:rPr>
        <w:t>反映用于招商引资、优化经济环境等方面的支出。</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rPr>
        <w:t>十九</w:t>
      </w:r>
      <w:r>
        <w:rPr>
          <w:rFonts w:hint="eastAsia" w:ascii="黑体" w:hAnsi="黑体" w:eastAsia="黑体" w:cs="黑体"/>
          <w:b w:val="0"/>
          <w:bCs w:val="0"/>
          <w:i w:val="0"/>
          <w:iCs w:val="0"/>
          <w:smallCaps w:val="0"/>
          <w:strike w:val="0"/>
          <w:color w:val="000000"/>
          <w:spacing w:val="0"/>
          <w:w w:val="100"/>
          <w:position w:val="0"/>
          <w:sz w:val="32"/>
          <w:szCs w:val="32"/>
          <w:lang w:eastAsia="zh-CN"/>
        </w:rPr>
        <w:t>、</w:t>
      </w:r>
      <w:r>
        <w:rPr>
          <w:rFonts w:hint="eastAsia" w:ascii="黑体" w:hAnsi="黑体" w:eastAsia="黑体" w:cs="黑体"/>
          <w:b w:val="0"/>
          <w:bCs w:val="0"/>
          <w:i w:val="0"/>
          <w:iCs w:val="0"/>
          <w:smallCaps w:val="0"/>
          <w:strike w:val="0"/>
          <w:color w:val="000000"/>
          <w:spacing w:val="0"/>
          <w:w w:val="100"/>
          <w:position w:val="0"/>
          <w:sz w:val="32"/>
          <w:szCs w:val="32"/>
        </w:rPr>
        <w:t>社会保障和就业支出（类）行政事业单位养老支出（款）机 关事业单位基本养老保险缴费支出（项）：</w:t>
      </w:r>
      <w:r>
        <w:rPr>
          <w:rFonts w:hint="eastAsia" w:ascii="仿宋_GB2312" w:hAnsi="仿宋_GB2312" w:eastAsia="仿宋_GB2312" w:cs="仿宋_GB2312"/>
          <w:color w:val="000000"/>
          <w:spacing w:val="0"/>
          <w:w w:val="100"/>
          <w:position w:val="0"/>
          <w:sz w:val="32"/>
          <w:szCs w:val="32"/>
        </w:rPr>
        <w:t>反映机关事业单位实施 养老保险制度由单位缴纳的基本养老保险费支出。</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lang w:val="zh-CN" w:eastAsia="zh-CN"/>
        </w:rPr>
        <w:t>二十、</w:t>
      </w:r>
      <w:r>
        <w:rPr>
          <w:rFonts w:hint="eastAsia" w:ascii="黑体" w:hAnsi="黑体" w:eastAsia="黑体" w:cs="黑体"/>
          <w:b w:val="0"/>
          <w:bCs w:val="0"/>
          <w:i w:val="0"/>
          <w:iCs w:val="0"/>
          <w:smallCaps w:val="0"/>
          <w:strike w:val="0"/>
          <w:color w:val="000000"/>
          <w:spacing w:val="0"/>
          <w:w w:val="100"/>
          <w:position w:val="0"/>
          <w:sz w:val="32"/>
          <w:szCs w:val="32"/>
        </w:rPr>
        <w:t>社会保障和就业支出（类）行政事业单位养老支出（款）机 关事业单位职业年金缴费支出（项）：</w:t>
      </w:r>
      <w:r>
        <w:rPr>
          <w:rFonts w:hint="eastAsia" w:ascii="仿宋_GB2312" w:hAnsi="仿宋_GB2312" w:eastAsia="仿宋_GB2312" w:cs="仿宋_GB2312"/>
          <w:color w:val="000000"/>
          <w:spacing w:val="0"/>
          <w:w w:val="100"/>
          <w:position w:val="0"/>
          <w:sz w:val="32"/>
          <w:szCs w:val="32"/>
        </w:rPr>
        <w:t>反映机关事业单位实施养老 保险制度由单位实际缴纳的职业年金支出。</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rPr>
        <w:t>二十一</w:t>
      </w:r>
      <w:r>
        <w:rPr>
          <w:rFonts w:hint="eastAsia" w:ascii="黑体" w:hAnsi="黑体" w:eastAsia="黑体" w:cs="黑体"/>
          <w:b w:val="0"/>
          <w:bCs w:val="0"/>
          <w:i w:val="0"/>
          <w:iCs w:val="0"/>
          <w:smallCaps w:val="0"/>
          <w:strike w:val="0"/>
          <w:color w:val="000000"/>
          <w:spacing w:val="0"/>
          <w:w w:val="100"/>
          <w:position w:val="0"/>
          <w:sz w:val="32"/>
          <w:szCs w:val="32"/>
          <w:lang w:eastAsia="zh-CN"/>
        </w:rPr>
        <w:t>、</w:t>
      </w:r>
      <w:r>
        <w:rPr>
          <w:rFonts w:hint="eastAsia" w:ascii="黑体" w:hAnsi="黑体" w:eastAsia="黑体" w:cs="黑体"/>
          <w:b w:val="0"/>
          <w:bCs w:val="0"/>
          <w:i w:val="0"/>
          <w:iCs w:val="0"/>
          <w:smallCaps w:val="0"/>
          <w:strike w:val="0"/>
          <w:color w:val="000000"/>
          <w:spacing w:val="0"/>
          <w:w w:val="100"/>
          <w:position w:val="0"/>
          <w:sz w:val="32"/>
          <w:szCs w:val="32"/>
          <w:lang w:val="zh-CN" w:eastAsia="zh-CN"/>
        </w:rPr>
        <w:t>社</w:t>
      </w:r>
      <w:r>
        <w:rPr>
          <w:rFonts w:hint="eastAsia" w:ascii="黑体" w:hAnsi="黑体" w:eastAsia="黑体" w:cs="黑体"/>
          <w:b w:val="0"/>
          <w:bCs w:val="0"/>
          <w:i w:val="0"/>
          <w:iCs w:val="0"/>
          <w:smallCaps w:val="0"/>
          <w:strike w:val="0"/>
          <w:color w:val="000000"/>
          <w:spacing w:val="0"/>
          <w:w w:val="100"/>
          <w:position w:val="0"/>
          <w:sz w:val="32"/>
          <w:szCs w:val="32"/>
        </w:rPr>
        <w:t>会保障和就业支出（类）其他社会保障和就业支出 （款）其他社会保障和就业支出（项）：</w:t>
      </w:r>
      <w:r>
        <w:rPr>
          <w:rFonts w:hint="eastAsia" w:ascii="仿宋_GB2312" w:hAnsi="仿宋_GB2312" w:eastAsia="仿宋_GB2312" w:cs="仿宋_GB2312"/>
          <w:color w:val="000000"/>
          <w:spacing w:val="0"/>
          <w:w w:val="100"/>
          <w:position w:val="0"/>
          <w:sz w:val="32"/>
          <w:szCs w:val="32"/>
        </w:rPr>
        <w:t>反映除上述项目以外其他用 于社会保障和就业方面的支出。</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rPr>
        <w:t>二十二</w:t>
      </w:r>
      <w:r>
        <w:rPr>
          <w:rFonts w:hint="eastAsia" w:ascii="黑体" w:hAnsi="黑体" w:eastAsia="黑体" w:cs="黑体"/>
          <w:b w:val="0"/>
          <w:bCs w:val="0"/>
          <w:i w:val="0"/>
          <w:iCs w:val="0"/>
          <w:smallCaps w:val="0"/>
          <w:strike w:val="0"/>
          <w:color w:val="000000"/>
          <w:spacing w:val="0"/>
          <w:w w:val="100"/>
          <w:position w:val="0"/>
          <w:sz w:val="32"/>
          <w:szCs w:val="32"/>
          <w:lang w:eastAsia="zh-CN"/>
        </w:rPr>
        <w:t>、</w:t>
      </w:r>
      <w:r>
        <w:rPr>
          <w:rFonts w:hint="eastAsia" w:ascii="黑体" w:hAnsi="黑体" w:eastAsia="黑体" w:cs="黑体"/>
          <w:b w:val="0"/>
          <w:bCs w:val="0"/>
          <w:i w:val="0"/>
          <w:iCs w:val="0"/>
          <w:smallCaps w:val="0"/>
          <w:strike w:val="0"/>
          <w:color w:val="000000"/>
          <w:spacing w:val="0"/>
          <w:w w:val="100"/>
          <w:position w:val="0"/>
          <w:sz w:val="32"/>
          <w:szCs w:val="32"/>
        </w:rPr>
        <w:t>卫生健康支出（类）行政事业单位医疗（款）行政单位医疗（项）：</w:t>
      </w:r>
      <w:r>
        <w:rPr>
          <w:rFonts w:hint="eastAsia" w:ascii="仿宋_GB2312" w:hAnsi="仿宋_GB2312" w:eastAsia="仿宋_GB2312" w:cs="仿宋_GB2312"/>
          <w:color w:val="000000"/>
          <w:spacing w:val="0"/>
          <w:w w:val="100"/>
          <w:position w:val="0"/>
          <w:sz w:val="32"/>
          <w:szCs w:val="32"/>
        </w:rPr>
        <w:t>反映财政部门安排的行政单位（包括实行公务员管理的 事业单位）基本医疗保险缴费经费，未参加医疗保险的行政单位 的公费医疗经费，按国家规定享受离休人员、红军老战士待遇人员的医疗经费。</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right="0" w:firstLine="600"/>
        <w:jc w:val="both"/>
        <w:textAlignment w:val="auto"/>
        <w:rPr>
          <w:rFonts w:hint="eastAsia" w:ascii="仿宋_GB2312" w:hAnsi="仿宋_GB2312" w:eastAsia="仿宋_GB2312" w:cs="仿宋_GB2312"/>
          <w:sz w:val="32"/>
          <w:szCs w:val="32"/>
        </w:rPr>
      </w:pPr>
      <w:r>
        <w:rPr>
          <w:rFonts w:hint="eastAsia" w:ascii="黑体" w:hAnsi="黑体" w:eastAsia="黑体" w:cs="黑体"/>
          <w:b w:val="0"/>
          <w:bCs w:val="0"/>
          <w:i w:val="0"/>
          <w:iCs w:val="0"/>
          <w:smallCaps w:val="0"/>
          <w:strike w:val="0"/>
          <w:color w:val="000000"/>
          <w:spacing w:val="0"/>
          <w:w w:val="100"/>
          <w:position w:val="0"/>
          <w:sz w:val="32"/>
          <w:szCs w:val="32"/>
        </w:rPr>
        <w:t>二十三</w:t>
      </w:r>
      <w:r>
        <w:rPr>
          <w:rFonts w:hint="eastAsia" w:ascii="黑体" w:hAnsi="黑体" w:eastAsia="黑体" w:cs="黑体"/>
          <w:b w:val="0"/>
          <w:bCs w:val="0"/>
          <w:i w:val="0"/>
          <w:iCs w:val="0"/>
          <w:smallCaps w:val="0"/>
          <w:strike w:val="0"/>
          <w:color w:val="000000"/>
          <w:spacing w:val="0"/>
          <w:w w:val="100"/>
          <w:position w:val="0"/>
          <w:sz w:val="32"/>
          <w:szCs w:val="32"/>
          <w:lang w:eastAsia="zh-CN"/>
        </w:rPr>
        <w:t>、</w:t>
      </w:r>
      <w:r>
        <w:rPr>
          <w:rFonts w:hint="eastAsia" w:ascii="黑体" w:hAnsi="黑体" w:eastAsia="黑体" w:cs="黑体"/>
          <w:b w:val="0"/>
          <w:bCs w:val="0"/>
          <w:i w:val="0"/>
          <w:iCs w:val="0"/>
          <w:smallCaps w:val="0"/>
          <w:strike w:val="0"/>
          <w:color w:val="000000"/>
          <w:spacing w:val="0"/>
          <w:w w:val="100"/>
          <w:position w:val="0"/>
          <w:sz w:val="32"/>
          <w:szCs w:val="32"/>
        </w:rPr>
        <w:t>卫生健康支出（类）行政事业单位医疗（款）公务员医疗补助（项）：</w:t>
      </w:r>
      <w:r>
        <w:rPr>
          <w:rFonts w:hint="eastAsia" w:ascii="仿宋_GB2312" w:hAnsi="仿宋_GB2312" w:eastAsia="仿宋_GB2312" w:cs="仿宋_GB2312"/>
          <w:color w:val="000000"/>
          <w:spacing w:val="0"/>
          <w:w w:val="100"/>
          <w:position w:val="0"/>
          <w:sz w:val="32"/>
          <w:szCs w:val="32"/>
        </w:rPr>
        <w:t>反映财政部门安排的公务员医疗补助经费。</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576" w:lineRule="exact"/>
        <w:ind w:left="0" w:leftChars="0" w:right="0" w:firstLine="640" w:firstLineChars="200"/>
        <w:jc w:val="both"/>
        <w:textAlignment w:val="auto"/>
        <w:rPr>
          <w:rFonts w:hint="eastAsia" w:ascii="仿宋_GB2312" w:hAnsi="仿宋_GB2312" w:eastAsia="仿宋_GB2312" w:cs="仿宋_GB2312"/>
          <w:b w:val="0"/>
          <w:bCs w:val="0"/>
          <w:i w:val="0"/>
          <w:iCs w:val="0"/>
          <w:smallCaps w:val="0"/>
          <w:strike w:val="0"/>
          <w:color w:val="000000"/>
          <w:spacing w:val="0"/>
          <w:w w:val="100"/>
          <w:position w:val="0"/>
          <w:sz w:val="32"/>
          <w:szCs w:val="32"/>
        </w:rPr>
        <w:sectPr>
          <w:footerReference r:id="rId12" w:type="default"/>
          <w:footnotePr>
            <w:numFmt w:val="decimal"/>
          </w:footnotePr>
          <w:type w:val="continuous"/>
          <w:pgSz w:w="11900" w:h="16840"/>
          <w:pgMar w:top="1575" w:right="1561" w:bottom="1865" w:left="1487" w:header="1147" w:footer="3" w:gutter="0"/>
          <w:cols w:space="720" w:num="1"/>
          <w:rtlGutter w:val="0"/>
          <w:docGrid w:linePitch="360" w:charSpace="0"/>
        </w:sectPr>
      </w:pPr>
      <w:r>
        <w:rPr>
          <w:rFonts w:hint="eastAsia" w:ascii="黑体" w:hAnsi="黑体" w:eastAsia="黑体" w:cs="黑体"/>
          <w:b w:val="0"/>
          <w:bCs w:val="0"/>
          <w:i w:val="0"/>
          <w:iCs w:val="0"/>
          <w:smallCaps w:val="0"/>
          <w:strike w:val="0"/>
          <w:color w:val="000000"/>
          <w:spacing w:val="0"/>
          <w:w w:val="100"/>
          <w:position w:val="0"/>
          <w:sz w:val="32"/>
          <w:szCs w:val="32"/>
        </w:rPr>
        <w:t>二十四</w:t>
      </w:r>
      <w:r>
        <w:rPr>
          <w:rFonts w:hint="eastAsia" w:ascii="黑体" w:hAnsi="黑体" w:eastAsia="黑体" w:cs="黑体"/>
          <w:b w:val="0"/>
          <w:bCs w:val="0"/>
          <w:i w:val="0"/>
          <w:iCs w:val="0"/>
          <w:smallCaps w:val="0"/>
          <w:strike w:val="0"/>
          <w:color w:val="000000"/>
          <w:spacing w:val="0"/>
          <w:w w:val="100"/>
          <w:position w:val="0"/>
          <w:sz w:val="32"/>
          <w:szCs w:val="32"/>
          <w:lang w:eastAsia="zh-CN"/>
        </w:rPr>
        <w:t>、</w:t>
      </w:r>
      <w:r>
        <w:rPr>
          <w:rFonts w:hint="eastAsia" w:ascii="黑体" w:hAnsi="黑体" w:eastAsia="黑体" w:cs="黑体"/>
          <w:b w:val="0"/>
          <w:bCs w:val="0"/>
          <w:i w:val="0"/>
          <w:iCs w:val="0"/>
          <w:smallCaps w:val="0"/>
          <w:strike w:val="0"/>
          <w:color w:val="000000"/>
          <w:spacing w:val="0"/>
          <w:w w:val="100"/>
          <w:position w:val="0"/>
          <w:sz w:val="32"/>
          <w:szCs w:val="32"/>
        </w:rPr>
        <w:t>住房保障支出（类）住房改革支出（款）住房公积金（项）：</w:t>
      </w:r>
      <w:r>
        <w:rPr>
          <w:rFonts w:hint="eastAsia" w:ascii="仿宋_GB2312" w:hAnsi="仿宋_GB2312" w:eastAsia="仿宋_GB2312" w:cs="仿宋_GB2312"/>
          <w:b w:val="0"/>
          <w:bCs w:val="0"/>
          <w:i w:val="0"/>
          <w:iCs w:val="0"/>
          <w:smallCaps w:val="0"/>
          <w:strike w:val="0"/>
          <w:color w:val="000000"/>
          <w:spacing w:val="0"/>
          <w:w w:val="100"/>
          <w:position w:val="0"/>
          <w:sz w:val="32"/>
          <w:szCs w:val="32"/>
        </w:rPr>
        <w:t>反映行政事业单位按人力资源和社会保障部、财政部规定的基本工资和津贴补贴以及规定比例为职工缴纳的住房公积金。</w:t>
      </w:r>
    </w:p>
    <w:p>
      <w:pPr>
        <w:pStyle w:val="17"/>
        <w:keepNext w:val="0"/>
        <w:keepLines w:val="0"/>
        <w:widowControl w:val="0"/>
        <w:shd w:val="clear" w:color="auto" w:fill="auto"/>
        <w:bidi w:val="0"/>
        <w:spacing w:before="0" w:after="1600" w:line="240" w:lineRule="auto"/>
        <w:ind w:left="0" w:right="0" w:firstLine="0"/>
        <w:jc w:val="left"/>
        <w:rPr>
          <w:rFonts w:hint="eastAsia"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color w:val="000000"/>
          <w:spacing w:val="0"/>
          <w:w w:val="100"/>
          <w:position w:val="0"/>
          <w:sz w:val="48"/>
          <w:szCs w:val="48"/>
        </w:rPr>
        <w:t>第五部分</w:t>
      </w:r>
    </w:p>
    <w:p>
      <w:pPr>
        <w:pStyle w:val="19"/>
        <w:keepNext/>
        <w:keepLines/>
        <w:widowControl w:val="0"/>
        <w:shd w:val="clear" w:color="auto" w:fill="auto"/>
        <w:bidi w:val="0"/>
        <w:spacing w:before="0" w:after="0" w:line="240" w:lineRule="auto"/>
        <w:ind w:left="0" w:right="0" w:firstLine="0"/>
        <w:jc w:val="center"/>
        <w:rPr>
          <w:rFonts w:hint="eastAsia" w:ascii="方正小标宋简体" w:hAnsi="方正小标宋简体" w:eastAsia="方正小标宋简体" w:cs="方正小标宋简体"/>
          <w:sz w:val="56"/>
          <w:szCs w:val="56"/>
        </w:rPr>
        <w:sectPr>
          <w:footnotePr>
            <w:numFmt w:val="decimal"/>
          </w:footnotePr>
          <w:pgSz w:w="11900" w:h="16840"/>
          <w:pgMar w:top="4930" w:right="1654" w:bottom="4930" w:left="1510" w:header="4502" w:footer="3" w:gutter="0"/>
          <w:cols w:space="720" w:num="1"/>
          <w:rtlGutter w:val="0"/>
          <w:docGrid w:linePitch="360" w:charSpace="0"/>
        </w:sectPr>
      </w:pPr>
      <w:bookmarkStart w:id="31" w:name="bookmark128"/>
      <w:bookmarkStart w:id="32" w:name="bookmark129"/>
      <w:bookmarkStart w:id="33" w:name="bookmark127"/>
      <w:r>
        <w:rPr>
          <w:rFonts w:hint="eastAsia" w:ascii="方正小标宋简体" w:hAnsi="方正小标宋简体" w:eastAsia="方正小标宋简体" w:cs="方正小标宋简体"/>
          <w:color w:val="000000"/>
          <w:spacing w:val="0"/>
          <w:w w:val="100"/>
          <w:position w:val="0"/>
          <w:sz w:val="56"/>
          <w:szCs w:val="56"/>
        </w:rPr>
        <w:t>附件</w:t>
      </w:r>
      <w:bookmarkEnd w:id="31"/>
      <w:bookmarkEnd w:id="32"/>
      <w:bookmarkEnd w:id="33"/>
    </w:p>
    <w:p>
      <w:pPr>
        <w:pStyle w:val="25"/>
        <w:keepNext/>
        <w:keepLines/>
        <w:widowControl w:val="0"/>
        <w:shd w:val="clear" w:color="auto" w:fill="auto"/>
        <w:bidi w:val="0"/>
        <w:spacing w:before="0" w:after="360" w:line="240" w:lineRule="auto"/>
        <w:ind w:left="0" w:right="0" w:firstLine="0"/>
        <w:jc w:val="center"/>
        <w:rPr>
          <w:sz w:val="44"/>
          <w:szCs w:val="44"/>
        </w:rPr>
      </w:pPr>
      <w:bookmarkStart w:id="34" w:name="bookmark132"/>
      <w:bookmarkStart w:id="35" w:name="bookmark131"/>
      <w:bookmarkStart w:id="36" w:name="bookmark130"/>
      <w:r>
        <w:rPr>
          <w:rFonts w:ascii="Times New Roman" w:hAnsi="Times New Roman" w:eastAsia="Times New Roman" w:cs="Times New Roman"/>
          <w:b/>
          <w:bCs/>
          <w:color w:val="000000"/>
          <w:spacing w:val="0"/>
          <w:w w:val="100"/>
          <w:position w:val="0"/>
          <w:sz w:val="42"/>
          <w:szCs w:val="42"/>
          <w:lang w:val="zh-CN" w:eastAsia="zh-CN" w:bidi="zh-CN"/>
        </w:rPr>
        <w:t>2021</w:t>
      </w:r>
      <w:r>
        <w:rPr>
          <w:color w:val="000000"/>
          <w:spacing w:val="0"/>
          <w:w w:val="100"/>
          <w:position w:val="0"/>
          <w:sz w:val="44"/>
          <w:szCs w:val="44"/>
        </w:rPr>
        <w:t>年度项目支出绩效自评情况汇总表</w:t>
      </w:r>
      <w:bookmarkEnd w:id="34"/>
      <w:bookmarkEnd w:id="35"/>
      <w:bookmarkEnd w:id="36"/>
    </w:p>
    <w:p>
      <w:pPr>
        <w:pStyle w:val="29"/>
        <w:keepNext w:val="0"/>
        <w:keepLines w:val="0"/>
        <w:widowControl w:val="0"/>
        <w:shd w:val="clear" w:color="auto" w:fill="auto"/>
        <w:bidi w:val="0"/>
        <w:spacing w:before="0" w:after="0" w:line="240" w:lineRule="auto"/>
        <w:ind w:left="0" w:right="0" w:firstLine="0"/>
        <w:jc w:val="left"/>
        <w:rPr>
          <w:sz w:val="24"/>
          <w:szCs w:val="24"/>
        </w:rPr>
      </w:pPr>
      <w:r>
        <w:rPr>
          <w:color w:val="050100"/>
          <w:spacing w:val="0"/>
          <w:w w:val="100"/>
          <w:position w:val="0"/>
          <w:sz w:val="24"/>
          <w:szCs w:val="24"/>
        </w:rPr>
        <w:t>单位：淄博市张店区行政审批服务局本级</w:t>
      </w:r>
    </w:p>
    <w:tbl>
      <w:tblPr>
        <w:tblStyle w:val="6"/>
        <w:tblW w:w="0" w:type="auto"/>
        <w:jc w:val="center"/>
        <w:tblLayout w:type="fixed"/>
        <w:tblCellMar>
          <w:top w:w="0" w:type="dxa"/>
          <w:left w:w="10" w:type="dxa"/>
          <w:bottom w:w="0" w:type="dxa"/>
          <w:right w:w="10" w:type="dxa"/>
        </w:tblCellMar>
      </w:tblPr>
      <w:tblGrid>
        <w:gridCol w:w="1848"/>
        <w:gridCol w:w="8294"/>
        <w:gridCol w:w="1862"/>
        <w:gridCol w:w="1627"/>
      </w:tblGrid>
      <w:tr>
        <w:tblPrEx>
          <w:tblCellMar>
            <w:top w:w="0" w:type="dxa"/>
            <w:left w:w="10" w:type="dxa"/>
            <w:bottom w:w="0" w:type="dxa"/>
            <w:right w:w="10" w:type="dxa"/>
          </w:tblCellMar>
        </w:tblPrEx>
        <w:trPr>
          <w:trHeight w:val="619"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序号</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4"/>
                <w:szCs w:val="24"/>
              </w:rPr>
            </w:pPr>
            <w:r>
              <w:rPr>
                <w:color w:val="404040"/>
                <w:spacing w:val="0"/>
                <w:w w:val="100"/>
                <w:position w:val="0"/>
                <w:sz w:val="24"/>
                <w:szCs w:val="24"/>
              </w:rPr>
              <w:t>项目名称</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4"/>
                <w:szCs w:val="24"/>
              </w:rPr>
            </w:pPr>
            <w:r>
              <w:rPr>
                <w:color w:val="050100"/>
                <w:spacing w:val="0"/>
                <w:w w:val="100"/>
                <w:position w:val="0"/>
                <w:sz w:val="24"/>
                <w:szCs w:val="24"/>
              </w:rPr>
              <w:t>自评得分</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4"/>
                <w:szCs w:val="24"/>
              </w:rPr>
            </w:pPr>
            <w:r>
              <w:rPr>
                <w:color w:val="050100"/>
                <w:spacing w:val="0"/>
                <w:w w:val="100"/>
                <w:position w:val="0"/>
                <w:sz w:val="24"/>
                <w:szCs w:val="24"/>
              </w:rPr>
              <w:t>自评等级</w:t>
            </w:r>
          </w:p>
        </w:tc>
      </w:tr>
      <w:tr>
        <w:tblPrEx>
          <w:tblCellMar>
            <w:top w:w="0" w:type="dxa"/>
            <w:left w:w="10" w:type="dxa"/>
            <w:bottom w:w="0" w:type="dxa"/>
            <w:right w:w="10" w:type="dxa"/>
          </w:tblCellMar>
        </w:tblPrEx>
        <w:trPr>
          <w:trHeight w:val="480"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rPr>
              <w:t>1</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新办企业刻制印章费用</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rFonts w:hint="default" w:eastAsia="宋体"/>
                <w:sz w:val="28"/>
                <w:szCs w:val="28"/>
                <w:lang w:val="en-US" w:eastAsia="zh-CN"/>
              </w:rPr>
            </w:pPr>
            <w:r>
              <w:rPr>
                <w:rFonts w:ascii="Times New Roman" w:hAnsi="Times New Roman" w:eastAsia="Times New Roman" w:cs="Times New Roman"/>
                <w:color w:val="000000"/>
                <w:spacing w:val="0"/>
                <w:w w:val="100"/>
                <w:position w:val="0"/>
                <w:sz w:val="28"/>
                <w:szCs w:val="28"/>
                <w:lang w:val="en-US" w:eastAsia="en-US" w:bidi="en-US"/>
              </w:rPr>
              <w:t>9</w:t>
            </w:r>
            <w:r>
              <w:rPr>
                <w:rFonts w:hint="eastAsia" w:ascii="Times New Roman" w:hAnsi="Times New Roman" w:cs="Times New Roman"/>
                <w:color w:val="000000"/>
                <w:spacing w:val="0"/>
                <w:w w:val="100"/>
                <w:position w:val="0"/>
                <w:sz w:val="28"/>
                <w:szCs w:val="28"/>
                <w:lang w:val="en-US" w:eastAsia="zh-CN" w:bidi="en-US"/>
              </w:rPr>
              <w:t>8.5</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优</w:t>
            </w:r>
          </w:p>
        </w:tc>
      </w:tr>
      <w:tr>
        <w:tblPrEx>
          <w:tblCellMar>
            <w:top w:w="0" w:type="dxa"/>
            <w:left w:w="10" w:type="dxa"/>
            <w:bottom w:w="0" w:type="dxa"/>
            <w:right w:w="10" w:type="dxa"/>
          </w:tblCellMar>
        </w:tblPrEx>
        <w:trPr>
          <w:trHeight w:val="494"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rPr>
              <w:t>2</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服装经费</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620"/>
              <w:jc w:val="left"/>
              <w:rPr>
                <w:rFonts w:hint="default" w:eastAsia="宋体"/>
                <w:sz w:val="28"/>
                <w:szCs w:val="28"/>
                <w:lang w:val="en-US" w:eastAsia="zh-CN"/>
              </w:rPr>
            </w:pPr>
            <w:r>
              <w:rPr>
                <w:rFonts w:ascii="Times New Roman" w:hAnsi="Times New Roman" w:eastAsia="Times New Roman" w:cs="Times New Roman"/>
                <w:color w:val="000000"/>
                <w:spacing w:val="0"/>
                <w:w w:val="100"/>
                <w:position w:val="0"/>
                <w:sz w:val="28"/>
                <w:szCs w:val="28"/>
                <w:lang w:val="en-US" w:eastAsia="en-US" w:bidi="en-US"/>
              </w:rPr>
              <w:t xml:space="preserve">93. </w:t>
            </w:r>
            <w:r>
              <w:rPr>
                <w:rFonts w:hint="eastAsia" w:ascii="Times New Roman" w:hAnsi="Times New Roman" w:cs="Times New Roman"/>
                <w:color w:val="000000"/>
                <w:spacing w:val="0"/>
                <w:w w:val="100"/>
                <w:position w:val="0"/>
                <w:sz w:val="28"/>
                <w:szCs w:val="28"/>
                <w:lang w:val="en-US" w:eastAsia="zh-CN" w:bidi="en-US"/>
              </w:rPr>
              <w:t>81</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优</w:t>
            </w:r>
          </w:p>
        </w:tc>
      </w:tr>
      <w:tr>
        <w:tblPrEx>
          <w:tblCellMar>
            <w:top w:w="0" w:type="dxa"/>
            <w:left w:w="10" w:type="dxa"/>
            <w:bottom w:w="0" w:type="dxa"/>
            <w:right w:w="10" w:type="dxa"/>
          </w:tblCellMar>
        </w:tblPrEx>
        <w:trPr>
          <w:trHeight w:val="494"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rPr>
              <w:t>3</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证照办理费用</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620"/>
              <w:jc w:val="left"/>
              <w:rPr>
                <w:rFonts w:hint="default" w:eastAsia="宋体"/>
                <w:sz w:val="28"/>
                <w:szCs w:val="28"/>
                <w:lang w:val="en-US" w:eastAsia="zh-CN"/>
              </w:rPr>
            </w:pPr>
            <w:r>
              <w:rPr>
                <w:rFonts w:ascii="Times New Roman" w:hAnsi="Times New Roman" w:eastAsia="Times New Roman" w:cs="Times New Roman"/>
                <w:color w:val="000000"/>
                <w:spacing w:val="0"/>
                <w:w w:val="100"/>
                <w:position w:val="0"/>
                <w:sz w:val="28"/>
                <w:szCs w:val="28"/>
                <w:lang w:val="en-US" w:eastAsia="en-US" w:bidi="en-US"/>
              </w:rPr>
              <w:t xml:space="preserve">99. </w:t>
            </w:r>
            <w:r>
              <w:rPr>
                <w:rFonts w:hint="eastAsia" w:ascii="Times New Roman" w:hAnsi="Times New Roman" w:cs="Times New Roman"/>
                <w:color w:val="000000"/>
                <w:spacing w:val="0"/>
                <w:w w:val="100"/>
                <w:position w:val="0"/>
                <w:sz w:val="28"/>
                <w:szCs w:val="28"/>
                <w:lang w:val="en-US" w:eastAsia="zh-CN" w:bidi="en-US"/>
              </w:rPr>
              <w:t>88</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优</w:t>
            </w:r>
          </w:p>
        </w:tc>
      </w:tr>
      <w:tr>
        <w:tblPrEx>
          <w:tblCellMar>
            <w:top w:w="0" w:type="dxa"/>
            <w:left w:w="10" w:type="dxa"/>
            <w:bottom w:w="0" w:type="dxa"/>
            <w:right w:w="10" w:type="dxa"/>
          </w:tblCellMar>
        </w:tblPrEx>
        <w:trPr>
          <w:trHeight w:val="480"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rPr>
              <w:t>4</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政务服务大厅费用</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right="0" w:firstLine="652" w:firstLineChars="233"/>
              <w:jc w:val="left"/>
              <w:rPr>
                <w:rFonts w:hint="default" w:eastAsia="宋体"/>
                <w:sz w:val="28"/>
                <w:szCs w:val="28"/>
                <w:lang w:val="en-US" w:eastAsia="zh-CN"/>
              </w:rPr>
            </w:pPr>
            <w:r>
              <w:rPr>
                <w:rFonts w:hint="eastAsia" w:ascii="Times New Roman" w:hAnsi="Times New Roman" w:cs="Times New Roman"/>
                <w:color w:val="000000"/>
                <w:spacing w:val="0"/>
                <w:w w:val="100"/>
                <w:position w:val="0"/>
                <w:sz w:val="28"/>
                <w:szCs w:val="28"/>
                <w:lang w:val="en-US" w:eastAsia="zh-CN"/>
              </w:rPr>
              <w:t>98.14</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优</w:t>
            </w:r>
          </w:p>
        </w:tc>
      </w:tr>
      <w:tr>
        <w:tblPrEx>
          <w:tblCellMar>
            <w:top w:w="0" w:type="dxa"/>
            <w:left w:w="10" w:type="dxa"/>
            <w:bottom w:w="0" w:type="dxa"/>
            <w:right w:w="10" w:type="dxa"/>
          </w:tblCellMar>
        </w:tblPrEx>
        <w:trPr>
          <w:trHeight w:val="494"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rPr>
              <w:t>5</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行政审批服务工作经费</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620"/>
              <w:jc w:val="left"/>
              <w:rPr>
                <w:sz w:val="28"/>
                <w:szCs w:val="28"/>
              </w:rPr>
            </w:pPr>
            <w:r>
              <w:rPr>
                <w:rFonts w:ascii="Times New Roman" w:hAnsi="Times New Roman" w:eastAsia="Times New Roman" w:cs="Times New Roman"/>
                <w:color w:val="000000"/>
                <w:spacing w:val="0"/>
                <w:w w:val="100"/>
                <w:position w:val="0"/>
                <w:sz w:val="28"/>
                <w:szCs w:val="28"/>
                <w:lang w:val="en-US" w:eastAsia="en-US" w:bidi="en-US"/>
              </w:rPr>
              <w:t xml:space="preserve">99. </w:t>
            </w:r>
            <w:r>
              <w:rPr>
                <w:rFonts w:ascii="Times New Roman" w:hAnsi="Times New Roman" w:eastAsia="Times New Roman" w:cs="Times New Roman"/>
                <w:color w:val="000000"/>
                <w:spacing w:val="0"/>
                <w:w w:val="100"/>
                <w:position w:val="0"/>
                <w:sz w:val="28"/>
                <w:szCs w:val="28"/>
              </w:rPr>
              <w:t>63</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优</w:t>
            </w:r>
          </w:p>
        </w:tc>
      </w:tr>
      <w:tr>
        <w:tblPrEx>
          <w:tblCellMar>
            <w:top w:w="0" w:type="dxa"/>
            <w:left w:w="10" w:type="dxa"/>
            <w:bottom w:w="0" w:type="dxa"/>
            <w:right w:w="10" w:type="dxa"/>
          </w:tblCellMar>
        </w:tblPrEx>
        <w:trPr>
          <w:trHeight w:val="494" w:hRule="exact"/>
          <w:jc w:val="center"/>
        </w:trPr>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rPr>
              <w:t>6</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招商引资后动经费</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rPr>
              <w:t>95</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优</w:t>
            </w:r>
          </w:p>
        </w:tc>
      </w:tr>
      <w:tr>
        <w:tblPrEx>
          <w:tblCellMar>
            <w:top w:w="0" w:type="dxa"/>
            <w:left w:w="10" w:type="dxa"/>
            <w:bottom w:w="0" w:type="dxa"/>
            <w:right w:w="10" w:type="dxa"/>
          </w:tblCellMar>
        </w:tblPrEx>
        <w:trPr>
          <w:trHeight w:val="490" w:hRule="exact"/>
          <w:jc w:val="center"/>
        </w:trPr>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rPr>
              <w:t>7</w:t>
            </w: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信息化设备采购</w:t>
            </w:r>
          </w:p>
        </w:tc>
        <w:tc>
          <w:tcPr>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8"/>
                <w:szCs w:val="28"/>
              </w:rPr>
            </w:pPr>
            <w:r>
              <w:rPr>
                <w:rFonts w:ascii="Times New Roman" w:hAnsi="Times New Roman" w:eastAsia="Times New Roman" w:cs="Times New Roman"/>
                <w:color w:val="000000"/>
                <w:spacing w:val="0"/>
                <w:w w:val="100"/>
                <w:position w:val="0"/>
                <w:sz w:val="28"/>
                <w:szCs w:val="28"/>
                <w:lang w:val="en-US" w:eastAsia="en-US" w:bidi="en-US"/>
              </w:rPr>
              <w:t xml:space="preserve">99. </w:t>
            </w:r>
            <w:r>
              <w:rPr>
                <w:rFonts w:ascii="Times New Roman" w:hAnsi="Times New Roman" w:eastAsia="Times New Roman" w:cs="Times New Roman"/>
                <w:color w:val="000000"/>
                <w:spacing w:val="0"/>
                <w:w w:val="100"/>
                <w:position w:val="0"/>
                <w:sz w:val="28"/>
                <w:szCs w:val="28"/>
              </w:rPr>
              <w:t>9</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优</w:t>
            </w:r>
          </w:p>
        </w:tc>
      </w:tr>
    </w:tbl>
    <w:p>
      <w:pPr>
        <w:sectPr>
          <w:footerReference r:id="rId13" w:type="default"/>
          <w:footnotePr>
            <w:numFmt w:val="decimal"/>
          </w:footnotePr>
          <w:pgSz w:w="16840" w:h="11900" w:orient="landscape"/>
          <w:pgMar w:top="2158" w:right="1537" w:bottom="2158" w:left="1580" w:header="1730" w:footer="1730" w:gutter="0"/>
          <w:cols w:space="720" w:num="1"/>
          <w:rtlGutter w:val="0"/>
          <w:docGrid w:linePitch="360" w:charSpace="0"/>
        </w:sectPr>
      </w:pPr>
    </w:p>
    <w:p>
      <w:pPr>
        <w:pStyle w:val="31"/>
        <w:keepNext w:val="0"/>
        <w:keepLines w:val="0"/>
        <w:widowControl w:val="0"/>
        <w:shd w:val="clear" w:color="auto" w:fill="auto"/>
        <w:bidi w:val="0"/>
        <w:spacing w:before="0" w:after="120" w:line="240" w:lineRule="auto"/>
        <w:ind w:left="0" w:right="0" w:firstLine="0"/>
        <w:jc w:val="center"/>
        <w:rPr>
          <w:sz w:val="36"/>
          <w:szCs w:val="36"/>
        </w:rPr>
      </w:pPr>
      <w:r>
        <w:rPr>
          <w:color w:val="000000"/>
          <w:spacing w:val="0"/>
          <w:w w:val="100"/>
          <w:position w:val="0"/>
          <w:sz w:val="36"/>
          <w:szCs w:val="36"/>
        </w:rPr>
        <w:t>项目支出绩效自评表</w:t>
      </w:r>
    </w:p>
    <w:p>
      <w:pPr>
        <w:pStyle w:val="31"/>
        <w:keepNext w:val="0"/>
        <w:keepLines w:val="0"/>
        <w:widowControl w:val="0"/>
        <w:shd w:val="clear" w:color="auto" w:fill="auto"/>
        <w:bidi w:val="0"/>
        <w:spacing w:before="0" w:after="360" w:line="240" w:lineRule="auto"/>
        <w:ind w:left="0" w:right="0" w:firstLine="0"/>
        <w:jc w:val="center"/>
        <w:rPr>
          <w:sz w:val="20"/>
          <w:szCs w:val="20"/>
        </w:rPr>
      </w:pPr>
      <w:r>
        <w:rPr>
          <w:color w:val="000000"/>
          <w:spacing w:val="0"/>
          <w:w w:val="100"/>
          <w:position w:val="0"/>
          <w:sz w:val="20"/>
          <w:szCs w:val="20"/>
        </w:rPr>
        <w:t>（</w:t>
      </w:r>
      <w:r>
        <w:rPr>
          <w:rFonts w:ascii="Times New Roman" w:hAnsi="Times New Roman" w:eastAsia="Times New Roman" w:cs="Times New Roman"/>
          <w:color w:val="000000"/>
          <w:spacing w:val="0"/>
          <w:w w:val="100"/>
          <w:position w:val="0"/>
          <w:sz w:val="20"/>
          <w:szCs w:val="20"/>
        </w:rPr>
        <w:t>2021</w:t>
      </w:r>
      <w:r>
        <w:rPr>
          <w:color w:val="000000"/>
          <w:spacing w:val="0"/>
          <w:w w:val="100"/>
          <w:position w:val="0"/>
          <w:sz w:val="20"/>
          <w:szCs w:val="20"/>
        </w:rPr>
        <w:t>年度）</w:t>
      </w:r>
    </w:p>
    <w:tbl>
      <w:tblPr>
        <w:tblStyle w:val="6"/>
        <w:tblW w:w="0" w:type="auto"/>
        <w:jc w:val="center"/>
        <w:tblLayout w:type="fixed"/>
        <w:tblCellMar>
          <w:top w:w="0" w:type="dxa"/>
          <w:left w:w="10" w:type="dxa"/>
          <w:bottom w:w="0" w:type="dxa"/>
          <w:right w:w="10" w:type="dxa"/>
        </w:tblCellMar>
      </w:tblPr>
      <w:tblGrid>
        <w:gridCol w:w="427"/>
        <w:gridCol w:w="965"/>
        <w:gridCol w:w="134"/>
        <w:gridCol w:w="1027"/>
        <w:gridCol w:w="624"/>
        <w:gridCol w:w="1162"/>
        <w:gridCol w:w="350"/>
        <w:gridCol w:w="888"/>
        <w:gridCol w:w="888"/>
        <w:gridCol w:w="274"/>
        <w:gridCol w:w="413"/>
        <w:gridCol w:w="413"/>
        <w:gridCol w:w="350"/>
        <w:gridCol w:w="936"/>
        <w:gridCol w:w="816"/>
      </w:tblGrid>
      <w:tr>
        <w:tblPrEx>
          <w:tblCellMar>
            <w:top w:w="0" w:type="dxa"/>
            <w:left w:w="10" w:type="dxa"/>
            <w:bottom w:w="0" w:type="dxa"/>
            <w:right w:w="10" w:type="dxa"/>
          </w:tblCellMar>
        </w:tblPrEx>
        <w:trPr>
          <w:trHeight w:val="470" w:hRule="exact"/>
          <w:jc w:val="center"/>
        </w:trPr>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400"/>
              <w:jc w:val="left"/>
              <w:rPr>
                <w:sz w:val="18"/>
                <w:szCs w:val="18"/>
              </w:rPr>
            </w:pPr>
            <w:r>
              <w:rPr>
                <w:color w:val="000000"/>
                <w:spacing w:val="0"/>
                <w:w w:val="100"/>
                <w:position w:val="0"/>
                <w:sz w:val="18"/>
                <w:szCs w:val="18"/>
              </w:rPr>
              <w:t>项目名称</w:t>
            </w:r>
          </w:p>
        </w:tc>
        <w:tc>
          <w:tcPr>
            <w:gridSpan w:val="12"/>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新办企业刻制印章费用</w:t>
            </w:r>
          </w:p>
        </w:tc>
      </w:tr>
      <w:tr>
        <w:tblPrEx>
          <w:tblCellMar>
            <w:top w:w="0" w:type="dxa"/>
            <w:left w:w="10" w:type="dxa"/>
            <w:bottom w:w="0" w:type="dxa"/>
            <w:right w:w="10" w:type="dxa"/>
          </w:tblCellMar>
        </w:tblPrEx>
        <w:trPr>
          <w:trHeight w:val="638" w:hRule="exact"/>
          <w:jc w:val="center"/>
        </w:trPr>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主管部门及代码</w:t>
            </w:r>
          </w:p>
        </w:tc>
        <w:tc>
          <w:tcPr>
            <w:gridSpan w:val="5"/>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[128]</w:t>
            </w:r>
            <w:r>
              <w:rPr>
                <w:color w:val="000000"/>
                <w:spacing w:val="0"/>
                <w:w w:val="100"/>
                <w:position w:val="0"/>
                <w:sz w:val="18"/>
                <w:szCs w:val="18"/>
              </w:rPr>
              <w:t>淄博市张店区行政审批服务局</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实施单位</w:t>
            </w:r>
          </w:p>
        </w:tc>
        <w:tc>
          <w:tcPr>
            <w:gridSpan w:val="5"/>
            <w:tcBorders>
              <w:top w:val="single" w:color="auto" w:sz="4" w:space="0"/>
              <w:left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80" w:line="240" w:lineRule="auto"/>
              <w:ind w:left="0" w:right="0" w:firstLine="0"/>
              <w:jc w:val="left"/>
              <w:rPr>
                <w:sz w:val="18"/>
                <w:szCs w:val="18"/>
              </w:rPr>
            </w:pPr>
            <w:r>
              <w:rPr>
                <w:color w:val="000000"/>
                <w:spacing w:val="0"/>
                <w:w w:val="100"/>
                <w:position w:val="0"/>
                <w:sz w:val="18"/>
                <w:szCs w:val="18"/>
              </w:rPr>
              <w:t>[128001]淄博市张店区行政审批服</w:t>
            </w:r>
          </w:p>
          <w:p>
            <w:pPr>
              <w:pStyle w:val="3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务局</w:t>
            </w:r>
          </w:p>
        </w:tc>
      </w:tr>
      <w:tr>
        <w:tblPrEx>
          <w:tblCellMar>
            <w:top w:w="0" w:type="dxa"/>
            <w:left w:w="10" w:type="dxa"/>
            <w:bottom w:w="0" w:type="dxa"/>
            <w:right w:w="10" w:type="dxa"/>
          </w:tblCellMar>
        </w:tblPrEx>
        <w:trPr>
          <w:trHeight w:val="466" w:hRule="exact"/>
          <w:jc w:val="center"/>
        </w:trPr>
        <w:tc>
          <w:tcPr>
            <w:gridSpan w:val="3"/>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80" w:line="240" w:lineRule="auto"/>
              <w:ind w:left="0" w:right="0" w:firstLine="400"/>
              <w:jc w:val="left"/>
              <w:rPr>
                <w:sz w:val="18"/>
                <w:szCs w:val="18"/>
              </w:rPr>
            </w:pPr>
            <w:r>
              <w:rPr>
                <w:color w:val="000000"/>
                <w:spacing w:val="0"/>
                <w:w w:val="100"/>
                <w:position w:val="0"/>
                <w:sz w:val="18"/>
                <w:szCs w:val="18"/>
              </w:rPr>
              <w:t>项目资金</w:t>
            </w:r>
          </w:p>
          <w:p>
            <w:pPr>
              <w:pStyle w:val="31"/>
              <w:keepNext w:val="0"/>
              <w:keepLines w:val="0"/>
              <w:widowControl w:val="0"/>
              <w:shd w:val="clear" w:color="auto" w:fill="auto"/>
              <w:bidi w:val="0"/>
              <w:spacing w:before="0" w:after="0" w:line="240" w:lineRule="auto"/>
              <w:ind w:left="0" w:right="0" w:firstLine="400"/>
              <w:jc w:val="left"/>
              <w:rPr>
                <w:sz w:val="18"/>
                <w:szCs w:val="18"/>
              </w:rPr>
            </w:pPr>
            <w:r>
              <w:rPr>
                <w:color w:val="000000"/>
                <w:spacing w:val="0"/>
                <w:w w:val="100"/>
                <w:position w:val="0"/>
                <w:sz w:val="18"/>
                <w:szCs w:val="18"/>
              </w:rPr>
              <w:t>（万元）</w:t>
            </w:r>
          </w:p>
        </w:tc>
        <w:tc>
          <w:tcPr>
            <w:gridSpan w:val="2"/>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年初预算数</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全年预算数</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全年执行数</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分值</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执行率</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得分</w:t>
            </w:r>
          </w:p>
        </w:tc>
      </w:tr>
      <w:tr>
        <w:tblPrEx>
          <w:tblCellMar>
            <w:top w:w="0" w:type="dxa"/>
            <w:left w:w="10" w:type="dxa"/>
            <w:bottom w:w="0" w:type="dxa"/>
            <w:right w:w="10" w:type="dxa"/>
          </w:tblCellMar>
        </w:tblPrEx>
        <w:trPr>
          <w:trHeight w:val="466"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年度资金总额</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 xml:space="preserve">125. </w:t>
            </w:r>
            <w:r>
              <w:rPr>
                <w:color w:val="000000"/>
                <w:spacing w:val="0"/>
                <w:w w:val="100"/>
                <w:position w:val="0"/>
                <w:sz w:val="18"/>
                <w:szCs w:val="18"/>
              </w:rPr>
              <w:t>83</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125.83</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125.83</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100.00%</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w:t>
            </w:r>
          </w:p>
        </w:tc>
      </w:tr>
      <w:tr>
        <w:tblPrEx>
          <w:tblCellMar>
            <w:top w:w="0" w:type="dxa"/>
            <w:left w:w="10" w:type="dxa"/>
            <w:bottom w:w="0" w:type="dxa"/>
            <w:right w:w="10" w:type="dxa"/>
          </w:tblCellMar>
        </w:tblPrEx>
        <w:trPr>
          <w:trHeight w:val="466"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280"/>
              <w:jc w:val="left"/>
              <w:rPr>
                <w:sz w:val="18"/>
                <w:szCs w:val="18"/>
              </w:rPr>
            </w:pPr>
            <w:r>
              <w:rPr>
                <w:color w:val="000000"/>
                <w:spacing w:val="0"/>
                <w:w w:val="100"/>
                <w:position w:val="0"/>
                <w:sz w:val="18"/>
                <w:szCs w:val="18"/>
              </w:rPr>
              <w:t>其中：财政拨款</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125.</w:t>
            </w:r>
            <w:r>
              <w:rPr>
                <w:color w:val="000000"/>
                <w:spacing w:val="0"/>
                <w:w w:val="100"/>
                <w:position w:val="0"/>
                <w:sz w:val="18"/>
                <w:szCs w:val="18"/>
              </w:rPr>
              <w:t>83</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125.83</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125.83</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100.00%</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466"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460"/>
              <w:jc w:val="left"/>
              <w:rPr>
                <w:sz w:val="18"/>
                <w:szCs w:val="18"/>
              </w:rPr>
            </w:pPr>
            <w:r>
              <w:rPr>
                <w:color w:val="050100"/>
                <w:spacing w:val="0"/>
                <w:w w:val="100"/>
                <w:position w:val="0"/>
                <w:sz w:val="18"/>
                <w:szCs w:val="18"/>
              </w:rPr>
              <w:t>上年结转资金</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466"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820"/>
              <w:jc w:val="left"/>
              <w:rPr>
                <w:sz w:val="18"/>
                <w:szCs w:val="18"/>
              </w:rPr>
            </w:pPr>
            <w:r>
              <w:rPr>
                <w:color w:val="000000"/>
                <w:spacing w:val="0"/>
                <w:w w:val="100"/>
                <w:position w:val="0"/>
                <w:sz w:val="18"/>
                <w:szCs w:val="18"/>
              </w:rPr>
              <w:t>其他资金</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466" w:hRule="exact"/>
          <w:jc w:val="center"/>
        </w:trPr>
        <w:tc>
          <w:tcPr>
            <w:gridSpan w:val="15"/>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项目绩效年度目标</w:t>
            </w:r>
          </w:p>
        </w:tc>
      </w:tr>
      <w:tr>
        <w:tblPrEx>
          <w:tblCellMar>
            <w:top w:w="0" w:type="dxa"/>
            <w:left w:w="10" w:type="dxa"/>
            <w:bottom w:w="0" w:type="dxa"/>
            <w:right w:w="10" w:type="dxa"/>
          </w:tblCellMar>
        </w:tblPrEx>
        <w:trPr>
          <w:trHeight w:val="461" w:hRule="exact"/>
          <w:jc w:val="center"/>
        </w:trPr>
        <w:tc>
          <w:tcPr>
            <w:vMerge w:val="restart"/>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98" w:lineRule="exact"/>
              <w:ind w:left="0" w:right="0" w:firstLine="0"/>
              <w:jc w:val="left"/>
              <w:rPr>
                <w:sz w:val="18"/>
                <w:szCs w:val="18"/>
              </w:rPr>
            </w:pPr>
            <w:r>
              <w:rPr>
                <w:color w:val="000000"/>
                <w:spacing w:val="0"/>
                <w:w w:val="100"/>
                <w:position w:val="0"/>
                <w:sz w:val="18"/>
                <w:szCs w:val="18"/>
              </w:rPr>
              <w:t>年 度 总 体 目 标</w:t>
            </w:r>
          </w:p>
        </w:tc>
        <w:tc>
          <w:tcPr>
            <w:gridSpan w:val="7"/>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预期目标</w:t>
            </w:r>
          </w:p>
        </w:tc>
        <w:tc>
          <w:tcPr>
            <w:gridSpan w:val="7"/>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实际完成情况</w:t>
            </w:r>
          </w:p>
        </w:tc>
      </w:tr>
      <w:tr>
        <w:tblPrEx>
          <w:tblCellMar>
            <w:top w:w="0" w:type="dxa"/>
            <w:left w:w="10" w:type="dxa"/>
            <w:bottom w:w="0" w:type="dxa"/>
            <w:right w:w="10" w:type="dxa"/>
          </w:tblCellMar>
        </w:tblPrEx>
        <w:trPr>
          <w:trHeight w:val="1378" w:hRule="exact"/>
          <w:jc w:val="center"/>
        </w:trPr>
        <w:tc>
          <w:tcPr>
            <w:vMerge w:val="continue"/>
            <w:tcBorders>
              <w:left w:val="single" w:color="auto" w:sz="4" w:space="0"/>
            </w:tcBorders>
            <w:shd w:val="clear" w:color="auto" w:fill="FFFFFF"/>
            <w:vAlign w:val="bottom"/>
          </w:tcPr>
          <w:p/>
        </w:tc>
        <w:tc>
          <w:tcPr>
            <w:gridSpan w:val="7"/>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302" w:lineRule="exact"/>
              <w:ind w:left="0" w:right="0" w:firstLine="0"/>
              <w:jc w:val="left"/>
              <w:rPr>
                <w:sz w:val="18"/>
                <w:szCs w:val="18"/>
              </w:rPr>
            </w:pPr>
            <w:r>
              <w:rPr>
                <w:color w:val="000000"/>
                <w:spacing w:val="0"/>
                <w:w w:val="100"/>
                <w:position w:val="0"/>
                <w:sz w:val="18"/>
                <w:szCs w:val="18"/>
              </w:rPr>
              <w:t>为新办企业提供免费刻制印章服务，深化</w:t>
            </w:r>
            <w:r>
              <w:rPr>
                <w:color w:val="000000"/>
                <w:spacing w:val="0"/>
                <w:w w:val="100"/>
                <w:position w:val="0"/>
                <w:sz w:val="18"/>
                <w:szCs w:val="18"/>
                <w:lang w:val="zh-CN" w:eastAsia="zh-CN" w:bidi="zh-CN"/>
              </w:rPr>
              <w:t>“一次</w:t>
            </w:r>
            <w:r>
              <w:rPr>
                <w:color w:val="000000"/>
                <w:spacing w:val="0"/>
                <w:w w:val="100"/>
                <w:position w:val="0"/>
                <w:sz w:val="18"/>
                <w:szCs w:val="18"/>
              </w:rPr>
              <w:t>办好”改革， 优化营商环境，提高企业满意度，建立服务型政府。</w:t>
            </w:r>
          </w:p>
        </w:tc>
        <w:tc>
          <w:tcPr>
            <w:gridSpan w:val="7"/>
            <w:tcBorders>
              <w:top w:val="single" w:color="auto" w:sz="4" w:space="0"/>
              <w:left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302" w:lineRule="exact"/>
              <w:ind w:left="0" w:right="0" w:firstLine="0"/>
              <w:jc w:val="left"/>
              <w:rPr>
                <w:sz w:val="18"/>
                <w:szCs w:val="18"/>
              </w:rPr>
            </w:pPr>
            <w:r>
              <w:rPr>
                <w:color w:val="000000"/>
                <w:spacing w:val="0"/>
                <w:w w:val="100"/>
                <w:position w:val="0"/>
                <w:sz w:val="18"/>
                <w:szCs w:val="18"/>
              </w:rPr>
              <w:t>用于新办企业刻制印章费用，节约了企业成本， 提高了企业满意度。</w:t>
            </w:r>
          </w:p>
        </w:tc>
      </w:tr>
      <w:tr>
        <w:tblPrEx>
          <w:tblCellMar>
            <w:top w:w="0" w:type="dxa"/>
            <w:left w:w="10" w:type="dxa"/>
            <w:bottom w:w="0" w:type="dxa"/>
            <w:right w:w="10" w:type="dxa"/>
          </w:tblCellMar>
        </w:tblPrEx>
        <w:trPr>
          <w:trHeight w:val="638" w:hRule="exact"/>
          <w:jc w:val="center"/>
        </w:trPr>
        <w:tc>
          <w:tcPr>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100" w:line="298" w:lineRule="exact"/>
              <w:ind w:left="0" w:right="0" w:firstLine="0"/>
              <w:jc w:val="left"/>
              <w:rPr>
                <w:sz w:val="18"/>
                <w:szCs w:val="18"/>
              </w:rPr>
            </w:pPr>
            <w:r>
              <w:rPr>
                <w:color w:val="000000"/>
                <w:spacing w:val="0"/>
                <w:w w:val="100"/>
                <w:position w:val="0"/>
                <w:sz w:val="18"/>
                <w:szCs w:val="18"/>
              </w:rPr>
              <w:t>年 度 绩 效 指 标</w:t>
            </w:r>
          </w:p>
          <w:p>
            <w:pPr>
              <w:pStyle w:val="31"/>
              <w:keepNext w:val="0"/>
              <w:keepLines w:val="0"/>
              <w:widowControl w:val="0"/>
              <w:shd w:val="clear" w:color="auto" w:fill="auto"/>
              <w:bidi w:val="0"/>
              <w:spacing w:before="0" w:after="0" w:line="298" w:lineRule="exact"/>
              <w:ind w:left="0" w:right="0" w:firstLine="200"/>
              <w:jc w:val="left"/>
              <w:rPr>
                <w:sz w:val="18"/>
                <w:szCs w:val="18"/>
              </w:rPr>
            </w:pPr>
            <w:r>
              <w:rPr>
                <w:color w:val="000000"/>
                <w:spacing w:val="0"/>
                <w:w w:val="100"/>
                <w:position w:val="0"/>
                <w:sz w:val="18"/>
                <w:szCs w:val="18"/>
              </w:rPr>
              <w:t>（</w:t>
            </w:r>
          </w:p>
          <w:p>
            <w:pPr>
              <w:pStyle w:val="31"/>
              <w:keepNext w:val="0"/>
              <w:keepLines w:val="0"/>
              <w:widowControl w:val="0"/>
              <w:shd w:val="clear" w:color="auto" w:fill="auto"/>
              <w:bidi w:val="0"/>
              <w:spacing w:before="0" w:after="100" w:line="322" w:lineRule="exact"/>
              <w:ind w:left="0" w:right="0" w:firstLine="0"/>
              <w:jc w:val="left"/>
              <w:rPr>
                <w:sz w:val="18"/>
                <w:szCs w:val="18"/>
              </w:rPr>
            </w:pPr>
            <w:r>
              <w:rPr>
                <w:color w:val="000000"/>
                <w:spacing w:val="0"/>
                <w:w w:val="100"/>
                <w:position w:val="0"/>
                <w:sz w:val="18"/>
                <w:szCs w:val="18"/>
              </w:rPr>
              <w:t>90 分</w:t>
            </w:r>
          </w:p>
          <w:p>
            <w:pPr>
              <w:pStyle w:val="31"/>
              <w:keepNext w:val="0"/>
              <w:keepLines w:val="0"/>
              <w:widowControl w:val="0"/>
              <w:shd w:val="clear" w:color="auto" w:fill="auto"/>
              <w:bidi w:val="0"/>
              <w:spacing w:before="0" w:after="100" w:line="298" w:lineRule="exact"/>
              <w:ind w:left="0" w:right="0" w:firstLine="0"/>
              <w:jc w:val="left"/>
              <w:rPr>
                <w:sz w:val="18"/>
                <w:szCs w:val="18"/>
              </w:rPr>
            </w:pPr>
            <w:r>
              <w:rPr>
                <w:color w:val="000000"/>
                <w:spacing w:val="0"/>
                <w:w w:val="100"/>
                <w:position w:val="0"/>
                <w:sz w:val="18"/>
                <w:szCs w:val="18"/>
              </w:rPr>
              <w:t>）</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一级指标</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220"/>
              <w:jc w:val="left"/>
              <w:rPr>
                <w:sz w:val="18"/>
                <w:szCs w:val="18"/>
              </w:rPr>
            </w:pPr>
            <w:r>
              <w:rPr>
                <w:color w:val="050100"/>
                <w:spacing w:val="0"/>
                <w:w w:val="100"/>
                <w:position w:val="0"/>
                <w:sz w:val="18"/>
                <w:szCs w:val="18"/>
              </w:rPr>
              <w:t>二级指标</w:t>
            </w:r>
          </w:p>
        </w:tc>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三级指标</w:t>
            </w:r>
          </w:p>
        </w:tc>
        <w:tc>
          <w:tcPr>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30" w:lineRule="exact"/>
              <w:ind w:left="0" w:right="0" w:firstLine="0"/>
              <w:jc w:val="center"/>
              <w:rPr>
                <w:sz w:val="18"/>
                <w:szCs w:val="18"/>
              </w:rPr>
            </w:pPr>
            <w:r>
              <w:rPr>
                <w:color w:val="050100"/>
                <w:spacing w:val="0"/>
                <w:w w:val="100"/>
                <w:position w:val="0"/>
                <w:sz w:val="18"/>
                <w:szCs w:val="18"/>
              </w:rPr>
              <w:t>年度指 标值</w:t>
            </w:r>
          </w:p>
        </w:tc>
        <w:tc>
          <w:tcPr>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302" w:lineRule="exact"/>
              <w:ind w:left="0" w:right="0" w:firstLine="0"/>
              <w:jc w:val="center"/>
              <w:rPr>
                <w:sz w:val="18"/>
                <w:szCs w:val="18"/>
              </w:rPr>
            </w:pPr>
            <w:r>
              <w:rPr>
                <w:color w:val="050100"/>
                <w:spacing w:val="0"/>
                <w:w w:val="100"/>
                <w:position w:val="0"/>
                <w:sz w:val="18"/>
                <w:szCs w:val="18"/>
              </w:rPr>
              <w:t>实际完 成值</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分值</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得分</w:t>
            </w:r>
          </w:p>
        </w:tc>
        <w:tc>
          <w:tcPr>
            <w:gridSpan w:val="2"/>
            <w:tcBorders>
              <w:top w:val="single" w:color="auto" w:sz="4" w:space="0"/>
              <w:left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302" w:lineRule="exact"/>
              <w:ind w:left="0" w:right="0" w:firstLine="0"/>
              <w:jc w:val="center"/>
              <w:rPr>
                <w:sz w:val="18"/>
                <w:szCs w:val="18"/>
              </w:rPr>
            </w:pPr>
            <w:r>
              <w:rPr>
                <w:color w:val="050100"/>
                <w:spacing w:val="0"/>
                <w:w w:val="100"/>
                <w:position w:val="0"/>
                <w:sz w:val="18"/>
                <w:szCs w:val="18"/>
              </w:rPr>
              <w:t>偏差原因分析及改 进措施</w:t>
            </w:r>
          </w:p>
        </w:tc>
      </w:tr>
      <w:tr>
        <w:tblPrEx>
          <w:tblCellMar>
            <w:top w:w="0" w:type="dxa"/>
            <w:left w:w="10" w:type="dxa"/>
            <w:bottom w:w="0" w:type="dxa"/>
            <w:right w:w="10" w:type="dxa"/>
          </w:tblCellMar>
        </w:tblPrEx>
        <w:trPr>
          <w:trHeight w:val="2141" w:hRule="exact"/>
          <w:jc w:val="center"/>
        </w:trPr>
        <w:tc>
          <w:tcPr>
            <w:vMerge w:val="continue"/>
            <w:tcBorders>
              <w:left w:val="single" w:color="auto" w:sz="4" w:space="0"/>
            </w:tcBorders>
            <w:shd w:val="clear" w:color="auto" w:fill="FFFFFF"/>
            <w:vAlign w:val="center"/>
          </w:tcPr>
          <w:p/>
        </w:tc>
        <w:tc>
          <w:tcPr>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60" w:line="240" w:lineRule="auto"/>
              <w:ind w:left="0" w:right="0" w:firstLine="0"/>
              <w:jc w:val="left"/>
              <w:rPr>
                <w:sz w:val="18"/>
                <w:szCs w:val="18"/>
              </w:rPr>
            </w:pPr>
            <w:r>
              <w:rPr>
                <w:color w:val="050100"/>
                <w:spacing w:val="0"/>
                <w:w w:val="100"/>
                <w:position w:val="0"/>
                <w:sz w:val="18"/>
                <w:szCs w:val="18"/>
              </w:rPr>
              <w:t>项目产出</w:t>
            </w:r>
          </w:p>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（50 分）</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数量指标</w:t>
            </w:r>
          </w:p>
        </w:tc>
        <w:tc>
          <w:tcPr>
            <w:gridSpan w:val="3"/>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刻章数量（套）</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8000</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7200</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13.5</w:t>
            </w:r>
          </w:p>
        </w:tc>
        <w:tc>
          <w:tcPr>
            <w:gridSpan w:val="2"/>
            <w:tcBorders>
              <w:top w:val="single" w:color="auto" w:sz="4" w:space="0"/>
              <w:left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93" w:lineRule="exact"/>
              <w:ind w:left="0" w:right="0" w:firstLine="0"/>
              <w:jc w:val="both"/>
              <w:rPr>
                <w:sz w:val="18"/>
                <w:szCs w:val="18"/>
              </w:rPr>
            </w:pPr>
            <w:r>
              <w:rPr>
                <w:color w:val="000000"/>
                <w:spacing w:val="0"/>
                <w:w w:val="100"/>
                <w:position w:val="0"/>
                <w:sz w:val="18"/>
                <w:szCs w:val="18"/>
              </w:rPr>
              <w:t>原因分析：根据单 位实际情况，实际 刻章数量未达到 8000 套。</w:t>
            </w:r>
          </w:p>
          <w:p>
            <w:pPr>
              <w:pStyle w:val="31"/>
              <w:keepNext w:val="0"/>
              <w:keepLines w:val="0"/>
              <w:widowControl w:val="0"/>
              <w:shd w:val="clear" w:color="auto" w:fill="auto"/>
              <w:bidi w:val="0"/>
              <w:spacing w:before="0" w:after="0" w:line="302" w:lineRule="exact"/>
              <w:ind w:left="0" w:right="0" w:firstLine="0"/>
              <w:jc w:val="both"/>
              <w:rPr>
                <w:sz w:val="18"/>
                <w:szCs w:val="18"/>
              </w:rPr>
            </w:pPr>
            <w:r>
              <w:rPr>
                <w:color w:val="000000"/>
                <w:spacing w:val="0"/>
                <w:w w:val="100"/>
                <w:position w:val="0"/>
                <w:sz w:val="18"/>
                <w:szCs w:val="18"/>
              </w:rPr>
              <w:t>改进措施：按照实 际刻章数量进行费 用拨付。</w:t>
            </w:r>
          </w:p>
        </w:tc>
      </w:tr>
      <w:tr>
        <w:tblPrEx>
          <w:tblCellMar>
            <w:top w:w="0" w:type="dxa"/>
            <w:left w:w="10" w:type="dxa"/>
            <w:bottom w:w="0" w:type="dxa"/>
            <w:right w:w="10" w:type="dxa"/>
          </w:tblCellMar>
        </w:tblPrEx>
        <w:trPr>
          <w:trHeight w:val="466"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时效指标</w:t>
            </w:r>
          </w:p>
        </w:tc>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按时完成刻制公章</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66"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质量指标</w:t>
            </w:r>
          </w:p>
        </w:tc>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刻制印章合格率</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rPr>
              <w:t>&gt;</w:t>
            </w:r>
            <w:r>
              <w:rPr>
                <w:color w:val="050100"/>
                <w:spacing w:val="0"/>
                <w:w w:val="100"/>
                <w:position w:val="0"/>
                <w:sz w:val="18"/>
                <w:szCs w:val="18"/>
              </w:rPr>
              <w:t>95%</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100%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38"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成本指标</w:t>
            </w:r>
          </w:p>
        </w:tc>
        <w:tc>
          <w:tcPr>
            <w:gridSpan w:val="3"/>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80" w:line="240" w:lineRule="auto"/>
              <w:ind w:left="0" w:right="0" w:firstLine="0"/>
              <w:jc w:val="left"/>
              <w:rPr>
                <w:sz w:val="18"/>
                <w:szCs w:val="18"/>
              </w:rPr>
            </w:pPr>
            <w:r>
              <w:rPr>
                <w:color w:val="050100"/>
                <w:spacing w:val="0"/>
                <w:w w:val="100"/>
                <w:position w:val="0"/>
                <w:sz w:val="18"/>
                <w:szCs w:val="18"/>
              </w:rPr>
              <w:t>新办企业刻制印章费用</w:t>
            </w:r>
          </w:p>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（万元）</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lang w:val="en-US" w:eastAsia="en-US" w:bidi="en-US"/>
              </w:rPr>
              <w:t>&lt;</w:t>
            </w:r>
            <w:r>
              <w:rPr>
                <w:color w:val="050100"/>
                <w:spacing w:val="0"/>
                <w:w w:val="100"/>
                <w:position w:val="0"/>
                <w:sz w:val="18"/>
                <w:szCs w:val="18"/>
                <w:lang w:val="en-US" w:eastAsia="en-US" w:bidi="en-US"/>
              </w:rPr>
              <w:t xml:space="preserve">125. </w:t>
            </w:r>
            <w:r>
              <w:rPr>
                <w:color w:val="050100"/>
                <w:spacing w:val="0"/>
                <w:w w:val="100"/>
                <w:position w:val="0"/>
                <w:sz w:val="18"/>
                <w:szCs w:val="18"/>
              </w:rPr>
              <w:t>83</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125.83</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38" w:hRule="exact"/>
          <w:jc w:val="center"/>
        </w:trPr>
        <w:tc>
          <w:tcPr>
            <w:vMerge w:val="continue"/>
            <w:tcBorders>
              <w:left w:val="single" w:color="auto" w:sz="4" w:space="0"/>
            </w:tcBorders>
            <w:shd w:val="clear" w:color="auto" w:fill="FFFFFF"/>
            <w:vAlign w:val="center"/>
          </w:tcPr>
          <w:p/>
        </w:tc>
        <w:tc>
          <w:tcPr>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80" w:line="240" w:lineRule="auto"/>
              <w:ind w:left="0" w:right="0" w:firstLine="0"/>
              <w:jc w:val="left"/>
              <w:rPr>
                <w:sz w:val="18"/>
                <w:szCs w:val="18"/>
              </w:rPr>
            </w:pPr>
            <w:r>
              <w:rPr>
                <w:color w:val="050100"/>
                <w:spacing w:val="0"/>
                <w:w w:val="100"/>
                <w:position w:val="0"/>
                <w:sz w:val="18"/>
                <w:szCs w:val="18"/>
              </w:rPr>
              <w:t>项目效益</w:t>
            </w:r>
          </w:p>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（30 分）</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经济效益</w:t>
            </w:r>
          </w:p>
        </w:tc>
        <w:tc>
          <w:tcPr>
            <w:gridSpan w:val="3"/>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98" w:lineRule="exact"/>
              <w:ind w:left="0" w:right="0" w:firstLine="0"/>
              <w:jc w:val="left"/>
              <w:rPr>
                <w:sz w:val="18"/>
                <w:szCs w:val="18"/>
              </w:rPr>
            </w:pPr>
            <w:r>
              <w:rPr>
                <w:color w:val="050100"/>
                <w:spacing w:val="0"/>
                <w:w w:val="100"/>
                <w:position w:val="0"/>
                <w:sz w:val="18"/>
                <w:szCs w:val="18"/>
              </w:rPr>
              <w:t>提高政府的公共管理效 率和降低政府管理成本</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43"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社会效益</w:t>
            </w:r>
          </w:p>
        </w:tc>
        <w:tc>
          <w:tcPr>
            <w:gridSpan w:val="3"/>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98" w:lineRule="exact"/>
              <w:ind w:left="0" w:right="0" w:firstLine="0"/>
              <w:jc w:val="left"/>
              <w:rPr>
                <w:sz w:val="18"/>
                <w:szCs w:val="18"/>
              </w:rPr>
            </w:pPr>
            <w:r>
              <w:rPr>
                <w:color w:val="050100"/>
                <w:spacing w:val="0"/>
                <w:w w:val="100"/>
                <w:position w:val="0"/>
                <w:sz w:val="18"/>
                <w:szCs w:val="18"/>
              </w:rPr>
              <w:t>深化</w:t>
            </w:r>
            <w:r>
              <w:rPr>
                <w:color w:val="050100"/>
                <w:spacing w:val="0"/>
                <w:w w:val="100"/>
                <w:position w:val="0"/>
                <w:sz w:val="18"/>
                <w:szCs w:val="18"/>
                <w:lang w:val="zh-CN" w:eastAsia="zh-CN" w:bidi="zh-CN"/>
              </w:rPr>
              <w:t>“一次</w:t>
            </w:r>
            <w:r>
              <w:rPr>
                <w:color w:val="050100"/>
                <w:spacing w:val="0"/>
                <w:w w:val="100"/>
                <w:position w:val="0"/>
                <w:sz w:val="18"/>
                <w:szCs w:val="18"/>
              </w:rPr>
              <w:t>办好”改革， 优化业务办理流程</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38"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可持续影响</w:t>
            </w:r>
          </w:p>
        </w:tc>
        <w:tc>
          <w:tcPr>
            <w:gridSpan w:val="3"/>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307" w:lineRule="exact"/>
              <w:ind w:left="0" w:right="0" w:firstLine="0"/>
              <w:jc w:val="left"/>
              <w:rPr>
                <w:sz w:val="18"/>
                <w:szCs w:val="18"/>
              </w:rPr>
            </w:pPr>
            <w:r>
              <w:rPr>
                <w:color w:val="050100"/>
                <w:spacing w:val="0"/>
                <w:w w:val="100"/>
                <w:position w:val="0"/>
                <w:sz w:val="18"/>
                <w:szCs w:val="18"/>
              </w:rPr>
              <w:t>提升行政审批运行效能， 方便群众办事</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941" w:hRule="exact"/>
          <w:jc w:val="center"/>
        </w:trPr>
        <w:tc>
          <w:tcPr>
            <w:vMerge w:val="continue"/>
            <w:tcBorders>
              <w:left w:val="single" w:color="auto" w:sz="4" w:space="0"/>
            </w:tcBorders>
            <w:shd w:val="clear" w:color="auto" w:fill="FFFFFF"/>
            <w:vAlign w:val="center"/>
          </w:tcP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93" w:lineRule="exact"/>
              <w:ind w:left="0" w:right="0" w:firstLine="0"/>
              <w:jc w:val="left"/>
              <w:rPr>
                <w:sz w:val="18"/>
                <w:szCs w:val="18"/>
              </w:rPr>
            </w:pPr>
            <w:r>
              <w:rPr>
                <w:color w:val="050100"/>
                <w:spacing w:val="0"/>
                <w:w w:val="100"/>
                <w:position w:val="0"/>
                <w:sz w:val="18"/>
                <w:szCs w:val="18"/>
              </w:rPr>
              <w:t>满意度指 标（10分）</w:t>
            </w:r>
          </w:p>
        </w:tc>
        <w:tc>
          <w:tcPr>
            <w:gridSpan w:val="2"/>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93" w:lineRule="exact"/>
              <w:ind w:left="0" w:right="0" w:firstLine="0"/>
              <w:jc w:val="left"/>
              <w:rPr>
                <w:sz w:val="18"/>
                <w:szCs w:val="18"/>
              </w:rPr>
            </w:pPr>
            <w:r>
              <w:rPr>
                <w:color w:val="050100"/>
                <w:spacing w:val="0"/>
                <w:w w:val="100"/>
                <w:position w:val="0"/>
                <w:sz w:val="18"/>
                <w:szCs w:val="18"/>
              </w:rPr>
              <w:t>社会公众或 服务对象满 意度</w:t>
            </w:r>
          </w:p>
        </w:tc>
        <w:tc>
          <w:tcPr>
            <w:gridSpan w:val="3"/>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服务对象满意度</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rPr>
              <w:t>&gt;</w:t>
            </w:r>
            <w:r>
              <w:rPr>
                <w:color w:val="050100"/>
                <w:spacing w:val="0"/>
                <w:w w:val="100"/>
                <w:position w:val="0"/>
                <w:sz w:val="18"/>
                <w:szCs w:val="18"/>
              </w:rPr>
              <w:t>95%</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98%</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70" w:hRule="exact"/>
          <w:jc w:val="center"/>
        </w:trPr>
        <w:tc>
          <w:tcPr>
            <w:gridSpan w:val="9"/>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总分</w:t>
            </w:r>
          </w:p>
        </w:tc>
        <w:tc>
          <w:tcPr>
            <w:gridSpan w:val="2"/>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w:t>
            </w:r>
          </w:p>
        </w:tc>
        <w:tc>
          <w:tcPr>
            <w:gridSpan w:val="2"/>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98.5</w:t>
            </w:r>
          </w:p>
        </w:tc>
        <w:tc>
          <w:tcPr>
            <w:gridSpan w:val="2"/>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spacing w:line="1" w:lineRule="exact"/>
        <w:rPr>
          <w:sz w:val="2"/>
          <w:szCs w:val="2"/>
        </w:rPr>
      </w:pPr>
      <w:r>
        <w:br w:type="page"/>
      </w:r>
    </w:p>
    <w:p>
      <w:pPr>
        <w:pStyle w:val="31"/>
        <w:keepNext w:val="0"/>
        <w:keepLines w:val="0"/>
        <w:widowControl w:val="0"/>
        <w:shd w:val="clear" w:color="auto" w:fill="auto"/>
        <w:bidi w:val="0"/>
        <w:spacing w:before="0" w:after="120" w:line="240" w:lineRule="auto"/>
        <w:ind w:left="0" w:right="0" w:firstLine="0"/>
        <w:jc w:val="center"/>
        <w:rPr>
          <w:sz w:val="36"/>
          <w:szCs w:val="36"/>
        </w:rPr>
      </w:pPr>
      <w:r>
        <w:rPr>
          <w:color w:val="000000"/>
          <w:spacing w:val="0"/>
          <w:w w:val="100"/>
          <w:position w:val="0"/>
          <w:sz w:val="36"/>
          <w:szCs w:val="36"/>
        </w:rPr>
        <w:t>项目支出绩效自评表</w:t>
      </w:r>
    </w:p>
    <w:p>
      <w:pPr>
        <w:pStyle w:val="31"/>
        <w:keepNext w:val="0"/>
        <w:keepLines w:val="0"/>
        <w:widowControl w:val="0"/>
        <w:shd w:val="clear" w:color="auto" w:fill="auto"/>
        <w:bidi w:val="0"/>
        <w:spacing w:before="0" w:after="40" w:line="240" w:lineRule="auto"/>
        <w:ind w:left="0" w:right="0" w:firstLine="0"/>
        <w:jc w:val="center"/>
        <w:rPr>
          <w:sz w:val="20"/>
          <w:szCs w:val="20"/>
        </w:rPr>
      </w:pPr>
      <w:r>
        <w:rPr>
          <w:color w:val="000000"/>
          <w:spacing w:val="0"/>
          <w:w w:val="100"/>
          <w:position w:val="0"/>
          <w:sz w:val="20"/>
          <w:szCs w:val="20"/>
        </w:rPr>
        <w:t>（</w:t>
      </w:r>
      <w:r>
        <w:rPr>
          <w:rFonts w:ascii="Times New Roman" w:hAnsi="Times New Roman" w:eastAsia="Times New Roman" w:cs="Times New Roman"/>
          <w:color w:val="000000"/>
          <w:spacing w:val="0"/>
          <w:w w:val="100"/>
          <w:position w:val="0"/>
          <w:sz w:val="20"/>
          <w:szCs w:val="20"/>
        </w:rPr>
        <w:t>2021</w:t>
      </w:r>
      <w:r>
        <w:rPr>
          <w:color w:val="000000"/>
          <w:spacing w:val="0"/>
          <w:w w:val="100"/>
          <w:position w:val="0"/>
          <w:sz w:val="20"/>
          <w:szCs w:val="20"/>
        </w:rPr>
        <w:t>年度）</w:t>
      </w:r>
    </w:p>
    <w:tbl>
      <w:tblPr>
        <w:tblStyle w:val="6"/>
        <w:tblW w:w="0" w:type="auto"/>
        <w:jc w:val="center"/>
        <w:tblLayout w:type="fixed"/>
        <w:tblCellMar>
          <w:top w:w="0" w:type="dxa"/>
          <w:left w:w="10" w:type="dxa"/>
          <w:bottom w:w="0" w:type="dxa"/>
          <w:right w:w="10" w:type="dxa"/>
        </w:tblCellMar>
      </w:tblPr>
      <w:tblGrid>
        <w:gridCol w:w="427"/>
        <w:gridCol w:w="965"/>
        <w:gridCol w:w="134"/>
        <w:gridCol w:w="1027"/>
        <w:gridCol w:w="624"/>
        <w:gridCol w:w="1162"/>
        <w:gridCol w:w="350"/>
        <w:gridCol w:w="888"/>
        <w:gridCol w:w="888"/>
        <w:gridCol w:w="274"/>
        <w:gridCol w:w="413"/>
        <w:gridCol w:w="413"/>
        <w:gridCol w:w="350"/>
        <w:gridCol w:w="936"/>
        <w:gridCol w:w="816"/>
      </w:tblGrid>
      <w:tr>
        <w:tblPrEx>
          <w:tblCellMar>
            <w:top w:w="0" w:type="dxa"/>
            <w:left w:w="10" w:type="dxa"/>
            <w:bottom w:w="0" w:type="dxa"/>
            <w:right w:w="10" w:type="dxa"/>
          </w:tblCellMar>
        </w:tblPrEx>
        <w:trPr>
          <w:trHeight w:val="398" w:hRule="exact"/>
          <w:jc w:val="center"/>
        </w:trPr>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400"/>
              <w:jc w:val="left"/>
              <w:rPr>
                <w:sz w:val="18"/>
                <w:szCs w:val="18"/>
              </w:rPr>
            </w:pPr>
            <w:r>
              <w:rPr>
                <w:color w:val="000000"/>
                <w:spacing w:val="0"/>
                <w:w w:val="100"/>
                <w:position w:val="0"/>
                <w:sz w:val="18"/>
                <w:szCs w:val="18"/>
              </w:rPr>
              <w:t>项目名称</w:t>
            </w:r>
          </w:p>
        </w:tc>
        <w:tc>
          <w:tcPr>
            <w:gridSpan w:val="12"/>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服装经费</w:t>
            </w:r>
          </w:p>
        </w:tc>
      </w:tr>
      <w:tr>
        <w:tblPrEx>
          <w:tblCellMar>
            <w:top w:w="0" w:type="dxa"/>
            <w:left w:w="10" w:type="dxa"/>
            <w:bottom w:w="0" w:type="dxa"/>
            <w:right w:w="10" w:type="dxa"/>
          </w:tblCellMar>
        </w:tblPrEx>
        <w:trPr>
          <w:trHeight w:val="643" w:hRule="exact"/>
          <w:jc w:val="center"/>
        </w:trPr>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主管部门及代码</w:t>
            </w:r>
          </w:p>
        </w:tc>
        <w:tc>
          <w:tcPr>
            <w:gridSpan w:val="5"/>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[128]</w:t>
            </w:r>
            <w:r>
              <w:rPr>
                <w:color w:val="000000"/>
                <w:spacing w:val="0"/>
                <w:w w:val="100"/>
                <w:position w:val="0"/>
                <w:sz w:val="18"/>
                <w:szCs w:val="18"/>
              </w:rPr>
              <w:t>淄博市张店区行政审批服务局</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实施单位</w:t>
            </w:r>
          </w:p>
        </w:tc>
        <w:tc>
          <w:tcPr>
            <w:gridSpan w:val="5"/>
            <w:tcBorders>
              <w:top w:val="single" w:color="auto" w:sz="4" w:space="0"/>
              <w:left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80" w:line="240" w:lineRule="auto"/>
              <w:ind w:left="0" w:right="0" w:firstLine="0"/>
              <w:jc w:val="left"/>
              <w:rPr>
                <w:sz w:val="18"/>
                <w:szCs w:val="18"/>
              </w:rPr>
            </w:pPr>
            <w:r>
              <w:rPr>
                <w:color w:val="000000"/>
                <w:spacing w:val="0"/>
                <w:w w:val="100"/>
                <w:position w:val="0"/>
                <w:sz w:val="18"/>
                <w:szCs w:val="18"/>
              </w:rPr>
              <w:t>[128001]淄博市张店区行政审批服</w:t>
            </w:r>
          </w:p>
          <w:p>
            <w:pPr>
              <w:pStyle w:val="3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务局</w:t>
            </w:r>
          </w:p>
        </w:tc>
      </w:tr>
      <w:tr>
        <w:tblPrEx>
          <w:tblCellMar>
            <w:top w:w="0" w:type="dxa"/>
            <w:left w:w="10" w:type="dxa"/>
            <w:bottom w:w="0" w:type="dxa"/>
            <w:right w:w="10" w:type="dxa"/>
          </w:tblCellMar>
        </w:tblPrEx>
        <w:trPr>
          <w:trHeight w:val="466" w:hRule="exact"/>
          <w:jc w:val="center"/>
        </w:trPr>
        <w:tc>
          <w:tcPr>
            <w:gridSpan w:val="3"/>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80" w:line="240" w:lineRule="auto"/>
              <w:ind w:left="0" w:right="0" w:firstLine="0"/>
              <w:jc w:val="center"/>
              <w:rPr>
                <w:sz w:val="18"/>
                <w:szCs w:val="18"/>
              </w:rPr>
            </w:pPr>
            <w:r>
              <w:rPr>
                <w:color w:val="000000"/>
                <w:spacing w:val="0"/>
                <w:w w:val="100"/>
                <w:position w:val="0"/>
                <w:sz w:val="18"/>
                <w:szCs w:val="18"/>
              </w:rPr>
              <w:t>项目资金</w:t>
            </w:r>
          </w:p>
          <w:p>
            <w:pPr>
              <w:pStyle w:val="31"/>
              <w:keepNext w:val="0"/>
              <w:keepLines w:val="0"/>
              <w:widowControl w:val="0"/>
              <w:shd w:val="clear" w:color="auto" w:fill="auto"/>
              <w:bidi w:val="0"/>
              <w:spacing w:before="0" w:after="0" w:line="240" w:lineRule="auto"/>
              <w:ind w:left="0" w:right="0" w:firstLine="400"/>
              <w:jc w:val="left"/>
              <w:rPr>
                <w:sz w:val="18"/>
                <w:szCs w:val="18"/>
              </w:rPr>
            </w:pPr>
            <w:r>
              <w:rPr>
                <w:color w:val="000000"/>
                <w:spacing w:val="0"/>
                <w:w w:val="100"/>
                <w:position w:val="0"/>
                <w:sz w:val="18"/>
                <w:szCs w:val="18"/>
              </w:rPr>
              <w:t>（万元）</w:t>
            </w:r>
          </w:p>
        </w:tc>
        <w:tc>
          <w:tcPr>
            <w:gridSpan w:val="2"/>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年初预算数</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全年预算数</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全年执行数</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分值</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执行率</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得分</w:t>
            </w:r>
          </w:p>
        </w:tc>
      </w:tr>
      <w:tr>
        <w:tblPrEx>
          <w:tblCellMar>
            <w:top w:w="0" w:type="dxa"/>
            <w:left w:w="10" w:type="dxa"/>
            <w:bottom w:w="0" w:type="dxa"/>
            <w:right w:w="10" w:type="dxa"/>
          </w:tblCellMar>
        </w:tblPrEx>
        <w:trPr>
          <w:trHeight w:val="461"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年度资金总额</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 xml:space="preserve">6. </w:t>
            </w:r>
            <w:r>
              <w:rPr>
                <w:color w:val="000000"/>
                <w:spacing w:val="0"/>
                <w:w w:val="100"/>
                <w:position w:val="0"/>
                <w:sz w:val="18"/>
                <w:szCs w:val="18"/>
              </w:rPr>
              <w:t>37</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6.37</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6.37</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100.00%</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w:t>
            </w:r>
          </w:p>
        </w:tc>
      </w:tr>
      <w:tr>
        <w:tblPrEx>
          <w:tblCellMar>
            <w:top w:w="0" w:type="dxa"/>
            <w:left w:w="10" w:type="dxa"/>
            <w:bottom w:w="0" w:type="dxa"/>
            <w:right w:w="10" w:type="dxa"/>
          </w:tblCellMar>
        </w:tblPrEx>
        <w:trPr>
          <w:trHeight w:val="466"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280"/>
              <w:jc w:val="left"/>
              <w:rPr>
                <w:sz w:val="18"/>
                <w:szCs w:val="18"/>
              </w:rPr>
            </w:pPr>
            <w:r>
              <w:rPr>
                <w:color w:val="000000"/>
                <w:spacing w:val="0"/>
                <w:w w:val="100"/>
                <w:position w:val="0"/>
                <w:sz w:val="18"/>
                <w:szCs w:val="18"/>
              </w:rPr>
              <w:t>其中：财政拨款</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 xml:space="preserve">6. </w:t>
            </w:r>
            <w:r>
              <w:rPr>
                <w:color w:val="000000"/>
                <w:spacing w:val="0"/>
                <w:w w:val="100"/>
                <w:position w:val="0"/>
                <w:sz w:val="18"/>
                <w:szCs w:val="18"/>
              </w:rPr>
              <w:t>37</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6.37</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6.37</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100.00%</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466"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460"/>
              <w:jc w:val="left"/>
              <w:rPr>
                <w:sz w:val="18"/>
                <w:szCs w:val="18"/>
              </w:rPr>
            </w:pPr>
            <w:r>
              <w:rPr>
                <w:color w:val="050100"/>
                <w:spacing w:val="0"/>
                <w:w w:val="100"/>
                <w:position w:val="0"/>
                <w:sz w:val="18"/>
                <w:szCs w:val="18"/>
              </w:rPr>
              <w:t>上年结转资金</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466"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820"/>
              <w:jc w:val="left"/>
              <w:rPr>
                <w:sz w:val="18"/>
                <w:szCs w:val="18"/>
              </w:rPr>
            </w:pPr>
            <w:r>
              <w:rPr>
                <w:color w:val="000000"/>
                <w:spacing w:val="0"/>
                <w:w w:val="100"/>
                <w:position w:val="0"/>
                <w:sz w:val="18"/>
                <w:szCs w:val="18"/>
              </w:rPr>
              <w:t>其他资金</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413" w:hRule="exact"/>
          <w:jc w:val="center"/>
        </w:trPr>
        <w:tc>
          <w:tcPr>
            <w:gridSpan w:val="15"/>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项目绩效年度目标</w:t>
            </w:r>
          </w:p>
        </w:tc>
      </w:tr>
      <w:tr>
        <w:tblPrEx>
          <w:tblCellMar>
            <w:top w:w="0" w:type="dxa"/>
            <w:left w:w="10" w:type="dxa"/>
            <w:bottom w:w="0" w:type="dxa"/>
            <w:right w:w="10" w:type="dxa"/>
          </w:tblCellMar>
        </w:tblPrEx>
        <w:trPr>
          <w:trHeight w:val="418" w:hRule="exact"/>
          <w:jc w:val="center"/>
        </w:trPr>
        <w:tc>
          <w:tcPr>
            <w:vMerge w:val="restart"/>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98" w:lineRule="exact"/>
              <w:ind w:left="0" w:right="0" w:firstLine="0"/>
              <w:jc w:val="left"/>
              <w:rPr>
                <w:sz w:val="18"/>
                <w:szCs w:val="18"/>
              </w:rPr>
            </w:pPr>
            <w:r>
              <w:rPr>
                <w:color w:val="000000"/>
                <w:spacing w:val="0"/>
                <w:w w:val="100"/>
                <w:position w:val="0"/>
                <w:sz w:val="18"/>
                <w:szCs w:val="18"/>
              </w:rPr>
              <w:t>年 度 总 体 目 标</w:t>
            </w:r>
          </w:p>
        </w:tc>
        <w:tc>
          <w:tcPr>
            <w:gridSpan w:val="7"/>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预期目标</w:t>
            </w:r>
          </w:p>
        </w:tc>
        <w:tc>
          <w:tcPr>
            <w:gridSpan w:val="7"/>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实际完成情况</w:t>
            </w:r>
          </w:p>
        </w:tc>
      </w:tr>
      <w:tr>
        <w:tblPrEx>
          <w:tblCellMar>
            <w:top w:w="0" w:type="dxa"/>
            <w:left w:w="10" w:type="dxa"/>
            <w:bottom w:w="0" w:type="dxa"/>
            <w:right w:w="10" w:type="dxa"/>
          </w:tblCellMar>
        </w:tblPrEx>
        <w:trPr>
          <w:trHeight w:val="1421" w:hRule="exact"/>
          <w:jc w:val="center"/>
        </w:trPr>
        <w:tc>
          <w:tcPr>
            <w:vMerge w:val="continue"/>
            <w:tcBorders>
              <w:left w:val="single" w:color="auto" w:sz="4" w:space="0"/>
            </w:tcBorders>
            <w:shd w:val="clear" w:color="auto" w:fill="FFFFFF"/>
            <w:vAlign w:val="bottom"/>
          </w:tcPr>
          <w:p/>
        </w:tc>
        <w:tc>
          <w:tcPr>
            <w:gridSpan w:val="7"/>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307" w:lineRule="exact"/>
              <w:ind w:left="0" w:right="0" w:firstLine="0"/>
              <w:jc w:val="left"/>
              <w:rPr>
                <w:sz w:val="18"/>
                <w:szCs w:val="18"/>
              </w:rPr>
            </w:pPr>
            <w:r>
              <w:rPr>
                <w:color w:val="000000"/>
                <w:spacing w:val="0"/>
                <w:w w:val="100"/>
                <w:position w:val="0"/>
                <w:sz w:val="18"/>
                <w:szCs w:val="18"/>
              </w:rPr>
              <w:t>用于局机关人员、劳务派遣人员以及张店市民中心相关入驻部 门工作人员的工装费用，提升政务服务形象。</w:t>
            </w:r>
          </w:p>
        </w:tc>
        <w:tc>
          <w:tcPr>
            <w:gridSpan w:val="7"/>
            <w:tcBorders>
              <w:top w:val="single" w:color="auto" w:sz="4" w:space="0"/>
              <w:left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300" w:lineRule="exact"/>
              <w:ind w:left="0" w:right="0" w:firstLine="0"/>
              <w:jc w:val="left"/>
              <w:rPr>
                <w:sz w:val="18"/>
                <w:szCs w:val="18"/>
              </w:rPr>
            </w:pPr>
            <w:r>
              <w:rPr>
                <w:color w:val="000000"/>
                <w:spacing w:val="0"/>
                <w:w w:val="100"/>
                <w:position w:val="0"/>
                <w:sz w:val="18"/>
                <w:szCs w:val="18"/>
              </w:rPr>
              <w:t>用于支付局机关人员、劳务派遣人员以及张店市 民中心相关入驻部门工作人员的工装费用，统一 工作人员着装，提升服务形象。</w:t>
            </w:r>
          </w:p>
        </w:tc>
      </w:tr>
      <w:tr>
        <w:tblPrEx>
          <w:tblCellMar>
            <w:top w:w="0" w:type="dxa"/>
            <w:left w:w="10" w:type="dxa"/>
            <w:bottom w:w="0" w:type="dxa"/>
            <w:right w:w="10" w:type="dxa"/>
          </w:tblCellMar>
        </w:tblPrEx>
        <w:trPr>
          <w:trHeight w:val="638" w:hRule="exact"/>
          <w:jc w:val="center"/>
        </w:trPr>
        <w:tc>
          <w:tcPr>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100" w:line="302" w:lineRule="exact"/>
              <w:ind w:left="0" w:right="0" w:firstLine="0"/>
              <w:jc w:val="left"/>
              <w:rPr>
                <w:sz w:val="18"/>
                <w:szCs w:val="18"/>
              </w:rPr>
            </w:pPr>
            <w:r>
              <w:rPr>
                <w:color w:val="000000"/>
                <w:spacing w:val="0"/>
                <w:w w:val="100"/>
                <w:position w:val="0"/>
                <w:sz w:val="18"/>
                <w:szCs w:val="18"/>
              </w:rPr>
              <w:t>年 度 绩 效 指 标</w:t>
            </w:r>
          </w:p>
          <w:p>
            <w:pPr>
              <w:pStyle w:val="31"/>
              <w:keepNext w:val="0"/>
              <w:keepLines w:val="0"/>
              <w:widowControl w:val="0"/>
              <w:shd w:val="clear" w:color="auto" w:fill="auto"/>
              <w:bidi w:val="0"/>
              <w:spacing w:before="0" w:after="0" w:line="302" w:lineRule="exact"/>
              <w:ind w:left="0" w:right="0" w:firstLine="200"/>
              <w:jc w:val="left"/>
              <w:rPr>
                <w:sz w:val="18"/>
                <w:szCs w:val="18"/>
              </w:rPr>
            </w:pPr>
            <w:r>
              <w:rPr>
                <w:color w:val="000000"/>
                <w:spacing w:val="0"/>
                <w:w w:val="100"/>
                <w:position w:val="0"/>
                <w:sz w:val="18"/>
                <w:szCs w:val="18"/>
              </w:rPr>
              <w:t>（</w:t>
            </w:r>
          </w:p>
          <w:p>
            <w:pPr>
              <w:pStyle w:val="31"/>
              <w:keepNext w:val="0"/>
              <w:keepLines w:val="0"/>
              <w:widowControl w:val="0"/>
              <w:shd w:val="clear" w:color="auto" w:fill="auto"/>
              <w:bidi w:val="0"/>
              <w:spacing w:before="0" w:after="100" w:line="302" w:lineRule="exact"/>
              <w:ind w:left="0" w:right="0" w:firstLine="0"/>
              <w:jc w:val="left"/>
              <w:rPr>
                <w:sz w:val="18"/>
                <w:szCs w:val="18"/>
              </w:rPr>
            </w:pPr>
            <w:r>
              <w:rPr>
                <w:color w:val="000000"/>
                <w:spacing w:val="0"/>
                <w:w w:val="100"/>
                <w:position w:val="0"/>
                <w:sz w:val="18"/>
                <w:szCs w:val="18"/>
              </w:rPr>
              <w:t>90 分</w:t>
            </w:r>
          </w:p>
          <w:p>
            <w:pPr>
              <w:pStyle w:val="31"/>
              <w:keepNext w:val="0"/>
              <w:keepLines w:val="0"/>
              <w:widowControl w:val="0"/>
              <w:shd w:val="clear" w:color="auto" w:fill="auto"/>
              <w:bidi w:val="0"/>
              <w:spacing w:before="0" w:after="100" w:line="302" w:lineRule="exact"/>
              <w:ind w:left="0" w:right="0" w:firstLine="0"/>
              <w:jc w:val="left"/>
              <w:rPr>
                <w:sz w:val="18"/>
                <w:szCs w:val="18"/>
              </w:rPr>
            </w:pPr>
            <w:r>
              <w:rPr>
                <w:color w:val="000000"/>
                <w:spacing w:val="0"/>
                <w:w w:val="100"/>
                <w:position w:val="0"/>
                <w:sz w:val="18"/>
                <w:szCs w:val="18"/>
              </w:rPr>
              <w:t>）</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一级指标</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220"/>
              <w:jc w:val="left"/>
              <w:rPr>
                <w:sz w:val="18"/>
                <w:szCs w:val="18"/>
              </w:rPr>
            </w:pPr>
            <w:r>
              <w:rPr>
                <w:color w:val="050100"/>
                <w:spacing w:val="0"/>
                <w:w w:val="100"/>
                <w:position w:val="0"/>
                <w:sz w:val="18"/>
                <w:szCs w:val="18"/>
              </w:rPr>
              <w:t>二级指标</w:t>
            </w:r>
          </w:p>
        </w:tc>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三级指标</w:t>
            </w:r>
          </w:p>
        </w:tc>
        <w:tc>
          <w:tcPr>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30" w:lineRule="exact"/>
              <w:ind w:left="0" w:right="0" w:firstLine="0"/>
              <w:jc w:val="center"/>
              <w:rPr>
                <w:sz w:val="18"/>
                <w:szCs w:val="18"/>
              </w:rPr>
            </w:pPr>
            <w:r>
              <w:rPr>
                <w:color w:val="050100"/>
                <w:spacing w:val="0"/>
                <w:w w:val="100"/>
                <w:position w:val="0"/>
                <w:sz w:val="18"/>
                <w:szCs w:val="18"/>
              </w:rPr>
              <w:t>年度指 标值</w:t>
            </w:r>
          </w:p>
        </w:tc>
        <w:tc>
          <w:tcPr>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302" w:lineRule="exact"/>
              <w:ind w:left="0" w:right="0" w:firstLine="0"/>
              <w:jc w:val="center"/>
              <w:rPr>
                <w:sz w:val="18"/>
                <w:szCs w:val="18"/>
              </w:rPr>
            </w:pPr>
            <w:r>
              <w:rPr>
                <w:color w:val="050100"/>
                <w:spacing w:val="0"/>
                <w:w w:val="100"/>
                <w:position w:val="0"/>
                <w:sz w:val="18"/>
                <w:szCs w:val="18"/>
              </w:rPr>
              <w:t>实际完 成值</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分值</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得分</w:t>
            </w:r>
          </w:p>
        </w:tc>
        <w:tc>
          <w:tcPr>
            <w:gridSpan w:val="2"/>
            <w:tcBorders>
              <w:top w:val="single" w:color="auto" w:sz="4" w:space="0"/>
              <w:left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302" w:lineRule="exact"/>
              <w:ind w:left="0" w:right="0" w:firstLine="0"/>
              <w:jc w:val="center"/>
              <w:rPr>
                <w:sz w:val="18"/>
                <w:szCs w:val="18"/>
              </w:rPr>
            </w:pPr>
            <w:r>
              <w:rPr>
                <w:color w:val="050100"/>
                <w:spacing w:val="0"/>
                <w:w w:val="100"/>
                <w:position w:val="0"/>
                <w:sz w:val="18"/>
                <w:szCs w:val="18"/>
              </w:rPr>
              <w:t>偏差原因分析及改 进措施</w:t>
            </w:r>
          </w:p>
        </w:tc>
      </w:tr>
      <w:tr>
        <w:tblPrEx>
          <w:tblCellMar>
            <w:top w:w="0" w:type="dxa"/>
            <w:left w:w="10" w:type="dxa"/>
            <w:bottom w:w="0" w:type="dxa"/>
            <w:right w:w="10" w:type="dxa"/>
          </w:tblCellMar>
        </w:tblPrEx>
        <w:trPr>
          <w:trHeight w:val="2741" w:hRule="exact"/>
          <w:jc w:val="center"/>
        </w:trPr>
        <w:tc>
          <w:tcPr>
            <w:vMerge w:val="continue"/>
            <w:tcBorders>
              <w:left w:val="single" w:color="auto" w:sz="4" w:space="0"/>
            </w:tcBorders>
            <w:shd w:val="clear" w:color="auto" w:fill="FFFFFF"/>
            <w:vAlign w:val="center"/>
          </w:tcPr>
          <w:p/>
        </w:tc>
        <w:tc>
          <w:tcPr>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60" w:line="240" w:lineRule="auto"/>
              <w:ind w:left="0" w:right="0" w:firstLine="0"/>
              <w:jc w:val="left"/>
              <w:rPr>
                <w:sz w:val="18"/>
                <w:szCs w:val="18"/>
              </w:rPr>
            </w:pPr>
            <w:r>
              <w:rPr>
                <w:color w:val="050100"/>
                <w:spacing w:val="0"/>
                <w:w w:val="100"/>
                <w:position w:val="0"/>
                <w:sz w:val="18"/>
                <w:szCs w:val="18"/>
              </w:rPr>
              <w:t>项目产出</w:t>
            </w:r>
          </w:p>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（50 分）</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数量指标</w:t>
            </w:r>
          </w:p>
        </w:tc>
        <w:tc>
          <w:tcPr>
            <w:gridSpan w:val="3"/>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服装数量（套）</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400</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235</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8.81</w:t>
            </w:r>
          </w:p>
        </w:tc>
        <w:tc>
          <w:tcPr>
            <w:gridSpan w:val="2"/>
            <w:tcBorders>
              <w:top w:val="single" w:color="auto" w:sz="4" w:space="0"/>
              <w:left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302" w:lineRule="exact"/>
              <w:ind w:left="0" w:right="0" w:firstLine="0"/>
              <w:jc w:val="both"/>
              <w:rPr>
                <w:sz w:val="18"/>
                <w:szCs w:val="18"/>
              </w:rPr>
            </w:pPr>
            <w:r>
              <w:rPr>
                <w:color w:val="000000"/>
                <w:spacing w:val="0"/>
                <w:w w:val="100"/>
                <w:position w:val="0"/>
                <w:sz w:val="18"/>
                <w:szCs w:val="18"/>
              </w:rPr>
              <w:t>原因分析：实际情 况，部分入驻企业 包括银行、不动产 二厅等由自己单位 承担费用，导致数 量减少。</w:t>
            </w:r>
          </w:p>
          <w:p>
            <w:pPr>
              <w:pStyle w:val="31"/>
              <w:keepNext w:val="0"/>
              <w:keepLines w:val="0"/>
              <w:widowControl w:val="0"/>
              <w:shd w:val="clear" w:color="auto" w:fill="auto"/>
              <w:bidi w:val="0"/>
              <w:spacing w:before="0" w:after="0" w:line="302" w:lineRule="exact"/>
              <w:ind w:left="0" w:right="0" w:firstLine="0"/>
              <w:jc w:val="both"/>
              <w:rPr>
                <w:sz w:val="18"/>
                <w:szCs w:val="18"/>
              </w:rPr>
            </w:pPr>
            <w:r>
              <w:rPr>
                <w:color w:val="000000"/>
                <w:spacing w:val="0"/>
                <w:w w:val="100"/>
                <w:position w:val="0"/>
                <w:sz w:val="18"/>
                <w:szCs w:val="18"/>
              </w:rPr>
              <w:t>改进措施：按照实 际情况进行服装定 做。</w:t>
            </w:r>
          </w:p>
        </w:tc>
      </w:tr>
      <w:tr>
        <w:tblPrEx>
          <w:tblCellMar>
            <w:top w:w="0" w:type="dxa"/>
            <w:left w:w="10" w:type="dxa"/>
            <w:bottom w:w="0" w:type="dxa"/>
            <w:right w:w="10" w:type="dxa"/>
          </w:tblCellMar>
        </w:tblPrEx>
        <w:trPr>
          <w:trHeight w:val="466"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时效指标</w:t>
            </w:r>
          </w:p>
        </w:tc>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按时发放服装</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66"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质量指标</w:t>
            </w:r>
          </w:p>
        </w:tc>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服装质量合格率</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100%</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100%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66"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成本指标</w:t>
            </w:r>
          </w:p>
        </w:tc>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服装费用（万元）</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lang w:val="en-US" w:eastAsia="en-US" w:bidi="en-US"/>
              </w:rPr>
              <w:t>&lt;</w:t>
            </w:r>
            <w:r>
              <w:rPr>
                <w:color w:val="050100"/>
                <w:spacing w:val="0"/>
                <w:w w:val="100"/>
                <w:position w:val="0"/>
                <w:sz w:val="18"/>
                <w:szCs w:val="18"/>
                <w:lang w:val="en-US" w:eastAsia="en-US" w:bidi="en-US"/>
              </w:rPr>
              <w:t>6.37</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6.37</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38" w:hRule="exact"/>
          <w:jc w:val="center"/>
        </w:trPr>
        <w:tc>
          <w:tcPr>
            <w:vMerge w:val="continue"/>
            <w:tcBorders>
              <w:left w:val="single" w:color="auto" w:sz="4" w:space="0"/>
            </w:tcBorders>
            <w:shd w:val="clear" w:color="auto" w:fill="FFFFFF"/>
            <w:vAlign w:val="center"/>
          </w:tcPr>
          <w:p/>
        </w:tc>
        <w:tc>
          <w:tcPr>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80" w:line="240" w:lineRule="auto"/>
              <w:ind w:left="0" w:right="0" w:firstLine="0"/>
              <w:jc w:val="left"/>
              <w:rPr>
                <w:sz w:val="18"/>
                <w:szCs w:val="18"/>
              </w:rPr>
            </w:pPr>
            <w:r>
              <w:rPr>
                <w:color w:val="050100"/>
                <w:spacing w:val="0"/>
                <w:w w:val="100"/>
                <w:position w:val="0"/>
                <w:sz w:val="18"/>
                <w:szCs w:val="18"/>
              </w:rPr>
              <w:t>项目效益</w:t>
            </w:r>
          </w:p>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（30 分）</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社会效益</w:t>
            </w:r>
          </w:p>
        </w:tc>
        <w:tc>
          <w:tcPr>
            <w:gridSpan w:val="3"/>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307" w:lineRule="exact"/>
              <w:ind w:left="0" w:right="0" w:firstLine="0"/>
              <w:jc w:val="left"/>
              <w:rPr>
                <w:sz w:val="18"/>
                <w:szCs w:val="18"/>
              </w:rPr>
            </w:pPr>
            <w:r>
              <w:rPr>
                <w:color w:val="050100"/>
                <w:spacing w:val="0"/>
                <w:w w:val="100"/>
                <w:position w:val="0"/>
                <w:sz w:val="18"/>
                <w:szCs w:val="18"/>
              </w:rPr>
              <w:t>提升行政审批运行效能， 方便群众办事</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79"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可持续影响</w:t>
            </w:r>
          </w:p>
        </w:tc>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提高工作人员服务形象</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571"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可持续影响</w:t>
            </w:r>
          </w:p>
        </w:tc>
        <w:tc>
          <w:tcPr>
            <w:gridSpan w:val="3"/>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提升政务服务形象</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1128" w:hRule="exact"/>
          <w:jc w:val="center"/>
        </w:trPr>
        <w:tc>
          <w:tcPr>
            <w:vMerge w:val="continue"/>
            <w:tcBorders>
              <w:left w:val="single" w:color="auto" w:sz="4" w:space="0"/>
            </w:tcBorders>
            <w:shd w:val="clear" w:color="auto" w:fill="FFFFFF"/>
            <w:vAlign w:val="center"/>
          </w:tcP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83" w:lineRule="exact"/>
              <w:ind w:left="0" w:right="0" w:firstLine="0"/>
              <w:jc w:val="left"/>
              <w:rPr>
                <w:sz w:val="18"/>
                <w:szCs w:val="18"/>
              </w:rPr>
            </w:pPr>
            <w:r>
              <w:rPr>
                <w:color w:val="050100"/>
                <w:spacing w:val="0"/>
                <w:w w:val="100"/>
                <w:position w:val="0"/>
                <w:sz w:val="18"/>
                <w:szCs w:val="18"/>
              </w:rPr>
              <w:t>满意度指 标（10分）</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93" w:lineRule="exact"/>
              <w:ind w:left="0" w:right="0" w:firstLine="0"/>
              <w:jc w:val="left"/>
              <w:rPr>
                <w:sz w:val="18"/>
                <w:szCs w:val="18"/>
              </w:rPr>
            </w:pPr>
            <w:r>
              <w:rPr>
                <w:color w:val="050100"/>
                <w:spacing w:val="0"/>
                <w:w w:val="100"/>
                <w:position w:val="0"/>
                <w:sz w:val="18"/>
                <w:szCs w:val="18"/>
              </w:rPr>
              <w:t>社会公众或 服务对象满 意度</w:t>
            </w:r>
          </w:p>
        </w:tc>
        <w:tc>
          <w:tcPr>
            <w:gridSpan w:val="3"/>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工作人员对服装满意度</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rPr>
              <w:t>&gt;</w:t>
            </w:r>
            <w:r>
              <w:rPr>
                <w:color w:val="050100"/>
                <w:spacing w:val="0"/>
                <w:w w:val="100"/>
                <w:position w:val="0"/>
                <w:sz w:val="18"/>
                <w:szCs w:val="18"/>
              </w:rPr>
              <w:t>95%</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97%</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70" w:hRule="exact"/>
          <w:jc w:val="center"/>
        </w:trPr>
        <w:tc>
          <w:tcPr>
            <w:gridSpan w:val="9"/>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总分</w:t>
            </w:r>
          </w:p>
        </w:tc>
        <w:tc>
          <w:tcPr>
            <w:gridSpan w:val="2"/>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w:t>
            </w:r>
          </w:p>
        </w:tc>
        <w:tc>
          <w:tcPr>
            <w:gridSpan w:val="2"/>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93.81</w:t>
            </w:r>
          </w:p>
        </w:tc>
        <w:tc>
          <w:tcPr>
            <w:gridSpan w:val="2"/>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spacing w:line="1" w:lineRule="exact"/>
        <w:rPr>
          <w:sz w:val="2"/>
          <w:szCs w:val="2"/>
        </w:rPr>
      </w:pPr>
      <w:r>
        <w:br w:type="page"/>
      </w:r>
    </w:p>
    <w:p>
      <w:pPr>
        <w:pStyle w:val="31"/>
        <w:keepNext w:val="0"/>
        <w:keepLines w:val="0"/>
        <w:widowControl w:val="0"/>
        <w:shd w:val="clear" w:color="auto" w:fill="auto"/>
        <w:bidi w:val="0"/>
        <w:spacing w:before="0" w:after="120" w:line="240" w:lineRule="auto"/>
        <w:ind w:left="0" w:right="0" w:firstLine="0"/>
        <w:jc w:val="center"/>
        <w:rPr>
          <w:sz w:val="36"/>
          <w:szCs w:val="36"/>
        </w:rPr>
      </w:pPr>
      <w:r>
        <w:rPr>
          <w:color w:val="000000"/>
          <w:spacing w:val="0"/>
          <w:w w:val="100"/>
          <w:position w:val="0"/>
          <w:sz w:val="36"/>
          <w:szCs w:val="36"/>
        </w:rPr>
        <w:t>项目支出绩效自评表</w:t>
      </w:r>
    </w:p>
    <w:p>
      <w:pPr>
        <w:pStyle w:val="31"/>
        <w:keepNext w:val="0"/>
        <w:keepLines w:val="0"/>
        <w:widowControl w:val="0"/>
        <w:shd w:val="clear" w:color="auto" w:fill="auto"/>
        <w:bidi w:val="0"/>
        <w:spacing w:before="0" w:after="40" w:line="240" w:lineRule="auto"/>
        <w:ind w:left="0" w:right="0" w:firstLine="0"/>
        <w:jc w:val="center"/>
        <w:rPr>
          <w:sz w:val="20"/>
          <w:szCs w:val="20"/>
        </w:rPr>
      </w:pPr>
      <w:r>
        <w:rPr>
          <w:color w:val="000000"/>
          <w:spacing w:val="0"/>
          <w:w w:val="100"/>
          <w:position w:val="0"/>
          <w:sz w:val="20"/>
          <w:szCs w:val="20"/>
        </w:rPr>
        <w:t>（</w:t>
      </w:r>
      <w:r>
        <w:rPr>
          <w:rFonts w:ascii="Times New Roman" w:hAnsi="Times New Roman" w:eastAsia="Times New Roman" w:cs="Times New Roman"/>
          <w:color w:val="000000"/>
          <w:spacing w:val="0"/>
          <w:w w:val="100"/>
          <w:position w:val="0"/>
          <w:sz w:val="20"/>
          <w:szCs w:val="20"/>
        </w:rPr>
        <w:t>2021</w:t>
      </w:r>
      <w:r>
        <w:rPr>
          <w:color w:val="000000"/>
          <w:spacing w:val="0"/>
          <w:w w:val="100"/>
          <w:position w:val="0"/>
          <w:sz w:val="20"/>
          <w:szCs w:val="20"/>
        </w:rPr>
        <w:t>年度）</w:t>
      </w:r>
    </w:p>
    <w:tbl>
      <w:tblPr>
        <w:tblStyle w:val="6"/>
        <w:tblW w:w="0" w:type="auto"/>
        <w:jc w:val="center"/>
        <w:tblLayout w:type="fixed"/>
        <w:tblCellMar>
          <w:top w:w="0" w:type="dxa"/>
          <w:left w:w="10" w:type="dxa"/>
          <w:bottom w:w="0" w:type="dxa"/>
          <w:right w:w="10" w:type="dxa"/>
        </w:tblCellMar>
      </w:tblPr>
      <w:tblGrid>
        <w:gridCol w:w="427"/>
        <w:gridCol w:w="965"/>
        <w:gridCol w:w="134"/>
        <w:gridCol w:w="1027"/>
        <w:gridCol w:w="624"/>
        <w:gridCol w:w="1162"/>
        <w:gridCol w:w="451"/>
        <w:gridCol w:w="787"/>
        <w:gridCol w:w="888"/>
        <w:gridCol w:w="274"/>
        <w:gridCol w:w="413"/>
        <w:gridCol w:w="413"/>
        <w:gridCol w:w="350"/>
        <w:gridCol w:w="936"/>
        <w:gridCol w:w="816"/>
      </w:tblGrid>
      <w:tr>
        <w:tblPrEx>
          <w:tblCellMar>
            <w:top w:w="0" w:type="dxa"/>
            <w:left w:w="10" w:type="dxa"/>
            <w:bottom w:w="0" w:type="dxa"/>
            <w:right w:w="10" w:type="dxa"/>
          </w:tblCellMar>
        </w:tblPrEx>
        <w:trPr>
          <w:trHeight w:val="384" w:hRule="exact"/>
          <w:jc w:val="center"/>
        </w:trPr>
        <w:tc>
          <w:tcPr>
            <w:gridSpan w:val="3"/>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400"/>
              <w:jc w:val="left"/>
              <w:rPr>
                <w:sz w:val="18"/>
                <w:szCs w:val="18"/>
              </w:rPr>
            </w:pPr>
            <w:r>
              <w:rPr>
                <w:color w:val="000000"/>
                <w:spacing w:val="0"/>
                <w:w w:val="100"/>
                <w:position w:val="0"/>
                <w:sz w:val="18"/>
                <w:szCs w:val="18"/>
              </w:rPr>
              <w:t>项目名称</w:t>
            </w:r>
          </w:p>
        </w:tc>
        <w:tc>
          <w:tcPr>
            <w:gridSpan w:val="12"/>
            <w:tcBorders>
              <w:top w:val="single" w:color="auto" w:sz="4" w:space="0"/>
              <w:left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证照办理费用</w:t>
            </w:r>
          </w:p>
        </w:tc>
      </w:tr>
      <w:tr>
        <w:tblPrEx>
          <w:tblCellMar>
            <w:top w:w="0" w:type="dxa"/>
            <w:left w:w="10" w:type="dxa"/>
            <w:bottom w:w="0" w:type="dxa"/>
            <w:right w:w="10" w:type="dxa"/>
          </w:tblCellMar>
        </w:tblPrEx>
        <w:trPr>
          <w:trHeight w:val="643" w:hRule="exact"/>
          <w:jc w:val="center"/>
        </w:trPr>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主管部门及代码</w:t>
            </w:r>
          </w:p>
        </w:tc>
        <w:tc>
          <w:tcPr>
            <w:gridSpan w:val="5"/>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[128]</w:t>
            </w:r>
            <w:r>
              <w:rPr>
                <w:color w:val="000000"/>
                <w:spacing w:val="0"/>
                <w:w w:val="100"/>
                <w:position w:val="0"/>
                <w:sz w:val="18"/>
                <w:szCs w:val="18"/>
              </w:rPr>
              <w:t>淄博市张店区行政审批服务局</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实施单位</w:t>
            </w:r>
          </w:p>
        </w:tc>
        <w:tc>
          <w:tcPr>
            <w:gridSpan w:val="5"/>
            <w:tcBorders>
              <w:top w:val="single" w:color="auto" w:sz="4" w:space="0"/>
              <w:left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80" w:line="240" w:lineRule="auto"/>
              <w:ind w:left="0" w:right="0" w:firstLine="0"/>
              <w:jc w:val="left"/>
              <w:rPr>
                <w:sz w:val="18"/>
                <w:szCs w:val="18"/>
              </w:rPr>
            </w:pPr>
            <w:r>
              <w:rPr>
                <w:color w:val="000000"/>
                <w:spacing w:val="0"/>
                <w:w w:val="100"/>
                <w:position w:val="0"/>
                <w:sz w:val="18"/>
                <w:szCs w:val="18"/>
              </w:rPr>
              <w:t>[128001]淄博市张店区行政审批服</w:t>
            </w:r>
          </w:p>
          <w:p>
            <w:pPr>
              <w:pStyle w:val="3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务局</w:t>
            </w:r>
          </w:p>
        </w:tc>
      </w:tr>
      <w:tr>
        <w:tblPrEx>
          <w:tblCellMar>
            <w:top w:w="0" w:type="dxa"/>
            <w:left w:w="10" w:type="dxa"/>
            <w:bottom w:w="0" w:type="dxa"/>
            <w:right w:w="10" w:type="dxa"/>
          </w:tblCellMar>
        </w:tblPrEx>
        <w:trPr>
          <w:trHeight w:val="389" w:hRule="exact"/>
          <w:jc w:val="center"/>
        </w:trPr>
        <w:tc>
          <w:tcPr>
            <w:gridSpan w:val="3"/>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80" w:line="240" w:lineRule="auto"/>
              <w:ind w:left="0" w:right="0" w:firstLine="400"/>
              <w:jc w:val="left"/>
              <w:rPr>
                <w:sz w:val="18"/>
                <w:szCs w:val="18"/>
              </w:rPr>
            </w:pPr>
            <w:r>
              <w:rPr>
                <w:color w:val="000000"/>
                <w:spacing w:val="0"/>
                <w:w w:val="100"/>
                <w:position w:val="0"/>
                <w:sz w:val="18"/>
                <w:szCs w:val="18"/>
              </w:rPr>
              <w:t>项目资金</w:t>
            </w:r>
          </w:p>
          <w:p>
            <w:pPr>
              <w:pStyle w:val="31"/>
              <w:keepNext w:val="0"/>
              <w:keepLines w:val="0"/>
              <w:widowControl w:val="0"/>
              <w:shd w:val="clear" w:color="auto" w:fill="auto"/>
              <w:bidi w:val="0"/>
              <w:spacing w:before="0" w:after="0" w:line="240" w:lineRule="auto"/>
              <w:ind w:left="0" w:right="0" w:firstLine="400"/>
              <w:jc w:val="left"/>
              <w:rPr>
                <w:sz w:val="18"/>
                <w:szCs w:val="18"/>
              </w:rPr>
            </w:pPr>
            <w:r>
              <w:rPr>
                <w:color w:val="000000"/>
                <w:spacing w:val="0"/>
                <w:w w:val="100"/>
                <w:position w:val="0"/>
                <w:sz w:val="18"/>
                <w:szCs w:val="18"/>
              </w:rPr>
              <w:t>（万元）</w:t>
            </w:r>
          </w:p>
        </w:tc>
        <w:tc>
          <w:tcPr>
            <w:gridSpan w:val="2"/>
            <w:tcBorders>
              <w:top w:val="single" w:color="auto" w:sz="4" w:space="0"/>
              <w:left w:val="single" w:color="auto" w:sz="4" w:space="0"/>
            </w:tcBorders>
            <w:shd w:val="clear" w:color="auto" w:fill="FFFFFF"/>
            <w:vAlign w:val="top"/>
          </w:tcPr>
          <w:p>
            <w:pPr>
              <w:widowControl w:val="0"/>
              <w:rPr>
                <w:sz w:val="10"/>
                <w:szCs w:val="10"/>
              </w:rPr>
            </w:pP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年初预算数</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全年预算数</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全年执行数</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分值</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执行率</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得分</w:t>
            </w:r>
          </w:p>
        </w:tc>
      </w:tr>
      <w:tr>
        <w:tblPrEx>
          <w:tblCellMar>
            <w:top w:w="0" w:type="dxa"/>
            <w:left w:w="10" w:type="dxa"/>
            <w:bottom w:w="0" w:type="dxa"/>
            <w:right w:w="10" w:type="dxa"/>
          </w:tblCellMar>
        </w:tblPrEx>
        <w:trPr>
          <w:trHeight w:val="370"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年度资金总额</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65</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65</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65</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lang w:val="en-US" w:eastAsia="en-US" w:bidi="en-US"/>
              </w:rPr>
              <w:t xml:space="preserve">10. </w:t>
            </w: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100.00%</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w:t>
            </w:r>
          </w:p>
        </w:tc>
      </w:tr>
      <w:tr>
        <w:tblPrEx>
          <w:tblCellMar>
            <w:top w:w="0" w:type="dxa"/>
            <w:left w:w="10" w:type="dxa"/>
            <w:bottom w:w="0" w:type="dxa"/>
            <w:right w:w="10" w:type="dxa"/>
          </w:tblCellMar>
        </w:tblPrEx>
        <w:trPr>
          <w:trHeight w:val="355"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280"/>
              <w:jc w:val="left"/>
              <w:rPr>
                <w:sz w:val="18"/>
                <w:szCs w:val="18"/>
              </w:rPr>
            </w:pPr>
            <w:r>
              <w:rPr>
                <w:color w:val="000000"/>
                <w:spacing w:val="0"/>
                <w:w w:val="100"/>
                <w:position w:val="0"/>
                <w:sz w:val="18"/>
                <w:szCs w:val="18"/>
              </w:rPr>
              <w:t>其中：财政拨款</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65</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65</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65</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100.00%</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370"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460"/>
              <w:jc w:val="left"/>
              <w:rPr>
                <w:sz w:val="18"/>
                <w:szCs w:val="18"/>
              </w:rPr>
            </w:pPr>
            <w:r>
              <w:rPr>
                <w:color w:val="050100"/>
                <w:spacing w:val="0"/>
                <w:w w:val="100"/>
                <w:position w:val="0"/>
                <w:sz w:val="18"/>
                <w:szCs w:val="18"/>
              </w:rPr>
              <w:t>上年结转资金</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341" w:hRule="exact"/>
          <w:jc w:val="center"/>
        </w:trPr>
        <w:tc>
          <w:tcPr>
            <w:gridSpan w:val="3"/>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820"/>
              <w:jc w:val="left"/>
              <w:rPr>
                <w:sz w:val="18"/>
                <w:szCs w:val="18"/>
              </w:rPr>
            </w:pPr>
            <w:r>
              <w:rPr>
                <w:color w:val="000000"/>
                <w:spacing w:val="0"/>
                <w:w w:val="100"/>
                <w:position w:val="0"/>
                <w:sz w:val="18"/>
                <w:szCs w:val="18"/>
              </w:rPr>
              <w:t>其他资金</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c>
          <w:tcPr>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w:t>
            </w:r>
          </w:p>
        </w:tc>
      </w:tr>
      <w:tr>
        <w:tblPrEx>
          <w:tblCellMar>
            <w:top w:w="0" w:type="dxa"/>
            <w:left w:w="10" w:type="dxa"/>
            <w:bottom w:w="0" w:type="dxa"/>
            <w:right w:w="10" w:type="dxa"/>
          </w:tblCellMar>
        </w:tblPrEx>
        <w:trPr>
          <w:trHeight w:val="379" w:hRule="exact"/>
          <w:jc w:val="center"/>
        </w:trPr>
        <w:tc>
          <w:tcPr>
            <w:gridSpan w:val="15"/>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项目绩效年度目标</w:t>
            </w:r>
          </w:p>
        </w:tc>
      </w:tr>
      <w:tr>
        <w:tblPrEx>
          <w:tblCellMar>
            <w:top w:w="0" w:type="dxa"/>
            <w:left w:w="10" w:type="dxa"/>
            <w:bottom w:w="0" w:type="dxa"/>
            <w:right w:w="10" w:type="dxa"/>
          </w:tblCellMar>
        </w:tblPrEx>
        <w:trPr>
          <w:trHeight w:val="389" w:hRule="exact"/>
          <w:jc w:val="center"/>
        </w:trPr>
        <w:tc>
          <w:tcPr>
            <w:vMerge w:val="restart"/>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99" w:lineRule="exact"/>
              <w:ind w:left="0" w:right="0" w:firstLine="0"/>
              <w:jc w:val="left"/>
              <w:rPr>
                <w:sz w:val="18"/>
                <w:szCs w:val="18"/>
              </w:rPr>
            </w:pPr>
            <w:r>
              <w:rPr>
                <w:color w:val="000000"/>
                <w:spacing w:val="0"/>
                <w:w w:val="100"/>
                <w:position w:val="0"/>
                <w:sz w:val="18"/>
                <w:szCs w:val="18"/>
              </w:rPr>
              <w:t>年 度 总 体 目 标</w:t>
            </w:r>
          </w:p>
        </w:tc>
        <w:tc>
          <w:tcPr>
            <w:gridSpan w:val="7"/>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预期目标</w:t>
            </w:r>
          </w:p>
        </w:tc>
        <w:tc>
          <w:tcPr>
            <w:gridSpan w:val="7"/>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实际完成情况</w:t>
            </w:r>
          </w:p>
        </w:tc>
      </w:tr>
      <w:tr>
        <w:tblPrEx>
          <w:tblCellMar>
            <w:top w:w="0" w:type="dxa"/>
            <w:left w:w="10" w:type="dxa"/>
            <w:bottom w:w="0" w:type="dxa"/>
            <w:right w:w="10" w:type="dxa"/>
          </w:tblCellMar>
        </w:tblPrEx>
        <w:trPr>
          <w:trHeight w:val="1450" w:hRule="exact"/>
          <w:jc w:val="center"/>
        </w:trPr>
        <w:tc>
          <w:tcPr>
            <w:vMerge w:val="continue"/>
            <w:tcBorders>
              <w:left w:val="single" w:color="auto" w:sz="4" w:space="0"/>
            </w:tcBorders>
            <w:shd w:val="clear" w:color="auto" w:fill="FFFFFF"/>
            <w:vAlign w:val="bottom"/>
          </w:tcPr>
          <w:p/>
        </w:tc>
        <w:tc>
          <w:tcPr>
            <w:gridSpan w:val="7"/>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307" w:lineRule="exact"/>
              <w:ind w:left="0" w:right="0" w:firstLine="0"/>
              <w:jc w:val="both"/>
              <w:rPr>
                <w:sz w:val="18"/>
                <w:szCs w:val="18"/>
              </w:rPr>
            </w:pPr>
            <w:r>
              <w:rPr>
                <w:color w:val="000000"/>
                <w:spacing w:val="0"/>
                <w:w w:val="100"/>
                <w:position w:val="0"/>
                <w:sz w:val="18"/>
                <w:szCs w:val="18"/>
              </w:rPr>
              <w:t>完成商事登记科、市场准入科13类证照，社会民生事务科26 类证照印刷，及时完成各类证照印刷，保障大厅业务办理，方 便办事群众。</w:t>
            </w:r>
          </w:p>
        </w:tc>
        <w:tc>
          <w:tcPr>
            <w:gridSpan w:val="7"/>
            <w:tcBorders>
              <w:top w:val="single" w:color="auto" w:sz="4" w:space="0"/>
              <w:left w:val="single" w:color="auto" w:sz="4" w:space="0"/>
              <w:right w:val="single" w:color="auto" w:sz="4" w:space="0"/>
            </w:tcBorders>
            <w:shd w:val="clear" w:color="auto" w:fill="FFFFFF"/>
            <w:vAlign w:val="top"/>
          </w:tcPr>
          <w:p>
            <w:pPr>
              <w:pStyle w:val="31"/>
              <w:keepNext w:val="0"/>
              <w:keepLines w:val="0"/>
              <w:widowControl w:val="0"/>
              <w:shd w:val="clear" w:color="auto" w:fill="auto"/>
              <w:bidi w:val="0"/>
              <w:spacing w:before="0" w:after="0" w:line="298" w:lineRule="exact"/>
              <w:ind w:left="0" w:right="0" w:firstLine="0"/>
              <w:jc w:val="left"/>
              <w:rPr>
                <w:sz w:val="18"/>
                <w:szCs w:val="18"/>
              </w:rPr>
            </w:pPr>
            <w:r>
              <w:rPr>
                <w:color w:val="000000"/>
                <w:spacing w:val="0"/>
                <w:w w:val="100"/>
                <w:position w:val="0"/>
                <w:sz w:val="18"/>
                <w:szCs w:val="18"/>
              </w:rPr>
              <w:t>按时完成了各类证照印刷，保障各类审批业务办 理，提高办事群众满意度。</w:t>
            </w:r>
          </w:p>
        </w:tc>
      </w:tr>
      <w:tr>
        <w:tblPrEx>
          <w:tblCellMar>
            <w:top w:w="0" w:type="dxa"/>
            <w:left w:w="10" w:type="dxa"/>
            <w:bottom w:w="0" w:type="dxa"/>
            <w:right w:w="10" w:type="dxa"/>
          </w:tblCellMar>
        </w:tblPrEx>
        <w:trPr>
          <w:trHeight w:val="806" w:hRule="exact"/>
          <w:jc w:val="center"/>
        </w:trPr>
        <w:tc>
          <w:tcPr>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100" w:line="302" w:lineRule="exact"/>
              <w:ind w:left="0" w:right="0" w:firstLine="0"/>
              <w:jc w:val="left"/>
              <w:rPr>
                <w:sz w:val="18"/>
                <w:szCs w:val="18"/>
              </w:rPr>
            </w:pPr>
            <w:r>
              <w:rPr>
                <w:color w:val="000000"/>
                <w:spacing w:val="0"/>
                <w:w w:val="100"/>
                <w:position w:val="0"/>
                <w:sz w:val="18"/>
                <w:szCs w:val="18"/>
              </w:rPr>
              <w:t>年 度 绩 效 指 标</w:t>
            </w:r>
          </w:p>
          <w:p>
            <w:pPr>
              <w:pStyle w:val="31"/>
              <w:keepNext w:val="0"/>
              <w:keepLines w:val="0"/>
              <w:widowControl w:val="0"/>
              <w:shd w:val="clear" w:color="auto" w:fill="auto"/>
              <w:bidi w:val="0"/>
              <w:spacing w:before="0" w:after="0" w:line="302" w:lineRule="exact"/>
              <w:ind w:left="0" w:right="0" w:firstLine="200"/>
              <w:jc w:val="left"/>
              <w:rPr>
                <w:sz w:val="18"/>
                <w:szCs w:val="18"/>
              </w:rPr>
            </w:pPr>
            <w:r>
              <w:rPr>
                <w:color w:val="000000"/>
                <w:spacing w:val="0"/>
                <w:w w:val="100"/>
                <w:position w:val="0"/>
                <w:sz w:val="18"/>
                <w:szCs w:val="18"/>
              </w:rPr>
              <w:t>（</w:t>
            </w:r>
          </w:p>
          <w:p>
            <w:pPr>
              <w:pStyle w:val="31"/>
              <w:keepNext w:val="0"/>
              <w:keepLines w:val="0"/>
              <w:widowControl w:val="0"/>
              <w:shd w:val="clear" w:color="auto" w:fill="auto"/>
              <w:bidi w:val="0"/>
              <w:spacing w:before="0" w:after="100" w:line="302" w:lineRule="exact"/>
              <w:ind w:left="0" w:right="0" w:firstLine="0"/>
              <w:jc w:val="left"/>
              <w:rPr>
                <w:sz w:val="18"/>
                <w:szCs w:val="18"/>
              </w:rPr>
            </w:pPr>
            <w:r>
              <w:rPr>
                <w:color w:val="000000"/>
                <w:spacing w:val="0"/>
                <w:w w:val="100"/>
                <w:position w:val="0"/>
                <w:sz w:val="18"/>
                <w:szCs w:val="18"/>
              </w:rPr>
              <w:t>90 分</w:t>
            </w:r>
          </w:p>
          <w:p>
            <w:pPr>
              <w:pStyle w:val="31"/>
              <w:keepNext w:val="0"/>
              <w:keepLines w:val="0"/>
              <w:widowControl w:val="0"/>
              <w:shd w:val="clear" w:color="auto" w:fill="auto"/>
              <w:bidi w:val="0"/>
              <w:spacing w:before="0" w:after="100" w:line="302" w:lineRule="exact"/>
              <w:ind w:left="0" w:right="0" w:firstLine="0"/>
              <w:jc w:val="left"/>
              <w:rPr>
                <w:sz w:val="18"/>
                <w:szCs w:val="18"/>
              </w:rPr>
            </w:pPr>
            <w:r>
              <w:rPr>
                <w:color w:val="000000"/>
                <w:spacing w:val="0"/>
                <w:w w:val="100"/>
                <w:position w:val="0"/>
                <w:sz w:val="18"/>
                <w:szCs w:val="18"/>
              </w:rPr>
              <w:t>）</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一级指标</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220"/>
              <w:jc w:val="left"/>
              <w:rPr>
                <w:sz w:val="18"/>
                <w:szCs w:val="18"/>
              </w:rPr>
            </w:pPr>
            <w:r>
              <w:rPr>
                <w:color w:val="050100"/>
                <w:spacing w:val="0"/>
                <w:w w:val="100"/>
                <w:position w:val="0"/>
                <w:sz w:val="18"/>
                <w:szCs w:val="18"/>
              </w:rPr>
              <w:t>二级指标</w:t>
            </w:r>
          </w:p>
        </w:tc>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三级指标</w:t>
            </w:r>
          </w:p>
        </w:tc>
        <w:tc>
          <w:tcPr>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23" w:lineRule="exact"/>
              <w:ind w:left="0" w:right="0" w:firstLine="0"/>
              <w:jc w:val="center"/>
              <w:rPr>
                <w:sz w:val="18"/>
                <w:szCs w:val="18"/>
              </w:rPr>
            </w:pPr>
            <w:r>
              <w:rPr>
                <w:color w:val="050100"/>
                <w:spacing w:val="0"/>
                <w:w w:val="100"/>
                <w:position w:val="0"/>
                <w:sz w:val="18"/>
                <w:szCs w:val="18"/>
              </w:rPr>
              <w:t>年度 指标 值</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302" w:lineRule="exact"/>
              <w:ind w:left="0" w:right="0" w:firstLine="0"/>
              <w:jc w:val="center"/>
              <w:rPr>
                <w:sz w:val="18"/>
                <w:szCs w:val="18"/>
              </w:rPr>
            </w:pPr>
            <w:r>
              <w:rPr>
                <w:color w:val="050100"/>
                <w:spacing w:val="0"/>
                <w:w w:val="100"/>
                <w:position w:val="0"/>
                <w:sz w:val="18"/>
                <w:szCs w:val="18"/>
              </w:rPr>
              <w:t>实际完 成值</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分值</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得分</w:t>
            </w:r>
          </w:p>
        </w:tc>
        <w:tc>
          <w:tcPr>
            <w:gridSpan w:val="2"/>
            <w:tcBorders>
              <w:top w:val="single" w:color="auto" w:sz="4" w:space="0"/>
              <w:left w:val="single" w:color="auto" w:sz="4" w:space="0"/>
              <w:right w:val="single" w:color="auto" w:sz="4" w:space="0"/>
            </w:tcBorders>
            <w:shd w:val="clear" w:color="auto" w:fill="FFFFFF"/>
            <w:vAlign w:val="center"/>
          </w:tcPr>
          <w:p>
            <w:pPr>
              <w:pStyle w:val="31"/>
              <w:keepNext w:val="0"/>
              <w:keepLines w:val="0"/>
              <w:widowControl w:val="0"/>
              <w:shd w:val="clear" w:color="auto" w:fill="auto"/>
              <w:bidi w:val="0"/>
              <w:spacing w:before="0" w:after="0" w:line="302" w:lineRule="exact"/>
              <w:ind w:left="0" w:right="0" w:firstLine="0"/>
              <w:jc w:val="center"/>
              <w:rPr>
                <w:sz w:val="18"/>
                <w:szCs w:val="18"/>
              </w:rPr>
            </w:pPr>
            <w:r>
              <w:rPr>
                <w:color w:val="050100"/>
                <w:spacing w:val="0"/>
                <w:w w:val="100"/>
                <w:position w:val="0"/>
                <w:sz w:val="18"/>
                <w:szCs w:val="18"/>
              </w:rPr>
              <w:t>偏差原因分析及改 进措施</w:t>
            </w:r>
          </w:p>
        </w:tc>
      </w:tr>
      <w:tr>
        <w:tblPrEx>
          <w:tblCellMar>
            <w:top w:w="0" w:type="dxa"/>
            <w:left w:w="10" w:type="dxa"/>
            <w:bottom w:w="0" w:type="dxa"/>
            <w:right w:w="10" w:type="dxa"/>
          </w:tblCellMar>
        </w:tblPrEx>
        <w:trPr>
          <w:trHeight w:val="2141" w:hRule="exact"/>
          <w:jc w:val="center"/>
        </w:trPr>
        <w:tc>
          <w:tcPr>
            <w:vMerge w:val="continue"/>
            <w:tcBorders>
              <w:left w:val="single" w:color="auto" w:sz="4" w:space="0"/>
            </w:tcBorders>
            <w:shd w:val="clear" w:color="auto" w:fill="FFFFFF"/>
            <w:vAlign w:val="center"/>
          </w:tcPr>
          <w:p/>
        </w:tc>
        <w:tc>
          <w:tcPr>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60" w:line="240" w:lineRule="auto"/>
              <w:ind w:left="0" w:right="0" w:firstLine="0"/>
              <w:jc w:val="left"/>
              <w:rPr>
                <w:sz w:val="18"/>
                <w:szCs w:val="18"/>
              </w:rPr>
            </w:pPr>
            <w:r>
              <w:rPr>
                <w:color w:val="050100"/>
                <w:spacing w:val="0"/>
                <w:w w:val="100"/>
                <w:position w:val="0"/>
                <w:sz w:val="18"/>
                <w:szCs w:val="18"/>
              </w:rPr>
              <w:t>项目产出</w:t>
            </w:r>
          </w:p>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（50 分）</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数量指标</w:t>
            </w:r>
          </w:p>
        </w:tc>
        <w:tc>
          <w:tcPr>
            <w:gridSpan w:val="3"/>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商事登记证照印刷量（套）</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50000</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48000</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100" w:after="0" w:line="240" w:lineRule="auto"/>
              <w:ind w:left="0" w:right="0" w:firstLine="240"/>
              <w:jc w:val="left"/>
              <w:rPr>
                <w:sz w:val="18"/>
                <w:szCs w:val="18"/>
              </w:rPr>
            </w:pPr>
            <w:r>
              <w:rPr>
                <w:color w:val="000000"/>
                <w:spacing w:val="0"/>
                <w:w w:val="100"/>
                <w:position w:val="0"/>
                <w:sz w:val="18"/>
                <w:szCs w:val="18"/>
              </w:rPr>
              <w:t>3</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2.88</w:t>
            </w:r>
          </w:p>
        </w:tc>
        <w:tc>
          <w:tcPr>
            <w:gridSpan w:val="2"/>
            <w:tcBorders>
              <w:top w:val="single" w:color="auto" w:sz="4" w:space="0"/>
              <w:left w:val="single" w:color="auto" w:sz="4" w:space="0"/>
              <w:right w:val="single" w:color="auto" w:sz="4" w:space="0"/>
            </w:tcBorders>
            <w:shd w:val="clear" w:color="auto" w:fill="FFFFFF"/>
            <w:vAlign w:val="bottom"/>
          </w:tcPr>
          <w:p>
            <w:pPr>
              <w:pStyle w:val="31"/>
              <w:keepNext w:val="0"/>
              <w:keepLines w:val="0"/>
              <w:widowControl w:val="0"/>
              <w:shd w:val="clear" w:color="auto" w:fill="auto"/>
              <w:bidi w:val="0"/>
              <w:spacing w:before="0" w:after="0" w:line="299" w:lineRule="exact"/>
              <w:ind w:left="0" w:right="0" w:firstLine="0"/>
              <w:jc w:val="left"/>
              <w:rPr>
                <w:sz w:val="18"/>
                <w:szCs w:val="18"/>
              </w:rPr>
            </w:pPr>
            <w:r>
              <w:rPr>
                <w:color w:val="000000"/>
                <w:spacing w:val="0"/>
                <w:w w:val="100"/>
                <w:position w:val="0"/>
                <w:sz w:val="18"/>
                <w:szCs w:val="18"/>
              </w:rPr>
              <w:t>原因分析：年底受 疫情影响，部分办 照减少，单位实际 需求情况。</w:t>
            </w:r>
          </w:p>
          <w:p>
            <w:pPr>
              <w:pStyle w:val="31"/>
              <w:keepNext w:val="0"/>
              <w:keepLines w:val="0"/>
              <w:widowControl w:val="0"/>
              <w:shd w:val="clear" w:color="auto" w:fill="auto"/>
              <w:bidi w:val="0"/>
              <w:spacing w:before="0" w:after="0" w:line="299" w:lineRule="exact"/>
              <w:ind w:left="0" w:right="0" w:firstLine="0"/>
              <w:jc w:val="left"/>
              <w:rPr>
                <w:sz w:val="18"/>
                <w:szCs w:val="18"/>
              </w:rPr>
            </w:pPr>
            <w:r>
              <w:rPr>
                <w:color w:val="000000"/>
                <w:spacing w:val="0"/>
                <w:w w:val="100"/>
                <w:position w:val="0"/>
                <w:sz w:val="18"/>
                <w:szCs w:val="18"/>
              </w:rPr>
              <w:t>改进措施：核实好 证照印刷数量，据 实拨付印刷费用。</w:t>
            </w:r>
          </w:p>
        </w:tc>
      </w:tr>
      <w:tr>
        <w:tblPrEx>
          <w:tblCellMar>
            <w:top w:w="0" w:type="dxa"/>
            <w:left w:w="10" w:type="dxa"/>
            <w:bottom w:w="0" w:type="dxa"/>
            <w:right w:w="10" w:type="dxa"/>
          </w:tblCellMar>
        </w:tblPrEx>
        <w:trPr>
          <w:trHeight w:val="643"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数量指标</w:t>
            </w:r>
          </w:p>
        </w:tc>
        <w:tc>
          <w:tcPr>
            <w:gridSpan w:val="3"/>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100" w:line="240" w:lineRule="auto"/>
              <w:ind w:left="0" w:right="0" w:firstLine="0"/>
              <w:jc w:val="left"/>
              <w:rPr>
                <w:sz w:val="18"/>
                <w:szCs w:val="18"/>
              </w:rPr>
            </w:pPr>
            <w:r>
              <w:rPr>
                <w:color w:val="050100"/>
                <w:spacing w:val="0"/>
                <w:w w:val="100"/>
                <w:position w:val="0"/>
                <w:sz w:val="18"/>
                <w:szCs w:val="18"/>
              </w:rPr>
              <w:t>市场准入科证照印刷种类</w:t>
            </w:r>
          </w:p>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（种）</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15</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15</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240"/>
              <w:jc w:val="left"/>
              <w:rPr>
                <w:sz w:val="18"/>
                <w:szCs w:val="18"/>
              </w:rPr>
            </w:pPr>
            <w:r>
              <w:rPr>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4</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38"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数量指标</w:t>
            </w:r>
          </w:p>
        </w:tc>
        <w:tc>
          <w:tcPr>
            <w:gridSpan w:val="3"/>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80" w:line="240" w:lineRule="auto"/>
              <w:ind w:left="0" w:right="0" w:firstLine="0"/>
              <w:jc w:val="left"/>
              <w:rPr>
                <w:sz w:val="18"/>
                <w:szCs w:val="18"/>
              </w:rPr>
            </w:pPr>
            <w:r>
              <w:rPr>
                <w:color w:val="050100"/>
                <w:spacing w:val="0"/>
                <w:w w:val="100"/>
                <w:position w:val="0"/>
                <w:sz w:val="18"/>
                <w:szCs w:val="18"/>
              </w:rPr>
              <w:t>社会民生事务科印刷证照</w:t>
            </w:r>
          </w:p>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种类（种）</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42</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42</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240"/>
              <w:jc w:val="left"/>
              <w:rPr>
                <w:sz w:val="18"/>
                <w:szCs w:val="18"/>
              </w:rPr>
            </w:pPr>
            <w:r>
              <w:rPr>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4</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41"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数量指标</w:t>
            </w:r>
          </w:p>
        </w:tc>
        <w:tc>
          <w:tcPr>
            <w:gridSpan w:val="3"/>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证明材料（种）</w:t>
            </w:r>
          </w:p>
        </w:tc>
        <w:tc>
          <w:tcPr>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20</w:t>
            </w:r>
          </w:p>
        </w:tc>
        <w:tc>
          <w:tcPr>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20</w:t>
            </w:r>
          </w:p>
        </w:tc>
        <w:tc>
          <w:tcPr>
            <w:gridSpan w:val="2"/>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240"/>
              <w:jc w:val="left"/>
              <w:rPr>
                <w:sz w:val="18"/>
                <w:szCs w:val="18"/>
              </w:rPr>
            </w:pPr>
            <w:r>
              <w:rPr>
                <w:color w:val="000000"/>
                <w:spacing w:val="0"/>
                <w:w w:val="100"/>
                <w:position w:val="0"/>
                <w:sz w:val="18"/>
                <w:szCs w:val="18"/>
              </w:rPr>
              <w:t>4</w:t>
            </w:r>
          </w:p>
        </w:tc>
        <w:tc>
          <w:tcPr>
            <w:gridSpan w:val="2"/>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4</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79"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时效指标</w:t>
            </w:r>
          </w:p>
        </w:tc>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按时完成印刷</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按时</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94"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质量指标</w:t>
            </w:r>
          </w:p>
        </w:tc>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证照印刷合格率</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rPr>
              <w:t>&gt;</w:t>
            </w:r>
            <w:r>
              <w:rPr>
                <w:color w:val="050100"/>
                <w:spacing w:val="0"/>
                <w:w w:val="100"/>
                <w:position w:val="0"/>
                <w:sz w:val="18"/>
                <w:szCs w:val="18"/>
              </w:rPr>
              <w:t>95%</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100%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379"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成本指标</w:t>
            </w:r>
          </w:p>
        </w:tc>
        <w:tc>
          <w:tcPr>
            <w:gridSpan w:val="3"/>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证照印刷费用总额（万元）</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rPr>
              <w:t>&lt;</w:t>
            </w:r>
            <w:r>
              <w:rPr>
                <w:color w:val="050100"/>
                <w:spacing w:val="0"/>
                <w:w w:val="100"/>
                <w:position w:val="0"/>
                <w:sz w:val="18"/>
                <w:szCs w:val="18"/>
              </w:rPr>
              <w:t>65</w:t>
            </w: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65</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43" w:hRule="exact"/>
          <w:jc w:val="center"/>
        </w:trPr>
        <w:tc>
          <w:tcPr>
            <w:vMerge w:val="continue"/>
            <w:tcBorders>
              <w:left w:val="single" w:color="auto" w:sz="4" w:space="0"/>
            </w:tcBorders>
            <w:shd w:val="clear" w:color="auto" w:fill="FFFFFF"/>
            <w:vAlign w:val="center"/>
          </w:tcPr>
          <w:p/>
        </w:tc>
        <w:tc>
          <w:tcPr>
            <w:vMerge w:val="restart"/>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80" w:line="240" w:lineRule="auto"/>
              <w:ind w:left="0" w:right="0" w:firstLine="0"/>
              <w:jc w:val="left"/>
              <w:rPr>
                <w:sz w:val="18"/>
                <w:szCs w:val="18"/>
              </w:rPr>
            </w:pPr>
            <w:r>
              <w:rPr>
                <w:color w:val="050100"/>
                <w:spacing w:val="0"/>
                <w:w w:val="100"/>
                <w:position w:val="0"/>
                <w:sz w:val="18"/>
                <w:szCs w:val="18"/>
              </w:rPr>
              <w:t>项目效益</w:t>
            </w:r>
          </w:p>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（30 分）</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社会效益</w:t>
            </w:r>
          </w:p>
        </w:tc>
        <w:tc>
          <w:tcPr>
            <w:gridSpan w:val="3"/>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83" w:lineRule="exact"/>
              <w:ind w:left="0" w:right="0" w:firstLine="0"/>
              <w:jc w:val="left"/>
              <w:rPr>
                <w:sz w:val="18"/>
                <w:szCs w:val="18"/>
              </w:rPr>
            </w:pPr>
            <w:r>
              <w:rPr>
                <w:color w:val="050100"/>
                <w:spacing w:val="0"/>
                <w:w w:val="100"/>
                <w:position w:val="0"/>
                <w:sz w:val="18"/>
                <w:szCs w:val="18"/>
              </w:rPr>
              <w:t>提升行政审批运行效能， 方便群众办事</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638"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00000"/>
                <w:spacing w:val="0"/>
                <w:w w:val="100"/>
                <w:position w:val="0"/>
                <w:sz w:val="18"/>
                <w:szCs w:val="18"/>
              </w:rPr>
              <w:t>可持续影响</w:t>
            </w:r>
          </w:p>
        </w:tc>
        <w:tc>
          <w:tcPr>
            <w:gridSpan w:val="3"/>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80" w:line="240" w:lineRule="auto"/>
              <w:ind w:left="0" w:right="0" w:firstLine="0"/>
              <w:jc w:val="left"/>
              <w:rPr>
                <w:sz w:val="18"/>
                <w:szCs w:val="18"/>
              </w:rPr>
            </w:pPr>
            <w:r>
              <w:rPr>
                <w:color w:val="050100"/>
                <w:spacing w:val="0"/>
                <w:w w:val="100"/>
                <w:position w:val="0"/>
                <w:sz w:val="18"/>
                <w:szCs w:val="18"/>
              </w:rPr>
              <w:t>优化业务办理流程，节约</w:t>
            </w:r>
          </w:p>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企业设立成本</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80" w:after="0" w:line="240" w:lineRule="auto"/>
              <w:ind w:left="0" w:right="0" w:firstLine="0"/>
              <w:jc w:val="left"/>
              <w:rPr>
                <w:sz w:val="18"/>
                <w:szCs w:val="18"/>
              </w:rPr>
            </w:pPr>
            <w:r>
              <w:rPr>
                <w:color w:val="050100"/>
                <w:spacing w:val="0"/>
                <w:w w:val="100"/>
                <w:position w:val="0"/>
                <w:sz w:val="18"/>
                <w:szCs w:val="18"/>
              </w:rPr>
              <w:t>是</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15</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941" w:hRule="exact"/>
          <w:jc w:val="center"/>
        </w:trPr>
        <w:tc>
          <w:tcPr>
            <w:vMerge w:val="continue"/>
            <w:tcBorders>
              <w:left w:val="single" w:color="auto" w:sz="4" w:space="0"/>
            </w:tcBorders>
            <w:shd w:val="clear" w:color="auto" w:fill="FFFFFF"/>
            <w:vAlign w:val="center"/>
          </w:tcPr>
          <w:p/>
        </w:tc>
        <w:tc>
          <w:tcPr>
            <w:tcBorders>
              <w:top w:val="single" w:color="auto" w:sz="4" w:space="0"/>
              <w:left w:val="single" w:color="auto" w:sz="4" w:space="0"/>
            </w:tcBorders>
            <w:shd w:val="clear" w:color="auto" w:fill="FFFFFF"/>
            <w:vAlign w:val="center"/>
          </w:tcPr>
          <w:p>
            <w:pPr>
              <w:pStyle w:val="31"/>
              <w:keepNext w:val="0"/>
              <w:keepLines w:val="0"/>
              <w:widowControl w:val="0"/>
              <w:shd w:val="clear" w:color="auto" w:fill="auto"/>
              <w:bidi w:val="0"/>
              <w:spacing w:before="0" w:after="0" w:line="278" w:lineRule="exact"/>
              <w:ind w:left="0" w:right="0" w:firstLine="0"/>
              <w:jc w:val="left"/>
              <w:rPr>
                <w:sz w:val="18"/>
                <w:szCs w:val="18"/>
              </w:rPr>
            </w:pPr>
            <w:r>
              <w:rPr>
                <w:color w:val="050100"/>
                <w:spacing w:val="0"/>
                <w:w w:val="100"/>
                <w:position w:val="0"/>
                <w:sz w:val="18"/>
                <w:szCs w:val="18"/>
              </w:rPr>
              <w:t>满意度指 标（10分）</w:t>
            </w:r>
          </w:p>
        </w:tc>
        <w:tc>
          <w:tcPr>
            <w:gridSpan w:val="2"/>
            <w:tcBorders>
              <w:top w:val="single" w:color="auto" w:sz="4" w:space="0"/>
              <w:left w:val="single" w:color="auto" w:sz="4" w:space="0"/>
            </w:tcBorders>
            <w:shd w:val="clear" w:color="auto" w:fill="FFFFFF"/>
            <w:vAlign w:val="bottom"/>
          </w:tcPr>
          <w:p>
            <w:pPr>
              <w:pStyle w:val="31"/>
              <w:keepNext w:val="0"/>
              <w:keepLines w:val="0"/>
              <w:widowControl w:val="0"/>
              <w:shd w:val="clear" w:color="auto" w:fill="auto"/>
              <w:bidi w:val="0"/>
              <w:spacing w:before="0" w:after="0" w:line="293" w:lineRule="exact"/>
              <w:ind w:left="0" w:right="0" w:firstLine="0"/>
              <w:jc w:val="left"/>
              <w:rPr>
                <w:sz w:val="18"/>
                <w:szCs w:val="18"/>
              </w:rPr>
            </w:pPr>
            <w:r>
              <w:rPr>
                <w:color w:val="050100"/>
                <w:spacing w:val="0"/>
                <w:w w:val="100"/>
                <w:position w:val="0"/>
                <w:sz w:val="18"/>
                <w:szCs w:val="18"/>
              </w:rPr>
              <w:t>社会公众或 服务对象满 意度</w:t>
            </w:r>
          </w:p>
        </w:tc>
        <w:tc>
          <w:tcPr>
            <w:gridSpan w:val="3"/>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群众满意度</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18"/>
                <w:szCs w:val="18"/>
              </w:rPr>
            </w:pPr>
            <w:r>
              <w:rPr>
                <w:rFonts w:ascii="Times New Roman" w:hAnsi="Times New Roman" w:eastAsia="Times New Roman" w:cs="Times New Roman"/>
                <w:color w:val="050100"/>
                <w:spacing w:val="0"/>
                <w:w w:val="100"/>
                <w:position w:val="0"/>
                <w:sz w:val="20"/>
                <w:szCs w:val="20"/>
              </w:rPr>
              <w:t>&gt;</w:t>
            </w:r>
            <w:r>
              <w:rPr>
                <w:color w:val="050100"/>
                <w:spacing w:val="0"/>
                <w:w w:val="100"/>
                <w:position w:val="0"/>
                <w:sz w:val="18"/>
                <w:szCs w:val="18"/>
              </w:rPr>
              <w:t>95%</w:t>
            </w:r>
          </w:p>
        </w:tc>
        <w:tc>
          <w:tcPr>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left"/>
              <w:rPr>
                <w:sz w:val="18"/>
                <w:szCs w:val="18"/>
              </w:rPr>
            </w:pPr>
            <w:r>
              <w:rPr>
                <w:color w:val="050100"/>
                <w:spacing w:val="0"/>
                <w:w w:val="100"/>
                <w:position w:val="0"/>
                <w:sz w:val="18"/>
                <w:szCs w:val="18"/>
              </w:rPr>
              <w:t>98%</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tcBorders>
            <w:shd w:val="clear" w:color="auto" w:fill="FFFFFF"/>
            <w:vAlign w:val="top"/>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blPrEx>
          <w:tblCellMar>
            <w:top w:w="0" w:type="dxa"/>
            <w:left w:w="10" w:type="dxa"/>
            <w:bottom w:w="0" w:type="dxa"/>
            <w:right w:w="10" w:type="dxa"/>
          </w:tblCellMar>
        </w:tblPrEx>
        <w:trPr>
          <w:trHeight w:val="470" w:hRule="exact"/>
          <w:jc w:val="center"/>
        </w:trPr>
        <w:tc>
          <w:tcPr>
            <w:gridSpan w:val="9"/>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50100"/>
                <w:spacing w:val="0"/>
                <w:w w:val="100"/>
                <w:position w:val="0"/>
                <w:sz w:val="18"/>
                <w:szCs w:val="18"/>
              </w:rPr>
              <w:t>总分</w:t>
            </w:r>
          </w:p>
        </w:tc>
        <w:tc>
          <w:tcPr>
            <w:gridSpan w:val="2"/>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100</w:t>
            </w:r>
          </w:p>
        </w:tc>
        <w:tc>
          <w:tcPr>
            <w:gridSpan w:val="2"/>
            <w:tcBorders>
              <w:top w:val="single" w:color="auto" w:sz="4" w:space="0"/>
              <w:left w:val="single" w:color="auto" w:sz="4" w:space="0"/>
              <w:bottom w:val="single" w:color="auto" w:sz="4" w:space="0"/>
            </w:tcBorders>
            <w:shd w:val="clear" w:color="auto" w:fill="FFFFFF"/>
            <w:vAlign w:val="center"/>
          </w:tcPr>
          <w:p>
            <w:pPr>
              <w:pStyle w:val="31"/>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99.88</w:t>
            </w:r>
          </w:p>
        </w:tc>
        <w:tc>
          <w:tcPr>
            <w:gridSpan w:val="2"/>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sectPr>
          <w:footerReference r:id="rId14" w:type="default"/>
          <w:footnotePr>
            <w:numFmt w:val="decimal"/>
          </w:footnotePr>
          <w:pgSz w:w="11900" w:h="16840"/>
          <w:pgMar w:top="961" w:right="1178" w:bottom="1121" w:left="1054" w:header="533" w:footer="3" w:gutter="0"/>
          <w:cols w:space="720" w:num="1"/>
          <w:rtlGutter w:val="0"/>
          <w:docGrid w:linePitch="360" w:charSpace="0"/>
        </w:sectPr>
      </w:pPr>
    </w:p>
    <w:p>
      <w:pPr>
        <w:widowControl/>
        <w:overflowPunct w:val="0"/>
        <w:autoSpaceDE w:val="0"/>
        <w:autoSpaceDN w:val="0"/>
        <w:adjustRightInd w:val="0"/>
        <w:spacing w:line="580" w:lineRule="exact"/>
        <w:jc w:val="center"/>
        <w:textAlignment w:val="baseline"/>
        <w:rPr>
          <w:rFonts w:ascii="文星简黑体" w:eastAsia="文星简黑体" w:cs="文星简黑体"/>
          <w:kern w:val="0"/>
          <w:sz w:val="44"/>
          <w:szCs w:val="44"/>
        </w:rPr>
      </w:pPr>
      <w:bookmarkStart w:id="37" w:name="bookmark169"/>
      <w:bookmarkStart w:id="38" w:name="bookmark171"/>
      <w:bookmarkStart w:id="39" w:name="bookmark170"/>
      <w:r>
        <w:rPr>
          <w:rFonts w:hint="eastAsia" w:ascii="文星简黑体" w:eastAsia="文星简黑体" w:cs="文星简黑体"/>
          <w:kern w:val="0"/>
          <w:sz w:val="44"/>
          <w:szCs w:val="44"/>
        </w:rPr>
        <w:t>张店区</w:t>
      </w:r>
      <w:r>
        <w:rPr>
          <w:rFonts w:hint="eastAsia" w:ascii="文星简黑体" w:eastAsia="文星简黑体" w:cs="文星简黑体"/>
          <w:kern w:val="0"/>
          <w:sz w:val="44"/>
          <w:szCs w:val="44"/>
          <w:lang w:eastAsia="zh-CN"/>
        </w:rPr>
        <w:t>行政审批服务局</w:t>
      </w:r>
      <w:r>
        <w:rPr>
          <w:rFonts w:hint="eastAsia" w:ascii="文星简黑体" w:eastAsia="文星简黑体" w:cs="文星简黑体"/>
          <w:kern w:val="0"/>
          <w:sz w:val="44"/>
          <w:szCs w:val="44"/>
          <w:lang w:val="en-US" w:eastAsia="zh-CN"/>
        </w:rPr>
        <w:t>行政审批服务工作经费</w:t>
      </w:r>
      <w:r>
        <w:rPr>
          <w:rFonts w:hint="eastAsia" w:ascii="文星简黑体" w:eastAsia="文星简黑体" w:cs="文星简黑体"/>
          <w:kern w:val="0"/>
          <w:sz w:val="44"/>
          <w:szCs w:val="44"/>
        </w:rPr>
        <w:t>项目绩效评价报告</w:t>
      </w:r>
    </w:p>
    <w:p>
      <w:pPr>
        <w:widowControl/>
        <w:overflowPunct w:val="0"/>
        <w:autoSpaceDE w:val="0"/>
        <w:autoSpaceDN w:val="0"/>
        <w:adjustRightInd w:val="0"/>
        <w:spacing w:line="580" w:lineRule="exact"/>
        <w:ind w:firstLine="1040" w:firstLineChars="200"/>
        <w:jc w:val="right"/>
        <w:textAlignment w:val="baseline"/>
        <w:rPr>
          <w:rFonts w:ascii="文星简黑体" w:eastAsia="文星简黑体"/>
          <w:kern w:val="0"/>
          <w:sz w:val="52"/>
          <w:szCs w:val="52"/>
        </w:rPr>
      </w:pPr>
    </w:p>
    <w:p>
      <w:pPr>
        <w:widowControl/>
        <w:overflowPunct w:val="0"/>
        <w:autoSpaceDE w:val="0"/>
        <w:autoSpaceDN w:val="0"/>
        <w:adjustRightInd w:val="0"/>
        <w:spacing w:line="580" w:lineRule="exact"/>
        <w:ind w:firstLine="1040" w:firstLineChars="200"/>
        <w:jc w:val="center"/>
        <w:textAlignment w:val="baseline"/>
        <w:rPr>
          <w:rFonts w:ascii="文星简黑体" w:eastAsia="文星简黑体"/>
          <w:kern w:val="0"/>
          <w:sz w:val="52"/>
          <w:szCs w:val="52"/>
        </w:rPr>
      </w:pPr>
    </w:p>
    <w:p>
      <w:pPr>
        <w:widowControl/>
        <w:overflowPunct w:val="0"/>
        <w:autoSpaceDE w:val="0"/>
        <w:autoSpaceDN w:val="0"/>
        <w:adjustRightInd w:val="0"/>
        <w:spacing w:line="580" w:lineRule="exact"/>
        <w:ind w:firstLine="1040" w:firstLineChars="200"/>
        <w:jc w:val="center"/>
        <w:textAlignment w:val="baseline"/>
        <w:rPr>
          <w:rFonts w:ascii="文星简黑体" w:eastAsia="文星简黑体"/>
          <w:kern w:val="0"/>
          <w:sz w:val="52"/>
          <w:szCs w:val="52"/>
        </w:rPr>
      </w:pPr>
    </w:p>
    <w:p>
      <w:pPr>
        <w:widowControl/>
        <w:overflowPunct w:val="0"/>
        <w:autoSpaceDE w:val="0"/>
        <w:autoSpaceDN w:val="0"/>
        <w:adjustRightInd w:val="0"/>
        <w:spacing w:line="580" w:lineRule="exact"/>
        <w:ind w:firstLine="1040" w:firstLineChars="200"/>
        <w:jc w:val="center"/>
        <w:textAlignment w:val="baseline"/>
        <w:rPr>
          <w:rFonts w:ascii="文星简黑体" w:eastAsia="文星简黑体"/>
          <w:kern w:val="0"/>
          <w:sz w:val="52"/>
          <w:szCs w:val="52"/>
        </w:rPr>
      </w:pPr>
    </w:p>
    <w:p>
      <w:pPr>
        <w:widowControl/>
        <w:overflowPunct w:val="0"/>
        <w:autoSpaceDE w:val="0"/>
        <w:autoSpaceDN w:val="0"/>
        <w:adjustRightInd w:val="0"/>
        <w:spacing w:line="580" w:lineRule="exact"/>
        <w:ind w:firstLine="1040" w:firstLineChars="200"/>
        <w:jc w:val="center"/>
        <w:textAlignment w:val="baseline"/>
        <w:rPr>
          <w:rFonts w:ascii="文星简黑体"/>
          <w:kern w:val="0"/>
          <w:sz w:val="52"/>
          <w:szCs w:val="52"/>
        </w:rPr>
      </w:pPr>
    </w:p>
    <w:p>
      <w:pPr>
        <w:widowControl/>
        <w:overflowPunct w:val="0"/>
        <w:autoSpaceDE w:val="0"/>
        <w:autoSpaceDN w:val="0"/>
        <w:adjustRightInd w:val="0"/>
        <w:spacing w:line="580" w:lineRule="exact"/>
        <w:ind w:firstLine="1040" w:firstLineChars="200"/>
        <w:jc w:val="center"/>
        <w:textAlignment w:val="baseline"/>
        <w:rPr>
          <w:rFonts w:ascii="文星简黑体"/>
          <w:kern w:val="0"/>
          <w:sz w:val="52"/>
          <w:szCs w:val="52"/>
        </w:rPr>
      </w:pPr>
    </w:p>
    <w:p>
      <w:pPr>
        <w:widowControl/>
        <w:overflowPunct w:val="0"/>
        <w:autoSpaceDE w:val="0"/>
        <w:autoSpaceDN w:val="0"/>
        <w:adjustRightInd w:val="0"/>
        <w:spacing w:line="580" w:lineRule="exact"/>
        <w:ind w:firstLine="1040" w:firstLineChars="200"/>
        <w:jc w:val="center"/>
        <w:textAlignment w:val="baseline"/>
        <w:rPr>
          <w:rFonts w:ascii="文星简黑体"/>
          <w:kern w:val="0"/>
          <w:sz w:val="52"/>
          <w:szCs w:val="52"/>
        </w:rPr>
      </w:pPr>
    </w:p>
    <w:p>
      <w:pPr>
        <w:widowControl/>
        <w:overflowPunct w:val="0"/>
        <w:autoSpaceDE w:val="0"/>
        <w:autoSpaceDN w:val="0"/>
        <w:adjustRightInd w:val="0"/>
        <w:spacing w:line="580" w:lineRule="exact"/>
        <w:ind w:firstLine="1040" w:firstLineChars="200"/>
        <w:jc w:val="center"/>
        <w:textAlignment w:val="baseline"/>
        <w:rPr>
          <w:rFonts w:ascii="文星简黑体"/>
          <w:kern w:val="0"/>
          <w:sz w:val="52"/>
          <w:szCs w:val="52"/>
        </w:rPr>
      </w:pPr>
    </w:p>
    <w:p>
      <w:pPr>
        <w:widowControl/>
        <w:overflowPunct w:val="0"/>
        <w:autoSpaceDE w:val="0"/>
        <w:autoSpaceDN w:val="0"/>
        <w:adjustRightInd w:val="0"/>
        <w:spacing w:before="120" w:after="120" w:line="580" w:lineRule="exact"/>
        <w:ind w:firstLine="1280" w:firstLineChars="400"/>
        <w:jc w:val="left"/>
        <w:textAlignment w:val="baseline"/>
        <w:rPr>
          <w:rFonts w:hint="eastAsia" w:ascii="文星简黑体" w:eastAsia="文星简黑体"/>
          <w:kern w:val="0"/>
          <w:sz w:val="32"/>
          <w:szCs w:val="32"/>
          <w:lang w:eastAsia="zh-CN"/>
        </w:rPr>
      </w:pPr>
      <w:r>
        <w:rPr>
          <w:rFonts w:hint="eastAsia" w:ascii="文星简黑体" w:eastAsia="文星简黑体" w:cs="文星简黑体"/>
          <w:kern w:val="0"/>
          <w:sz w:val="32"/>
          <w:szCs w:val="32"/>
        </w:rPr>
        <w:t>项目主管部门：淄博市张店区</w:t>
      </w:r>
      <w:r>
        <w:rPr>
          <w:rFonts w:hint="eastAsia" w:ascii="文星简黑体" w:eastAsia="文星简黑体" w:cs="文星简黑体"/>
          <w:kern w:val="0"/>
          <w:sz w:val="32"/>
          <w:szCs w:val="32"/>
          <w:lang w:eastAsia="zh-CN"/>
        </w:rPr>
        <w:t>行政审批服务局</w:t>
      </w:r>
    </w:p>
    <w:p>
      <w:pPr>
        <w:widowControl/>
        <w:overflowPunct w:val="0"/>
        <w:autoSpaceDE w:val="0"/>
        <w:autoSpaceDN w:val="0"/>
        <w:adjustRightInd w:val="0"/>
        <w:spacing w:before="120" w:after="120" w:line="580" w:lineRule="exact"/>
        <w:ind w:firstLine="560" w:firstLineChars="200"/>
        <w:jc w:val="center"/>
        <w:textAlignment w:val="baseline"/>
        <w:rPr>
          <w:rFonts w:ascii="文星简黑体" w:eastAsia="文星简黑体"/>
          <w:kern w:val="0"/>
          <w:sz w:val="28"/>
          <w:szCs w:val="28"/>
        </w:rPr>
      </w:pPr>
    </w:p>
    <w:p>
      <w:pPr>
        <w:widowControl/>
        <w:overflowPunct w:val="0"/>
        <w:autoSpaceDE w:val="0"/>
        <w:autoSpaceDN w:val="0"/>
        <w:adjustRightInd w:val="0"/>
        <w:spacing w:before="120" w:after="120" w:line="580" w:lineRule="exact"/>
        <w:ind w:firstLine="560" w:firstLineChars="200"/>
        <w:textAlignment w:val="baseline"/>
        <w:rPr>
          <w:rFonts w:ascii="文星简黑体"/>
          <w:kern w:val="0"/>
          <w:sz w:val="28"/>
          <w:szCs w:val="28"/>
        </w:rPr>
      </w:pPr>
    </w:p>
    <w:p>
      <w:pPr>
        <w:widowControl/>
        <w:overflowPunct w:val="0"/>
        <w:autoSpaceDE w:val="0"/>
        <w:autoSpaceDN w:val="0"/>
        <w:adjustRightInd w:val="0"/>
        <w:spacing w:before="120" w:after="120" w:line="580" w:lineRule="exact"/>
        <w:ind w:firstLine="560" w:firstLineChars="200"/>
        <w:textAlignment w:val="baseline"/>
        <w:rPr>
          <w:rFonts w:ascii="文星简黑体"/>
          <w:kern w:val="0"/>
          <w:sz w:val="28"/>
          <w:szCs w:val="28"/>
        </w:rPr>
      </w:pPr>
    </w:p>
    <w:p>
      <w:pPr>
        <w:widowControl/>
        <w:overflowPunct w:val="0"/>
        <w:autoSpaceDE w:val="0"/>
        <w:autoSpaceDN w:val="0"/>
        <w:adjustRightInd w:val="0"/>
        <w:spacing w:before="120" w:after="120" w:line="580" w:lineRule="exact"/>
        <w:ind w:firstLine="640" w:firstLineChars="200"/>
        <w:jc w:val="center"/>
        <w:textAlignment w:val="baseline"/>
        <w:rPr>
          <w:rFonts w:ascii="文星简黑体" w:cs="文星简黑体"/>
          <w:kern w:val="0"/>
          <w:sz w:val="32"/>
          <w:szCs w:val="32"/>
        </w:rPr>
      </w:pPr>
      <w:r>
        <w:rPr>
          <w:rFonts w:ascii="文星简黑体" w:eastAsia="文星简黑体" w:cs="文星简黑体"/>
          <w:kern w:val="0"/>
          <w:sz w:val="32"/>
          <w:szCs w:val="32"/>
        </w:rPr>
        <w:t>20</w:t>
      </w:r>
      <w:r>
        <w:rPr>
          <w:rFonts w:hint="eastAsia" w:ascii="文星简黑体" w:hAnsi="黑体" w:cs="文星简黑体"/>
          <w:kern w:val="0"/>
          <w:sz w:val="32"/>
          <w:szCs w:val="32"/>
        </w:rPr>
        <w:t>2</w:t>
      </w:r>
      <w:r>
        <w:rPr>
          <w:rFonts w:hint="eastAsia" w:ascii="文星简黑体" w:hAnsi="黑体" w:cs="文星简黑体"/>
          <w:kern w:val="0"/>
          <w:sz w:val="32"/>
          <w:szCs w:val="32"/>
          <w:lang w:val="en-US" w:eastAsia="zh-CN"/>
        </w:rPr>
        <w:t>2</w:t>
      </w:r>
      <w:r>
        <w:rPr>
          <w:rFonts w:hint="eastAsia" w:ascii="文星简黑体" w:eastAsia="文星简黑体" w:cs="文星简黑体"/>
          <w:kern w:val="0"/>
          <w:sz w:val="32"/>
          <w:szCs w:val="32"/>
        </w:rPr>
        <w:t>年</w:t>
      </w:r>
      <w:r>
        <w:rPr>
          <w:rFonts w:hint="eastAsia" w:ascii="文星简黑体" w:eastAsia="文星简黑体" w:cs="文星简黑体"/>
          <w:kern w:val="0"/>
          <w:sz w:val="32"/>
          <w:szCs w:val="32"/>
          <w:lang w:val="en-US" w:eastAsia="zh-CN"/>
        </w:rPr>
        <w:t>4</w:t>
      </w:r>
      <w:r>
        <w:rPr>
          <w:rFonts w:hint="eastAsia" w:ascii="文星简黑体" w:eastAsia="文星简黑体" w:cs="文星简黑体"/>
          <w:kern w:val="0"/>
          <w:sz w:val="32"/>
          <w:szCs w:val="32"/>
        </w:rPr>
        <w:t>月</w:t>
      </w:r>
    </w:p>
    <w:p/>
    <w:p>
      <w:pPr>
        <w:spacing w:line="576" w:lineRule="exact"/>
        <w:jc w:val="center"/>
        <w:rPr>
          <w:rFonts w:hint="eastAsia" w:ascii="华文中宋" w:hAnsi="华文中宋" w:eastAsia="华文中宋" w:cs="华文中宋"/>
          <w:b/>
          <w:sz w:val="44"/>
          <w:szCs w:val="44"/>
        </w:rPr>
      </w:pPr>
    </w:p>
    <w:p>
      <w:pPr>
        <w:spacing w:line="576" w:lineRule="exact"/>
        <w:jc w:val="center"/>
        <w:rPr>
          <w:rFonts w:hint="eastAsia" w:ascii="华文中宋" w:hAnsi="华文中宋" w:eastAsia="华文中宋" w:cs="华文中宋"/>
          <w:b/>
          <w:sz w:val="44"/>
          <w:szCs w:val="44"/>
        </w:rPr>
      </w:pPr>
    </w:p>
    <w:p>
      <w:pPr>
        <w:spacing w:line="576" w:lineRule="exact"/>
        <w:jc w:val="center"/>
        <w:rPr>
          <w:rFonts w:hint="eastAsia" w:ascii="华文中宋" w:hAnsi="华文中宋" w:eastAsia="华文中宋" w:cs="华文中宋"/>
          <w:b/>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项目支出绩效评价报告</w:t>
      </w:r>
    </w:p>
    <w:p>
      <w:pPr>
        <w:spacing w:line="576" w:lineRule="exact"/>
        <w:jc w:val="both"/>
        <w:rPr>
          <w:rFonts w:hint="eastAsia" w:ascii="仿宋_GB2312" w:eastAsia="仿宋_GB2312"/>
          <w:sz w:val="32"/>
          <w:szCs w:val="32"/>
        </w:rPr>
      </w:pPr>
    </w:p>
    <w:p>
      <w:pPr>
        <w:spacing w:line="560" w:lineRule="exact"/>
        <w:ind w:firstLine="640"/>
        <w:rPr>
          <w:rFonts w:hint="eastAsia" w:ascii="黑体" w:hAnsi="黑体" w:eastAsia="黑体"/>
          <w:sz w:val="32"/>
          <w:szCs w:val="32"/>
        </w:rPr>
      </w:pPr>
      <w:r>
        <w:rPr>
          <w:rFonts w:hint="eastAsia" w:ascii="黑体" w:hAnsi="黑体" w:eastAsia="黑体" w:cs="黑体"/>
          <w:sz w:val="32"/>
          <w:szCs w:val="32"/>
        </w:rPr>
        <w:t>一、项目基本概况</w:t>
      </w:r>
    </w:p>
    <w:p>
      <w:pPr>
        <w:spacing w:line="560" w:lineRule="exact"/>
        <w:ind w:firstLine="630" w:firstLineChars="197"/>
        <w:outlineLvl w:val="0"/>
        <w:rPr>
          <w:rFonts w:hint="eastAsia" w:ascii="仿宋_GB2312" w:eastAsia="仿宋_GB2312" w:cs="仿宋_GB2312"/>
          <w:sz w:val="32"/>
          <w:szCs w:val="32"/>
        </w:rPr>
      </w:pPr>
      <w:r>
        <w:rPr>
          <w:rFonts w:hint="eastAsia" w:ascii="仿宋_GB2312" w:eastAsia="仿宋_GB2312" w:cs="仿宋_GB2312"/>
          <w:sz w:val="32"/>
          <w:szCs w:val="32"/>
        </w:rPr>
        <w:t>（一）项目概况。</w:t>
      </w:r>
    </w:p>
    <w:p>
      <w:pPr>
        <w:pStyle w:val="2"/>
        <w:rPr>
          <w:rFonts w:hint="eastAsia" w:ascii="仿宋_GB2312" w:hAnsi="仿宋_GB2312" w:eastAsia="仿宋_GB2312" w:cs="仿宋_GB2312"/>
          <w:sz w:val="32"/>
          <w:szCs w:val="36"/>
        </w:rPr>
      </w:pPr>
      <w:r>
        <w:rPr>
          <w:rFonts w:hint="eastAsia" w:ascii="仿宋_GB2312" w:eastAsia="仿宋_GB2312" w:cs="仿宋_GB2312"/>
          <w:sz w:val="32"/>
          <w:szCs w:val="32"/>
          <w:lang w:eastAsia="zh-CN"/>
        </w:rPr>
        <w:t>根据淄博市人民政府办公室关于实施流程再造推进“一窗受理</w:t>
      </w:r>
      <w:r>
        <w:rPr>
          <w:rFonts w:hint="eastAsia" w:ascii="仿宋_GB2312" w:hAnsi="仿宋_GB2312" w:eastAsia="仿宋_GB2312" w:cs="仿宋_GB2312"/>
          <w:sz w:val="32"/>
          <w:szCs w:val="32"/>
          <w:lang w:eastAsia="zh-CN"/>
        </w:rPr>
        <w:t>·</w:t>
      </w:r>
      <w:r>
        <w:rPr>
          <w:rFonts w:hint="eastAsia" w:ascii="仿宋_GB2312" w:eastAsia="仿宋_GB2312" w:cs="仿宋_GB2312"/>
          <w:sz w:val="32"/>
          <w:szCs w:val="32"/>
          <w:lang w:eastAsia="zh-CN"/>
        </w:rPr>
        <w:t>一次办好”改革的实施意见、区委办公室</w:t>
      </w:r>
      <w:r>
        <w:rPr>
          <w:rFonts w:hint="eastAsia" w:ascii="仿宋_GB2312" w:eastAsia="仿宋_GB2312" w:cs="仿宋_GB2312"/>
          <w:sz w:val="32"/>
          <w:szCs w:val="32"/>
          <w:lang w:val="en-US" w:eastAsia="zh-CN"/>
        </w:rPr>
        <w:t xml:space="preserve"> 区政府办公室印发《关于深化“一次办好”改革打造“三最”城市升级版实施方案》的通知要求，</w:t>
      </w:r>
      <w:r>
        <w:rPr>
          <w:rFonts w:hint="eastAsia" w:ascii="仿宋_GB2312" w:eastAsia="仿宋_GB2312" w:cs="仿宋_GB2312"/>
          <w:sz w:val="32"/>
          <w:szCs w:val="32"/>
          <w:lang w:eastAsia="zh-CN"/>
        </w:rPr>
        <w:t>为深化</w:t>
      </w:r>
      <w:r>
        <w:rPr>
          <w:rFonts w:hint="eastAsia" w:ascii="仿宋_GB2312" w:eastAsia="仿宋_GB2312" w:cs="仿宋_GB2312"/>
          <w:sz w:val="32"/>
          <w:szCs w:val="32"/>
          <w:lang w:val="en-US" w:eastAsia="zh-CN"/>
        </w:rPr>
        <w:t>“一次办好”改革，进一步优化中心城区营商环境，扎实推进“一窗受理”、“一链办理”、“一网通办”、“一线连通”、“一次办结”五个一工作，提升政务服务效能，建设人民满意的服务型政府，提升人民群众满意度，保障政务服务工作正常运行，特申请</w:t>
      </w:r>
      <w:r>
        <w:rPr>
          <w:rFonts w:hint="default" w:ascii="Times New Roman" w:hAnsi="Times New Roman" w:eastAsia="仿宋_GB2312" w:cs="Times New Roman"/>
          <w:sz w:val="32"/>
          <w:szCs w:val="32"/>
          <w:lang w:val="en-US" w:eastAsia="zh-CN"/>
        </w:rPr>
        <w:t>2021</w:t>
      </w:r>
      <w:r>
        <w:rPr>
          <w:rFonts w:hint="eastAsia" w:ascii="仿宋_GB2312" w:eastAsia="仿宋_GB2312" w:cs="仿宋_GB2312"/>
          <w:sz w:val="32"/>
          <w:szCs w:val="32"/>
          <w:lang w:val="en-US" w:eastAsia="zh-CN"/>
        </w:rPr>
        <w:t>年行政审批服务工作经费</w:t>
      </w:r>
      <w:r>
        <w:rPr>
          <w:rFonts w:hint="eastAsia" w:ascii="Times New Roman" w:hAnsi="Times New Roman" w:eastAsia="仿宋_GB2312" w:cs="Times New Roman"/>
          <w:sz w:val="32"/>
          <w:szCs w:val="32"/>
          <w:lang w:val="en-US" w:eastAsia="zh-CN"/>
        </w:rPr>
        <w:t>439.66</w:t>
      </w:r>
      <w:r>
        <w:rPr>
          <w:rFonts w:hint="eastAsia" w:ascii="仿宋_GB2312" w:eastAsia="仿宋_GB2312" w:cs="仿宋_GB2312"/>
          <w:sz w:val="32"/>
          <w:szCs w:val="32"/>
          <w:lang w:val="en-US" w:eastAsia="zh-CN"/>
        </w:rPr>
        <w:t>万元。</w:t>
      </w:r>
    </w:p>
    <w:p>
      <w:pPr>
        <w:numPr>
          <w:ilvl w:val="0"/>
          <w:numId w:val="0"/>
        </w:num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eastAsia="zh-CN"/>
        </w:rPr>
        <w:t>（二）</w:t>
      </w:r>
      <w:r>
        <w:rPr>
          <w:rFonts w:hint="eastAsia" w:ascii="仿宋_GB2312" w:eastAsia="仿宋_GB2312" w:cs="仿宋_GB2312"/>
          <w:sz w:val="32"/>
          <w:szCs w:val="32"/>
        </w:rPr>
        <w:t>项目绩效目标情况。</w:t>
      </w:r>
    </w:p>
    <w:p>
      <w:pPr>
        <w:spacing w:line="560" w:lineRule="exact"/>
        <w:ind w:firstLine="630" w:firstLineChars="197"/>
        <w:rPr>
          <w:rFonts w:hint="eastAsia"/>
        </w:rPr>
      </w:pPr>
      <w:r>
        <w:rPr>
          <w:rFonts w:hint="eastAsia" w:ascii="仿宋_GB2312" w:eastAsia="仿宋_GB2312" w:cs="仿宋_GB2312"/>
          <w:sz w:val="32"/>
          <w:szCs w:val="32"/>
          <w:lang w:eastAsia="zh-CN"/>
        </w:rPr>
        <w:t>根据《中华人民共和国预算法》、《财经制度与财经纪律》合理规范使用资金。</w:t>
      </w:r>
    </w:p>
    <w:p>
      <w:pPr>
        <w:spacing w:line="560" w:lineRule="exact"/>
        <w:ind w:firstLine="640"/>
        <w:rPr>
          <w:rFonts w:hint="eastAsia" w:ascii="黑体" w:hAnsi="黑体" w:eastAsia="黑体"/>
          <w:sz w:val="32"/>
          <w:szCs w:val="32"/>
        </w:rPr>
      </w:pPr>
      <w:r>
        <w:rPr>
          <w:rFonts w:hint="eastAsia" w:ascii="黑体" w:hAnsi="黑体" w:eastAsia="黑体" w:cs="黑体"/>
          <w:sz w:val="32"/>
          <w:szCs w:val="32"/>
        </w:rPr>
        <w:t>二、项目绩效评价工作情况</w:t>
      </w:r>
    </w:p>
    <w:p>
      <w:pPr>
        <w:spacing w:line="560" w:lineRule="exact"/>
        <w:ind w:firstLine="630" w:firstLineChars="197"/>
        <w:rPr>
          <w:rFonts w:hint="eastAsia" w:ascii="仿宋_GB2312" w:eastAsia="仿宋_GB2312" w:cs="仿宋_GB2312"/>
          <w:sz w:val="32"/>
          <w:szCs w:val="32"/>
        </w:rPr>
      </w:pPr>
      <w:r>
        <w:rPr>
          <w:rFonts w:hint="eastAsia" w:ascii="仿宋_GB2312" w:eastAsia="仿宋_GB2312" w:cs="仿宋_GB2312"/>
          <w:sz w:val="32"/>
          <w:szCs w:val="32"/>
        </w:rPr>
        <w:t>（一）项目绩效评价目的。</w:t>
      </w:r>
    </w:p>
    <w:p>
      <w:pPr>
        <w:pStyle w:val="2"/>
        <w:rPr>
          <w:rFonts w:hint="eastAsia" w:ascii="仿宋_GB2312" w:eastAsia="仿宋_GB2312"/>
          <w:sz w:val="32"/>
          <w:szCs w:val="32"/>
          <w:lang w:eastAsia="zh-CN"/>
        </w:rPr>
      </w:pPr>
      <w:r>
        <w:rPr>
          <w:rFonts w:hint="eastAsia" w:ascii="仿宋_GB2312" w:eastAsia="仿宋_GB2312" w:cs="仿宋_GB2312"/>
          <w:sz w:val="32"/>
          <w:szCs w:val="32"/>
          <w:lang w:eastAsia="zh-CN"/>
        </w:rPr>
        <w:t>严格执行《中华人民共和国预算法》</w:t>
      </w:r>
      <w:r>
        <w:rPr>
          <w:rFonts w:hint="eastAsia" w:ascii="仿宋_GB2312" w:eastAsia="仿宋_GB2312"/>
          <w:sz w:val="32"/>
          <w:szCs w:val="32"/>
          <w:lang w:eastAsia="zh-CN"/>
        </w:rPr>
        <w:t>，强化支出责任，提高资金使用效益对项目支出情况开展绩效评价，践行“花钱必问责、无效必问责”。</w:t>
      </w:r>
    </w:p>
    <w:p>
      <w:pPr>
        <w:pStyle w:val="2"/>
        <w:rPr>
          <w:rFonts w:hint="eastAsia" w:ascii="仿宋_GB2312" w:eastAsia="仿宋_GB2312" w:cs="仿宋_GB2312"/>
          <w:spacing w:val="-8"/>
          <w:sz w:val="32"/>
          <w:szCs w:val="32"/>
        </w:rPr>
      </w:pPr>
      <w:r>
        <w:rPr>
          <w:rFonts w:hint="eastAsia" w:ascii="仿宋_GB2312" w:eastAsia="仿宋_GB2312"/>
          <w:sz w:val="32"/>
          <w:szCs w:val="32"/>
          <w:lang w:eastAsia="zh-CN"/>
        </w:rPr>
        <w:t>（二）</w:t>
      </w:r>
      <w:r>
        <w:rPr>
          <w:rFonts w:hint="eastAsia" w:ascii="仿宋_GB2312" w:eastAsia="仿宋_GB2312" w:cs="仿宋_GB2312"/>
          <w:sz w:val="32"/>
          <w:szCs w:val="32"/>
        </w:rPr>
        <w:t>项目绩效</w:t>
      </w:r>
      <w:r>
        <w:rPr>
          <w:rFonts w:hint="eastAsia" w:ascii="仿宋_GB2312" w:eastAsia="仿宋_GB2312" w:cs="仿宋_GB2312"/>
          <w:spacing w:val="-8"/>
          <w:sz w:val="32"/>
          <w:szCs w:val="32"/>
        </w:rPr>
        <w:t>评价原则、评价指标体系（附表说明）、评价方法。</w:t>
      </w:r>
    </w:p>
    <w:p>
      <w:pPr>
        <w:spacing w:line="560" w:lineRule="exact"/>
        <w:ind w:firstLine="630" w:firstLineChars="197"/>
        <w:rPr>
          <w:rFonts w:hint="eastAsia" w:ascii="仿宋_GB2312" w:hAnsi="Calibri" w:eastAsia="仿宋_GB2312" w:cs="仿宋_GB2312"/>
          <w:kern w:val="2"/>
          <w:sz w:val="32"/>
          <w:szCs w:val="32"/>
          <w:lang w:val="en-US" w:eastAsia="zh-CN" w:bidi="ar-SA"/>
        </w:rPr>
      </w:pPr>
      <w:r>
        <w:rPr>
          <w:rFonts w:hint="eastAsia" w:ascii="仿宋_GB2312" w:hAnsi="Calibri" w:eastAsia="仿宋_GB2312" w:cs="仿宋_GB2312"/>
          <w:kern w:val="2"/>
          <w:sz w:val="32"/>
          <w:szCs w:val="32"/>
          <w:lang w:val="en-US" w:eastAsia="zh-CN" w:bidi="ar-SA"/>
        </w:rPr>
        <w:t>该项目的评价原则是实事求是，评价以中华人民共和国预算法，财政部财政支出绩效评价管理暂行办法等法律规定为依据。评价指标体系详见附件</w:t>
      </w:r>
      <w:r>
        <w:rPr>
          <w:rFonts w:hint="default" w:ascii="Times New Roman" w:hAnsi="Times New Roman" w:eastAsia="仿宋_GB2312" w:cs="Times New Roman"/>
          <w:kern w:val="2"/>
          <w:sz w:val="32"/>
          <w:szCs w:val="32"/>
          <w:lang w:val="en-US" w:eastAsia="zh-CN" w:bidi="ar-SA"/>
        </w:rPr>
        <w:t>1</w:t>
      </w:r>
      <w:r>
        <w:rPr>
          <w:rFonts w:hint="eastAsia" w:ascii="仿宋_GB2312" w:hAnsi="Calibri" w:eastAsia="仿宋_GB2312" w:cs="仿宋_GB2312"/>
          <w:kern w:val="2"/>
          <w:sz w:val="32"/>
          <w:szCs w:val="32"/>
          <w:lang w:val="en-US" w:eastAsia="zh-CN" w:bidi="ar-SA"/>
        </w:rPr>
        <w:t>。</w:t>
      </w:r>
    </w:p>
    <w:p>
      <w:pPr>
        <w:spacing w:line="560" w:lineRule="exact"/>
        <w:ind w:firstLine="598" w:firstLineChars="197"/>
        <w:rPr>
          <w:rFonts w:hint="eastAsia"/>
        </w:rPr>
      </w:pPr>
      <w:r>
        <w:rPr>
          <w:rFonts w:hint="eastAsia" w:ascii="仿宋_GB2312" w:eastAsia="仿宋_GB2312" w:cs="仿宋_GB2312"/>
          <w:spacing w:val="-8"/>
          <w:sz w:val="32"/>
          <w:szCs w:val="32"/>
          <w:lang w:eastAsia="zh-CN"/>
        </w:rPr>
        <w:t>评价方法采用</w:t>
      </w:r>
      <w:r>
        <w:rPr>
          <w:rFonts w:hint="eastAsia" w:ascii="仿宋_GB2312" w:eastAsia="仿宋_GB2312" w:cs="仿宋_GB2312"/>
          <w:spacing w:val="-8"/>
          <w:sz w:val="32"/>
          <w:szCs w:val="32"/>
          <w:lang w:val="en-US" w:eastAsia="zh-CN"/>
        </w:rPr>
        <w:t>成本效益分析法，指将投入与产出、效益进行关联性分析的方法。</w:t>
      </w:r>
    </w:p>
    <w:p>
      <w:pPr>
        <w:spacing w:line="560" w:lineRule="exact"/>
        <w:ind w:firstLine="630" w:firstLineChars="197"/>
        <w:rPr>
          <w:rFonts w:hint="eastAsia" w:ascii="仿宋_GB2312" w:eastAsia="仿宋_GB2312"/>
          <w:sz w:val="32"/>
          <w:szCs w:val="32"/>
        </w:rPr>
      </w:pPr>
      <w:r>
        <w:rPr>
          <w:rFonts w:hint="eastAsia" w:ascii="仿宋_GB2312" w:eastAsia="仿宋_GB2312" w:cs="仿宋_GB2312"/>
          <w:sz w:val="32"/>
          <w:szCs w:val="32"/>
        </w:rPr>
        <w:t>（三）项目绩效评价工作过程。</w:t>
      </w:r>
    </w:p>
    <w:p>
      <w:pPr>
        <w:spacing w:line="560" w:lineRule="exact"/>
        <w:ind w:firstLine="630" w:firstLineChars="197"/>
        <w:rPr>
          <w:rFonts w:hint="eastAsia" w:ascii="仿宋_GB2312" w:eastAsia="仿宋_GB2312" w:cs="仿宋_GB2312"/>
          <w:sz w:val="32"/>
          <w:szCs w:val="32"/>
        </w:rPr>
      </w:pPr>
      <w:r>
        <w:rPr>
          <w:rFonts w:hint="eastAsia" w:ascii="仿宋_GB2312" w:eastAsia="仿宋_GB2312"/>
          <w:sz w:val="32"/>
          <w:szCs w:val="32"/>
        </w:rPr>
        <w:fldChar w:fldCharType="begin"/>
      </w:r>
      <w:r>
        <w:rPr>
          <w:rFonts w:hint="eastAsia" w:ascii="仿宋_GB2312" w:eastAsia="仿宋_GB2312"/>
          <w:sz w:val="32"/>
          <w:szCs w:val="32"/>
        </w:rPr>
        <w:instrText xml:space="preserve"> = 1 \* Arabic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t>.</w:t>
      </w:r>
      <w:r>
        <w:rPr>
          <w:rFonts w:hint="eastAsia" w:ascii="仿宋_GB2312" w:eastAsia="仿宋_GB2312" w:cs="仿宋_GB2312"/>
          <w:sz w:val="32"/>
          <w:szCs w:val="32"/>
        </w:rPr>
        <w:t>前期准备。</w:t>
      </w:r>
    </w:p>
    <w:p>
      <w:pPr>
        <w:spacing w:line="560" w:lineRule="exact"/>
        <w:ind w:firstLine="630" w:firstLineChars="197"/>
        <w:rPr>
          <w:rFonts w:hint="eastAsia"/>
        </w:rPr>
      </w:pPr>
      <w:r>
        <w:rPr>
          <w:rFonts w:hint="eastAsia" w:ascii="仿宋_GB2312" w:eastAsia="仿宋_GB2312" w:cs="仿宋_GB2312"/>
          <w:sz w:val="32"/>
          <w:szCs w:val="32"/>
          <w:lang w:eastAsia="zh-CN"/>
        </w:rPr>
        <w:t>成立部门绩效评价小组，学习评价指标体系和绩效相关文件通知。</w:t>
      </w:r>
    </w:p>
    <w:p>
      <w:pPr>
        <w:numPr>
          <w:ilvl w:val="0"/>
          <w:numId w:val="0"/>
        </w:num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2.</w:t>
      </w:r>
      <w:r>
        <w:rPr>
          <w:rFonts w:hint="eastAsia" w:ascii="仿宋_GB2312" w:eastAsia="仿宋_GB2312" w:cs="仿宋_GB2312"/>
          <w:sz w:val="32"/>
          <w:szCs w:val="32"/>
        </w:rPr>
        <w:t>组织实施。</w:t>
      </w:r>
    </w:p>
    <w:p>
      <w:pPr>
        <w:spacing w:line="560" w:lineRule="exact"/>
        <w:ind w:firstLine="630" w:firstLineChars="197"/>
        <w:rPr>
          <w:rFonts w:hint="eastAsia"/>
        </w:rPr>
      </w:pPr>
      <w:r>
        <w:rPr>
          <w:rFonts w:hint="eastAsia" w:ascii="仿宋_GB2312" w:eastAsia="仿宋_GB2312" w:cs="仿宋_GB2312"/>
          <w:sz w:val="32"/>
          <w:szCs w:val="32"/>
          <w:lang w:eastAsia="zh-CN"/>
        </w:rPr>
        <w:t>按照规定的工作程序组织绩效评价自评，注重评价质量，撰写绩效评价报告。</w:t>
      </w:r>
    </w:p>
    <w:p>
      <w:pPr>
        <w:numPr>
          <w:ilvl w:val="0"/>
          <w:numId w:val="0"/>
        </w:numPr>
        <w:spacing w:line="560" w:lineRule="exact"/>
        <w:ind w:leftChars="197" w:firstLine="320" w:firstLineChars="100"/>
        <w:rPr>
          <w:rFonts w:hint="eastAsia" w:ascii="仿宋_GB2312" w:eastAsia="仿宋_GB2312" w:cs="仿宋_GB2312"/>
          <w:sz w:val="32"/>
          <w:szCs w:val="32"/>
        </w:rPr>
      </w:pPr>
      <w:r>
        <w:rPr>
          <w:rFonts w:hint="eastAsia" w:ascii="仿宋_GB2312" w:eastAsia="仿宋_GB2312" w:cs="仿宋_GB2312"/>
          <w:sz w:val="32"/>
          <w:szCs w:val="32"/>
          <w:lang w:val="en-US" w:eastAsia="zh-CN"/>
        </w:rPr>
        <w:t>3.</w:t>
      </w:r>
      <w:r>
        <w:rPr>
          <w:rFonts w:hint="eastAsia" w:ascii="仿宋_GB2312" w:eastAsia="仿宋_GB2312" w:cs="仿宋_GB2312"/>
          <w:sz w:val="32"/>
          <w:szCs w:val="32"/>
        </w:rPr>
        <w:t>分析评价。</w:t>
      </w:r>
    </w:p>
    <w:p>
      <w:pPr>
        <w:pStyle w:val="2"/>
        <w:numPr>
          <w:ilvl w:val="0"/>
          <w:numId w:val="0"/>
        </w:numPr>
        <w:ind w:leftChars="197" w:firstLine="320" w:firstLineChars="100"/>
        <w:rPr>
          <w:rFonts w:hint="eastAsia"/>
        </w:rPr>
      </w:pPr>
      <w:r>
        <w:rPr>
          <w:rFonts w:hint="eastAsia" w:ascii="仿宋_GB2312" w:eastAsia="仿宋_GB2312" w:cs="仿宋_GB2312"/>
          <w:sz w:val="32"/>
          <w:szCs w:val="32"/>
          <w:lang w:eastAsia="zh-CN"/>
        </w:rPr>
        <w:t>对评价结果进行整改，充分运用分析评价引领。</w:t>
      </w:r>
    </w:p>
    <w:p>
      <w:pPr>
        <w:spacing w:line="560" w:lineRule="exact"/>
        <w:ind w:firstLine="640"/>
        <w:rPr>
          <w:rFonts w:hint="eastAsia" w:ascii="黑体" w:hAnsi="黑体" w:eastAsia="黑体" w:cs="黑体"/>
          <w:sz w:val="32"/>
          <w:szCs w:val="32"/>
        </w:rPr>
      </w:pPr>
      <w:r>
        <w:rPr>
          <w:rFonts w:hint="eastAsia" w:ascii="黑体" w:hAnsi="黑体" w:eastAsia="黑体" w:cs="黑体"/>
          <w:sz w:val="32"/>
          <w:szCs w:val="32"/>
        </w:rPr>
        <w:t>三、项目绩效评价指标分析情况</w:t>
      </w:r>
    </w:p>
    <w:p>
      <w:pPr>
        <w:spacing w:line="560" w:lineRule="exact"/>
        <w:ind w:firstLine="630" w:firstLineChars="197"/>
        <w:outlineLvl w:val="0"/>
        <w:rPr>
          <w:rFonts w:hint="eastAsia" w:ascii="仿宋_GB2312" w:eastAsia="仿宋_GB2312"/>
          <w:sz w:val="32"/>
          <w:szCs w:val="32"/>
        </w:rPr>
      </w:pPr>
      <w:r>
        <w:rPr>
          <w:rFonts w:hint="eastAsia" w:ascii="仿宋_GB2312" w:eastAsia="仿宋_GB2312" w:cs="仿宋_GB2312"/>
          <w:sz w:val="32"/>
          <w:szCs w:val="32"/>
        </w:rPr>
        <w:t>（一）项目资金情况分析。</w:t>
      </w:r>
    </w:p>
    <w:p>
      <w:pPr>
        <w:spacing w:line="560" w:lineRule="exact"/>
        <w:ind w:firstLine="630" w:firstLineChars="197"/>
        <w:rPr>
          <w:rFonts w:hint="eastAsia" w:ascii="仿宋_GB2312" w:eastAsia="仿宋_GB2312" w:cs="仿宋_GB2312"/>
          <w:sz w:val="32"/>
          <w:szCs w:val="32"/>
        </w:rPr>
      </w:pPr>
      <w:r>
        <w:rPr>
          <w:rFonts w:hint="eastAsia" w:ascii="仿宋_GB2312" w:eastAsia="仿宋_GB2312"/>
          <w:sz w:val="32"/>
          <w:szCs w:val="32"/>
        </w:rPr>
        <w:t>1.</w:t>
      </w:r>
      <w:r>
        <w:rPr>
          <w:rFonts w:hint="eastAsia" w:ascii="仿宋_GB2312" w:eastAsia="仿宋_GB2312" w:cs="仿宋_GB2312"/>
          <w:sz w:val="32"/>
          <w:szCs w:val="32"/>
        </w:rPr>
        <w:t>项目资金到位情况分析。</w:t>
      </w:r>
    </w:p>
    <w:p>
      <w:pPr>
        <w:spacing w:line="560" w:lineRule="exact"/>
        <w:ind w:firstLine="630" w:firstLineChars="197"/>
        <w:rPr>
          <w:rFonts w:hint="eastAsia" w:ascii="仿宋_GB2312" w:eastAsia="仿宋_GB2312" w:cs="仿宋_GB2312"/>
          <w:sz w:val="32"/>
          <w:szCs w:val="32"/>
          <w:lang w:val="en-US" w:eastAsia="zh-CN"/>
        </w:rPr>
      </w:pPr>
      <w:r>
        <w:rPr>
          <w:rFonts w:hint="eastAsia" w:ascii="仿宋_GB2312" w:eastAsia="仿宋_GB2312" w:cs="仿宋_GB2312"/>
          <w:sz w:val="32"/>
          <w:szCs w:val="32"/>
          <w:lang w:eastAsia="zh-CN"/>
        </w:rPr>
        <w:t>资金于</w:t>
      </w:r>
      <w:r>
        <w:rPr>
          <w:rFonts w:hint="default" w:ascii="Times New Roman" w:hAnsi="Times New Roman" w:eastAsia="仿宋_GB2312" w:cs="Times New Roman"/>
          <w:sz w:val="32"/>
          <w:szCs w:val="32"/>
          <w:lang w:val="en-US" w:eastAsia="zh-CN"/>
        </w:rPr>
        <w:t>2021</w:t>
      </w:r>
      <w:r>
        <w:rPr>
          <w:rFonts w:hint="eastAsia" w:ascii="仿宋_GB2312" w:eastAsia="仿宋_GB2312" w:cs="仿宋_GB2312"/>
          <w:sz w:val="32"/>
          <w:szCs w:val="32"/>
          <w:lang w:val="en-US" w:eastAsia="zh-CN"/>
        </w:rPr>
        <w:t>年</w:t>
      </w:r>
      <w:r>
        <w:rPr>
          <w:rFonts w:hint="eastAsia" w:ascii="Times New Roman" w:hAnsi="Times New Roman" w:eastAsia="仿宋_GB2312" w:cs="Times New Roman"/>
          <w:sz w:val="32"/>
          <w:szCs w:val="32"/>
          <w:lang w:val="en-US" w:eastAsia="zh-CN"/>
        </w:rPr>
        <w:t>12</w:t>
      </w:r>
      <w:r>
        <w:rPr>
          <w:rFonts w:hint="eastAsia" w:ascii="仿宋_GB2312" w:eastAsia="仿宋_GB2312" w:cs="仿宋_GB2312"/>
          <w:sz w:val="32"/>
          <w:szCs w:val="32"/>
          <w:lang w:val="en-US" w:eastAsia="zh-CN"/>
        </w:rPr>
        <w:t>月份全部到位，未影响项目实施。</w:t>
      </w:r>
    </w:p>
    <w:p>
      <w:pPr>
        <w:spacing w:line="560" w:lineRule="exact"/>
        <w:ind w:firstLine="630" w:firstLineChars="197"/>
        <w:rPr>
          <w:rFonts w:hint="eastAsia" w:ascii="仿宋_GB2312" w:eastAsia="仿宋_GB2312" w:cs="仿宋_GB2312"/>
          <w:sz w:val="32"/>
          <w:szCs w:val="32"/>
        </w:rPr>
      </w:pPr>
      <w:r>
        <w:rPr>
          <w:rFonts w:hint="eastAsia" w:ascii="仿宋_GB2312" w:eastAsia="仿宋_GB2312"/>
          <w:sz w:val="32"/>
          <w:szCs w:val="32"/>
        </w:rPr>
        <w:fldChar w:fldCharType="begin"/>
      </w:r>
      <w:r>
        <w:rPr>
          <w:rFonts w:hint="eastAsia" w:ascii="仿宋_GB2312" w:eastAsia="仿宋_GB2312"/>
          <w:sz w:val="32"/>
          <w:szCs w:val="32"/>
        </w:rPr>
        <w:instrText xml:space="preserve"> = 2 \* Arabic </w:instrText>
      </w:r>
      <w:r>
        <w:rPr>
          <w:rFonts w:hint="eastAsia" w:ascii="仿宋_GB2312" w:eastAsia="仿宋_GB2312"/>
          <w:sz w:val="32"/>
          <w:szCs w:val="32"/>
        </w:rPr>
        <w:fldChar w:fldCharType="separate"/>
      </w:r>
      <w:r>
        <w:rPr>
          <w:rFonts w:hint="eastAsia" w:ascii="仿宋_GB2312" w:eastAsia="仿宋_GB2312"/>
          <w:sz w:val="32"/>
          <w:szCs w:val="32"/>
        </w:rPr>
        <w:t>2</w:t>
      </w:r>
      <w:r>
        <w:rPr>
          <w:rFonts w:hint="eastAsia" w:ascii="仿宋_GB2312" w:eastAsia="仿宋_GB2312"/>
          <w:sz w:val="32"/>
          <w:szCs w:val="32"/>
        </w:rPr>
        <w:fldChar w:fldCharType="end"/>
      </w:r>
      <w:r>
        <w:rPr>
          <w:rFonts w:hint="eastAsia" w:ascii="仿宋_GB2312" w:eastAsia="仿宋_GB2312"/>
          <w:sz w:val="32"/>
          <w:szCs w:val="32"/>
        </w:rPr>
        <w:t>.</w:t>
      </w:r>
      <w:r>
        <w:rPr>
          <w:rFonts w:hint="eastAsia" w:ascii="仿宋_GB2312" w:eastAsia="仿宋_GB2312" w:cs="仿宋_GB2312"/>
          <w:sz w:val="32"/>
          <w:szCs w:val="32"/>
        </w:rPr>
        <w:t>项目资金使用情况分析。</w:t>
      </w:r>
    </w:p>
    <w:p>
      <w:pPr>
        <w:spacing w:line="560" w:lineRule="exact"/>
        <w:ind w:firstLine="630" w:firstLineChars="197"/>
        <w:rPr>
          <w:rFonts w:hint="eastAsia"/>
        </w:rPr>
      </w:pPr>
      <w:r>
        <w:rPr>
          <w:rFonts w:hint="eastAsia" w:ascii="仿宋_GB2312" w:eastAsia="仿宋_GB2312" w:cs="仿宋_GB2312"/>
          <w:sz w:val="32"/>
          <w:szCs w:val="32"/>
          <w:lang w:eastAsia="zh-CN"/>
        </w:rPr>
        <w:t>资金使用合规，无截留、挪用等现象，资金使用效益明显。</w:t>
      </w:r>
    </w:p>
    <w:p>
      <w:pPr>
        <w:spacing w:line="560" w:lineRule="exact"/>
        <w:ind w:firstLine="630" w:firstLineChars="197"/>
        <w:rPr>
          <w:rFonts w:hint="eastAsia" w:ascii="仿宋_GB2312" w:eastAsia="仿宋_GB2312" w:cs="仿宋_GB2312"/>
          <w:sz w:val="32"/>
          <w:szCs w:val="32"/>
        </w:rPr>
      </w:pPr>
      <w:r>
        <w:rPr>
          <w:rFonts w:hint="eastAsia" w:ascii="仿宋_GB2312" w:eastAsia="仿宋_GB2312"/>
          <w:sz w:val="32"/>
          <w:szCs w:val="32"/>
        </w:rPr>
        <w:fldChar w:fldCharType="begin"/>
      </w:r>
      <w:r>
        <w:rPr>
          <w:rFonts w:hint="eastAsia" w:ascii="仿宋_GB2312" w:eastAsia="仿宋_GB2312"/>
          <w:sz w:val="32"/>
          <w:szCs w:val="32"/>
        </w:rPr>
        <w:instrText xml:space="preserve"> = 3 \* Arabic </w:instrText>
      </w:r>
      <w:r>
        <w:rPr>
          <w:rFonts w:hint="eastAsia" w:ascii="仿宋_GB2312" w:eastAsia="仿宋_GB2312"/>
          <w:sz w:val="32"/>
          <w:szCs w:val="32"/>
        </w:rPr>
        <w:fldChar w:fldCharType="separate"/>
      </w:r>
      <w:r>
        <w:rPr>
          <w:rFonts w:hint="eastAsia" w:ascii="仿宋_GB2312" w:eastAsia="仿宋_GB2312"/>
          <w:sz w:val="32"/>
          <w:szCs w:val="32"/>
        </w:rPr>
        <w:t>3</w:t>
      </w:r>
      <w:r>
        <w:rPr>
          <w:rFonts w:hint="eastAsia" w:ascii="仿宋_GB2312" w:eastAsia="仿宋_GB2312"/>
          <w:sz w:val="32"/>
          <w:szCs w:val="32"/>
        </w:rPr>
        <w:fldChar w:fldCharType="end"/>
      </w:r>
      <w:r>
        <w:rPr>
          <w:rFonts w:hint="eastAsia" w:ascii="仿宋_GB2312" w:eastAsia="仿宋_GB2312"/>
          <w:sz w:val="32"/>
          <w:szCs w:val="32"/>
        </w:rPr>
        <w:t>.</w:t>
      </w:r>
      <w:r>
        <w:rPr>
          <w:rFonts w:hint="eastAsia" w:ascii="仿宋_GB2312" w:eastAsia="仿宋_GB2312" w:cs="仿宋_GB2312"/>
          <w:sz w:val="32"/>
          <w:szCs w:val="32"/>
        </w:rPr>
        <w:t>项目资金管理情况分析。</w:t>
      </w:r>
    </w:p>
    <w:p>
      <w:pPr>
        <w:pStyle w:val="2"/>
        <w:rPr>
          <w:rFonts w:hint="eastAsia"/>
        </w:rPr>
      </w:pPr>
      <w:r>
        <w:rPr>
          <w:rFonts w:hint="eastAsia" w:ascii="仿宋_GB2312" w:eastAsia="仿宋_GB2312" w:cs="仿宋_GB2312"/>
          <w:sz w:val="32"/>
          <w:szCs w:val="32"/>
          <w:lang w:val="en-US" w:eastAsia="zh-CN"/>
        </w:rPr>
        <w:t>该项目资金管理符合国家财经法规和财务管理制度以及有关专项资金管理办法的规定，符合项目预算批复用途、项目资金专项管理的要求，资金的拨付有完整的审批程序和手续，未发现截留、挤占、虚列支出等情况。</w:t>
      </w:r>
    </w:p>
    <w:p>
      <w:pPr>
        <w:spacing w:line="560" w:lineRule="exact"/>
        <w:ind w:firstLine="630" w:firstLineChars="197"/>
        <w:outlineLvl w:val="0"/>
        <w:rPr>
          <w:rFonts w:hint="eastAsia" w:ascii="仿宋_GB2312" w:eastAsia="仿宋_GB2312"/>
          <w:sz w:val="32"/>
          <w:szCs w:val="32"/>
        </w:rPr>
      </w:pPr>
      <w:r>
        <w:rPr>
          <w:rFonts w:hint="eastAsia" w:ascii="仿宋_GB2312" w:eastAsia="仿宋_GB2312" w:cs="仿宋_GB2312"/>
          <w:sz w:val="32"/>
          <w:szCs w:val="32"/>
        </w:rPr>
        <w:t>（二）项目实施情况分析。</w:t>
      </w:r>
    </w:p>
    <w:p>
      <w:pPr>
        <w:spacing w:line="560" w:lineRule="exact"/>
        <w:ind w:firstLine="630" w:firstLineChars="197"/>
        <w:rPr>
          <w:rFonts w:hint="eastAsia" w:ascii="仿宋_GB2312" w:eastAsia="仿宋_GB2312" w:cs="仿宋_GB2312"/>
          <w:sz w:val="32"/>
          <w:szCs w:val="32"/>
        </w:rPr>
      </w:pPr>
      <w:r>
        <w:rPr>
          <w:rFonts w:hint="eastAsia" w:ascii="仿宋_GB2312" w:eastAsia="仿宋_GB2312"/>
          <w:sz w:val="32"/>
          <w:szCs w:val="32"/>
        </w:rPr>
        <w:t>1.</w:t>
      </w:r>
      <w:r>
        <w:rPr>
          <w:rFonts w:hint="eastAsia" w:ascii="仿宋_GB2312" w:eastAsia="仿宋_GB2312" w:cs="仿宋_GB2312"/>
          <w:sz w:val="32"/>
          <w:szCs w:val="32"/>
        </w:rPr>
        <w:t>项目组织情况分析。</w:t>
      </w:r>
    </w:p>
    <w:p>
      <w:pPr>
        <w:spacing w:line="560" w:lineRule="exact"/>
        <w:ind w:firstLine="630" w:firstLineChars="197"/>
        <w:rPr>
          <w:rFonts w:hint="eastAsia"/>
        </w:rPr>
      </w:pPr>
      <w:r>
        <w:rPr>
          <w:rFonts w:hint="eastAsia" w:ascii="仿宋_GB2312" w:eastAsia="仿宋_GB2312" w:cs="仿宋_GB2312"/>
          <w:sz w:val="32"/>
          <w:szCs w:val="32"/>
          <w:lang w:eastAsia="zh-CN"/>
        </w:rPr>
        <w:t>项目组织有计划有措施，严格执行相关制度和文件规定，顺利完成项目预期目标。</w:t>
      </w:r>
    </w:p>
    <w:p>
      <w:pPr>
        <w:spacing w:line="560" w:lineRule="exact"/>
        <w:ind w:firstLine="630" w:firstLineChars="197"/>
        <w:rPr>
          <w:rFonts w:hint="eastAsia" w:ascii="仿宋_GB2312" w:eastAsia="仿宋_GB2312" w:cs="仿宋_GB2312"/>
          <w:sz w:val="32"/>
          <w:szCs w:val="32"/>
          <w:highlight w:val="none"/>
        </w:rPr>
      </w:pPr>
      <w:r>
        <w:rPr>
          <w:rFonts w:hint="eastAsia" w:ascii="仿宋_GB2312" w:eastAsia="仿宋_GB2312"/>
          <w:sz w:val="32"/>
          <w:szCs w:val="32"/>
          <w:highlight w:val="none"/>
        </w:rPr>
        <w:fldChar w:fldCharType="begin"/>
      </w:r>
      <w:r>
        <w:rPr>
          <w:rFonts w:hint="eastAsia" w:ascii="仿宋_GB2312" w:eastAsia="仿宋_GB2312"/>
          <w:sz w:val="32"/>
          <w:szCs w:val="32"/>
          <w:highlight w:val="none"/>
        </w:rPr>
        <w:instrText xml:space="preserve"> = 2 \* Arabic </w:instrText>
      </w:r>
      <w:r>
        <w:rPr>
          <w:rFonts w:hint="eastAsia" w:ascii="仿宋_GB2312" w:eastAsia="仿宋_GB2312"/>
          <w:sz w:val="32"/>
          <w:szCs w:val="32"/>
          <w:highlight w:val="none"/>
        </w:rPr>
        <w:fldChar w:fldCharType="separate"/>
      </w:r>
      <w:r>
        <w:rPr>
          <w:rFonts w:hint="eastAsia" w:ascii="仿宋_GB2312" w:eastAsia="仿宋_GB2312"/>
          <w:sz w:val="32"/>
          <w:szCs w:val="32"/>
          <w:highlight w:val="none"/>
        </w:rPr>
        <w:t>2</w:t>
      </w:r>
      <w:r>
        <w:rPr>
          <w:rFonts w:hint="eastAsia" w:ascii="仿宋_GB2312" w:eastAsia="仿宋_GB2312"/>
          <w:sz w:val="32"/>
          <w:szCs w:val="32"/>
          <w:highlight w:val="none"/>
        </w:rPr>
        <w:fldChar w:fldCharType="end"/>
      </w:r>
      <w:r>
        <w:rPr>
          <w:rFonts w:hint="eastAsia" w:ascii="仿宋_GB2312" w:eastAsia="仿宋_GB2312" w:cs="仿宋_GB2312"/>
          <w:sz w:val="32"/>
          <w:szCs w:val="32"/>
          <w:highlight w:val="none"/>
        </w:rPr>
        <w:t>.项目管理情况分析。</w:t>
      </w:r>
    </w:p>
    <w:p>
      <w:pPr>
        <w:pStyle w:val="2"/>
        <w:rPr>
          <w:rFonts w:hint="eastAsia"/>
        </w:rPr>
      </w:pPr>
      <w:r>
        <w:rPr>
          <w:rFonts w:hint="eastAsia" w:ascii="仿宋_GB2312" w:eastAsia="仿宋_GB2312" w:cs="仿宋_GB2312"/>
          <w:sz w:val="32"/>
          <w:szCs w:val="32"/>
          <w:lang w:eastAsia="zh-CN"/>
        </w:rPr>
        <w:t>结合</w:t>
      </w:r>
      <w:r>
        <w:rPr>
          <w:rFonts w:hint="default" w:ascii="Times New Roman" w:hAnsi="Times New Roman" w:eastAsia="仿宋_GB2312" w:cs="Times New Roman"/>
          <w:sz w:val="32"/>
          <w:szCs w:val="32"/>
          <w:lang w:val="en-US" w:eastAsia="zh-CN"/>
        </w:rPr>
        <w:t>2021</w:t>
      </w:r>
      <w:r>
        <w:rPr>
          <w:rFonts w:hint="eastAsia" w:ascii="仿宋_GB2312" w:eastAsia="仿宋_GB2312" w:cs="仿宋_GB2312"/>
          <w:sz w:val="32"/>
          <w:szCs w:val="32"/>
          <w:lang w:val="en-US" w:eastAsia="zh-CN"/>
        </w:rPr>
        <w:t>年工作计划，在进行研究的基础上，制定了切合实际、可量化的合理绩效目标，及时收集汇总目标完成情况，确保阶段性任务能够按时完成</w:t>
      </w:r>
      <w:r>
        <w:rPr>
          <w:rFonts w:hint="eastAsia" w:ascii="仿宋_GB2312" w:eastAsia="仿宋_GB2312" w:cs="仿宋_GB2312"/>
          <w:sz w:val="32"/>
          <w:szCs w:val="32"/>
          <w:lang w:eastAsia="zh-CN"/>
        </w:rPr>
        <w:t>。</w:t>
      </w:r>
    </w:p>
    <w:p>
      <w:pPr>
        <w:spacing w:line="560" w:lineRule="exact"/>
        <w:ind w:firstLine="630" w:firstLineChars="197"/>
        <w:outlineLvl w:val="0"/>
        <w:rPr>
          <w:rFonts w:hint="eastAsia" w:ascii="仿宋_GB2312" w:eastAsia="仿宋_GB2312"/>
          <w:sz w:val="32"/>
          <w:szCs w:val="32"/>
        </w:rPr>
      </w:pPr>
      <w:r>
        <w:rPr>
          <w:rFonts w:hint="eastAsia" w:ascii="仿宋_GB2312" w:eastAsia="仿宋_GB2312" w:cs="仿宋_GB2312"/>
          <w:sz w:val="32"/>
          <w:szCs w:val="32"/>
        </w:rPr>
        <w:t>（三）项目绩效情况分析。</w:t>
      </w:r>
    </w:p>
    <w:p>
      <w:pPr>
        <w:spacing w:line="560" w:lineRule="exact"/>
        <w:ind w:firstLine="630" w:firstLineChars="197"/>
        <w:rPr>
          <w:rFonts w:hint="eastAsia" w:ascii="仿宋_GB2312" w:eastAsia="仿宋_GB2312"/>
          <w:sz w:val="32"/>
          <w:szCs w:val="32"/>
        </w:rPr>
      </w:pPr>
      <w:r>
        <w:rPr>
          <w:rFonts w:hint="eastAsia" w:ascii="仿宋_GB2312" w:eastAsia="仿宋_GB2312"/>
          <w:sz w:val="32"/>
          <w:szCs w:val="32"/>
        </w:rPr>
        <w:fldChar w:fldCharType="begin"/>
      </w:r>
      <w:r>
        <w:rPr>
          <w:rFonts w:hint="eastAsia" w:ascii="仿宋_GB2312" w:eastAsia="仿宋_GB2312"/>
          <w:sz w:val="32"/>
          <w:szCs w:val="32"/>
        </w:rPr>
        <w:instrText xml:space="preserve"> = 1 \* Arabic </w:instrText>
      </w:r>
      <w:r>
        <w:rPr>
          <w:rFonts w:hint="eastAsia" w:ascii="仿宋_GB2312" w:eastAsia="仿宋_GB2312"/>
          <w:sz w:val="32"/>
          <w:szCs w:val="32"/>
        </w:rPr>
        <w:fldChar w:fldCharType="separate"/>
      </w:r>
      <w:r>
        <w:rPr>
          <w:rFonts w:hint="eastAsia" w:ascii="仿宋_GB2312" w:eastAsia="仿宋_GB2312"/>
          <w:sz w:val="32"/>
          <w:szCs w:val="32"/>
        </w:rPr>
        <w:t>1</w:t>
      </w:r>
      <w:r>
        <w:rPr>
          <w:rFonts w:hint="eastAsia" w:ascii="仿宋_GB2312" w:eastAsia="仿宋_GB2312"/>
          <w:sz w:val="32"/>
          <w:szCs w:val="32"/>
        </w:rPr>
        <w:fldChar w:fldCharType="end"/>
      </w:r>
      <w:r>
        <w:rPr>
          <w:rFonts w:hint="eastAsia" w:ascii="仿宋_GB2312" w:eastAsia="仿宋_GB2312"/>
          <w:sz w:val="32"/>
          <w:szCs w:val="32"/>
        </w:rPr>
        <w:t>.</w:t>
      </w:r>
      <w:r>
        <w:rPr>
          <w:rFonts w:hint="eastAsia" w:ascii="仿宋_GB2312" w:eastAsia="仿宋_GB2312" w:cs="仿宋_GB2312"/>
          <w:sz w:val="32"/>
          <w:szCs w:val="32"/>
        </w:rPr>
        <w:t>项目经济性分析。</w:t>
      </w:r>
    </w:p>
    <w:p>
      <w:pPr>
        <w:numPr>
          <w:ilvl w:val="0"/>
          <w:numId w:val="3"/>
        </w:numPr>
        <w:spacing w:line="560" w:lineRule="exact"/>
        <w:ind w:firstLine="630" w:firstLineChars="197"/>
        <w:rPr>
          <w:rFonts w:hint="eastAsia" w:ascii="仿宋_GB2312" w:eastAsia="仿宋_GB2312" w:cs="仿宋_GB2312"/>
          <w:sz w:val="32"/>
          <w:szCs w:val="32"/>
        </w:rPr>
      </w:pPr>
      <w:r>
        <w:rPr>
          <w:rFonts w:hint="eastAsia" w:ascii="仿宋_GB2312" w:eastAsia="仿宋_GB2312" w:cs="仿宋_GB2312"/>
          <w:sz w:val="32"/>
          <w:szCs w:val="32"/>
        </w:rPr>
        <w:t>项目成本（预算）控制情况。</w:t>
      </w:r>
    </w:p>
    <w:p>
      <w:pPr>
        <w:spacing w:line="560" w:lineRule="exact"/>
        <w:ind w:firstLine="630" w:firstLineChars="197"/>
        <w:rPr>
          <w:rFonts w:hint="eastAsia"/>
        </w:rPr>
      </w:pPr>
      <w:r>
        <w:rPr>
          <w:rFonts w:hint="eastAsia" w:ascii="仿宋_GB2312" w:eastAsia="仿宋_GB2312" w:cs="仿宋_GB2312"/>
          <w:sz w:val="32"/>
          <w:szCs w:val="32"/>
          <w:lang w:eastAsia="zh-CN"/>
        </w:rPr>
        <w:t>通过使用财政投入的</w:t>
      </w:r>
      <w:r>
        <w:rPr>
          <w:rFonts w:hint="eastAsia" w:ascii="Times New Roman" w:hAnsi="Times New Roman" w:eastAsia="仿宋_GB2312" w:cs="Times New Roman"/>
          <w:kern w:val="2"/>
          <w:sz w:val="32"/>
          <w:szCs w:val="32"/>
          <w:lang w:val="en-US" w:eastAsia="zh-CN" w:bidi="ar-SA"/>
        </w:rPr>
        <w:t>439.66</w:t>
      </w:r>
      <w:r>
        <w:rPr>
          <w:rFonts w:hint="eastAsia" w:ascii="仿宋_GB2312" w:eastAsia="仿宋_GB2312" w:cs="仿宋_GB2312"/>
          <w:sz w:val="32"/>
          <w:szCs w:val="32"/>
          <w:lang w:val="en-US" w:eastAsia="zh-CN"/>
        </w:rPr>
        <w:t>万元，取得了良好的社会效益。</w:t>
      </w:r>
    </w:p>
    <w:p>
      <w:pPr>
        <w:numPr>
          <w:ilvl w:val="0"/>
          <w:numId w:val="3"/>
        </w:numPr>
        <w:spacing w:line="560" w:lineRule="exact"/>
        <w:ind w:left="0" w:leftChars="0" w:firstLine="630" w:firstLineChars="197"/>
        <w:rPr>
          <w:rFonts w:hint="eastAsia" w:ascii="仿宋_GB2312" w:eastAsia="仿宋_GB2312" w:cs="仿宋_GB2312"/>
          <w:sz w:val="32"/>
          <w:szCs w:val="32"/>
        </w:rPr>
      </w:pPr>
      <w:r>
        <w:rPr>
          <w:rFonts w:hint="eastAsia" w:ascii="仿宋_GB2312" w:eastAsia="仿宋_GB2312" w:cs="仿宋_GB2312"/>
          <w:sz w:val="32"/>
          <w:szCs w:val="32"/>
        </w:rPr>
        <w:t>项目成本（预算）节约情况。</w:t>
      </w:r>
    </w:p>
    <w:p>
      <w:pPr>
        <w:spacing w:line="560" w:lineRule="exact"/>
        <w:ind w:firstLine="630" w:firstLineChars="197"/>
        <w:rPr>
          <w:rFonts w:hint="eastAsia"/>
        </w:rPr>
      </w:pPr>
      <w:r>
        <w:rPr>
          <w:rFonts w:hint="eastAsia" w:ascii="仿宋_GB2312" w:eastAsia="仿宋_GB2312" w:cs="仿宋_GB2312"/>
          <w:sz w:val="32"/>
          <w:szCs w:val="32"/>
          <w:lang w:eastAsia="zh-CN"/>
        </w:rPr>
        <w:t>项目按照实施计划，合理规范使用全部资金。</w:t>
      </w:r>
    </w:p>
    <w:p>
      <w:pPr>
        <w:spacing w:line="560" w:lineRule="exact"/>
        <w:ind w:firstLine="630" w:firstLineChars="197"/>
        <w:rPr>
          <w:rFonts w:hint="eastAsia" w:ascii="仿宋_GB2312" w:eastAsia="仿宋_GB2312"/>
          <w:sz w:val="32"/>
          <w:szCs w:val="32"/>
        </w:rPr>
      </w:pPr>
      <w:r>
        <w:rPr>
          <w:rFonts w:hint="eastAsia" w:ascii="仿宋_GB2312" w:eastAsia="仿宋_GB2312" w:cs="仿宋_GB2312"/>
          <w:sz w:val="32"/>
          <w:szCs w:val="32"/>
          <w:lang w:val="en-US" w:eastAsia="zh-CN"/>
        </w:rPr>
        <w:fldChar w:fldCharType="begin"/>
      </w:r>
      <w:r>
        <w:rPr>
          <w:rFonts w:hint="eastAsia" w:ascii="仿宋_GB2312" w:eastAsia="仿宋_GB2312" w:cs="仿宋_GB2312"/>
          <w:sz w:val="32"/>
          <w:szCs w:val="32"/>
          <w:lang w:val="en-US" w:eastAsia="zh-CN"/>
        </w:rPr>
        <w:instrText xml:space="preserve"> = 2 \* Arabic </w:instrText>
      </w:r>
      <w:r>
        <w:rPr>
          <w:rFonts w:hint="eastAsia" w:ascii="仿宋_GB2312" w:eastAsia="仿宋_GB2312" w:cs="仿宋_GB2312"/>
          <w:sz w:val="32"/>
          <w:szCs w:val="32"/>
          <w:lang w:val="en-US" w:eastAsia="zh-CN"/>
        </w:rPr>
        <w:fldChar w:fldCharType="separate"/>
      </w:r>
      <w:r>
        <w:rPr>
          <w:rFonts w:hint="eastAsia" w:ascii="仿宋_GB2312" w:eastAsia="仿宋_GB2312" w:cs="仿宋_GB2312"/>
          <w:sz w:val="32"/>
          <w:szCs w:val="32"/>
          <w:lang w:val="en-US" w:eastAsia="zh-CN"/>
        </w:rPr>
        <w:t>2</w:t>
      </w:r>
      <w:r>
        <w:rPr>
          <w:rFonts w:hint="eastAsia" w:ascii="仿宋_GB2312" w:eastAsia="仿宋_GB2312" w:cs="仿宋_GB2312"/>
          <w:sz w:val="32"/>
          <w:szCs w:val="32"/>
          <w:lang w:val="en-US" w:eastAsia="zh-CN"/>
        </w:rPr>
        <w:fldChar w:fldCharType="end"/>
      </w:r>
      <w:r>
        <w:rPr>
          <w:rFonts w:hint="eastAsia" w:ascii="仿宋_GB2312" w:eastAsia="仿宋_GB2312"/>
          <w:sz w:val="32"/>
          <w:szCs w:val="32"/>
        </w:rPr>
        <w:t>.</w:t>
      </w:r>
      <w:r>
        <w:rPr>
          <w:rFonts w:hint="eastAsia" w:ascii="仿宋_GB2312" w:eastAsia="仿宋_GB2312" w:cs="仿宋_GB2312"/>
          <w:sz w:val="32"/>
          <w:szCs w:val="32"/>
        </w:rPr>
        <w:t>项目的效率性分析。</w:t>
      </w:r>
    </w:p>
    <w:p>
      <w:pPr>
        <w:spacing w:line="560" w:lineRule="exact"/>
        <w:ind w:firstLine="630" w:firstLineChars="197"/>
        <w:rPr>
          <w:rFonts w:hint="eastAsia" w:ascii="仿宋_GB2312" w:eastAsia="仿宋_GB2312"/>
          <w:sz w:val="32"/>
          <w:szCs w:val="32"/>
        </w:rPr>
      </w:pPr>
      <w:r>
        <w:rPr>
          <w:rFonts w:hint="eastAsia" w:ascii="仿宋_GB2312" w:eastAsia="仿宋_GB2312" w:cs="仿宋_GB2312"/>
          <w:sz w:val="32"/>
          <w:szCs w:val="32"/>
        </w:rPr>
        <w:t>（</w:t>
      </w:r>
      <w:r>
        <w:rPr>
          <w:rFonts w:hint="eastAsia" w:ascii="仿宋_GB2312" w:eastAsia="仿宋_GB2312"/>
          <w:sz w:val="32"/>
          <w:szCs w:val="32"/>
        </w:rPr>
        <w:t>1</w:t>
      </w:r>
      <w:r>
        <w:rPr>
          <w:rFonts w:hint="eastAsia" w:ascii="仿宋_GB2312" w:eastAsia="仿宋_GB2312" w:cs="仿宋_GB2312"/>
          <w:sz w:val="32"/>
          <w:szCs w:val="32"/>
        </w:rPr>
        <w:t>）项目的实施进度。</w:t>
      </w:r>
      <w:r>
        <w:rPr>
          <w:rFonts w:hint="eastAsia" w:ascii="仿宋_GB2312" w:eastAsia="仿宋_GB2312" w:cs="仿宋_GB2312"/>
          <w:sz w:val="32"/>
          <w:szCs w:val="32"/>
          <w:lang w:eastAsia="zh-CN"/>
        </w:rPr>
        <w:t>按照项目计划，有序推进。</w:t>
      </w:r>
    </w:p>
    <w:p>
      <w:pPr>
        <w:spacing w:line="560" w:lineRule="exact"/>
        <w:ind w:firstLine="630" w:firstLineChars="197"/>
        <w:rPr>
          <w:rFonts w:hint="eastAsia" w:ascii="仿宋_GB2312" w:eastAsia="仿宋_GB2312"/>
          <w:sz w:val="32"/>
          <w:szCs w:val="32"/>
        </w:rPr>
      </w:pPr>
      <w:r>
        <w:rPr>
          <w:rFonts w:hint="eastAsia" w:ascii="仿宋_GB2312" w:eastAsia="仿宋_GB2312" w:cs="仿宋_GB2312"/>
          <w:sz w:val="32"/>
          <w:szCs w:val="32"/>
        </w:rPr>
        <w:t>（</w:t>
      </w:r>
      <w:r>
        <w:rPr>
          <w:rFonts w:hint="eastAsia" w:ascii="仿宋_GB2312" w:eastAsia="仿宋_GB2312"/>
          <w:sz w:val="32"/>
          <w:szCs w:val="32"/>
        </w:rPr>
        <w:t>2</w:t>
      </w:r>
      <w:r>
        <w:rPr>
          <w:rFonts w:hint="eastAsia" w:ascii="仿宋_GB2312" w:eastAsia="仿宋_GB2312" w:cs="仿宋_GB2312"/>
          <w:sz w:val="32"/>
          <w:szCs w:val="32"/>
        </w:rPr>
        <w:t>）项目完成质量。</w:t>
      </w:r>
      <w:r>
        <w:rPr>
          <w:rFonts w:hint="eastAsia" w:ascii="仿宋_GB2312" w:eastAsia="仿宋_GB2312" w:cs="仿宋_GB2312"/>
          <w:sz w:val="32"/>
          <w:szCs w:val="32"/>
          <w:lang w:eastAsia="zh-CN"/>
        </w:rPr>
        <w:t>根据项目实施计划，按时完成，完成了年初绩效指标。</w:t>
      </w:r>
    </w:p>
    <w:p>
      <w:pPr>
        <w:spacing w:line="560" w:lineRule="exact"/>
        <w:ind w:firstLine="630" w:firstLineChars="197"/>
        <w:rPr>
          <w:rFonts w:hint="eastAsia" w:ascii="仿宋_GB2312" w:eastAsia="仿宋_GB2312"/>
          <w:sz w:val="32"/>
          <w:szCs w:val="32"/>
        </w:rPr>
      </w:pPr>
      <w:r>
        <w:rPr>
          <w:rFonts w:hint="eastAsia" w:ascii="仿宋_GB2312" w:eastAsia="仿宋_GB2312" w:cs="仿宋_GB2312"/>
          <w:sz w:val="32"/>
          <w:szCs w:val="32"/>
          <w:lang w:val="en-US" w:eastAsia="zh-CN"/>
        </w:rPr>
        <w:fldChar w:fldCharType="begin"/>
      </w:r>
      <w:r>
        <w:rPr>
          <w:rFonts w:hint="eastAsia" w:ascii="仿宋_GB2312" w:eastAsia="仿宋_GB2312" w:cs="仿宋_GB2312"/>
          <w:sz w:val="32"/>
          <w:szCs w:val="32"/>
          <w:lang w:val="en-US" w:eastAsia="zh-CN"/>
        </w:rPr>
        <w:instrText xml:space="preserve"> = 3 \* Arabic </w:instrText>
      </w:r>
      <w:r>
        <w:rPr>
          <w:rFonts w:hint="eastAsia" w:ascii="仿宋_GB2312" w:eastAsia="仿宋_GB2312" w:cs="仿宋_GB2312"/>
          <w:sz w:val="32"/>
          <w:szCs w:val="32"/>
          <w:lang w:val="en-US" w:eastAsia="zh-CN"/>
        </w:rPr>
        <w:fldChar w:fldCharType="separate"/>
      </w:r>
      <w:r>
        <w:rPr>
          <w:rFonts w:hint="eastAsia" w:ascii="仿宋_GB2312" w:eastAsia="仿宋_GB2312" w:cs="仿宋_GB2312"/>
          <w:sz w:val="32"/>
          <w:szCs w:val="32"/>
          <w:lang w:val="en-US" w:eastAsia="zh-CN"/>
        </w:rPr>
        <w:t>3</w:t>
      </w:r>
      <w:r>
        <w:rPr>
          <w:rFonts w:hint="eastAsia" w:ascii="仿宋_GB2312" w:eastAsia="仿宋_GB2312" w:cs="仿宋_GB2312"/>
          <w:sz w:val="32"/>
          <w:szCs w:val="32"/>
          <w:lang w:val="en-US" w:eastAsia="zh-CN"/>
        </w:rPr>
        <w:fldChar w:fldCharType="end"/>
      </w:r>
      <w:r>
        <w:rPr>
          <w:rFonts w:hint="eastAsia" w:ascii="仿宋_GB2312" w:eastAsia="仿宋_GB2312"/>
          <w:sz w:val="32"/>
          <w:szCs w:val="32"/>
        </w:rPr>
        <w:t>.</w:t>
      </w:r>
      <w:r>
        <w:rPr>
          <w:rFonts w:hint="eastAsia" w:ascii="仿宋_GB2312" w:eastAsia="仿宋_GB2312" w:cs="仿宋_GB2312"/>
          <w:sz w:val="32"/>
          <w:szCs w:val="32"/>
        </w:rPr>
        <w:t>项目的效益性分析。</w:t>
      </w:r>
    </w:p>
    <w:p>
      <w:pPr>
        <w:numPr>
          <w:ilvl w:val="0"/>
          <w:numId w:val="4"/>
        </w:numPr>
        <w:spacing w:line="560" w:lineRule="exact"/>
        <w:ind w:firstLine="630" w:firstLineChars="197"/>
        <w:rPr>
          <w:rFonts w:hint="eastAsia" w:ascii="仿宋_GB2312" w:eastAsia="仿宋_GB2312" w:cs="仿宋_GB2312"/>
          <w:sz w:val="32"/>
          <w:szCs w:val="32"/>
        </w:rPr>
      </w:pPr>
      <w:r>
        <w:rPr>
          <w:rFonts w:hint="eastAsia" w:ascii="仿宋_GB2312" w:eastAsia="仿宋_GB2312" w:cs="仿宋_GB2312"/>
          <w:sz w:val="32"/>
          <w:szCs w:val="32"/>
        </w:rPr>
        <w:t>项目预期目标完成程度。</w:t>
      </w:r>
    </w:p>
    <w:p>
      <w:pPr>
        <w:spacing w:line="560" w:lineRule="exact"/>
        <w:ind w:firstLine="630" w:firstLineChars="197"/>
        <w:rPr>
          <w:rFonts w:hint="eastAsia"/>
        </w:rPr>
      </w:pPr>
      <w:r>
        <w:rPr>
          <w:rFonts w:hint="eastAsia" w:ascii="仿宋_GB2312" w:eastAsia="仿宋_GB2312" w:cs="仿宋_GB2312"/>
          <w:sz w:val="32"/>
          <w:szCs w:val="32"/>
          <w:lang w:eastAsia="zh-CN"/>
        </w:rPr>
        <w:t>我局按照项目计划，有序推进，执行率</w:t>
      </w:r>
      <w:r>
        <w:rPr>
          <w:rFonts w:hint="eastAsia" w:ascii="Times New Roman" w:hAnsi="Times New Roman" w:eastAsia="仿宋_GB2312" w:cs="Times New Roman"/>
          <w:kern w:val="2"/>
          <w:sz w:val="32"/>
          <w:szCs w:val="32"/>
          <w:lang w:val="en-US" w:eastAsia="zh-CN" w:bidi="ar-SA"/>
        </w:rPr>
        <w:t>100%</w:t>
      </w:r>
      <w:r>
        <w:rPr>
          <w:rFonts w:hint="eastAsia" w:ascii="仿宋_GB2312" w:eastAsia="仿宋_GB2312" w:cs="仿宋_GB2312"/>
          <w:sz w:val="32"/>
          <w:szCs w:val="32"/>
          <w:lang w:val="en-US" w:eastAsia="zh-CN"/>
        </w:rPr>
        <w:t>。</w:t>
      </w:r>
    </w:p>
    <w:p>
      <w:pPr>
        <w:numPr>
          <w:ilvl w:val="0"/>
          <w:numId w:val="4"/>
        </w:numPr>
        <w:spacing w:line="560" w:lineRule="exact"/>
        <w:ind w:left="0" w:leftChars="0" w:firstLine="630" w:firstLineChars="197"/>
        <w:rPr>
          <w:rFonts w:hint="eastAsia" w:ascii="仿宋_GB2312" w:eastAsia="仿宋_GB2312" w:cs="仿宋_GB2312"/>
          <w:sz w:val="32"/>
          <w:szCs w:val="32"/>
        </w:rPr>
      </w:pPr>
      <w:r>
        <w:rPr>
          <w:rFonts w:hint="eastAsia" w:ascii="仿宋_GB2312" w:eastAsia="仿宋_GB2312" w:cs="仿宋_GB2312"/>
          <w:sz w:val="32"/>
          <w:szCs w:val="32"/>
        </w:rPr>
        <w:t>项目实施对经济和社会的影响。</w:t>
      </w:r>
    </w:p>
    <w:p>
      <w:pPr>
        <w:spacing w:line="560" w:lineRule="exact"/>
        <w:ind w:firstLine="630" w:firstLineChars="197"/>
        <w:rPr>
          <w:rFonts w:hint="eastAsia"/>
        </w:rPr>
      </w:pPr>
      <w:r>
        <w:rPr>
          <w:rFonts w:hint="eastAsia" w:ascii="仿宋_GB2312" w:eastAsia="仿宋_GB2312" w:cs="仿宋_GB2312"/>
          <w:sz w:val="32"/>
          <w:szCs w:val="32"/>
          <w:lang w:eastAsia="zh-CN"/>
        </w:rPr>
        <w:t>提高政府行政管理水平及政务服务效能，降低了政府管理成本。提升行政审批运行效能，方便群众办事，提高群众满意度。</w:t>
      </w:r>
    </w:p>
    <w:p>
      <w:pPr>
        <w:numPr>
          <w:ilvl w:val="0"/>
          <w:numId w:val="5"/>
        </w:numPr>
        <w:spacing w:line="560" w:lineRule="exact"/>
        <w:ind w:firstLine="640"/>
        <w:rPr>
          <w:rFonts w:hint="eastAsia" w:ascii="黑体" w:hAnsi="黑体" w:eastAsia="黑体" w:cs="黑体"/>
          <w:sz w:val="32"/>
          <w:szCs w:val="32"/>
        </w:rPr>
      </w:pPr>
      <w:r>
        <w:rPr>
          <w:rFonts w:hint="eastAsia" w:ascii="黑体" w:hAnsi="黑体" w:eastAsia="黑体" w:cs="黑体"/>
          <w:sz w:val="32"/>
          <w:szCs w:val="32"/>
        </w:rPr>
        <w:t>综合评价情况及评价结论（附相关评分表）</w:t>
      </w:r>
    </w:p>
    <w:p>
      <w:pPr>
        <w:pStyle w:val="2"/>
        <w:numPr>
          <w:ilvl w:val="0"/>
          <w:numId w:val="0"/>
        </w:numPr>
        <w:ind w:firstLine="640" w:firstLineChars="200"/>
        <w:rPr>
          <w:rFonts w:hint="eastAsia"/>
        </w:rPr>
      </w:pPr>
      <w:r>
        <w:rPr>
          <w:rFonts w:hint="eastAsia" w:ascii="仿宋_GB2312" w:eastAsia="仿宋_GB2312" w:cs="仿宋_GB2312"/>
          <w:sz w:val="32"/>
          <w:szCs w:val="32"/>
          <w:lang w:eastAsia="zh-CN"/>
        </w:rPr>
        <w:t>根据评价指标逐项，综合评分</w:t>
      </w:r>
      <w:r>
        <w:rPr>
          <w:rFonts w:hint="eastAsia" w:ascii="Times New Roman" w:hAnsi="Times New Roman" w:eastAsia="仿宋_GB2312" w:cs="Times New Roman"/>
          <w:kern w:val="2"/>
          <w:sz w:val="32"/>
          <w:szCs w:val="32"/>
          <w:lang w:val="en-US" w:eastAsia="zh-CN" w:bidi="ar-SA"/>
        </w:rPr>
        <w:t>99.63</w:t>
      </w:r>
      <w:r>
        <w:rPr>
          <w:rFonts w:hint="eastAsia" w:ascii="仿宋_GB2312" w:eastAsia="仿宋_GB2312" w:cs="仿宋_GB2312"/>
          <w:sz w:val="32"/>
          <w:szCs w:val="32"/>
          <w:lang w:val="en-US" w:eastAsia="zh-CN"/>
        </w:rPr>
        <w:t>分。（附件</w:t>
      </w:r>
      <w:r>
        <w:rPr>
          <w:rFonts w:hint="eastAsia" w:ascii="Times New Roman" w:hAnsi="Times New Roman" w:eastAsia="仿宋_GB2312" w:cs="Times New Roman"/>
          <w:kern w:val="2"/>
          <w:sz w:val="32"/>
          <w:szCs w:val="32"/>
          <w:lang w:val="en-US" w:eastAsia="zh-CN" w:bidi="ar-SA"/>
        </w:rPr>
        <w:t>2</w:t>
      </w:r>
      <w:r>
        <w:rPr>
          <w:rFonts w:hint="eastAsia" w:ascii="仿宋_GB2312" w:eastAsia="仿宋_GB2312" w:cs="仿宋_GB2312"/>
          <w:sz w:val="32"/>
          <w:szCs w:val="32"/>
          <w:lang w:val="en-US" w:eastAsia="zh-CN"/>
        </w:rPr>
        <w:t>）</w:t>
      </w:r>
    </w:p>
    <w:p>
      <w:pPr>
        <w:numPr>
          <w:ilvl w:val="0"/>
          <w:numId w:val="5"/>
        </w:numPr>
        <w:spacing w:line="560" w:lineRule="exact"/>
        <w:ind w:left="0" w:leftChars="0" w:firstLine="640" w:firstLineChars="0"/>
        <w:rPr>
          <w:rFonts w:hint="eastAsia" w:ascii="黑体" w:hAnsi="黑体" w:eastAsia="黑体" w:cs="黑体"/>
          <w:sz w:val="32"/>
          <w:szCs w:val="32"/>
        </w:rPr>
      </w:pPr>
      <w:r>
        <w:rPr>
          <w:rFonts w:hint="eastAsia" w:ascii="黑体" w:hAnsi="黑体" w:eastAsia="黑体" w:cs="黑体"/>
          <w:sz w:val="32"/>
          <w:szCs w:val="32"/>
        </w:rPr>
        <w:t>项目绩效评价结果应用建议（以后年度预算安排、评价结果公开等）</w:t>
      </w:r>
    </w:p>
    <w:p>
      <w:pPr>
        <w:numPr>
          <w:ilvl w:val="0"/>
          <w:numId w:val="0"/>
        </w:numPr>
        <w:spacing w:line="560" w:lineRule="exact"/>
        <w:ind w:firstLine="640" w:firstLineChars="200"/>
        <w:rPr>
          <w:rFonts w:hint="default"/>
          <w:lang w:val="en-US"/>
        </w:rPr>
      </w:pPr>
      <w:r>
        <w:rPr>
          <w:rFonts w:hint="eastAsia" w:ascii="Times New Roman" w:hAnsi="Times New Roman" w:eastAsia="仿宋_GB2312" w:cs="Times New Roman"/>
          <w:kern w:val="2"/>
          <w:sz w:val="32"/>
          <w:szCs w:val="32"/>
          <w:lang w:val="en-US" w:eastAsia="zh-CN" w:bidi="ar-SA"/>
        </w:rPr>
        <w:t>2021</w:t>
      </w:r>
      <w:r>
        <w:rPr>
          <w:rFonts w:hint="eastAsia" w:ascii="仿宋_GB2312" w:eastAsia="仿宋_GB2312" w:cs="仿宋_GB2312"/>
          <w:sz w:val="32"/>
          <w:szCs w:val="32"/>
          <w:lang w:val="en-US" w:eastAsia="zh-CN"/>
        </w:rPr>
        <w:t>年度预算安排</w:t>
      </w:r>
      <w:r>
        <w:rPr>
          <w:rFonts w:hint="eastAsia" w:ascii="Times New Roman" w:hAnsi="Times New Roman" w:eastAsia="仿宋_GB2312" w:cs="Times New Roman"/>
          <w:kern w:val="2"/>
          <w:sz w:val="32"/>
          <w:szCs w:val="32"/>
          <w:lang w:val="en-US" w:eastAsia="zh-CN" w:bidi="ar-SA"/>
        </w:rPr>
        <w:t>439.66</w:t>
      </w:r>
      <w:r>
        <w:rPr>
          <w:rFonts w:hint="eastAsia" w:ascii="仿宋_GB2312" w:eastAsia="仿宋_GB2312" w:cs="仿宋_GB2312"/>
          <w:sz w:val="32"/>
          <w:szCs w:val="32"/>
          <w:lang w:val="en-US" w:eastAsia="zh-CN"/>
        </w:rPr>
        <w:t>万元，并设立为经常性项目。项目结果在单位整体绩效评价中公开，提高财政资金使用效益，保证财政支出实现预期目标。</w:t>
      </w:r>
    </w:p>
    <w:p>
      <w:pPr>
        <w:numPr>
          <w:ilvl w:val="0"/>
          <w:numId w:val="5"/>
        </w:numPr>
        <w:spacing w:line="560" w:lineRule="exact"/>
        <w:ind w:left="0" w:leftChars="0" w:firstLine="640" w:firstLineChars="0"/>
        <w:rPr>
          <w:rFonts w:hint="eastAsia" w:ascii="黑体" w:hAnsi="黑体" w:eastAsia="黑体" w:cs="黑体"/>
          <w:sz w:val="32"/>
          <w:szCs w:val="32"/>
        </w:rPr>
      </w:pPr>
      <w:r>
        <w:rPr>
          <w:rFonts w:hint="eastAsia" w:ascii="黑体" w:hAnsi="黑体" w:eastAsia="黑体" w:cs="黑体"/>
          <w:sz w:val="32"/>
          <w:szCs w:val="32"/>
        </w:rPr>
        <w:t>主要经验及做法、存在的问题和建议</w:t>
      </w:r>
    </w:p>
    <w:p>
      <w:pPr>
        <w:numPr>
          <w:ilvl w:val="0"/>
          <w:numId w:val="0"/>
        </w:numPr>
        <w:spacing w:line="560" w:lineRule="exact"/>
        <w:ind w:firstLine="640" w:firstLineChars="200"/>
        <w:rPr>
          <w:rFonts w:hint="eastAsia" w:ascii="仿宋_GB2312" w:eastAsia="仿宋_GB2312" w:cs="仿宋_GB2312"/>
          <w:sz w:val="32"/>
          <w:szCs w:val="32"/>
          <w:lang w:eastAsia="zh-CN"/>
        </w:rPr>
      </w:pPr>
      <w:r>
        <w:rPr>
          <w:rFonts w:hint="eastAsia" w:ascii="仿宋_GB2312" w:eastAsia="仿宋_GB2312" w:cs="仿宋_GB2312"/>
          <w:sz w:val="32"/>
          <w:szCs w:val="32"/>
          <w:lang w:val="en-US" w:eastAsia="zh-CN"/>
        </w:rPr>
        <w:t>1.主要经验及做法。</w:t>
      </w:r>
      <w:r>
        <w:rPr>
          <w:rFonts w:hint="eastAsia" w:ascii="仿宋_GB2312" w:eastAsia="仿宋_GB2312" w:cs="仿宋_GB2312"/>
          <w:sz w:val="32"/>
          <w:szCs w:val="32"/>
          <w:lang w:eastAsia="zh-CN"/>
        </w:rPr>
        <w:t>做好项目实施的跟踪检查工作，定期不定期地对项目实施情况和经费使用情况进行跟踪检查，对能实现预期绩效目标的项目予以充分肯定，对进展缓慢，预期绩效目标较差的项目，及时进行协调和提出整改措施，确保项目实施工作正常运行，达到预期绩效目标。</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2.存在问题。</w:t>
      </w:r>
    </w:p>
    <w:p>
      <w:pPr>
        <w:numPr>
          <w:ilvl w:val="0"/>
          <w:numId w:val="0"/>
        </w:numPr>
        <w:spacing w:line="560" w:lineRule="exact"/>
        <w:ind w:firstLine="640" w:firstLineChars="200"/>
        <w:rPr>
          <w:rFonts w:hint="eastAsia" w:ascii="黑体" w:hAnsi="黑体" w:eastAsia="黑体" w:cs="黑体"/>
          <w:sz w:val="32"/>
          <w:szCs w:val="32"/>
          <w:lang w:val="en-US" w:eastAsia="zh-CN"/>
        </w:rPr>
      </w:pPr>
      <w:r>
        <w:rPr>
          <w:rFonts w:hint="eastAsia" w:ascii="仿宋" w:hAnsi="仿宋" w:eastAsia="仿宋" w:cs="仿宋"/>
          <w:sz w:val="32"/>
          <w:szCs w:val="32"/>
          <w:lang w:val="en-US" w:eastAsia="zh-CN"/>
        </w:rPr>
        <w:t>项目绩效评价不规范、评价方法单一。</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3.意见及建议。</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（1）进一步健全和完善财务管理制度及内部控制制度，创新管理手段，用新思路、新方法，改进完善财务管理方法。</w:t>
      </w:r>
    </w:p>
    <w:p>
      <w:pPr>
        <w:numPr>
          <w:ilvl w:val="0"/>
          <w:numId w:val="0"/>
        </w:numPr>
        <w:spacing w:line="560" w:lineRule="exact"/>
        <w:ind w:firstLine="640" w:firstLineChars="200"/>
        <w:rPr>
          <w:rFonts w:hint="eastAsia"/>
        </w:rPr>
      </w:pPr>
      <w:r>
        <w:rPr>
          <w:rFonts w:hint="eastAsia" w:ascii="仿宋" w:hAnsi="仿宋" w:eastAsia="仿宋" w:cs="仿宋"/>
          <w:sz w:val="32"/>
          <w:szCs w:val="32"/>
          <w:lang w:val="en-US" w:eastAsia="zh-CN"/>
        </w:rPr>
        <w:t>（2）按照财政支出绩效管理的要求，建立科学的财政资金效益考评制度体系，不断提高财政资金使用管理的水平和效率。</w:t>
      </w:r>
    </w:p>
    <w:p>
      <w:pPr>
        <w:spacing w:line="560" w:lineRule="exact"/>
        <w:ind w:firstLine="640"/>
        <w:rPr>
          <w:rFonts w:hint="eastAsia" w:ascii="黑体" w:hAnsi="黑体" w:eastAsia="黑体" w:cs="黑体"/>
          <w:sz w:val="32"/>
          <w:szCs w:val="32"/>
        </w:rPr>
      </w:pPr>
      <w:r>
        <w:rPr>
          <w:rFonts w:hint="eastAsia" w:ascii="黑体" w:hAnsi="黑体" w:eastAsia="黑体" w:cs="黑体"/>
          <w:sz w:val="32"/>
          <w:szCs w:val="32"/>
        </w:rPr>
        <w:t>七、其他需说明的问题</w:t>
      </w:r>
    </w:p>
    <w:p>
      <w:pPr>
        <w:numPr>
          <w:ilvl w:val="0"/>
          <w:numId w:val="0"/>
        </w:numPr>
        <w:spacing w:line="560" w:lineRule="exact"/>
        <w:ind w:firstLine="640" w:firstLineChars="200"/>
        <w:rPr>
          <w:rFonts w:hint="eastAsia" w:ascii="仿宋_GB2312" w:eastAsia="仿宋_GB2312" w:cs="仿宋_GB2312"/>
          <w:sz w:val="32"/>
          <w:szCs w:val="32"/>
          <w:lang w:val="en-US" w:eastAsia="zh-CN"/>
        </w:rPr>
      </w:pPr>
      <w:r>
        <w:rPr>
          <w:rFonts w:hint="eastAsia" w:ascii="仿宋_GB2312" w:eastAsia="仿宋_GB2312" w:cs="仿宋_GB2312"/>
          <w:sz w:val="32"/>
          <w:szCs w:val="32"/>
          <w:lang w:val="en-US" w:eastAsia="zh-CN"/>
        </w:rPr>
        <w:t>无。</w:t>
      </w:r>
    </w:p>
    <w:bookmarkEnd w:id="37"/>
    <w:bookmarkEnd w:id="38"/>
    <w:bookmarkEnd w:id="39"/>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tbl>
      <w:tblPr>
        <w:tblStyle w:val="6"/>
        <w:tblW w:w="9419" w:type="dxa"/>
        <w:jc w:val="center"/>
        <w:tblLayout w:type="fixed"/>
        <w:tblCellMar>
          <w:top w:w="0" w:type="dxa"/>
          <w:left w:w="108" w:type="dxa"/>
          <w:bottom w:w="0" w:type="dxa"/>
          <w:right w:w="108" w:type="dxa"/>
        </w:tblCellMar>
      </w:tblPr>
      <w:tblGrid>
        <w:gridCol w:w="898"/>
        <w:gridCol w:w="456"/>
        <w:gridCol w:w="966"/>
        <w:gridCol w:w="456"/>
        <w:gridCol w:w="937"/>
        <w:gridCol w:w="3316"/>
        <w:gridCol w:w="2390"/>
      </w:tblGrid>
      <w:tr>
        <w:tblPrEx>
          <w:tblCellMar>
            <w:top w:w="0" w:type="dxa"/>
            <w:left w:w="108" w:type="dxa"/>
            <w:bottom w:w="0" w:type="dxa"/>
            <w:right w:w="108" w:type="dxa"/>
          </w:tblCellMar>
        </w:tblPrEx>
        <w:trPr>
          <w:trHeight w:val="456" w:hRule="atLeast"/>
          <w:jc w:val="center"/>
        </w:trPr>
        <w:tc>
          <w:tcPr>
            <w:tcW w:w="9419" w:type="dxa"/>
            <w:gridSpan w:val="7"/>
            <w:tcBorders>
              <w:top w:val="nil"/>
              <w:left w:val="nil"/>
              <w:bottom w:val="nil"/>
              <w:right w:val="nil"/>
            </w:tcBorders>
            <w:noWrap w:val="0"/>
            <w:vAlign w:val="top"/>
          </w:tcPr>
          <w:p>
            <w:pPr>
              <w:widowControl/>
              <w:ind w:firstLine="640"/>
              <w:jc w:val="center"/>
              <w:rPr>
                <w:rFonts w:ascii="华文中宋" w:hAnsi="华文中宋" w:eastAsia="华文中宋"/>
                <w:color w:val="000000"/>
                <w:kern w:val="0"/>
                <w:sz w:val="44"/>
                <w:szCs w:val="44"/>
              </w:rPr>
            </w:pPr>
            <w:r>
              <w:rPr>
                <w:rFonts w:hint="eastAsia" w:ascii="方正小标宋简体" w:hAnsi="方正小标宋简体" w:eastAsia="方正小标宋简体" w:cs="方正小标宋简体"/>
                <w:color w:val="000000"/>
                <w:kern w:val="0"/>
                <w:sz w:val="44"/>
                <w:szCs w:val="44"/>
              </w:rPr>
              <w:t>项目支出绩效评价指标体系</w:t>
            </w:r>
          </w:p>
        </w:tc>
      </w:tr>
      <w:tr>
        <w:tblPrEx>
          <w:tblCellMar>
            <w:top w:w="0" w:type="dxa"/>
            <w:left w:w="108" w:type="dxa"/>
            <w:bottom w:w="0" w:type="dxa"/>
            <w:right w:w="108" w:type="dxa"/>
          </w:tblCellMar>
        </w:tblPrEx>
        <w:trPr>
          <w:trHeight w:val="570" w:hRule="atLeast"/>
          <w:jc w:val="center"/>
        </w:trPr>
        <w:tc>
          <w:tcPr>
            <w:tcW w:w="898" w:type="dxa"/>
            <w:tcBorders>
              <w:top w:val="nil"/>
              <w:left w:val="nil"/>
              <w:bottom w:val="nil"/>
              <w:right w:val="nil"/>
            </w:tcBorders>
            <w:noWrap w:val="0"/>
            <w:vAlign w:val="top"/>
          </w:tcPr>
          <w:p>
            <w:pPr>
              <w:widowControl/>
              <w:jc w:val="left"/>
              <w:rPr>
                <w:rFonts w:ascii="宋体" w:hAnsi="宋体"/>
                <w:color w:val="000000"/>
                <w:kern w:val="0"/>
                <w:sz w:val="20"/>
                <w:szCs w:val="20"/>
              </w:rPr>
            </w:pPr>
          </w:p>
        </w:tc>
        <w:tc>
          <w:tcPr>
            <w:tcW w:w="456" w:type="dxa"/>
            <w:tcBorders>
              <w:top w:val="nil"/>
              <w:left w:val="nil"/>
              <w:bottom w:val="nil"/>
              <w:right w:val="nil"/>
            </w:tcBorders>
            <w:noWrap w:val="0"/>
            <w:vAlign w:val="top"/>
          </w:tcPr>
          <w:p>
            <w:pPr>
              <w:widowControl/>
              <w:jc w:val="left"/>
              <w:rPr>
                <w:rFonts w:ascii="宋体" w:hAnsi="宋体"/>
                <w:color w:val="000000"/>
                <w:kern w:val="0"/>
                <w:sz w:val="20"/>
                <w:szCs w:val="20"/>
              </w:rPr>
            </w:pPr>
          </w:p>
        </w:tc>
        <w:tc>
          <w:tcPr>
            <w:tcW w:w="966" w:type="dxa"/>
            <w:tcBorders>
              <w:top w:val="nil"/>
              <w:left w:val="nil"/>
              <w:bottom w:val="nil"/>
              <w:right w:val="nil"/>
            </w:tcBorders>
            <w:noWrap w:val="0"/>
            <w:vAlign w:val="top"/>
          </w:tcPr>
          <w:p>
            <w:pPr>
              <w:widowControl/>
              <w:jc w:val="left"/>
              <w:rPr>
                <w:rFonts w:ascii="宋体" w:hAnsi="宋体"/>
                <w:color w:val="000000"/>
                <w:kern w:val="0"/>
                <w:sz w:val="20"/>
                <w:szCs w:val="20"/>
              </w:rPr>
            </w:pPr>
          </w:p>
        </w:tc>
        <w:tc>
          <w:tcPr>
            <w:tcW w:w="456" w:type="dxa"/>
            <w:tcBorders>
              <w:top w:val="nil"/>
              <w:left w:val="nil"/>
              <w:bottom w:val="nil"/>
              <w:right w:val="nil"/>
            </w:tcBorders>
            <w:noWrap w:val="0"/>
            <w:vAlign w:val="top"/>
          </w:tcPr>
          <w:p>
            <w:pPr>
              <w:widowControl/>
              <w:jc w:val="left"/>
              <w:rPr>
                <w:rFonts w:ascii="宋体" w:hAnsi="宋体"/>
                <w:color w:val="000000"/>
                <w:kern w:val="0"/>
                <w:sz w:val="20"/>
                <w:szCs w:val="20"/>
              </w:rPr>
            </w:pPr>
          </w:p>
        </w:tc>
        <w:tc>
          <w:tcPr>
            <w:tcW w:w="937" w:type="dxa"/>
            <w:tcBorders>
              <w:top w:val="nil"/>
              <w:left w:val="nil"/>
              <w:bottom w:val="nil"/>
              <w:right w:val="nil"/>
            </w:tcBorders>
            <w:noWrap w:val="0"/>
            <w:vAlign w:val="top"/>
          </w:tcPr>
          <w:p>
            <w:pPr>
              <w:widowControl/>
              <w:jc w:val="left"/>
              <w:rPr>
                <w:rFonts w:ascii="宋体" w:hAnsi="宋体"/>
                <w:color w:val="000000"/>
                <w:kern w:val="0"/>
                <w:sz w:val="20"/>
                <w:szCs w:val="20"/>
              </w:rPr>
            </w:pPr>
          </w:p>
        </w:tc>
        <w:tc>
          <w:tcPr>
            <w:tcW w:w="3316" w:type="dxa"/>
            <w:tcBorders>
              <w:top w:val="nil"/>
              <w:left w:val="nil"/>
              <w:bottom w:val="nil"/>
              <w:right w:val="nil"/>
            </w:tcBorders>
            <w:noWrap w:val="0"/>
            <w:vAlign w:val="top"/>
          </w:tcPr>
          <w:p>
            <w:pPr>
              <w:widowControl/>
              <w:jc w:val="left"/>
              <w:rPr>
                <w:rFonts w:ascii="宋体" w:hAnsi="宋体"/>
                <w:color w:val="000000"/>
                <w:kern w:val="0"/>
                <w:sz w:val="20"/>
                <w:szCs w:val="20"/>
              </w:rPr>
            </w:pPr>
          </w:p>
        </w:tc>
        <w:tc>
          <w:tcPr>
            <w:tcW w:w="2390" w:type="dxa"/>
            <w:tcBorders>
              <w:top w:val="nil"/>
              <w:left w:val="nil"/>
              <w:bottom w:val="nil"/>
              <w:right w:val="nil"/>
            </w:tcBorders>
            <w:noWrap w:val="0"/>
            <w:vAlign w:val="top"/>
          </w:tcPr>
          <w:p>
            <w:pPr>
              <w:widowControl/>
              <w:jc w:val="left"/>
              <w:rPr>
                <w:rFonts w:ascii="宋体" w:hAnsi="宋体"/>
                <w:color w:val="000000"/>
                <w:kern w:val="0"/>
                <w:sz w:val="20"/>
                <w:szCs w:val="20"/>
              </w:rPr>
            </w:pPr>
          </w:p>
        </w:tc>
      </w:tr>
      <w:tr>
        <w:tblPrEx>
          <w:tblCellMar>
            <w:top w:w="0" w:type="dxa"/>
            <w:left w:w="108" w:type="dxa"/>
            <w:bottom w:w="0" w:type="dxa"/>
            <w:right w:w="108" w:type="dxa"/>
          </w:tblCellMar>
        </w:tblPrEx>
        <w:trPr>
          <w:trHeight w:val="495" w:hRule="atLeast"/>
          <w:jc w:val="center"/>
        </w:trPr>
        <w:tc>
          <w:tcPr>
            <w:tcW w:w="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一级指标</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分值</w:t>
            </w:r>
          </w:p>
        </w:tc>
        <w:tc>
          <w:tcPr>
            <w:tcW w:w="96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二级指标</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分值</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三级指标</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指标解释</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评价标淮</w:t>
            </w:r>
          </w:p>
        </w:tc>
      </w:tr>
      <w:tr>
        <w:tblPrEx>
          <w:tblCellMar>
            <w:top w:w="0" w:type="dxa"/>
            <w:left w:w="108" w:type="dxa"/>
            <w:bottom w:w="0" w:type="dxa"/>
            <w:right w:w="108" w:type="dxa"/>
          </w:tblCellMar>
        </w:tblPrEx>
        <w:trPr>
          <w:trHeight w:val="3755" w:hRule="atLeast"/>
          <w:jc w:val="center"/>
        </w:trPr>
        <w:tc>
          <w:tcPr>
            <w:tcW w:w="898" w:type="dxa"/>
            <w:vMerge w:val="restart"/>
            <w:tcBorders>
              <w:top w:val="single" w:color="000000" w:sz="4" w:space="0"/>
              <w:left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olor w:val="000000"/>
                <w:kern w:val="0"/>
                <w:sz w:val="16"/>
                <w:szCs w:val="16"/>
                <w:lang w:eastAsia="zh-CN"/>
              </w:rPr>
              <w:t>投入</w:t>
            </w:r>
          </w:p>
        </w:tc>
        <w:tc>
          <w:tcPr>
            <w:tcW w:w="456" w:type="dxa"/>
            <w:vMerge w:val="restart"/>
            <w:tcBorders>
              <w:top w:val="single" w:color="000000" w:sz="4" w:space="0"/>
              <w:left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val="en-US" w:eastAsia="zh-CN"/>
              </w:rPr>
            </w:pPr>
            <w:r>
              <w:rPr>
                <w:rFonts w:ascii="宋体" w:hAnsi="宋体" w:cs="宋体"/>
                <w:color w:val="000000"/>
                <w:kern w:val="0"/>
                <w:sz w:val="16"/>
                <w:szCs w:val="16"/>
              </w:rPr>
              <w:t>1</w:t>
            </w:r>
            <w:r>
              <w:rPr>
                <w:rFonts w:hint="eastAsia" w:ascii="宋体" w:hAnsi="宋体" w:cs="宋体"/>
                <w:color w:val="000000"/>
                <w:kern w:val="0"/>
                <w:sz w:val="16"/>
                <w:szCs w:val="16"/>
                <w:lang w:val="en-US" w:eastAsia="zh-CN"/>
              </w:rPr>
              <w:t>0</w:t>
            </w:r>
          </w:p>
        </w:tc>
        <w:tc>
          <w:tcPr>
            <w:tcW w:w="966" w:type="dxa"/>
            <w:vMerge w:val="restart"/>
            <w:tcBorders>
              <w:top w:val="single" w:color="000000" w:sz="4" w:space="0"/>
              <w:left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olor w:val="000000"/>
                <w:kern w:val="0"/>
                <w:sz w:val="16"/>
                <w:szCs w:val="16"/>
                <w:lang w:eastAsia="zh-CN"/>
              </w:rPr>
              <w:t>资金投入管理</w:t>
            </w:r>
          </w:p>
        </w:tc>
        <w:tc>
          <w:tcPr>
            <w:tcW w:w="456" w:type="dxa"/>
            <w:tcBorders>
              <w:top w:val="single" w:color="000000" w:sz="4" w:space="0"/>
              <w:left w:val="single" w:color="000000" w:sz="4" w:space="0"/>
              <w:right w:val="single" w:color="000000" w:sz="4" w:space="0"/>
            </w:tcBorders>
            <w:noWrap w:val="0"/>
            <w:vAlign w:val="center"/>
          </w:tcPr>
          <w:p>
            <w:pPr>
              <w:widowControl/>
              <w:jc w:val="center"/>
              <w:rPr>
                <w:rFonts w:hint="default" w:ascii="宋体" w:hAnsi="宋体" w:eastAsia="宋体"/>
                <w:color w:val="000000"/>
                <w:kern w:val="0"/>
                <w:sz w:val="16"/>
                <w:szCs w:val="16"/>
                <w:lang w:val="en-US" w:eastAsia="zh-CN"/>
              </w:rPr>
            </w:pPr>
            <w:r>
              <w:rPr>
                <w:rFonts w:hint="eastAsia" w:ascii="宋体" w:hAnsi="宋体"/>
                <w:color w:val="000000"/>
                <w:kern w:val="0"/>
                <w:sz w:val="16"/>
                <w:szCs w:val="16"/>
                <w:lang w:val="en-US" w:eastAsia="zh-CN"/>
              </w:rPr>
              <w:t>10</w:t>
            </w:r>
          </w:p>
        </w:tc>
        <w:tc>
          <w:tcPr>
            <w:tcW w:w="937" w:type="dxa"/>
            <w:tcBorders>
              <w:top w:val="single" w:color="000000" w:sz="4" w:space="0"/>
              <w:left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s="宋体"/>
                <w:color w:val="000000"/>
                <w:kern w:val="0"/>
                <w:sz w:val="16"/>
                <w:szCs w:val="16"/>
                <w:lang w:eastAsia="zh-CN"/>
              </w:rPr>
              <w:t>预算执行率</w:t>
            </w:r>
          </w:p>
        </w:tc>
        <w:tc>
          <w:tcPr>
            <w:tcW w:w="3316" w:type="dxa"/>
            <w:tcBorders>
              <w:top w:val="single" w:color="000000" w:sz="4" w:space="0"/>
              <w:left w:val="single" w:color="000000" w:sz="4" w:space="0"/>
              <w:right w:val="single" w:color="000000" w:sz="4" w:space="0"/>
            </w:tcBorders>
            <w:noWrap w:val="0"/>
            <w:vAlign w:val="center"/>
          </w:tcPr>
          <w:p>
            <w:pPr>
              <w:widowControl/>
              <w:rPr>
                <w:rFonts w:hint="eastAsia" w:ascii="宋体" w:hAnsi="宋体" w:eastAsia="宋体"/>
                <w:color w:val="000000"/>
                <w:kern w:val="0"/>
                <w:sz w:val="16"/>
                <w:szCs w:val="16"/>
                <w:lang w:eastAsia="zh-CN"/>
              </w:rPr>
            </w:pPr>
            <w:r>
              <w:rPr>
                <w:rFonts w:hint="eastAsia" w:ascii="宋体" w:hAnsi="宋体" w:cs="宋体"/>
                <w:color w:val="000000"/>
                <w:kern w:val="0"/>
                <w:sz w:val="16"/>
                <w:szCs w:val="16"/>
              </w:rPr>
              <w:t>资金是否及时到位；若未及时到位，是否影响项目进度</w:t>
            </w:r>
            <w:r>
              <w:rPr>
                <w:rFonts w:hint="eastAsia" w:ascii="宋体" w:hAnsi="宋体" w:cs="宋体"/>
                <w:color w:val="000000"/>
                <w:kern w:val="0"/>
                <w:sz w:val="16"/>
                <w:szCs w:val="16"/>
                <w:lang w:eastAsia="zh-CN"/>
              </w:rPr>
              <w:t>；</w:t>
            </w:r>
            <w:r>
              <w:rPr>
                <w:rFonts w:hint="eastAsia" w:ascii="宋体" w:hAnsi="宋体" w:cs="宋体"/>
                <w:color w:val="000000"/>
                <w:kern w:val="0"/>
                <w:sz w:val="16"/>
                <w:szCs w:val="16"/>
              </w:rPr>
              <w:t>是否存在支出依据不合规、虚列项目支出的情况；是否存在截留、挤占、挪用项目资金情况；是否存在超标准开支情况</w:t>
            </w:r>
            <w:r>
              <w:rPr>
                <w:rFonts w:hint="eastAsia" w:ascii="宋体" w:hAnsi="宋体" w:cs="宋体"/>
                <w:color w:val="000000"/>
                <w:kern w:val="0"/>
                <w:sz w:val="16"/>
                <w:szCs w:val="16"/>
                <w:lang w:eastAsia="zh-CN"/>
              </w:rPr>
              <w:t>；</w:t>
            </w:r>
            <w:r>
              <w:rPr>
                <w:rFonts w:hint="eastAsia" w:ascii="宋体" w:hAnsi="宋体" w:cs="宋体"/>
                <w:color w:val="000000"/>
                <w:kern w:val="0"/>
                <w:sz w:val="16"/>
                <w:szCs w:val="16"/>
              </w:rPr>
              <w:t>资金管理、费用支出等制度是否健全，是否严格执行；会计核算是否规范</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olor w:val="000000"/>
                <w:kern w:val="0"/>
                <w:sz w:val="16"/>
                <w:szCs w:val="16"/>
                <w:lang w:eastAsia="zh-CN"/>
              </w:rPr>
            </w:pPr>
            <w:r>
              <w:rPr>
                <w:rFonts w:hint="eastAsia" w:ascii="宋体" w:hAnsi="宋体" w:cs="宋体"/>
                <w:color w:val="000000"/>
                <w:kern w:val="0"/>
                <w:sz w:val="16"/>
                <w:szCs w:val="16"/>
              </w:rPr>
              <w:t>及时到位（</w:t>
            </w:r>
            <w:r>
              <w:rPr>
                <w:rFonts w:ascii="宋体" w:hAnsi="宋体" w:cs="宋体"/>
                <w:color w:val="000000"/>
                <w:kern w:val="0"/>
                <w:sz w:val="16"/>
                <w:szCs w:val="16"/>
              </w:rPr>
              <w:t>2</w:t>
            </w:r>
            <w:r>
              <w:rPr>
                <w:rFonts w:hint="eastAsia" w:ascii="宋体" w:hAnsi="宋体" w:cs="宋体"/>
                <w:color w:val="000000"/>
                <w:kern w:val="0"/>
                <w:sz w:val="16"/>
                <w:szCs w:val="16"/>
              </w:rPr>
              <w:t>分），未及时到位但未影响项目进度</w:t>
            </w:r>
            <w:r>
              <w:rPr>
                <w:rFonts w:ascii="宋体" w:hAnsi="宋体" w:cs="宋体"/>
                <w:color w:val="000000"/>
                <w:kern w:val="0"/>
                <w:sz w:val="16"/>
                <w:szCs w:val="16"/>
              </w:rPr>
              <w:t xml:space="preserve"> (1.5</w:t>
            </w:r>
            <w:r>
              <w:rPr>
                <w:rFonts w:hint="eastAsia" w:ascii="宋体" w:hAnsi="宋体" w:cs="宋体"/>
                <w:color w:val="000000"/>
                <w:kern w:val="0"/>
                <w:sz w:val="16"/>
                <w:szCs w:val="16"/>
              </w:rPr>
              <w:t>分），未及时到位并影响项目进度（</w:t>
            </w:r>
            <w:r>
              <w:rPr>
                <w:rFonts w:ascii="宋体" w:hAnsi="宋体" w:cs="宋体"/>
                <w:color w:val="000000"/>
                <w:kern w:val="0"/>
                <w:sz w:val="16"/>
                <w:szCs w:val="16"/>
              </w:rPr>
              <w:t>0-1</w:t>
            </w:r>
            <w:r>
              <w:rPr>
                <w:rFonts w:hint="eastAsia" w:ascii="宋体" w:hAnsi="宋体" w:cs="宋体"/>
                <w:color w:val="000000"/>
                <w:kern w:val="0"/>
                <w:sz w:val="16"/>
                <w:szCs w:val="16"/>
              </w:rPr>
              <w:t>分）</w:t>
            </w:r>
            <w:r>
              <w:rPr>
                <w:rFonts w:hint="eastAsia" w:ascii="宋体" w:hAnsi="宋体" w:cs="宋体"/>
                <w:color w:val="000000"/>
                <w:kern w:val="0"/>
                <w:sz w:val="16"/>
                <w:szCs w:val="16"/>
                <w:lang w:eastAsia="zh-CN"/>
              </w:rPr>
              <w:t>，</w:t>
            </w:r>
            <w:r>
              <w:rPr>
                <w:rFonts w:hint="eastAsia" w:ascii="宋体" w:hAnsi="宋体" w:cs="宋体"/>
                <w:color w:val="000000"/>
                <w:kern w:val="0"/>
                <w:sz w:val="16"/>
                <w:szCs w:val="16"/>
              </w:rPr>
              <w:t>虚列（套取）扣</w:t>
            </w:r>
            <w:r>
              <w:rPr>
                <w:rFonts w:ascii="宋体" w:hAnsi="宋体" w:cs="宋体"/>
                <w:color w:val="000000"/>
                <w:kern w:val="0"/>
                <w:sz w:val="16"/>
                <w:szCs w:val="16"/>
              </w:rPr>
              <w:t>1-3</w:t>
            </w:r>
            <w:r>
              <w:rPr>
                <w:rFonts w:hint="eastAsia" w:ascii="宋体" w:hAnsi="宋体" w:cs="宋体"/>
                <w:color w:val="000000"/>
                <w:kern w:val="0"/>
                <w:sz w:val="16"/>
                <w:szCs w:val="16"/>
              </w:rPr>
              <w:t>分，支出依据不合规扣</w:t>
            </w:r>
            <w:r>
              <w:rPr>
                <w:rFonts w:ascii="宋体" w:hAnsi="宋体" w:cs="宋体"/>
                <w:color w:val="000000"/>
                <w:kern w:val="0"/>
                <w:sz w:val="16"/>
                <w:szCs w:val="16"/>
              </w:rPr>
              <w:t>1</w:t>
            </w:r>
            <w:r>
              <w:rPr>
                <w:rFonts w:hint="eastAsia" w:ascii="宋体" w:hAnsi="宋体" w:cs="宋体"/>
                <w:color w:val="000000"/>
                <w:kern w:val="0"/>
                <w:sz w:val="16"/>
                <w:szCs w:val="16"/>
              </w:rPr>
              <w:t>分，截留、挤占、挪用扣</w:t>
            </w:r>
            <w:r>
              <w:rPr>
                <w:rFonts w:ascii="宋体" w:hAnsi="宋体" w:cs="宋体"/>
                <w:color w:val="000000"/>
                <w:kern w:val="0"/>
                <w:sz w:val="16"/>
                <w:szCs w:val="16"/>
              </w:rPr>
              <w:t>1-2</w:t>
            </w:r>
            <w:r>
              <w:rPr>
                <w:rFonts w:hint="eastAsia" w:ascii="宋体" w:hAnsi="宋体" w:cs="宋体"/>
                <w:color w:val="000000"/>
                <w:kern w:val="0"/>
                <w:sz w:val="16"/>
                <w:szCs w:val="16"/>
              </w:rPr>
              <w:t>分，超标准开支扣</w:t>
            </w:r>
            <w:r>
              <w:rPr>
                <w:rFonts w:ascii="宋体" w:hAnsi="宋体" w:cs="宋体"/>
                <w:color w:val="000000"/>
                <w:kern w:val="0"/>
                <w:sz w:val="16"/>
                <w:szCs w:val="16"/>
              </w:rPr>
              <w:t>1-2</w:t>
            </w:r>
            <w:r>
              <w:rPr>
                <w:rFonts w:hint="eastAsia" w:ascii="宋体" w:hAnsi="宋体" w:cs="宋体"/>
                <w:color w:val="000000"/>
                <w:kern w:val="0"/>
                <w:sz w:val="16"/>
                <w:szCs w:val="16"/>
              </w:rPr>
              <w:t>分</w:t>
            </w:r>
            <w:r>
              <w:rPr>
                <w:rFonts w:hint="eastAsia" w:ascii="宋体" w:hAnsi="宋体" w:cs="宋体"/>
                <w:color w:val="000000"/>
                <w:kern w:val="0"/>
                <w:sz w:val="16"/>
                <w:szCs w:val="16"/>
                <w:lang w:eastAsia="zh-CN"/>
              </w:rPr>
              <w:t>；</w:t>
            </w:r>
            <w:r>
              <w:rPr>
                <w:rFonts w:hint="eastAsia" w:ascii="宋体" w:hAnsi="宋体" w:cs="宋体"/>
                <w:color w:val="000000"/>
                <w:kern w:val="0"/>
                <w:sz w:val="16"/>
                <w:szCs w:val="16"/>
              </w:rPr>
              <w:t>财务制度健全</w:t>
            </w:r>
            <w:r>
              <w:rPr>
                <w:rFonts w:ascii="宋体" w:hAnsi="宋体" w:cs="宋体"/>
                <w:color w:val="000000"/>
                <w:kern w:val="0"/>
                <w:sz w:val="16"/>
                <w:szCs w:val="16"/>
              </w:rPr>
              <w:t>.</w:t>
            </w:r>
            <w:r>
              <w:rPr>
                <w:rFonts w:hint="eastAsia" w:ascii="宋体" w:hAnsi="宋体" w:cs="宋体"/>
                <w:color w:val="000000"/>
                <w:kern w:val="0"/>
                <w:sz w:val="16"/>
                <w:szCs w:val="16"/>
              </w:rPr>
              <w:t>严格执行制度</w:t>
            </w:r>
            <w:r>
              <w:rPr>
                <w:rFonts w:ascii="宋体" w:hAnsi="宋体" w:cs="宋体"/>
                <w:color w:val="000000"/>
                <w:kern w:val="0"/>
                <w:sz w:val="16"/>
                <w:szCs w:val="16"/>
              </w:rPr>
              <w:t xml:space="preserve"> (1</w:t>
            </w:r>
            <w:r>
              <w:rPr>
                <w:rFonts w:hint="eastAsia" w:ascii="宋体" w:hAnsi="宋体" w:cs="宋体"/>
                <w:color w:val="000000"/>
                <w:kern w:val="0"/>
                <w:sz w:val="16"/>
                <w:szCs w:val="16"/>
              </w:rPr>
              <w:t>分），会计核算规范</w:t>
            </w:r>
            <w:r>
              <w:rPr>
                <w:rFonts w:ascii="宋体" w:hAnsi="宋体" w:cs="宋体"/>
                <w:color w:val="000000"/>
                <w:kern w:val="0"/>
                <w:sz w:val="16"/>
                <w:szCs w:val="16"/>
              </w:rPr>
              <w:t xml:space="preserve"> </w:t>
            </w:r>
            <w:r>
              <w:rPr>
                <w:rFonts w:hint="eastAsia" w:ascii="宋体" w:hAnsi="宋体" w:cs="宋体"/>
                <w:color w:val="000000"/>
                <w:kern w:val="0"/>
                <w:sz w:val="16"/>
                <w:szCs w:val="16"/>
              </w:rPr>
              <w:t>（</w:t>
            </w:r>
            <w:r>
              <w:rPr>
                <w:rFonts w:ascii="宋体" w:hAnsi="宋体" w:cs="宋体"/>
                <w:color w:val="000000"/>
                <w:kern w:val="0"/>
                <w:sz w:val="16"/>
                <w:szCs w:val="16"/>
              </w:rPr>
              <w:t>1</w:t>
            </w:r>
            <w:r>
              <w:rPr>
                <w:rFonts w:hint="eastAsia" w:ascii="宋体" w:hAnsi="宋体" w:cs="宋体"/>
                <w:color w:val="000000"/>
                <w:kern w:val="0"/>
                <w:sz w:val="16"/>
                <w:szCs w:val="16"/>
              </w:rPr>
              <w:t>分）</w:t>
            </w:r>
          </w:p>
        </w:tc>
      </w:tr>
      <w:tr>
        <w:tblPrEx>
          <w:tblCellMar>
            <w:top w:w="0" w:type="dxa"/>
            <w:left w:w="108" w:type="dxa"/>
            <w:bottom w:w="0" w:type="dxa"/>
            <w:right w:w="108" w:type="dxa"/>
          </w:tblCellMar>
        </w:tblPrEx>
        <w:trPr>
          <w:trHeight w:val="1968" w:hRule="atLeast"/>
          <w:jc w:val="center"/>
        </w:trPr>
        <w:tc>
          <w:tcPr>
            <w:tcW w:w="89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s="宋体"/>
                <w:color w:val="000000"/>
                <w:kern w:val="0"/>
                <w:sz w:val="16"/>
                <w:szCs w:val="16"/>
                <w:lang w:eastAsia="zh-CN"/>
              </w:rPr>
              <w:t>产出</w:t>
            </w:r>
          </w:p>
        </w:tc>
        <w:tc>
          <w:tcPr>
            <w:tcW w:w="45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eastAsia="宋体"/>
                <w:color w:val="000000"/>
                <w:kern w:val="0"/>
                <w:sz w:val="16"/>
                <w:szCs w:val="16"/>
                <w:lang w:val="en-US" w:eastAsia="zh-CN"/>
              </w:rPr>
            </w:pPr>
            <w:r>
              <w:rPr>
                <w:rFonts w:hint="eastAsia" w:ascii="宋体" w:hAnsi="宋体"/>
                <w:color w:val="000000"/>
                <w:kern w:val="0"/>
                <w:sz w:val="16"/>
                <w:szCs w:val="16"/>
                <w:lang w:val="en-US" w:eastAsia="zh-CN"/>
              </w:rPr>
              <w:t>50</w:t>
            </w:r>
          </w:p>
        </w:tc>
        <w:tc>
          <w:tcPr>
            <w:tcW w:w="966" w:type="dxa"/>
            <w:vMerge w:val="restart"/>
            <w:tcBorders>
              <w:top w:val="single" w:color="000000" w:sz="4" w:space="0"/>
              <w:left w:val="single" w:color="000000" w:sz="4" w:space="0"/>
              <w:right w:val="single" w:color="000000" w:sz="4" w:space="0"/>
            </w:tcBorders>
            <w:noWrap w:val="0"/>
            <w:vAlign w:val="center"/>
          </w:tcPr>
          <w:p>
            <w:pPr>
              <w:widowControl/>
              <w:jc w:val="left"/>
              <w:rPr>
                <w:rFonts w:ascii="宋体" w:hAnsi="宋体"/>
                <w:color w:val="000000"/>
                <w:kern w:val="0"/>
                <w:sz w:val="16"/>
                <w:szCs w:val="16"/>
              </w:rPr>
            </w:pPr>
            <w:r>
              <w:rPr>
                <w:rFonts w:hint="eastAsia" w:ascii="宋体" w:hAnsi="宋体" w:cs="宋体"/>
                <w:color w:val="000000"/>
                <w:kern w:val="0"/>
                <w:sz w:val="16"/>
                <w:szCs w:val="16"/>
              </w:rPr>
              <w:t>项目产出</w:t>
            </w:r>
          </w:p>
        </w:tc>
        <w:tc>
          <w:tcPr>
            <w:tcW w:w="456" w:type="dxa"/>
            <w:tcBorders>
              <w:top w:val="single" w:color="000000" w:sz="4" w:space="0"/>
              <w:left w:val="single" w:color="000000" w:sz="4" w:space="0"/>
              <w:right w:val="single" w:color="000000" w:sz="4" w:space="0"/>
            </w:tcBorders>
            <w:noWrap w:val="0"/>
            <w:vAlign w:val="center"/>
          </w:tcPr>
          <w:p>
            <w:pPr>
              <w:widowControl/>
              <w:jc w:val="left"/>
              <w:rPr>
                <w:rFonts w:ascii="宋体" w:hAnsi="宋体"/>
                <w:color w:val="000000"/>
                <w:kern w:val="0"/>
                <w:sz w:val="16"/>
                <w:szCs w:val="16"/>
              </w:rPr>
            </w:pPr>
            <w:r>
              <w:rPr>
                <w:rFonts w:hint="eastAsia" w:ascii="宋体" w:hAnsi="宋体" w:cs="宋体"/>
                <w:color w:val="000000"/>
                <w:kern w:val="0"/>
                <w:sz w:val="16"/>
                <w:szCs w:val="16"/>
                <w:lang w:val="en-US" w:eastAsia="zh-CN"/>
              </w:rPr>
              <w:t>1</w:t>
            </w:r>
            <w:r>
              <w:rPr>
                <w:rFonts w:ascii="宋体" w:hAnsi="宋体" w:cs="宋体"/>
                <w:color w:val="000000"/>
                <w:kern w:val="0"/>
                <w:sz w:val="16"/>
                <w:szCs w:val="16"/>
              </w:rPr>
              <w:t>5</w:t>
            </w:r>
          </w:p>
        </w:tc>
        <w:tc>
          <w:tcPr>
            <w:tcW w:w="937" w:type="dxa"/>
            <w:tcBorders>
              <w:top w:val="single" w:color="000000" w:sz="4" w:space="0"/>
              <w:left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s="宋体"/>
                <w:color w:val="000000"/>
                <w:kern w:val="0"/>
                <w:sz w:val="16"/>
                <w:szCs w:val="16"/>
                <w:lang w:eastAsia="zh-CN"/>
              </w:rPr>
              <w:t>数量指标</w:t>
            </w:r>
          </w:p>
        </w:tc>
        <w:tc>
          <w:tcPr>
            <w:tcW w:w="3316" w:type="dxa"/>
            <w:tcBorders>
              <w:top w:val="single" w:color="000000" w:sz="4" w:space="0"/>
              <w:left w:val="single" w:color="000000" w:sz="4" w:space="0"/>
              <w:right w:val="single" w:color="000000" w:sz="4" w:space="0"/>
            </w:tcBorders>
            <w:noWrap w:val="0"/>
            <w:vAlign w:val="center"/>
          </w:tcPr>
          <w:p>
            <w:pPr>
              <w:widowControl/>
              <w:rPr>
                <w:rFonts w:ascii="宋体" w:hAnsi="宋体"/>
                <w:color w:val="000000"/>
                <w:kern w:val="0"/>
                <w:sz w:val="16"/>
                <w:szCs w:val="16"/>
              </w:rPr>
            </w:pPr>
            <w:r>
              <w:rPr>
                <w:rFonts w:hint="eastAsia" w:ascii="宋体" w:hAnsi="宋体" w:cs="宋体"/>
                <w:color w:val="000000"/>
                <w:kern w:val="0"/>
                <w:sz w:val="16"/>
                <w:szCs w:val="16"/>
                <w:lang w:eastAsia="zh-CN"/>
              </w:rPr>
              <w:t>聘用人员</w:t>
            </w:r>
            <w:r>
              <w:rPr>
                <w:rFonts w:hint="eastAsia" w:ascii="宋体" w:hAnsi="宋体" w:cs="宋体"/>
                <w:color w:val="000000"/>
                <w:kern w:val="0"/>
                <w:sz w:val="16"/>
                <w:szCs w:val="16"/>
              </w:rPr>
              <w:t>数量是否达到绩效目标</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olor w:val="000000"/>
                <w:kern w:val="0"/>
                <w:sz w:val="16"/>
                <w:szCs w:val="16"/>
                <w:lang w:eastAsia="zh-CN"/>
              </w:rPr>
            </w:pPr>
            <w:r>
              <w:rPr>
                <w:rFonts w:hint="eastAsia" w:ascii="宋体" w:hAnsi="宋体" w:cs="宋体"/>
                <w:color w:val="000000"/>
                <w:kern w:val="0"/>
                <w:sz w:val="16"/>
                <w:szCs w:val="16"/>
                <w:lang w:eastAsia="zh-CN"/>
              </w:rPr>
              <w:t>数量</w:t>
            </w:r>
            <w:r>
              <w:rPr>
                <w:rFonts w:hint="eastAsia" w:ascii="宋体" w:hAnsi="宋体" w:cs="宋体"/>
                <w:color w:val="000000"/>
                <w:kern w:val="0"/>
                <w:sz w:val="16"/>
                <w:szCs w:val="16"/>
              </w:rPr>
              <w:t>指标得分报据年初设定的产出目标实现程度</w:t>
            </w:r>
            <w:r>
              <w:rPr>
                <w:rFonts w:hint="eastAsia" w:ascii="宋体" w:hAnsi="宋体" w:cs="宋体"/>
                <w:color w:val="000000"/>
                <w:kern w:val="0"/>
                <w:sz w:val="16"/>
                <w:szCs w:val="16"/>
                <w:lang w:eastAsia="zh-CN"/>
              </w:rPr>
              <w:t>测算</w:t>
            </w:r>
          </w:p>
        </w:tc>
      </w:tr>
      <w:tr>
        <w:tblPrEx>
          <w:tblCellMar>
            <w:top w:w="0" w:type="dxa"/>
            <w:left w:w="108" w:type="dxa"/>
            <w:bottom w:w="0" w:type="dxa"/>
            <w:right w:w="108" w:type="dxa"/>
          </w:tblCellMar>
        </w:tblPrEx>
        <w:trPr>
          <w:trHeight w:val="1170" w:hRule="atLeast"/>
          <w:jc w:val="center"/>
        </w:trPr>
        <w:tc>
          <w:tcPr>
            <w:tcW w:w="8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966" w:type="dxa"/>
            <w:vMerge w:val="continue"/>
            <w:tcBorders>
              <w:left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宋体" w:hAnsi="宋体" w:eastAsia="宋体"/>
                <w:color w:val="000000"/>
                <w:kern w:val="0"/>
                <w:sz w:val="16"/>
                <w:szCs w:val="16"/>
                <w:lang w:val="en-US" w:eastAsia="zh-CN"/>
              </w:rPr>
            </w:pPr>
            <w:r>
              <w:rPr>
                <w:rFonts w:hint="eastAsia" w:ascii="宋体" w:hAnsi="宋体" w:cs="宋体"/>
                <w:color w:val="000000"/>
                <w:kern w:val="0"/>
                <w:sz w:val="16"/>
                <w:szCs w:val="16"/>
                <w:lang w:val="en-US" w:eastAsia="zh-CN"/>
              </w:rPr>
              <w:t>10</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olor w:val="000000"/>
                <w:kern w:val="0"/>
                <w:sz w:val="16"/>
                <w:szCs w:val="16"/>
                <w:lang w:eastAsia="zh-CN"/>
              </w:rPr>
              <w:t>时效指标</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宋体" w:hAnsi="宋体" w:eastAsia="宋体"/>
                <w:color w:val="000000"/>
                <w:kern w:val="0"/>
                <w:sz w:val="16"/>
                <w:szCs w:val="16"/>
                <w:lang w:eastAsia="zh-CN"/>
              </w:rPr>
            </w:pPr>
            <w:r>
              <w:rPr>
                <w:rFonts w:hint="eastAsia" w:ascii="宋体" w:hAnsi="宋体" w:cs="宋体"/>
                <w:color w:val="000000"/>
                <w:kern w:val="0"/>
                <w:sz w:val="16"/>
                <w:szCs w:val="16"/>
                <w:lang w:eastAsia="zh-CN"/>
              </w:rPr>
              <w:t>是否按时发放工资</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r>
              <w:rPr>
                <w:rFonts w:hint="eastAsia" w:ascii="宋体" w:hAnsi="宋体" w:cs="宋体"/>
                <w:color w:val="000000"/>
                <w:kern w:val="0"/>
                <w:sz w:val="16"/>
                <w:szCs w:val="16"/>
                <w:lang w:eastAsia="zh-CN"/>
              </w:rPr>
              <w:t>按时发放（</w:t>
            </w:r>
            <w:r>
              <w:rPr>
                <w:rFonts w:hint="eastAsia" w:ascii="宋体" w:hAnsi="宋体" w:cs="宋体"/>
                <w:color w:val="000000"/>
                <w:kern w:val="0"/>
                <w:sz w:val="16"/>
                <w:szCs w:val="16"/>
                <w:lang w:val="en-US" w:eastAsia="zh-CN"/>
              </w:rPr>
              <w:t>10分</w:t>
            </w:r>
            <w:r>
              <w:rPr>
                <w:rFonts w:hint="eastAsia" w:ascii="宋体" w:hAnsi="宋体" w:cs="宋体"/>
                <w:color w:val="000000"/>
                <w:kern w:val="0"/>
                <w:sz w:val="16"/>
                <w:szCs w:val="16"/>
                <w:lang w:eastAsia="zh-CN"/>
              </w:rPr>
              <w:t>）</w:t>
            </w:r>
          </w:p>
        </w:tc>
      </w:tr>
      <w:tr>
        <w:tblPrEx>
          <w:tblCellMar>
            <w:top w:w="0" w:type="dxa"/>
            <w:left w:w="108" w:type="dxa"/>
            <w:bottom w:w="0" w:type="dxa"/>
            <w:right w:w="108" w:type="dxa"/>
          </w:tblCellMar>
        </w:tblPrEx>
        <w:trPr>
          <w:trHeight w:val="827" w:hRule="atLeast"/>
          <w:jc w:val="center"/>
        </w:trPr>
        <w:tc>
          <w:tcPr>
            <w:tcW w:w="8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966" w:type="dxa"/>
            <w:vMerge w:val="continue"/>
            <w:tcBorders>
              <w:left w:val="single" w:color="000000" w:sz="4" w:space="0"/>
              <w:right w:val="single" w:color="000000" w:sz="4" w:space="0"/>
            </w:tcBorders>
            <w:noWrap w:val="0"/>
            <w:vAlign w:val="center"/>
          </w:tcPr>
          <w:p>
            <w:pPr>
              <w:widowControl/>
              <w:jc w:val="center"/>
              <w:rPr>
                <w:rFonts w:ascii="宋体" w:hAnsi="宋体"/>
                <w:color w:val="000000"/>
                <w:kern w:val="0"/>
                <w:sz w:val="16"/>
                <w:szCs w:val="16"/>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eastAsia="宋体"/>
                <w:color w:val="000000"/>
                <w:kern w:val="0"/>
                <w:sz w:val="16"/>
                <w:szCs w:val="16"/>
                <w:lang w:val="en-US" w:eastAsia="zh-CN"/>
              </w:rPr>
            </w:pPr>
            <w:r>
              <w:rPr>
                <w:rFonts w:hint="eastAsia" w:ascii="宋体" w:hAnsi="宋体"/>
                <w:color w:val="000000"/>
                <w:kern w:val="0"/>
                <w:sz w:val="16"/>
                <w:szCs w:val="16"/>
                <w:lang w:val="en-US" w:eastAsia="zh-CN"/>
              </w:rPr>
              <w:t>15</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s="宋体"/>
                <w:color w:val="000000"/>
                <w:kern w:val="0"/>
                <w:sz w:val="16"/>
                <w:szCs w:val="16"/>
              </w:rPr>
              <w:t>质量</w:t>
            </w:r>
            <w:r>
              <w:rPr>
                <w:rFonts w:hint="eastAsia" w:ascii="宋体" w:hAnsi="宋体" w:cs="宋体"/>
                <w:color w:val="000000"/>
                <w:kern w:val="0"/>
                <w:sz w:val="16"/>
                <w:szCs w:val="16"/>
                <w:lang w:eastAsia="zh-CN"/>
              </w:rPr>
              <w:t>指标</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default" w:ascii="宋体" w:hAnsi="宋体" w:eastAsia="宋体"/>
                <w:color w:val="000000"/>
                <w:kern w:val="0"/>
                <w:sz w:val="16"/>
                <w:szCs w:val="16"/>
                <w:lang w:val="en-US" w:eastAsia="zh-CN"/>
              </w:rPr>
            </w:pPr>
            <w:r>
              <w:rPr>
                <w:rFonts w:hint="eastAsia" w:ascii="宋体" w:hAnsi="宋体" w:cs="宋体"/>
                <w:color w:val="000000"/>
                <w:kern w:val="0"/>
                <w:sz w:val="16"/>
                <w:szCs w:val="16"/>
                <w:lang w:eastAsia="zh-CN"/>
              </w:rPr>
              <w:t>是否保障人员工资</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r>
              <w:rPr>
                <w:rFonts w:hint="eastAsia" w:ascii="宋体" w:hAnsi="宋体" w:cs="宋体"/>
                <w:color w:val="000000"/>
                <w:kern w:val="0"/>
                <w:sz w:val="16"/>
                <w:szCs w:val="16"/>
                <w:lang w:eastAsia="zh-CN"/>
              </w:rPr>
              <w:t>保障人员工资</w:t>
            </w:r>
            <w:r>
              <w:rPr>
                <w:rFonts w:hint="eastAsia" w:ascii="宋体" w:hAnsi="宋体" w:cs="宋体"/>
                <w:color w:val="000000"/>
                <w:kern w:val="0"/>
                <w:sz w:val="16"/>
                <w:szCs w:val="16"/>
                <w:lang w:val="en-US" w:eastAsia="zh-CN"/>
              </w:rPr>
              <w:t>（15分）</w:t>
            </w:r>
          </w:p>
        </w:tc>
      </w:tr>
      <w:tr>
        <w:tblPrEx>
          <w:tblCellMar>
            <w:top w:w="0" w:type="dxa"/>
            <w:left w:w="108" w:type="dxa"/>
            <w:bottom w:w="0" w:type="dxa"/>
            <w:right w:w="108" w:type="dxa"/>
          </w:tblCellMar>
        </w:tblPrEx>
        <w:trPr>
          <w:trHeight w:val="1851" w:hRule="atLeast"/>
          <w:jc w:val="center"/>
        </w:trPr>
        <w:tc>
          <w:tcPr>
            <w:tcW w:w="8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966" w:type="dxa"/>
            <w:vMerge w:val="continue"/>
            <w:tcBorders>
              <w:left w:val="single" w:color="000000" w:sz="4" w:space="0"/>
              <w:right w:val="single" w:color="000000" w:sz="4" w:space="0"/>
            </w:tcBorders>
            <w:noWrap w:val="0"/>
            <w:vAlign w:val="center"/>
          </w:tcPr>
          <w:p>
            <w:pPr>
              <w:widowControl/>
              <w:jc w:val="left"/>
              <w:rPr>
                <w:rFonts w:ascii="宋体" w:hAnsi="宋体"/>
                <w:color w:val="000000"/>
                <w:kern w:val="0"/>
                <w:sz w:val="16"/>
                <w:szCs w:val="16"/>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default" w:ascii="宋体" w:hAnsi="宋体" w:eastAsia="宋体"/>
                <w:color w:val="000000"/>
                <w:kern w:val="0"/>
                <w:sz w:val="16"/>
                <w:szCs w:val="16"/>
                <w:lang w:val="en-US" w:eastAsia="zh-CN"/>
              </w:rPr>
            </w:pPr>
            <w:r>
              <w:rPr>
                <w:rFonts w:hint="eastAsia" w:ascii="宋体" w:hAnsi="宋体"/>
                <w:color w:val="000000"/>
                <w:kern w:val="0"/>
                <w:sz w:val="16"/>
                <w:szCs w:val="16"/>
                <w:lang w:val="en-US" w:eastAsia="zh-CN"/>
              </w:rPr>
              <w:t>10</w:t>
            </w:r>
          </w:p>
        </w:tc>
        <w:tc>
          <w:tcPr>
            <w:tcW w:w="937" w:type="dxa"/>
            <w:tcBorders>
              <w:top w:val="single" w:color="000000" w:sz="4" w:space="0"/>
              <w:left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s="宋体"/>
                <w:color w:val="000000"/>
                <w:kern w:val="0"/>
                <w:sz w:val="16"/>
                <w:szCs w:val="16"/>
              </w:rPr>
              <w:t>成本</w:t>
            </w:r>
            <w:r>
              <w:rPr>
                <w:rFonts w:hint="eastAsia" w:ascii="宋体" w:hAnsi="宋体" w:cs="宋体"/>
                <w:color w:val="000000"/>
                <w:kern w:val="0"/>
                <w:sz w:val="16"/>
                <w:szCs w:val="16"/>
                <w:lang w:eastAsia="zh-CN"/>
              </w:rPr>
              <w:t>指标</w:t>
            </w:r>
          </w:p>
        </w:tc>
        <w:tc>
          <w:tcPr>
            <w:tcW w:w="3316" w:type="dxa"/>
            <w:tcBorders>
              <w:top w:val="single" w:color="000000" w:sz="4" w:space="0"/>
              <w:left w:val="single" w:color="000000" w:sz="4" w:space="0"/>
              <w:right w:val="single" w:color="000000" w:sz="4" w:space="0"/>
            </w:tcBorders>
            <w:noWrap w:val="0"/>
            <w:vAlign w:val="center"/>
          </w:tcPr>
          <w:p>
            <w:pPr>
              <w:widowControl/>
              <w:rPr>
                <w:rFonts w:hint="default" w:ascii="宋体" w:hAnsi="宋体" w:eastAsia="宋体"/>
                <w:color w:val="000000"/>
                <w:kern w:val="0"/>
                <w:sz w:val="16"/>
                <w:szCs w:val="16"/>
                <w:lang w:val="en-US" w:eastAsia="zh-CN"/>
              </w:rPr>
            </w:pPr>
            <w:r>
              <w:rPr>
                <w:rFonts w:hint="eastAsia" w:ascii="宋体" w:hAnsi="宋体" w:cs="宋体"/>
                <w:color w:val="000000"/>
                <w:kern w:val="0"/>
                <w:sz w:val="16"/>
                <w:szCs w:val="16"/>
                <w:lang w:eastAsia="zh-CN"/>
              </w:rPr>
              <w:t>为民办事提速率是否得到提升，审批服务办结率是否达到</w:t>
            </w:r>
            <w:r>
              <w:rPr>
                <w:rFonts w:hint="eastAsia" w:ascii="宋体" w:hAnsi="宋体" w:cs="宋体"/>
                <w:color w:val="000000"/>
                <w:kern w:val="0"/>
                <w:sz w:val="16"/>
                <w:szCs w:val="16"/>
                <w:lang w:val="en-US" w:eastAsia="zh-CN"/>
              </w:rPr>
              <w:t>100%</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r>
              <w:rPr>
                <w:rFonts w:hint="eastAsia" w:ascii="宋体" w:hAnsi="宋体" w:cs="宋体"/>
                <w:color w:val="000000"/>
                <w:kern w:val="0"/>
                <w:sz w:val="16"/>
                <w:szCs w:val="16"/>
                <w:lang w:eastAsia="zh-CN"/>
              </w:rPr>
              <w:t>为民办事提速率得到提升（</w:t>
            </w:r>
            <w:r>
              <w:rPr>
                <w:rFonts w:hint="eastAsia" w:ascii="宋体" w:hAnsi="宋体" w:cs="宋体"/>
                <w:color w:val="000000"/>
                <w:kern w:val="0"/>
                <w:sz w:val="16"/>
                <w:szCs w:val="16"/>
                <w:lang w:val="en-US" w:eastAsia="zh-CN"/>
              </w:rPr>
              <w:t>5分</w:t>
            </w:r>
            <w:r>
              <w:rPr>
                <w:rFonts w:hint="eastAsia" w:ascii="宋体" w:hAnsi="宋体" w:cs="宋体"/>
                <w:color w:val="000000"/>
                <w:kern w:val="0"/>
                <w:sz w:val="16"/>
                <w:szCs w:val="16"/>
                <w:lang w:eastAsia="zh-CN"/>
              </w:rPr>
              <w:t>），审批服务办结率达到</w:t>
            </w:r>
            <w:r>
              <w:rPr>
                <w:rFonts w:hint="eastAsia" w:ascii="宋体" w:hAnsi="宋体" w:cs="宋体"/>
                <w:color w:val="000000"/>
                <w:kern w:val="0"/>
                <w:sz w:val="16"/>
                <w:szCs w:val="16"/>
                <w:lang w:val="en-US" w:eastAsia="zh-CN"/>
              </w:rPr>
              <w:t>100%（5分）</w:t>
            </w:r>
          </w:p>
        </w:tc>
      </w:tr>
      <w:tr>
        <w:tblPrEx>
          <w:tblCellMar>
            <w:top w:w="0" w:type="dxa"/>
            <w:left w:w="108" w:type="dxa"/>
            <w:bottom w:w="0" w:type="dxa"/>
            <w:right w:w="108" w:type="dxa"/>
          </w:tblCellMar>
        </w:tblPrEx>
        <w:trPr>
          <w:trHeight w:val="707" w:hRule="atLeast"/>
          <w:jc w:val="center"/>
        </w:trPr>
        <w:tc>
          <w:tcPr>
            <w:tcW w:w="89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r>
              <w:rPr>
                <w:rFonts w:hint="eastAsia" w:ascii="宋体" w:hAnsi="宋体" w:cs="宋体"/>
                <w:color w:val="000000"/>
                <w:kern w:val="0"/>
                <w:sz w:val="16"/>
                <w:szCs w:val="16"/>
                <w:lang w:eastAsia="zh-CN"/>
              </w:rPr>
              <w:t>效果</w:t>
            </w:r>
          </w:p>
        </w:tc>
        <w:tc>
          <w:tcPr>
            <w:tcW w:w="45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40</w:t>
            </w:r>
          </w:p>
        </w:tc>
        <w:tc>
          <w:tcPr>
            <w:tcW w:w="966" w:type="dxa"/>
            <w:vMerge w:val="restart"/>
            <w:tcBorders>
              <w:top w:val="single" w:color="000000" w:sz="4" w:space="0"/>
              <w:left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r>
              <w:rPr>
                <w:rFonts w:hint="eastAsia" w:ascii="宋体" w:hAnsi="宋体" w:cs="宋体"/>
                <w:color w:val="000000"/>
                <w:kern w:val="0"/>
                <w:sz w:val="16"/>
                <w:szCs w:val="16"/>
                <w:lang w:eastAsia="zh-CN"/>
              </w:rPr>
              <w:t>项目效益</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r>
              <w:rPr>
                <w:rFonts w:hint="eastAsia" w:ascii="宋体" w:hAnsi="宋体" w:cs="宋体"/>
                <w:color w:val="000000"/>
                <w:kern w:val="0"/>
                <w:sz w:val="16"/>
                <w:szCs w:val="16"/>
                <w:lang w:val="en-US" w:eastAsia="zh-CN"/>
              </w:rPr>
              <w:t>5</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经济效益</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宋体" w:hAnsi="宋体" w:eastAsia="宋体"/>
                <w:color w:val="000000"/>
                <w:kern w:val="0"/>
                <w:sz w:val="16"/>
                <w:szCs w:val="16"/>
                <w:lang w:eastAsia="zh-CN"/>
              </w:rPr>
            </w:pPr>
            <w:r>
              <w:rPr>
                <w:rFonts w:hint="eastAsia" w:ascii="宋体" w:hAnsi="宋体" w:cs="宋体"/>
                <w:color w:val="000000"/>
                <w:kern w:val="0"/>
                <w:sz w:val="16"/>
                <w:szCs w:val="16"/>
                <w:lang w:eastAsia="zh-CN"/>
              </w:rPr>
              <w:t>提高政府的公共管理效率和降低政府管理成本</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olor w:val="000000"/>
                <w:kern w:val="0"/>
                <w:sz w:val="16"/>
                <w:szCs w:val="16"/>
              </w:rPr>
            </w:pPr>
            <w:r>
              <w:rPr>
                <w:rFonts w:hint="eastAsia" w:ascii="宋体" w:hAnsi="宋体" w:cs="宋体"/>
                <w:color w:val="000000"/>
                <w:kern w:val="0"/>
                <w:sz w:val="16"/>
                <w:szCs w:val="16"/>
                <w:lang w:eastAsia="zh-CN"/>
              </w:rPr>
              <w:t>提高政府的公共管理效率和降低政府管理成本（</w:t>
            </w:r>
            <w:r>
              <w:rPr>
                <w:rFonts w:hint="eastAsia" w:ascii="宋体" w:hAnsi="宋体" w:cs="宋体"/>
                <w:color w:val="000000"/>
                <w:kern w:val="0"/>
                <w:sz w:val="16"/>
                <w:szCs w:val="16"/>
                <w:lang w:val="en-US" w:eastAsia="zh-CN"/>
              </w:rPr>
              <w:t>5分</w:t>
            </w:r>
            <w:r>
              <w:rPr>
                <w:rFonts w:hint="eastAsia" w:ascii="宋体" w:hAnsi="宋体" w:cs="宋体"/>
                <w:color w:val="000000"/>
                <w:kern w:val="0"/>
                <w:sz w:val="16"/>
                <w:szCs w:val="16"/>
                <w:lang w:eastAsia="zh-CN"/>
              </w:rPr>
              <w:t>）</w:t>
            </w:r>
          </w:p>
        </w:tc>
      </w:tr>
      <w:tr>
        <w:tblPrEx>
          <w:tblCellMar>
            <w:top w:w="0" w:type="dxa"/>
            <w:left w:w="108" w:type="dxa"/>
            <w:bottom w:w="0" w:type="dxa"/>
            <w:right w:w="108" w:type="dxa"/>
          </w:tblCellMar>
        </w:tblPrEx>
        <w:trPr>
          <w:trHeight w:val="575" w:hRule="atLeast"/>
          <w:jc w:val="center"/>
        </w:trPr>
        <w:tc>
          <w:tcPr>
            <w:tcW w:w="8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966" w:type="dxa"/>
            <w:vMerge w:val="continue"/>
            <w:tcBorders>
              <w:left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社会效益</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ascii="宋体" w:hAnsi="宋体"/>
                <w:color w:val="000000"/>
                <w:kern w:val="0"/>
                <w:sz w:val="16"/>
                <w:szCs w:val="16"/>
              </w:rPr>
            </w:pPr>
            <w:r>
              <w:rPr>
                <w:rFonts w:hint="eastAsia" w:ascii="宋体" w:hAnsi="宋体" w:cs="宋体"/>
                <w:color w:val="000000"/>
                <w:kern w:val="0"/>
                <w:sz w:val="16"/>
                <w:szCs w:val="16"/>
              </w:rPr>
              <w:t>项目实施是否</w:t>
            </w:r>
            <w:r>
              <w:rPr>
                <w:rFonts w:hint="eastAsia" w:ascii="宋体" w:hAnsi="宋体" w:cs="宋体"/>
                <w:color w:val="000000"/>
                <w:kern w:val="0"/>
                <w:sz w:val="16"/>
                <w:szCs w:val="16"/>
                <w:lang w:eastAsia="zh-CN"/>
              </w:rPr>
              <w:t>提升审批运行效能，方便群众办事</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ascii="宋体" w:hAnsi="宋体"/>
                <w:color w:val="000000"/>
                <w:kern w:val="0"/>
                <w:sz w:val="16"/>
                <w:szCs w:val="16"/>
              </w:rPr>
            </w:pPr>
            <w:r>
              <w:rPr>
                <w:rFonts w:hint="eastAsia" w:ascii="宋体" w:hAnsi="宋体" w:cs="宋体"/>
                <w:color w:val="000000"/>
                <w:kern w:val="0"/>
                <w:sz w:val="16"/>
                <w:szCs w:val="16"/>
              </w:rPr>
              <w:t>项目实施</w:t>
            </w:r>
            <w:r>
              <w:rPr>
                <w:rFonts w:hint="eastAsia" w:ascii="宋体" w:hAnsi="宋体" w:cs="宋体"/>
                <w:color w:val="000000"/>
                <w:kern w:val="0"/>
                <w:sz w:val="16"/>
                <w:szCs w:val="16"/>
                <w:lang w:eastAsia="zh-CN"/>
              </w:rPr>
              <w:t>提升审批运行效能，方便群众办事程度（</w:t>
            </w:r>
            <w:r>
              <w:rPr>
                <w:rFonts w:hint="eastAsia" w:ascii="宋体" w:hAnsi="宋体" w:cs="宋体"/>
                <w:color w:val="000000"/>
                <w:kern w:val="0"/>
                <w:sz w:val="16"/>
                <w:szCs w:val="16"/>
                <w:lang w:val="en-US" w:eastAsia="zh-CN"/>
              </w:rPr>
              <w:t>10分</w:t>
            </w:r>
            <w:r>
              <w:rPr>
                <w:rFonts w:hint="eastAsia" w:ascii="宋体" w:hAnsi="宋体" w:cs="宋体"/>
                <w:color w:val="000000"/>
                <w:kern w:val="0"/>
                <w:sz w:val="16"/>
                <w:szCs w:val="16"/>
                <w:lang w:eastAsia="zh-CN"/>
              </w:rPr>
              <w:t>）</w:t>
            </w:r>
          </w:p>
        </w:tc>
      </w:tr>
      <w:tr>
        <w:tblPrEx>
          <w:tblCellMar>
            <w:top w:w="0" w:type="dxa"/>
            <w:left w:w="108" w:type="dxa"/>
            <w:bottom w:w="0" w:type="dxa"/>
            <w:right w:w="108" w:type="dxa"/>
          </w:tblCellMar>
        </w:tblPrEx>
        <w:trPr>
          <w:trHeight w:val="696" w:hRule="atLeast"/>
          <w:jc w:val="center"/>
        </w:trPr>
        <w:tc>
          <w:tcPr>
            <w:tcW w:w="8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966" w:type="dxa"/>
            <w:vMerge w:val="continue"/>
            <w:tcBorders>
              <w:left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r>
              <w:rPr>
                <w:rFonts w:hint="eastAsia" w:ascii="宋体" w:hAnsi="宋体" w:cs="宋体"/>
                <w:color w:val="000000"/>
                <w:kern w:val="0"/>
                <w:sz w:val="16"/>
                <w:szCs w:val="16"/>
                <w:lang w:val="en-US" w:eastAsia="zh-CN"/>
              </w:rPr>
              <w:t>5</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r>
              <w:rPr>
                <w:rFonts w:hint="eastAsia" w:ascii="宋体" w:hAnsi="宋体" w:cs="宋体"/>
                <w:color w:val="000000"/>
                <w:kern w:val="0"/>
                <w:sz w:val="16"/>
                <w:szCs w:val="16"/>
                <w:lang w:eastAsia="zh-CN"/>
              </w:rPr>
              <w:t>生态效益</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olor w:val="000000"/>
                <w:kern w:val="0"/>
                <w:sz w:val="16"/>
                <w:szCs w:val="16"/>
                <w:lang w:eastAsia="zh-CN"/>
              </w:rPr>
              <w:t>优化大厅环境</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olor w:val="000000"/>
                <w:kern w:val="0"/>
                <w:sz w:val="16"/>
                <w:szCs w:val="16"/>
                <w:lang w:eastAsia="zh-CN"/>
              </w:rPr>
              <w:t>优化大厅环境程度（</w:t>
            </w:r>
            <w:r>
              <w:rPr>
                <w:rFonts w:hint="eastAsia" w:ascii="宋体" w:hAnsi="宋体"/>
                <w:color w:val="000000"/>
                <w:kern w:val="0"/>
                <w:sz w:val="16"/>
                <w:szCs w:val="16"/>
                <w:lang w:val="en-US" w:eastAsia="zh-CN"/>
              </w:rPr>
              <w:t>5分</w:t>
            </w:r>
            <w:r>
              <w:rPr>
                <w:rFonts w:hint="eastAsia" w:ascii="宋体" w:hAnsi="宋体"/>
                <w:color w:val="000000"/>
                <w:kern w:val="0"/>
                <w:sz w:val="16"/>
                <w:szCs w:val="16"/>
                <w:lang w:eastAsia="zh-CN"/>
              </w:rPr>
              <w:t>）</w:t>
            </w:r>
          </w:p>
        </w:tc>
      </w:tr>
      <w:tr>
        <w:tblPrEx>
          <w:tblCellMar>
            <w:top w:w="0" w:type="dxa"/>
            <w:left w:w="108" w:type="dxa"/>
            <w:bottom w:w="0" w:type="dxa"/>
            <w:right w:w="108" w:type="dxa"/>
          </w:tblCellMar>
        </w:tblPrEx>
        <w:trPr>
          <w:trHeight w:val="851" w:hRule="atLeast"/>
          <w:jc w:val="center"/>
        </w:trPr>
        <w:tc>
          <w:tcPr>
            <w:tcW w:w="89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45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eastAsia="zh-CN"/>
              </w:rPr>
            </w:pPr>
          </w:p>
        </w:tc>
        <w:tc>
          <w:tcPr>
            <w:tcW w:w="966" w:type="dxa"/>
            <w:vMerge w:val="continue"/>
            <w:tcBorders>
              <w:left w:val="single" w:color="000000" w:sz="4" w:space="0"/>
              <w:right w:val="single" w:color="000000" w:sz="4" w:space="0"/>
            </w:tcBorders>
            <w:noWrap w:val="0"/>
            <w:vAlign w:val="top"/>
          </w:tcPr>
          <w:p>
            <w:pPr>
              <w:widowControl/>
              <w:jc w:val="center"/>
              <w:rPr>
                <w:rFonts w:hint="eastAsia" w:ascii="宋体" w:hAnsi="宋体" w:cs="宋体"/>
                <w:color w:val="000000"/>
                <w:kern w:val="0"/>
                <w:sz w:val="16"/>
                <w:szCs w:val="16"/>
                <w:lang w:eastAsia="zh-CN"/>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olor w:val="000000"/>
                <w:kern w:val="0"/>
                <w:sz w:val="16"/>
                <w:szCs w:val="16"/>
                <w:lang w:eastAsia="zh-CN"/>
              </w:rPr>
            </w:pPr>
            <w:r>
              <w:rPr>
                <w:rFonts w:hint="eastAsia" w:ascii="宋体" w:hAnsi="宋体"/>
                <w:color w:val="000000"/>
                <w:kern w:val="0"/>
                <w:sz w:val="16"/>
                <w:szCs w:val="16"/>
                <w:lang w:eastAsia="zh-CN"/>
              </w:rPr>
              <w:t>可持续影响</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lang w:eastAsia="zh-CN"/>
              </w:rPr>
              <w:t>提升行政审批运行效能</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lang w:eastAsia="zh-CN"/>
              </w:rPr>
              <w:t>提升行政审批运行效能（</w:t>
            </w:r>
            <w:r>
              <w:rPr>
                <w:rFonts w:hint="eastAsia" w:ascii="宋体" w:hAnsi="宋体" w:cs="宋体"/>
                <w:color w:val="000000"/>
                <w:kern w:val="0"/>
                <w:sz w:val="16"/>
                <w:szCs w:val="16"/>
                <w:lang w:val="en-US" w:eastAsia="zh-CN"/>
              </w:rPr>
              <w:t>10分</w:t>
            </w:r>
            <w:r>
              <w:rPr>
                <w:rFonts w:hint="eastAsia" w:ascii="宋体" w:hAnsi="宋体" w:cs="宋体"/>
                <w:color w:val="000000"/>
                <w:kern w:val="0"/>
                <w:sz w:val="16"/>
                <w:szCs w:val="16"/>
                <w:lang w:eastAsia="zh-CN"/>
              </w:rPr>
              <w:t>）</w:t>
            </w:r>
          </w:p>
        </w:tc>
      </w:tr>
      <w:tr>
        <w:tblPrEx>
          <w:tblCellMar>
            <w:top w:w="0" w:type="dxa"/>
            <w:left w:w="108" w:type="dxa"/>
            <w:bottom w:w="0" w:type="dxa"/>
            <w:right w:w="108" w:type="dxa"/>
          </w:tblCellMar>
        </w:tblPrEx>
        <w:trPr>
          <w:trHeight w:val="1221" w:hRule="atLeast"/>
          <w:jc w:val="center"/>
        </w:trPr>
        <w:tc>
          <w:tcPr>
            <w:tcW w:w="898" w:type="dxa"/>
            <w:vMerge w:val="continue"/>
            <w:tcBorders>
              <w:left w:val="single" w:color="000000" w:sz="4" w:space="0"/>
              <w:bottom w:val="single" w:color="000000" w:sz="4" w:space="0"/>
              <w:right w:val="single" w:color="000000" w:sz="4" w:space="0"/>
            </w:tcBorders>
            <w:noWrap w:val="0"/>
            <w:vAlign w:val="center"/>
          </w:tcPr>
          <w:p>
            <w:pPr>
              <w:widowControl/>
              <w:jc w:val="center"/>
            </w:pPr>
          </w:p>
        </w:tc>
        <w:tc>
          <w:tcPr>
            <w:tcW w:w="456" w:type="dxa"/>
            <w:vMerge w:val="continue"/>
            <w:tcBorders>
              <w:left w:val="single" w:color="000000" w:sz="4" w:space="0"/>
              <w:bottom w:val="single" w:color="000000" w:sz="4" w:space="0"/>
              <w:right w:val="single" w:color="000000" w:sz="4" w:space="0"/>
            </w:tcBorders>
            <w:noWrap w:val="0"/>
            <w:vAlign w:val="center"/>
          </w:tcPr>
          <w:p>
            <w:pPr>
              <w:widowControl/>
              <w:jc w:val="center"/>
            </w:pPr>
          </w:p>
        </w:tc>
        <w:tc>
          <w:tcPr>
            <w:tcW w:w="966" w:type="dxa"/>
            <w:vMerge w:val="continue"/>
            <w:tcBorders>
              <w:left w:val="single" w:color="000000" w:sz="4" w:space="0"/>
              <w:right w:val="single" w:color="000000" w:sz="4" w:space="0"/>
            </w:tcBorders>
            <w:noWrap w:val="0"/>
            <w:vAlign w:val="top"/>
          </w:tcPr>
          <w:p>
            <w:pPr>
              <w:widowControl/>
              <w:jc w:val="cente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10</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val="en-US" w:eastAsia="zh-CN"/>
              </w:rPr>
            </w:pPr>
            <w:r>
              <w:rPr>
                <w:rFonts w:hint="eastAsia" w:ascii="宋体" w:hAnsi="宋体" w:cs="宋体"/>
                <w:color w:val="000000"/>
                <w:kern w:val="0"/>
                <w:sz w:val="16"/>
                <w:szCs w:val="16"/>
                <w:lang w:eastAsia="zh-CN"/>
              </w:rPr>
              <w:t>社会公众或</w:t>
            </w:r>
            <w:r>
              <w:rPr>
                <w:rFonts w:hint="eastAsia" w:ascii="宋体" w:hAnsi="宋体" w:cs="宋体"/>
                <w:color w:val="000000"/>
                <w:kern w:val="0"/>
                <w:sz w:val="16"/>
                <w:szCs w:val="16"/>
              </w:rPr>
              <w:t>服务对象满意度</w:t>
            </w:r>
          </w:p>
        </w:tc>
        <w:tc>
          <w:tcPr>
            <w:tcW w:w="331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群众满意度</w:t>
            </w:r>
          </w:p>
        </w:tc>
        <w:tc>
          <w:tcPr>
            <w:tcW w:w="23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000000"/>
                <w:kern w:val="0"/>
                <w:sz w:val="16"/>
                <w:szCs w:val="16"/>
                <w:lang w:val="en-US" w:eastAsia="zh-CN"/>
              </w:rPr>
            </w:pPr>
            <w:r>
              <w:rPr>
                <w:rFonts w:hint="eastAsia" w:ascii="宋体" w:hAnsi="宋体" w:cs="宋体"/>
                <w:color w:val="000000"/>
                <w:kern w:val="0"/>
                <w:sz w:val="16"/>
                <w:szCs w:val="16"/>
              </w:rPr>
              <w:t>服务对象满意度指标得分根据年初设定的满意度目标实现程度测算</w:t>
            </w:r>
          </w:p>
        </w:tc>
      </w:tr>
      <w:tr>
        <w:tblPrEx>
          <w:tblCellMar>
            <w:top w:w="0" w:type="dxa"/>
            <w:left w:w="108" w:type="dxa"/>
            <w:bottom w:w="0" w:type="dxa"/>
            <w:right w:w="108" w:type="dxa"/>
          </w:tblCellMar>
        </w:tblPrEx>
        <w:trPr>
          <w:trHeight w:val="844" w:hRule="atLeast"/>
          <w:jc w:val="center"/>
        </w:trPr>
        <w:tc>
          <w:tcPr>
            <w:tcW w:w="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hint="eastAsia" w:ascii="宋体" w:hAnsi="宋体" w:cs="宋体"/>
                <w:color w:val="000000"/>
                <w:kern w:val="0"/>
                <w:sz w:val="16"/>
                <w:szCs w:val="16"/>
              </w:rPr>
              <w:t>总分</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olor w:val="000000"/>
                <w:kern w:val="0"/>
                <w:sz w:val="16"/>
                <w:szCs w:val="16"/>
              </w:rPr>
            </w:pPr>
            <w:r>
              <w:rPr>
                <w:rFonts w:ascii="宋体" w:hAnsi="宋体" w:cs="宋体"/>
                <w:color w:val="000000"/>
                <w:kern w:val="0"/>
                <w:sz w:val="16"/>
                <w:szCs w:val="16"/>
              </w:rPr>
              <w:t>100</w:t>
            </w:r>
          </w:p>
        </w:tc>
        <w:tc>
          <w:tcPr>
            <w:tcW w:w="966"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000000"/>
                <w:kern w:val="0"/>
                <w:sz w:val="16"/>
                <w:szCs w:val="16"/>
              </w:rPr>
            </w:pP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eastAsia="宋体"/>
                <w:color w:val="000000"/>
                <w:kern w:val="0"/>
                <w:sz w:val="16"/>
                <w:szCs w:val="16"/>
                <w:lang w:val="en-US" w:eastAsia="zh-CN"/>
              </w:rPr>
            </w:pPr>
            <w:r>
              <w:rPr>
                <w:rFonts w:hint="eastAsia" w:ascii="宋体" w:hAnsi="宋体"/>
                <w:color w:val="000000"/>
                <w:kern w:val="0"/>
                <w:sz w:val="16"/>
                <w:szCs w:val="16"/>
                <w:lang w:val="en-US" w:eastAsia="zh-CN"/>
              </w:rPr>
              <w:t>100</w:t>
            </w:r>
          </w:p>
        </w:tc>
        <w:tc>
          <w:tcPr>
            <w:tcW w:w="937"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ascii="宋体" w:hAnsi="宋体"/>
                <w:color w:val="000000"/>
                <w:kern w:val="0"/>
                <w:sz w:val="16"/>
                <w:szCs w:val="16"/>
              </w:rPr>
            </w:pPr>
          </w:p>
        </w:tc>
        <w:tc>
          <w:tcPr>
            <w:tcW w:w="3316" w:type="dxa"/>
            <w:tcBorders>
              <w:top w:val="single" w:color="000000" w:sz="4" w:space="0"/>
              <w:left w:val="single" w:color="000000" w:sz="4" w:space="0"/>
              <w:bottom w:val="single" w:color="000000" w:sz="4" w:space="0"/>
              <w:right w:val="single" w:color="000000" w:sz="4" w:space="0"/>
            </w:tcBorders>
            <w:noWrap w:val="0"/>
            <w:vAlign w:val="top"/>
          </w:tcPr>
          <w:p>
            <w:pPr>
              <w:widowControl/>
              <w:jc w:val="left"/>
              <w:rPr>
                <w:rFonts w:ascii="宋体" w:hAnsi="宋体"/>
                <w:color w:val="000000"/>
                <w:kern w:val="0"/>
                <w:sz w:val="16"/>
                <w:szCs w:val="16"/>
              </w:rPr>
            </w:pPr>
          </w:p>
        </w:tc>
        <w:tc>
          <w:tcPr>
            <w:tcW w:w="2390" w:type="dxa"/>
            <w:tcBorders>
              <w:top w:val="single" w:color="000000" w:sz="4" w:space="0"/>
              <w:left w:val="single" w:color="000000" w:sz="4" w:space="0"/>
              <w:bottom w:val="single" w:color="000000" w:sz="4" w:space="0"/>
              <w:right w:val="single" w:color="000000" w:sz="4" w:space="0"/>
            </w:tcBorders>
            <w:noWrap w:val="0"/>
            <w:vAlign w:val="top"/>
          </w:tcPr>
          <w:p>
            <w:pPr>
              <w:widowControl/>
              <w:jc w:val="left"/>
              <w:rPr>
                <w:rFonts w:ascii="宋体" w:hAnsi="宋体"/>
                <w:color w:val="000000"/>
                <w:kern w:val="0"/>
                <w:sz w:val="16"/>
                <w:szCs w:val="16"/>
              </w:rPr>
            </w:pPr>
          </w:p>
        </w:tc>
      </w:tr>
    </w:tbl>
    <w:p>
      <w:pPr>
        <w:sectPr>
          <w:headerReference r:id="rId15" w:type="default"/>
          <w:footerReference r:id="rId16" w:type="default"/>
          <w:footnotePr>
            <w:numFmt w:val="decimal"/>
          </w:footnotePr>
          <w:pgSz w:w="11900" w:h="16840"/>
          <w:pgMar w:top="2103" w:right="1159" w:bottom="2103" w:left="1308" w:header="1675" w:footer="1675" w:gutter="0"/>
          <w:pgNumType w:start="55"/>
          <w:cols w:space="720" w:num="1"/>
          <w:rtlGutter w:val="0"/>
          <w:docGrid w:linePitch="360" w:charSpace="0"/>
        </w:sectPr>
      </w:pPr>
    </w:p>
    <w:p>
      <w:pPr>
        <w:rPr>
          <w:b/>
          <w:sz w:val="28"/>
          <w:szCs w:val="28"/>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pPr>
        <w:jc w:val="center"/>
        <w:rPr>
          <w:rFonts w:hint="eastAsia"/>
          <w:b/>
          <w:sz w:val="48"/>
          <w:szCs w:val="48"/>
        </w:rPr>
      </w:pPr>
      <w:r>
        <w:rPr>
          <w:rFonts w:hint="eastAsia"/>
          <w:b/>
          <w:sz w:val="48"/>
          <w:szCs w:val="48"/>
          <w:lang w:val="en-US" w:eastAsia="zh-CN"/>
        </w:rPr>
        <w:t>行政审批服务工作经费</w:t>
      </w:r>
      <w:r>
        <w:rPr>
          <w:rFonts w:hint="eastAsia"/>
          <w:b/>
          <w:sz w:val="48"/>
          <w:szCs w:val="48"/>
        </w:rPr>
        <w:t>绩效自评报告</w:t>
      </w:r>
    </w:p>
    <w:tbl>
      <w:tblPr>
        <w:tblStyle w:val="6"/>
        <w:tblpPr w:leftFromText="180" w:rightFromText="180" w:vertAnchor="text" w:horzAnchor="page" w:tblpXSpec="center" w:tblpY="623"/>
        <w:tblOverlap w:val="never"/>
        <w:tblW w:w="157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3"/>
        <w:gridCol w:w="849"/>
        <w:gridCol w:w="236"/>
        <w:gridCol w:w="15"/>
        <w:gridCol w:w="599"/>
        <w:gridCol w:w="46"/>
        <w:gridCol w:w="495"/>
        <w:gridCol w:w="90"/>
        <w:gridCol w:w="858"/>
        <w:gridCol w:w="1252"/>
        <w:gridCol w:w="140"/>
        <w:gridCol w:w="250"/>
        <w:gridCol w:w="329"/>
        <w:gridCol w:w="111"/>
        <w:gridCol w:w="597"/>
        <w:gridCol w:w="493"/>
        <w:gridCol w:w="230"/>
        <w:gridCol w:w="540"/>
        <w:gridCol w:w="840"/>
        <w:gridCol w:w="240"/>
        <w:gridCol w:w="400"/>
        <w:gridCol w:w="60"/>
        <w:gridCol w:w="440"/>
        <w:gridCol w:w="223"/>
        <w:gridCol w:w="159"/>
        <w:gridCol w:w="850"/>
        <w:gridCol w:w="720"/>
        <w:gridCol w:w="1028"/>
        <w:gridCol w:w="66"/>
        <w:gridCol w:w="794"/>
        <w:gridCol w:w="49"/>
        <w:gridCol w:w="521"/>
        <w:gridCol w:w="220"/>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微软雅黑" w:hAnsi="微软雅黑" w:eastAsia="微软雅黑"/>
                <w:szCs w:val="21"/>
              </w:rPr>
            </w:pPr>
            <w:r>
              <w:rPr>
                <w:rFonts w:hint="eastAsia" w:ascii="微软雅黑" w:hAnsi="微软雅黑" w:eastAsia="微软雅黑" w:cs="Microsoft YaHei UI"/>
                <w:color w:val="000000"/>
                <w:kern w:val="0"/>
                <w:szCs w:val="21"/>
              </w:rPr>
              <w:t>单位基本</w:t>
            </w:r>
            <w:r>
              <w:rPr>
                <w:rFonts w:ascii="微软雅黑" w:hAnsi="微软雅黑" w:eastAsia="微软雅黑" w:cs="Microsoft YaHei UI"/>
                <w:color w:val="000000"/>
                <w:kern w:val="0"/>
                <w:szCs w:val="21"/>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单位代码</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128001</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单位名称</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[128001]淄博市张店区行政审批服务局</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单位性质</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行政单位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经费类别</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cs="Arial"/>
                <w:color w:val="000000"/>
                <w:szCs w:val="21"/>
                <w:shd w:val="clear" w:color="auto" w:fill="FDFDFD"/>
              </w:rPr>
              <w:t>全额单位</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cs="Arial"/>
                <w:color w:val="000000"/>
                <w:szCs w:val="21"/>
                <w:shd w:val="clear" w:color="auto" w:fill="FDFDFD"/>
              </w:rPr>
              <w:t>单位级别</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cs="Arial"/>
                <w:color w:val="000000"/>
                <w:szCs w:val="21"/>
                <w:shd w:val="clear" w:color="auto" w:fill="FDFDFD"/>
              </w:rPr>
              <w:t>正科级</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地址</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张店区新村西路220号张店市民中心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lang w:val="en-US" w:eastAsia="zh-CN"/>
              </w:rPr>
              <w:t>单位</w:t>
            </w:r>
            <w:r>
              <w:rPr>
                <w:rFonts w:hint="eastAsia" w:ascii="微软雅黑" w:hAnsi="微软雅黑" w:eastAsia="微软雅黑"/>
                <w:szCs w:val="21"/>
              </w:rPr>
              <w:t>负责人</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cs="Arial"/>
                <w:color w:val="000000"/>
                <w:szCs w:val="21"/>
                <w:shd w:val="clear" w:color="auto" w:fill="FDFDFD"/>
              </w:rPr>
              <w:t>李辉</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联系电话</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13806439000</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职务</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党组书记局长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财务负责人</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szCs w:val="21"/>
              </w:rPr>
              <w:t>魏丽艳</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联系电话</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szCs w:val="21"/>
              </w:rPr>
              <w:t>13969330095</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职务</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党组成员政务服务管理办公室副主任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szCs w:val="21"/>
              </w:rPr>
              <w:t>绩效负责人</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szCs w:val="21"/>
              </w:rPr>
              <w:t>魏丽艳</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szCs w:val="21"/>
              </w:rPr>
              <w:t>联系电话</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Arial"/>
                <w:color w:val="000000"/>
                <w:szCs w:val="21"/>
                <w:shd w:val="clear" w:color="auto" w:fill="FDFDFD"/>
              </w:rPr>
            </w:pPr>
            <w:r>
              <w:rPr>
                <w:rFonts w:hint="eastAsia" w:ascii="微软雅黑" w:hAnsi="微软雅黑" w:eastAsia="微软雅黑"/>
                <w:szCs w:val="21"/>
              </w:rPr>
              <w:t>13969330095</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职务</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党组成员政务服务管理办公室副主任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rPr>
              <w:t>单位职能概述</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rPr>
              <w:t>主要职能
1. 负责建立和完善行政审批工作机制，研究行政审批过程中遇到的各类问题并提出解决的意见建议，为区委、区政府决策 提供参考。 
2. 负责审批职责范围内的行政许可事项和相关政务服务事项的办理，并对审批行为承担相应的法律责任。 
3. 负责规范行政审批服务行为，制定和优化行政审批服务流程，创新行政审批服务方式，健全审批与监管有效协调沟通和 信息双向反馈机制，提高行政审批效能。 
4. 负责全区政务服务管理工作，建立和完善相应工作机制，负责全区政务服务体系规划和建设。 
5. 负责管理区政务服务中心，对进驻区政务服务中心的各 部门单位审批服务进行规范、监督和考核，对区级部门单位业务 大厅及工作人员进行指导、监督。 
6. 负责受理对进驻区政务服务中心的政务服务事项办理情况和相关工作的投诉举报。 
7. 负责制定行政审批服务信息化建设的有关制度，负责研 究运用信息化手段推进政务服务网上运行等工作，推进区级政务服务事项上网运行并进行电子监察。 
8. 指导各镇（街道）便民服务中心和村（社区）便民服务点工作。 
9. 负责本部门职责范围的安全生产监督管理工作。 
10. 负责本部门和所属单位党的建设工作。 
11. 完成区委、区政府交办的其他任务。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微软雅黑" w:hAnsi="微软雅黑" w:eastAsia="微软雅黑"/>
                <w:szCs w:val="21"/>
              </w:rPr>
            </w:pPr>
            <w:r>
              <w:rPr>
                <w:rFonts w:hint="eastAsia" w:ascii="微软雅黑" w:hAnsi="微软雅黑" w:eastAsia="微软雅黑"/>
                <w:szCs w:val="21"/>
              </w:rPr>
              <w:t>项目基本信息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项目名称</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行政审批服务工作经费</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rPr>
              <w:t>立项年度</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rPr>
              <w:t>2020</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cs="Arial"/>
                <w:color w:val="000000"/>
                <w:szCs w:val="21"/>
                <w:shd w:val="clear" w:color="auto" w:fill="FDFDFD"/>
                <w:lang w:val="en-US" w:eastAsia="zh-CN"/>
              </w:rPr>
              <w:t>业务年度</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开始时间</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lang w:val="en-US" w:eastAsia="zh-CN"/>
              </w:rPr>
              <w:t>2021-01-01</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结束时间</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2021-12-31</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cs="Arial"/>
                <w:color w:val="000000"/>
                <w:szCs w:val="21"/>
                <w:shd w:val="clear" w:color="auto" w:fill="FDFDFD"/>
                <w:lang w:val="en-US" w:eastAsia="zh-CN"/>
              </w:rPr>
              <w:t>项目类别</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rPr>
            </w:pPr>
            <w:r>
              <w:rPr>
                <w:rFonts w:hint="eastAsia" w:ascii="微软雅黑" w:hAnsi="微软雅黑" w:eastAsia="微软雅黑" w:cs="Arial"/>
                <w:color w:val="000000"/>
                <w:szCs w:val="21"/>
                <w:shd w:val="clear" w:color="auto" w:fill="FDFDFD"/>
                <w:lang w:val="en-US" w:eastAsia="zh-CN"/>
              </w:rPr>
              <w:t>其他综合类项目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Arial"/>
                <w:color w:val="000000"/>
                <w:szCs w:val="21"/>
                <w:shd w:val="clear" w:color="auto" w:fill="FDFDFD"/>
                <w:lang w:val="en-US" w:eastAsia="zh-CN"/>
              </w:rPr>
            </w:pPr>
            <w:r>
              <w:rPr>
                <w:rFonts w:hint="eastAsia" w:ascii="微软雅黑" w:hAnsi="微软雅黑" w:eastAsia="微软雅黑"/>
                <w:szCs w:val="21"/>
                <w:lang w:val="en-US" w:eastAsia="zh-CN"/>
              </w:rPr>
              <w:t>预算分类</w:t>
            </w:r>
          </w:p>
        </w:tc>
        <w:tc>
          <w:tcPr>
            <w:tcW w:w="373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lang w:val="en-US" w:eastAsia="zh-CN"/>
              </w:rPr>
              <w:t>部门预算</w:t>
            </w:r>
          </w:p>
        </w:tc>
        <w:tc>
          <w:tcPr>
            <w:tcW w:w="128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cs="Arial"/>
                <w:color w:val="000000"/>
                <w:szCs w:val="21"/>
                <w:shd w:val="clear" w:color="auto" w:fill="FDFDFD"/>
                <w:lang w:val="en-US" w:eastAsia="zh-CN"/>
              </w:rPr>
              <w:t>归口处室</w:t>
            </w:r>
          </w:p>
        </w:tc>
        <w:tc>
          <w:tcPr>
            <w:tcW w:w="3466"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行政政法科</w:t>
            </w:r>
          </w:p>
        </w:tc>
        <w:tc>
          <w:tcPr>
            <w:tcW w:w="1729"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szCs w:val="21"/>
              </w:rPr>
              <w:t>是否为政府采购</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szCs w:val="21"/>
                <w:lang w:val="en-US" w:eastAsia="zh-CN"/>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Arial"/>
                <w:color w:val="000000"/>
                <w:szCs w:val="21"/>
                <w:shd w:val="clear" w:color="auto" w:fill="FDFDFD"/>
                <w:lang w:val="en-US" w:eastAsia="zh-CN"/>
              </w:rPr>
            </w:pPr>
            <w:r>
              <w:rPr>
                <w:rFonts w:hint="eastAsia" w:ascii="微软雅黑" w:hAnsi="微软雅黑" w:eastAsia="微软雅黑" w:cs="Arial"/>
                <w:color w:val="000000"/>
                <w:szCs w:val="21"/>
                <w:shd w:val="clear" w:color="auto" w:fill="FDFDFD"/>
                <w:lang w:val="en-US" w:eastAsia="zh-CN"/>
              </w:rPr>
              <w:t>功能科目</w:t>
            </w:r>
          </w:p>
        </w:tc>
        <w:tc>
          <w:tcPr>
            <w:tcW w:w="14225" w:type="dxa"/>
            <w:gridSpan w:val="3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[2010306]政务公开审批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Arial"/>
                <w:color w:val="000000"/>
                <w:szCs w:val="21"/>
                <w:shd w:val="clear" w:color="auto" w:fill="FDFDFD"/>
                <w:lang w:val="en-US" w:eastAsia="zh-CN"/>
              </w:rPr>
            </w:pPr>
            <w:r>
              <w:rPr>
                <w:rFonts w:hint="eastAsia" w:ascii="微软雅黑" w:hAnsi="微软雅黑" w:eastAsia="微软雅黑" w:cs="Arial"/>
                <w:color w:val="000000"/>
                <w:szCs w:val="21"/>
                <w:shd w:val="clear" w:color="auto" w:fill="FDFDFD"/>
                <w:lang w:val="en-US" w:eastAsia="zh-CN"/>
              </w:rPr>
              <w:t>项目简介</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cs="Arial"/>
                <w:color w:val="000000"/>
                <w:szCs w:val="21"/>
                <w:shd w:val="clear" w:color="auto" w:fill="FDFDFD"/>
                <w:lang w:val="en-US" w:eastAsia="zh-CN"/>
              </w:rPr>
              <w:t>为保障张店市民中心正常运行所产生的聘用人员工资保险、工作人员绩效补助，故编制此项目。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Arial"/>
                <w:color w:val="000000"/>
                <w:szCs w:val="21"/>
                <w:shd w:val="clear" w:color="auto" w:fill="FDFDFD"/>
                <w:lang w:val="en-US" w:eastAsia="zh-CN"/>
              </w:rPr>
            </w:pPr>
            <w:r>
              <w:rPr>
                <w:rFonts w:hint="eastAsia" w:ascii="微软雅黑" w:hAnsi="微软雅黑" w:eastAsia="微软雅黑" w:cs="Arial"/>
                <w:color w:val="000000"/>
                <w:szCs w:val="21"/>
                <w:shd w:val="clear" w:color="auto" w:fill="FDFDFD"/>
                <w:lang w:val="en-US" w:eastAsia="zh-CN"/>
              </w:rPr>
              <w:t>项目测算依据</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cs="Arial"/>
                <w:color w:val="000000"/>
                <w:szCs w:val="21"/>
                <w:shd w:val="clear" w:color="auto" w:fill="FDFDFD"/>
                <w:lang w:val="en-US" w:eastAsia="zh-CN"/>
              </w:rPr>
              <w:t>1.聘用人员工资保险：88人*2975.07元/月（工资2000元/人，保险935.07，代理费40元/人）*12个月=314.17万元；
2.工作人员绩效补助241人（大厅工作人员233，镇办工作人员8）*500元/月*12个月=144.6万元；以上费用合计458.77万元。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Arial"/>
                <w:color w:val="000000"/>
                <w:szCs w:val="21"/>
                <w:shd w:val="clear" w:color="auto" w:fill="FDFDFD"/>
              </w:rPr>
            </w:pPr>
            <w:r>
              <w:rPr>
                <w:rFonts w:hint="eastAsia" w:ascii="微软雅黑" w:hAnsi="微软雅黑" w:eastAsia="微软雅黑" w:cs="Arial"/>
                <w:color w:val="000000"/>
                <w:szCs w:val="21"/>
                <w:shd w:val="clear" w:color="auto" w:fill="FDFDFD"/>
                <w:lang w:val="en-US" w:eastAsia="zh-CN"/>
              </w:rPr>
              <w:t>计划</w:t>
            </w:r>
            <w:r>
              <w:rPr>
                <w:rFonts w:hint="eastAsia" w:ascii="微软雅黑" w:hAnsi="微软雅黑" w:eastAsia="微软雅黑" w:cs="Arial"/>
                <w:color w:val="000000"/>
                <w:szCs w:val="21"/>
                <w:shd w:val="clear" w:color="auto" w:fill="FDFDFD"/>
              </w:rPr>
              <w:t>实施时间</w:t>
            </w:r>
          </w:p>
        </w:tc>
        <w:tc>
          <w:tcPr>
            <w:tcW w:w="5741" w:type="dxa"/>
            <w:gridSpan w:val="1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2021-01-01</w:t>
            </w:r>
          </w:p>
        </w:tc>
        <w:tc>
          <w:tcPr>
            <w:tcW w:w="162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Arial"/>
                <w:color w:val="000000"/>
                <w:szCs w:val="21"/>
                <w:shd w:val="clear" w:color="auto" w:fill="FDFDFD"/>
              </w:rPr>
            </w:pPr>
            <w:r>
              <w:rPr>
                <w:rFonts w:hint="eastAsia" w:ascii="微软雅黑" w:hAnsi="微软雅黑" w:eastAsia="微软雅黑" w:cs="Arial"/>
                <w:color w:val="000000"/>
                <w:szCs w:val="21"/>
                <w:shd w:val="clear" w:color="auto" w:fill="FDFDFD"/>
                <w:lang w:val="en-US" w:eastAsia="zh-CN"/>
              </w:rPr>
              <w:t>计划</w:t>
            </w:r>
            <w:r>
              <w:rPr>
                <w:rFonts w:hint="eastAsia" w:ascii="微软雅黑" w:hAnsi="微软雅黑" w:eastAsia="微软雅黑" w:cs="Arial"/>
                <w:color w:val="000000"/>
                <w:szCs w:val="21"/>
                <w:shd w:val="clear" w:color="auto" w:fill="FDFDFD"/>
              </w:rPr>
              <w:t>完成时间</w:t>
            </w:r>
          </w:p>
        </w:tc>
        <w:tc>
          <w:tcPr>
            <w:tcW w:w="6864"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2021-12-31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Arial"/>
                <w:color w:val="000000"/>
                <w:szCs w:val="21"/>
                <w:shd w:val="clear" w:color="auto" w:fill="FDFDFD"/>
                <w:lang w:val="en-US" w:eastAsia="zh-CN"/>
              </w:rPr>
            </w:pPr>
            <w:r>
              <w:rPr>
                <w:rFonts w:hint="eastAsia" w:ascii="微软雅黑" w:hAnsi="微软雅黑" w:eastAsia="微软雅黑" w:cs="Arial"/>
                <w:color w:val="000000"/>
                <w:szCs w:val="21"/>
                <w:shd w:val="clear" w:color="auto" w:fill="FDFDFD"/>
                <w:lang w:val="en-US" w:eastAsia="zh-CN"/>
              </w:rPr>
              <w:t>实际实施时间</w:t>
            </w:r>
          </w:p>
        </w:tc>
        <w:tc>
          <w:tcPr>
            <w:tcW w:w="5741" w:type="dxa"/>
            <w:gridSpan w:val="1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Arial"/>
                <w:color w:val="000000"/>
                <w:szCs w:val="21"/>
                <w:shd w:val="clear" w:color="auto" w:fill="FDFDFD"/>
              </w:rPr>
            </w:pPr>
            <w:r>
              <w:rPr>
                <w:rFonts w:hint="eastAsia" w:ascii="微软雅黑" w:hAnsi="微软雅黑" w:eastAsia="微软雅黑"/>
                <w:szCs w:val="21"/>
              </w:rPr>
              <w:t>2021-01-01</w:t>
            </w:r>
          </w:p>
        </w:tc>
        <w:tc>
          <w:tcPr>
            <w:tcW w:w="162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Arial"/>
                <w:color w:val="000000"/>
                <w:szCs w:val="21"/>
                <w:shd w:val="clear" w:color="auto" w:fill="FDFDFD"/>
                <w:lang w:val="en-US" w:eastAsia="zh-CN"/>
              </w:rPr>
            </w:pPr>
            <w:r>
              <w:rPr>
                <w:rFonts w:hint="eastAsia" w:ascii="微软雅黑" w:hAnsi="微软雅黑" w:eastAsia="微软雅黑" w:cs="Arial"/>
                <w:color w:val="000000"/>
                <w:szCs w:val="21"/>
                <w:shd w:val="clear" w:color="auto" w:fill="FDFDFD"/>
                <w:lang w:val="en-US" w:eastAsia="zh-CN"/>
              </w:rPr>
              <w:t>实际完成时间</w:t>
            </w:r>
          </w:p>
        </w:tc>
        <w:tc>
          <w:tcPr>
            <w:tcW w:w="6864"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rPr>
              <w:t>2021-12-31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Arial"/>
                <w:color w:val="000000"/>
                <w:szCs w:val="21"/>
                <w:shd w:val="clear" w:color="auto" w:fill="FDFDFD"/>
              </w:rPr>
            </w:pPr>
            <w:r>
              <w:rPr>
                <w:rFonts w:hint="eastAsia" w:ascii="微软雅黑" w:hAnsi="微软雅黑" w:eastAsia="微软雅黑" w:cs="Arial"/>
                <w:color w:val="000000"/>
                <w:szCs w:val="21"/>
                <w:shd w:val="clear" w:color="auto" w:fill="FDFDFD"/>
              </w:rPr>
              <w:t>评价开始时间</w:t>
            </w:r>
          </w:p>
        </w:tc>
        <w:tc>
          <w:tcPr>
            <w:tcW w:w="5741" w:type="dxa"/>
            <w:gridSpan w:val="1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Arial"/>
                <w:color w:val="000000"/>
                <w:szCs w:val="21"/>
                <w:shd w:val="clear" w:color="auto" w:fill="FDFDFD"/>
              </w:rPr>
            </w:pPr>
            <w:r>
              <w:rPr>
                <w:rFonts w:hint="eastAsia" w:ascii="微软雅黑" w:hAnsi="微软雅黑" w:eastAsia="微软雅黑"/>
                <w:szCs w:val="21"/>
              </w:rPr>
              <w:t>2022-04-01</w:t>
            </w:r>
          </w:p>
        </w:tc>
        <w:tc>
          <w:tcPr>
            <w:tcW w:w="162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Arial"/>
                <w:color w:val="000000"/>
                <w:szCs w:val="21"/>
                <w:shd w:val="clear" w:color="auto" w:fill="FDFDFD"/>
              </w:rPr>
            </w:pPr>
            <w:r>
              <w:rPr>
                <w:rFonts w:hint="eastAsia" w:ascii="微软雅黑" w:hAnsi="微软雅黑" w:eastAsia="微软雅黑" w:cs="Arial"/>
                <w:color w:val="000000"/>
                <w:szCs w:val="21"/>
                <w:shd w:val="clear" w:color="auto" w:fill="FDFDFD"/>
              </w:rPr>
              <w:t>评价结束时间</w:t>
            </w:r>
          </w:p>
        </w:tc>
        <w:tc>
          <w:tcPr>
            <w:tcW w:w="6864"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szCs w:val="21"/>
              </w:rPr>
            </w:pPr>
            <w:r>
              <w:rPr>
                <w:rFonts w:hint="eastAsia" w:ascii="微软雅黑" w:hAnsi="微软雅黑" w:eastAsia="微软雅黑"/>
                <w:szCs w:val="21"/>
              </w:rPr>
              <w:t>2022-04-30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微软雅黑" w:hAnsi="微软雅黑" w:eastAsia="微软雅黑"/>
                <w:szCs w:val="21"/>
              </w:rPr>
            </w:pPr>
            <w:r>
              <w:rPr>
                <w:rFonts w:hint="eastAsia" w:ascii="微软雅黑" w:hAnsi="微软雅黑" w:eastAsia="微软雅黑"/>
                <w:szCs w:val="21"/>
              </w:rPr>
              <w:t>项目实施情况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Arial"/>
                <w:color w:val="000000"/>
                <w:szCs w:val="21"/>
                <w:shd w:val="clear" w:color="auto" w:fill="FDFDFD"/>
                <w:lang w:val="en-US" w:eastAsia="zh-CN"/>
              </w:rPr>
            </w:pPr>
            <w:r>
              <w:rPr>
                <w:rFonts w:hint="eastAsia" w:ascii="微软雅黑" w:hAnsi="微软雅黑" w:eastAsia="微软雅黑" w:cs="Arial"/>
                <w:color w:val="000000"/>
                <w:szCs w:val="21"/>
                <w:shd w:val="clear" w:color="auto" w:fill="FDFDFD"/>
                <w:lang w:val="en-US" w:eastAsia="zh-CN"/>
              </w:rPr>
              <w:t>实施具体内容</w:t>
            </w:r>
          </w:p>
        </w:tc>
        <w:tc>
          <w:tcPr>
            <w:tcW w:w="14225" w:type="dxa"/>
            <w:gridSpan w:val="3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完善行政审批机制，保障张店市民中心正常运行。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实施机构部门</w:t>
            </w:r>
          </w:p>
        </w:tc>
        <w:tc>
          <w:tcPr>
            <w:tcW w:w="5741" w:type="dxa"/>
            <w:gridSpan w:val="1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办公室</w:t>
            </w:r>
          </w:p>
        </w:tc>
        <w:tc>
          <w:tcPr>
            <w:tcW w:w="162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实施负责人</w:t>
            </w:r>
          </w:p>
        </w:tc>
        <w:tc>
          <w:tcPr>
            <w:tcW w:w="6864"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魏丽艳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实施开始时间</w:t>
            </w:r>
          </w:p>
        </w:tc>
        <w:tc>
          <w:tcPr>
            <w:tcW w:w="5741" w:type="dxa"/>
            <w:gridSpan w:val="1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2021-01-01</w:t>
            </w:r>
          </w:p>
        </w:tc>
        <w:tc>
          <w:tcPr>
            <w:tcW w:w="162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实施结束时间</w:t>
            </w:r>
          </w:p>
        </w:tc>
        <w:tc>
          <w:tcPr>
            <w:tcW w:w="6864"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2021-12-31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项目成果</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rPr>
              <w:t>保障行政审批工作人员工资、保险费用，保障政务服务正常运行，提升行政审批运行效能，提升政务服务工作效率。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项目存在问题</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项目资金来源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资金来源</w:t>
            </w:r>
          </w:p>
        </w:tc>
        <w:tc>
          <w:tcPr>
            <w:tcW w:w="3942"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计划安排</w:t>
            </w:r>
          </w:p>
        </w:tc>
        <w:tc>
          <w:tcPr>
            <w:tcW w:w="3932"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实际安排</w:t>
            </w:r>
          </w:p>
        </w:tc>
        <w:tc>
          <w:tcPr>
            <w:tcW w:w="4012"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实际支出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总金额</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当年金额</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总金额</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当年金额</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总金额</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当年金额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合计</w:t>
            </w: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458.77</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458.77</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一、本级资金</w:t>
            </w: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458.77</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458.77</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1、当年预算</w:t>
            </w: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458.77</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458.77</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2、以前年度结转</w:t>
            </w: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3、当年追加</w:t>
            </w: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二、其他级次财政资金</w:t>
            </w: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43" w:type="dxa"/>
            <w:gridSpan w:val="10"/>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三、其他来源资金</w:t>
            </w:r>
          </w:p>
        </w:tc>
        <w:tc>
          <w:tcPr>
            <w:tcW w:w="197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80"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5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937"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207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项目支出明细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0" w:type="dxa"/>
            <w:gridSpan w:val="7"/>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支出内容</w:t>
            </w:r>
          </w:p>
        </w:tc>
        <w:tc>
          <w:tcPr>
            <w:tcW w:w="7747" w:type="dxa"/>
            <w:gridSpan w:val="1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微软雅黑" w:hAnsi="微软雅黑" w:eastAsia="微软雅黑"/>
                <w:szCs w:val="21"/>
              </w:rPr>
            </w:pPr>
            <w:r>
              <w:rPr>
                <w:rFonts w:hint="eastAsia" w:ascii="微软雅黑" w:hAnsi="微软雅黑" w:eastAsia="微软雅黑"/>
                <w:szCs w:val="21"/>
              </w:rPr>
              <w:t>量化支出</w:t>
            </w:r>
          </w:p>
        </w:tc>
        <w:tc>
          <w:tcPr>
            <w:tcW w:w="4028"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非量化支出</w:t>
            </w:r>
          </w:p>
        </w:tc>
        <w:tc>
          <w:tcPr>
            <w:tcW w:w="1554" w:type="dxa"/>
            <w:gridSpan w:val="2"/>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0" w:type="dxa"/>
            <w:gridSpan w:val="7"/>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p>
        </w:tc>
        <w:tc>
          <w:tcPr>
            <w:tcW w:w="308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明细内容</w:t>
            </w:r>
          </w:p>
        </w:tc>
        <w:tc>
          <w:tcPr>
            <w:tcW w:w="1530"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数量</w:t>
            </w:r>
          </w:p>
        </w:tc>
        <w:tc>
          <w:tcPr>
            <w:tcW w:w="161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单价</w:t>
            </w:r>
          </w:p>
        </w:tc>
        <w:tc>
          <w:tcPr>
            <w:tcW w:w="1522"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支出金额</w:t>
            </w:r>
          </w:p>
        </w:tc>
        <w:tc>
          <w:tcPr>
            <w:tcW w:w="259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明细内容</w:t>
            </w:r>
          </w:p>
        </w:tc>
        <w:tc>
          <w:tcPr>
            <w:tcW w:w="1430"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支出金额</w:t>
            </w:r>
          </w:p>
        </w:tc>
        <w:tc>
          <w:tcPr>
            <w:tcW w:w="1554" w:type="dxa"/>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0"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[30226]劳务费</w:t>
            </w:r>
          </w:p>
        </w:tc>
        <w:tc>
          <w:tcPr>
            <w:tcW w:w="308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p>
        </w:tc>
        <w:tc>
          <w:tcPr>
            <w:tcW w:w="1530"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61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1522"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0</w:t>
            </w:r>
          </w:p>
        </w:tc>
        <w:tc>
          <w:tcPr>
            <w:tcW w:w="259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rPr>
              <w:t>行政审批服务工作经费</w:t>
            </w:r>
          </w:p>
        </w:tc>
        <w:tc>
          <w:tcPr>
            <w:tcW w:w="1430"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1554"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right"/>
              <w:textAlignment w:val="auto"/>
              <w:rPr>
                <w:rFonts w:hint="eastAsia" w:ascii="微软雅黑" w:hAnsi="微软雅黑" w:eastAsia="微软雅黑"/>
                <w:szCs w:val="21"/>
              </w:rPr>
            </w:pPr>
            <w:r>
              <w:rPr>
                <w:rFonts w:hint="eastAsia" w:ascii="微软雅黑" w:hAnsi="微软雅黑" w:eastAsia="微软雅黑"/>
                <w:szCs w:val="21"/>
              </w:rPr>
              <w:t>439.66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评价组织情况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评级目的</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lang w:val="en-US" w:eastAsia="zh-CN"/>
              </w:rPr>
              <w:t>全面实施预算绩效管理，建立科学、合理的项目支出绩效评价管理体系，提高财政资源配置效率和使用效益。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评价依据</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lang w:val="en-US" w:eastAsia="zh-CN"/>
              </w:rPr>
              <w:t>绩效评价以《中华人民共和国预算法》、《项目支出绩效评价管理办法》、（财预【2020】10号）等有关法律、法规、规定为依据。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评价方法</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lang w:val="en-US" w:eastAsia="zh-CN"/>
              </w:rPr>
              <w:t>成本效益分析法，是指将投入与产出、效益进行关联性分析的方法。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评价标准</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lang w:val="en-US" w:eastAsia="zh-CN"/>
              </w:rPr>
              <w:t>以预先制定的目标、计划、预算、定额等数据作为评价的标准。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评价实施过程</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rPr>
            </w:pPr>
            <w:r>
              <w:rPr>
                <w:rFonts w:hint="eastAsia" w:ascii="微软雅黑" w:hAnsi="微软雅黑" w:eastAsia="微软雅黑"/>
                <w:szCs w:val="21"/>
                <w:lang w:val="en-US" w:eastAsia="zh-CN"/>
              </w:rPr>
              <w:t>（一）确定绩效评价对象和范围；（二）下达绩效评价通知；（三）研究制订绩效评价工作方案；（四）收集绩效评价相关数据资料，并进行现场调研、座谈；（五）核实有关情况，分析形成初步结论；（六）与被评价部门（单位）交换意见；（七）综合分析并形成最终结论；（八）提交绩效评价报告；（九）建立绩效评价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目标完成情况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序号</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一级指标</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二级指标</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三级指标</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四级指标</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目标值</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完成值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1</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数量指标</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聘用人员数量</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241</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2</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时效指标</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按时发放工资</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按时</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按时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3</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质量指标</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保障人员工资</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4</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成本指标</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行政审批服务工作经费</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439.66</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439.66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5</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经济效益</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提高政府的公共管理效率和降低政府管理成本</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6</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社会效益</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提升行政审批运行效能，方便群众办事</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7</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可持续影响</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保障市民中心正常运行</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8</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可持续影响</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提升行政审批运行效能</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9</w:t>
            </w:r>
          </w:p>
        </w:tc>
        <w:tc>
          <w:tcPr>
            <w:tcW w:w="11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14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20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社会公众或服务对象满意度</w:t>
            </w:r>
          </w:p>
        </w:tc>
        <w:tc>
          <w:tcPr>
            <w:tcW w:w="4893" w:type="dxa"/>
            <w:gridSpan w:val="1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群众满意度</w:t>
            </w:r>
          </w:p>
        </w:tc>
        <w:tc>
          <w:tcPr>
            <w:tcW w:w="282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95</w:t>
            </w:r>
          </w:p>
        </w:tc>
        <w:tc>
          <w:tcPr>
            <w:tcW w:w="291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项目自评情况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lang w:val="en-US" w:eastAsia="zh-CN"/>
              </w:rPr>
              <w:t>序号</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一级指标</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二级指标</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三级指标</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四级指标</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目标值</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完成值</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分值</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得分</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1</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投入</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资金投入管理</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预算执行率</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预算资金执行率</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100</w:t>
            </w:r>
            <w:r>
              <w:rPr>
                <w:rFonts w:hint="eastAsia" w:ascii="微软雅黑" w:hAnsi="微软雅黑" w:eastAsia="微软雅黑"/>
                <w:szCs w:val="21"/>
                <w:lang w:val="en-US" w:eastAsia="zh-CN"/>
              </w:rPr>
              <w:t>%</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100.0</w:t>
            </w:r>
            <w:r>
              <w:rPr>
                <w:rFonts w:hint="eastAsia" w:ascii="微软雅黑" w:hAnsi="微软雅黑" w:eastAsia="微软雅黑"/>
                <w:szCs w:val="21"/>
                <w:lang w:val="en-US" w:eastAsia="zh-CN"/>
              </w:rPr>
              <w:t>%</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10</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10</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2</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数量指标</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聘用人员数量</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241</w:t>
            </w:r>
            <w:r>
              <w:rPr>
                <w:rFonts w:hint="eastAsia" w:ascii="微软雅黑" w:hAnsi="微软雅黑" w:eastAsia="微软雅黑"/>
                <w:szCs w:val="21"/>
                <w:lang w:val="en-US" w:eastAsia="zh-CN"/>
              </w:rPr>
              <w:t>人</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235</w:t>
            </w:r>
            <w:r>
              <w:rPr>
                <w:rFonts w:hint="eastAsia" w:ascii="微软雅黑" w:hAnsi="微软雅黑" w:eastAsia="微软雅黑"/>
                <w:szCs w:val="21"/>
                <w:lang w:val="en-US" w:eastAsia="zh-CN"/>
              </w:rPr>
              <w:t>人</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15</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14.63</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3</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时效指标</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按时发放工资</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按时</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按时</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10</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10</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按时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4</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质量指标</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保障人员工资</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是</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15</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15</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5</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产出</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项目产出</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成本指标</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行政审批服务工作经费</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439.66</w:t>
            </w:r>
            <w:r>
              <w:rPr>
                <w:rFonts w:hint="eastAsia" w:ascii="微软雅黑" w:hAnsi="微软雅黑" w:eastAsia="微软雅黑"/>
                <w:szCs w:val="21"/>
                <w:lang w:val="en-US" w:eastAsia="zh-CN"/>
              </w:rPr>
              <w:t>万元</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439.66</w:t>
            </w:r>
            <w:r>
              <w:rPr>
                <w:rFonts w:hint="eastAsia" w:ascii="微软雅黑" w:hAnsi="微软雅黑" w:eastAsia="微软雅黑"/>
                <w:szCs w:val="21"/>
                <w:lang w:val="en-US" w:eastAsia="zh-CN"/>
              </w:rPr>
              <w:t>万元</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10</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10</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费用（成本专用）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6</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经济效益</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提高政府的公共管理效率和降低政府管理成本</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是</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5</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5</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7</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社会效益</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提升行政审批运行效能，方便群众办事</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是</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10</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10</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8</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可持续影响</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保障市民中心正常运行</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是</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7.5</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7.5</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9</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可持续影响</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提升行政审批运行效能</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是</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是</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7.5</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7.5</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10</w:t>
            </w: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效果</w:t>
            </w: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项目效益</w:t>
            </w: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社会公众或服务对象满意度</w:t>
            </w: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群众满意度</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r>
              <w:rPr>
                <w:rFonts w:hint="eastAsia" w:ascii="微软雅黑" w:hAnsi="微软雅黑" w:eastAsia="微软雅黑"/>
                <w:szCs w:val="21"/>
              </w:rPr>
              <w:t>95</w:t>
            </w:r>
            <w:r>
              <w:rPr>
                <w:rFonts w:hint="eastAsia" w:ascii="微软雅黑" w:hAnsi="微软雅黑" w:eastAsia="微软雅黑"/>
                <w:szCs w:val="21"/>
                <w:lang w:val="en-US" w:eastAsia="zh-CN"/>
              </w:rPr>
              <w:t>%</w:t>
            </w: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rPr>
              <w:t>95</w:t>
            </w:r>
            <w:r>
              <w:rPr>
                <w:rFonts w:hint="eastAsia" w:ascii="微软雅黑" w:hAnsi="微软雅黑" w:eastAsia="微软雅黑"/>
                <w:szCs w:val="21"/>
                <w:lang w:val="en-US" w:eastAsia="zh-CN"/>
              </w:rPr>
              <w:t>%</w:t>
            </w: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r>
              <w:rPr>
                <w:rFonts w:hint="eastAsia" w:ascii="微软雅黑" w:hAnsi="微软雅黑" w:eastAsia="微软雅黑"/>
                <w:szCs w:val="21"/>
                <w:lang w:val="en-US" w:eastAsia="zh-CN"/>
              </w:rPr>
              <w:t>10</w:t>
            </w: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10</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履职服务对象满意度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p>
        </w:tc>
        <w:tc>
          <w:tcPr>
            <w:tcW w:w="1088"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p>
        </w:tc>
        <w:tc>
          <w:tcPr>
            <w:tcW w:w="1245"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p>
        </w:tc>
        <w:tc>
          <w:tcPr>
            <w:tcW w:w="211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p>
        </w:tc>
        <w:tc>
          <w:tcPr>
            <w:tcW w:w="4230" w:type="dxa"/>
            <w:gridSpan w:val="1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得分分值（百分制）</w:t>
            </w:r>
          </w:p>
        </w:tc>
        <w:tc>
          <w:tcPr>
            <w:tcW w:w="1672"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rPr>
            </w:pPr>
          </w:p>
        </w:tc>
        <w:tc>
          <w:tcPr>
            <w:tcW w:w="174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p>
        </w:tc>
        <w:tc>
          <w:tcPr>
            <w:tcW w:w="8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eastAsia="zh-CN"/>
              </w:rPr>
            </w:pPr>
          </w:p>
        </w:tc>
        <w:tc>
          <w:tcPr>
            <w:tcW w:w="79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99.63</w:t>
            </w:r>
          </w:p>
        </w:tc>
        <w:tc>
          <w:tcPr>
            <w:tcW w:w="13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评价组人员情况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序号</w:t>
            </w:r>
          </w:p>
        </w:tc>
        <w:tc>
          <w:tcPr>
            <w:tcW w:w="1699"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姓名</w:t>
            </w:r>
          </w:p>
        </w:tc>
        <w:tc>
          <w:tcPr>
            <w:tcW w:w="357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职务</w:t>
            </w:r>
          </w:p>
        </w:tc>
        <w:tc>
          <w:tcPr>
            <w:tcW w:w="3340"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职称</w:t>
            </w:r>
          </w:p>
        </w:tc>
        <w:tc>
          <w:tcPr>
            <w:tcW w:w="4340"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单位</w:t>
            </w:r>
          </w:p>
        </w:tc>
        <w:tc>
          <w:tcPr>
            <w:tcW w:w="2124"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1</w:t>
            </w:r>
          </w:p>
        </w:tc>
        <w:tc>
          <w:tcPr>
            <w:tcW w:w="1699"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李辉</w:t>
            </w:r>
          </w:p>
        </w:tc>
        <w:tc>
          <w:tcPr>
            <w:tcW w:w="357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党组书记、局长</w:t>
            </w:r>
          </w:p>
        </w:tc>
        <w:tc>
          <w:tcPr>
            <w:tcW w:w="3340"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lang w:val="en-US" w:eastAsia="zh-CN"/>
              </w:rPr>
            </w:pPr>
          </w:p>
        </w:tc>
        <w:tc>
          <w:tcPr>
            <w:tcW w:w="4340"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淄博市张店区行政审批服务局</w:t>
            </w:r>
          </w:p>
        </w:tc>
        <w:tc>
          <w:tcPr>
            <w:tcW w:w="2124"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13806439000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2</w:t>
            </w:r>
          </w:p>
        </w:tc>
        <w:tc>
          <w:tcPr>
            <w:tcW w:w="1699"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魏丽艳</w:t>
            </w:r>
          </w:p>
        </w:tc>
        <w:tc>
          <w:tcPr>
            <w:tcW w:w="3571"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党组成员、政务服务管理办公室副主任</w:t>
            </w:r>
          </w:p>
        </w:tc>
        <w:tc>
          <w:tcPr>
            <w:tcW w:w="3340" w:type="dxa"/>
            <w:gridSpan w:val="7"/>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lang w:val="en-US" w:eastAsia="zh-CN"/>
              </w:rPr>
            </w:pPr>
          </w:p>
        </w:tc>
        <w:tc>
          <w:tcPr>
            <w:tcW w:w="4340" w:type="dxa"/>
            <w:gridSpan w:val="9"/>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淄博市张店区行政审批服务局</w:t>
            </w:r>
          </w:p>
        </w:tc>
        <w:tc>
          <w:tcPr>
            <w:tcW w:w="2124"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13969330095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29" w:type="dxa"/>
            <w:gridSpan w:val="35"/>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自评价其他信息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szCs w:val="21"/>
                <w:lang w:val="en-US" w:eastAsia="zh-CN"/>
              </w:rPr>
            </w:pPr>
            <w:r>
              <w:rPr>
                <w:rFonts w:hint="eastAsia" w:ascii="微软雅黑" w:hAnsi="微软雅黑" w:eastAsia="微软雅黑"/>
                <w:szCs w:val="21"/>
                <w:lang w:val="en-US" w:eastAsia="zh-CN"/>
              </w:rPr>
              <w:t>评价综合意见</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lang w:val="en-US" w:eastAsia="zh-CN"/>
              </w:rPr>
            </w:pPr>
            <w:r>
              <w:rPr>
                <w:rFonts w:hint="eastAsia" w:ascii="微软雅黑" w:hAnsi="微软雅黑" w:eastAsia="微软雅黑"/>
                <w:szCs w:val="21"/>
                <w:lang w:val="en-US" w:eastAsia="zh-CN"/>
              </w:rPr>
              <w:t>项目资金来源和支出说明情况</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项目经验做法</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项目存在问题</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资金来源支出说明</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项目建议</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0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szCs w:val="21"/>
              </w:rPr>
            </w:pPr>
            <w:r>
              <w:rPr>
                <w:rFonts w:hint="eastAsia" w:ascii="微软雅黑" w:hAnsi="微软雅黑" w:eastAsia="微软雅黑"/>
                <w:szCs w:val="21"/>
              </w:rPr>
              <w:t>财政审核意见</w:t>
            </w:r>
          </w:p>
        </w:tc>
        <w:tc>
          <w:tcPr>
            <w:tcW w:w="14225" w:type="dxa"/>
            <w:gridSpan w:val="32"/>
            <w:shd w:val="clear" w:color="auto" w:fill="auto"/>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szCs w:val="21"/>
              </w:rPr>
            </w:pPr>
            <w:r>
              <w:rPr>
                <w:rFonts w:hint="eastAsia" w:ascii="微软雅黑" w:hAnsi="微软雅黑" w:eastAsia="微软雅黑"/>
                <w:szCs w:val="21"/>
                <w:lang w:val="en-US" w:eastAsia="zh-CN"/>
              </w:rPr>
              <w:t>无</w:t>
            </w:r>
          </w:p>
        </w:tc>
      </w:tr>
    </w:tbl>
    <w:p>
      <w:pPr>
        <w:pStyle w:val="2"/>
        <w:ind w:left="0" w:leftChars="0" w:firstLine="0" w:firstLineChars="0"/>
      </w:pPr>
    </w:p>
    <w:p/>
    <w:p/>
    <w:sectPr>
      <w:headerReference r:id="rId17" w:type="default"/>
      <w:footerReference r:id="rId18" w:type="default"/>
      <w:footnotePr>
        <w:numFmt w:val="decimal"/>
      </w:footnotePr>
      <w:pgSz w:w="16840" w:h="11900" w:orient="landscape"/>
      <w:pgMar w:top="574" w:right="528" w:bottom="566" w:left="562" w:header="146" w:footer="138"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文星简黑体">
    <w:altName w:val="微软雅黑"/>
    <w:panose1 w:val="00000000000000000000"/>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3540760</wp:posOffset>
              </wp:positionH>
              <wp:positionV relativeFrom="page">
                <wp:posOffset>10328910</wp:posOffset>
              </wp:positionV>
              <wp:extent cx="475615" cy="109855"/>
              <wp:effectExtent l="0" t="0" r="0" b="0"/>
              <wp:wrapNone/>
              <wp:docPr id="1" name="Shape 1"/>
              <wp:cNvGraphicFramePr/>
              <a:graphic xmlns:a="http://schemas.openxmlformats.org/drawingml/2006/main">
                <a:graphicData uri="http://schemas.microsoft.com/office/word/2010/wordprocessingShape">
                  <wps:wsp>
                    <wps:cNvSpPr txBox="1"/>
                    <wps:spPr>
                      <a:xfrm>
                        <a:off x="0" y="0"/>
                        <a:ext cx="475615" cy="109855"/>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28"/>
                              <w:szCs w:val="28"/>
                            </w:rPr>
                          </w:pPr>
                          <w:r>
                            <w:rPr>
                              <w:rFonts w:ascii="Times New Roman" w:hAnsi="Times New Roman" w:eastAsia="Times New Roman" w:cs="Times New Roman"/>
                              <w:color w:val="000000"/>
                              <w:spacing w:val="0"/>
                              <w:w w:val="100"/>
                              <w:position w:val="0"/>
                              <w:sz w:val="28"/>
                              <w:szCs w:val="28"/>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28"/>
                              <w:szCs w:val="28"/>
                            </w:rPr>
                            <w:t>#</w:t>
                          </w:r>
                          <w:r>
                            <w:rPr>
                              <w:rFonts w:ascii="Times New Roman" w:hAnsi="Times New Roman" w:eastAsia="Times New Roman" w:cs="Times New Roman"/>
                              <w:color w:val="000000"/>
                              <w:spacing w:val="0"/>
                              <w:w w:val="100"/>
                              <w:position w:val="0"/>
                              <w:sz w:val="28"/>
                              <w:szCs w:val="28"/>
                            </w:rPr>
                            <w:fldChar w:fldCharType="end"/>
                          </w:r>
                          <w:r>
                            <w:rPr>
                              <w:rFonts w:ascii="Times New Roman" w:hAnsi="Times New Roman" w:eastAsia="Times New Roman" w:cs="Times New Roman"/>
                              <w:color w:val="000000"/>
                              <w:spacing w:val="0"/>
                              <w:w w:val="100"/>
                              <w:position w:val="0"/>
                              <w:sz w:val="28"/>
                              <w:szCs w:val="28"/>
                            </w:rPr>
                            <w:t xml:space="preserve"> —</w:t>
                          </w:r>
                        </w:p>
                      </w:txbxContent>
                    </wps:txbx>
                    <wps:bodyPr wrap="none" lIns="0" tIns="0" rIns="0" bIns="0">
                      <a:spAutoFit/>
                    </wps:bodyPr>
                  </wps:wsp>
                </a:graphicData>
              </a:graphic>
            </wp:anchor>
          </w:drawing>
        </mc:Choice>
        <mc:Fallback>
          <w:pict>
            <v:shape id="Shape 1" o:spid="_x0000_s1026" o:spt="202" type="#_x0000_t202" style="position:absolute;left:0pt;margin-left:278.8pt;margin-top:813.3pt;height:8.65pt;width:37.45pt;mso-position-horizontal-relative:page;mso-position-vertical-relative:page;mso-wrap-style:none;z-index:-251657216;mso-width-relative:page;mso-height-relative:page;" filled="f" stroked="f" coordsize="21600,21600" o:gfxdata="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KKs9kA&#10;AAANAQAADwAAAAAAAAABACAAAAAiAAAAZHJzL2Rvd25yZXYueG1sUEsBAhQAFAAAAAgAh07iQPk4&#10;sgasAQAAbwMAAA4AAAAAAAAAAQAgAAAAKAEAAGRycy9lMm9Eb2MueG1sUEsFBgAAAAAGAAYAWQEA&#10;AEYFAAAAAA==&#10;">
              <v:fill on="f" focussize="0,0"/>
              <v:stroke on="f"/>
              <v:imagedata o:title=""/>
              <o:lock v:ext="edit" aspectratio="f"/>
              <v:textbox inset="0mm,0mm,0mm,0mm" style="mso-fit-shape-to-text:t;">
                <w:txbxContent>
                  <w:p>
                    <w:pPr>
                      <w:pStyle w:val="11"/>
                      <w:keepNext w:val="0"/>
                      <w:keepLines w:val="0"/>
                      <w:widowControl w:val="0"/>
                      <w:shd w:val="clear" w:color="auto" w:fill="auto"/>
                      <w:bidi w:val="0"/>
                      <w:spacing w:before="0" w:after="0" w:line="240" w:lineRule="auto"/>
                      <w:ind w:left="0" w:right="0" w:firstLine="0"/>
                      <w:jc w:val="left"/>
                      <w:rPr>
                        <w:sz w:val="28"/>
                        <w:szCs w:val="28"/>
                      </w:rPr>
                    </w:pPr>
                    <w:r>
                      <w:rPr>
                        <w:rFonts w:ascii="Times New Roman" w:hAnsi="Times New Roman" w:eastAsia="Times New Roman" w:cs="Times New Roman"/>
                        <w:color w:val="000000"/>
                        <w:spacing w:val="0"/>
                        <w:w w:val="100"/>
                        <w:position w:val="0"/>
                        <w:sz w:val="28"/>
                        <w:szCs w:val="28"/>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28"/>
                        <w:szCs w:val="28"/>
                      </w:rPr>
                      <w:t>#</w:t>
                    </w:r>
                    <w:r>
                      <w:rPr>
                        <w:rFonts w:ascii="Times New Roman" w:hAnsi="Times New Roman" w:eastAsia="Times New Roman" w:cs="Times New Roman"/>
                        <w:color w:val="000000"/>
                        <w:spacing w:val="0"/>
                        <w:w w:val="100"/>
                        <w:position w:val="0"/>
                        <w:sz w:val="28"/>
                        <w:szCs w:val="28"/>
                      </w:rPr>
                      <w:fldChar w:fldCharType="end"/>
                    </w:r>
                    <w:r>
                      <w:rPr>
                        <w:rFonts w:ascii="Times New Roman" w:hAnsi="Times New Roman" w:eastAsia="Times New Roman" w:cs="Times New Roman"/>
                        <w:color w:val="000000"/>
                        <w:spacing w:val="0"/>
                        <w:w w:val="100"/>
                        <w:position w:val="0"/>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1312" behindDoc="1" locked="0" layoutInCell="1" allowOverlap="1">
              <wp:simplePos x="0" y="0"/>
              <wp:positionH relativeFrom="page">
                <wp:posOffset>3466465</wp:posOffset>
              </wp:positionH>
              <wp:positionV relativeFrom="page">
                <wp:posOffset>10243820</wp:posOffset>
              </wp:positionV>
              <wp:extent cx="475615" cy="109855"/>
              <wp:effectExtent l="0" t="0" r="0" b="0"/>
              <wp:wrapNone/>
              <wp:docPr id="35" name="Shape 35"/>
              <wp:cNvGraphicFramePr/>
              <a:graphic xmlns:a="http://schemas.openxmlformats.org/drawingml/2006/main">
                <a:graphicData uri="http://schemas.microsoft.com/office/word/2010/wordprocessingShape">
                  <wps:wsp>
                    <wps:cNvSpPr txBox="1"/>
                    <wps:spPr>
                      <a:xfrm>
                        <a:off x="0" y="0"/>
                        <a:ext cx="475615" cy="109855"/>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28"/>
                              <w:szCs w:val="28"/>
                            </w:rPr>
                          </w:pPr>
                          <w:r>
                            <w:rPr>
                              <w:rFonts w:ascii="Times New Roman" w:hAnsi="Times New Roman" w:eastAsia="Times New Roman" w:cs="Times New Roman"/>
                              <w:color w:val="000000"/>
                              <w:spacing w:val="0"/>
                              <w:w w:val="100"/>
                              <w:position w:val="0"/>
                              <w:sz w:val="28"/>
                              <w:szCs w:val="28"/>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28"/>
                              <w:szCs w:val="28"/>
                            </w:rPr>
                            <w:t>#</w:t>
                          </w:r>
                          <w:r>
                            <w:rPr>
                              <w:rFonts w:ascii="Times New Roman" w:hAnsi="Times New Roman" w:eastAsia="Times New Roman" w:cs="Times New Roman"/>
                              <w:color w:val="000000"/>
                              <w:spacing w:val="0"/>
                              <w:w w:val="100"/>
                              <w:position w:val="0"/>
                              <w:sz w:val="28"/>
                              <w:szCs w:val="28"/>
                            </w:rPr>
                            <w:fldChar w:fldCharType="end"/>
                          </w:r>
                          <w:r>
                            <w:rPr>
                              <w:rFonts w:ascii="Times New Roman" w:hAnsi="Times New Roman" w:eastAsia="Times New Roman" w:cs="Times New Roman"/>
                              <w:color w:val="000000"/>
                              <w:spacing w:val="0"/>
                              <w:w w:val="100"/>
                              <w:position w:val="0"/>
                              <w:sz w:val="28"/>
                              <w:szCs w:val="28"/>
                            </w:rPr>
                            <w:t xml:space="preserve"> —</w:t>
                          </w:r>
                        </w:p>
                      </w:txbxContent>
                    </wps:txbx>
                    <wps:bodyPr wrap="none" lIns="0" tIns="0" rIns="0" bIns="0">
                      <a:spAutoFit/>
                    </wps:bodyPr>
                  </wps:wsp>
                </a:graphicData>
              </a:graphic>
            </wp:anchor>
          </w:drawing>
        </mc:Choice>
        <mc:Fallback>
          <w:pict>
            <v:shape id="Shape 35" o:spid="_x0000_s1026" o:spt="202" type="#_x0000_t202" style="position:absolute;left:0pt;margin-left:272.95pt;margin-top:806.6pt;height:8.65pt;width:37.45pt;mso-position-horizontal-relative:page;mso-position-vertical-relative:page;mso-wrap-style:none;z-index:-251655168;mso-width-relative:page;mso-height-relative:page;" filled="f" stroked="f" coordsize="21600,21600" o:gfxdata="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1sFVg&#10;2AAAAA0BAAAPAAAAAAAAAAEAIAAAACIAAABkcnMvZG93bnJldi54bWxQSwECFAAUAAAACACHTuJA&#10;/WAVWa8BAABxAwAADgAAAAAAAAABACAAAAAnAQAAZHJzL2Uyb0RvYy54bWxQSwUGAAAAAAYABgBZ&#10;AQAASAUAAAAA&#10;">
              <v:fill on="f" focussize="0,0"/>
              <v:stroke on="f"/>
              <v:imagedata o:title=""/>
              <o:lock v:ext="edit" aspectratio="f"/>
              <v:textbox inset="0mm,0mm,0mm,0mm" style="mso-fit-shape-to-text:t;">
                <w:txbxContent>
                  <w:p>
                    <w:pPr>
                      <w:pStyle w:val="11"/>
                      <w:keepNext w:val="0"/>
                      <w:keepLines w:val="0"/>
                      <w:widowControl w:val="0"/>
                      <w:shd w:val="clear" w:color="auto" w:fill="auto"/>
                      <w:bidi w:val="0"/>
                      <w:spacing w:before="0" w:after="0" w:line="240" w:lineRule="auto"/>
                      <w:ind w:left="0" w:right="0" w:firstLine="0"/>
                      <w:jc w:val="left"/>
                      <w:rPr>
                        <w:sz w:val="28"/>
                        <w:szCs w:val="28"/>
                      </w:rPr>
                    </w:pPr>
                    <w:r>
                      <w:rPr>
                        <w:rFonts w:ascii="Times New Roman" w:hAnsi="Times New Roman" w:eastAsia="Times New Roman" w:cs="Times New Roman"/>
                        <w:color w:val="000000"/>
                        <w:spacing w:val="0"/>
                        <w:w w:val="100"/>
                        <w:position w:val="0"/>
                        <w:sz w:val="28"/>
                        <w:szCs w:val="28"/>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28"/>
                        <w:szCs w:val="28"/>
                      </w:rPr>
                      <w:t>#</w:t>
                    </w:r>
                    <w:r>
                      <w:rPr>
                        <w:rFonts w:ascii="Times New Roman" w:hAnsi="Times New Roman" w:eastAsia="Times New Roman" w:cs="Times New Roman"/>
                        <w:color w:val="000000"/>
                        <w:spacing w:val="0"/>
                        <w:w w:val="100"/>
                        <w:position w:val="0"/>
                        <w:sz w:val="28"/>
                        <w:szCs w:val="28"/>
                      </w:rPr>
                      <w:fldChar w:fldCharType="end"/>
                    </w:r>
                    <w:r>
                      <w:rPr>
                        <w:rFonts w:ascii="Times New Roman" w:hAnsi="Times New Roman" w:eastAsia="Times New Roman" w:cs="Times New Roman"/>
                        <w:color w:val="000000"/>
                        <w:spacing w:val="0"/>
                        <w:w w:val="100"/>
                        <w:position w:val="0"/>
                        <w:sz w:val="28"/>
                        <w:szCs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3542030</wp:posOffset>
              </wp:positionH>
              <wp:positionV relativeFrom="page">
                <wp:posOffset>10074275</wp:posOffset>
              </wp:positionV>
              <wp:extent cx="475615" cy="109855"/>
              <wp:effectExtent l="0" t="0" r="0" b="0"/>
              <wp:wrapNone/>
              <wp:docPr id="4" name="Shape 3"/>
              <wp:cNvGraphicFramePr/>
              <a:graphic xmlns:a="http://schemas.openxmlformats.org/drawingml/2006/main">
                <a:graphicData uri="http://schemas.microsoft.com/office/word/2010/wordprocessingShape">
                  <wps:wsp>
                    <wps:cNvSpPr txBox="1"/>
                    <wps:spPr>
                      <a:xfrm>
                        <a:off x="0" y="0"/>
                        <a:ext cx="475615" cy="109855"/>
                      </a:xfrm>
                      <a:prstGeom prst="rect">
                        <a:avLst/>
                      </a:prstGeom>
                      <a:noFill/>
                    </wps:spPr>
                    <wps:txbx>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3" o:spid="_x0000_s1026" o:spt="202" type="#_x0000_t202" style="position:absolute;left:0pt;margin-left:278.9pt;margin-top:793.25pt;height:8.65pt;width:37.45pt;mso-position-horizontal-relative:page;mso-position-vertical-relative:page;mso-wrap-style:none;z-index:-251657216;mso-width-relative:page;mso-height-relative:page;" filled="f" stroked="f" coordsize="21600,21600" o:gfxdata="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3a7lrY&#10;AAAADQEAAA8AAAAAAAAAAQAgAAAAIgAAAGRycy9kb3ducmV2LnhtbFBLAQIUABQAAAAIAIdO4kC+&#10;KRK5rgEAAG8DAAAOAAAAAAAAAAEAIAAAACcBAABkcnMvZTJvRG9jLnhtbFBLBQYAAAAABgAGAFkB&#10;AABHBQ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3542030</wp:posOffset>
              </wp:positionH>
              <wp:positionV relativeFrom="page">
                <wp:posOffset>10074275</wp:posOffset>
              </wp:positionV>
              <wp:extent cx="475615" cy="109855"/>
              <wp:effectExtent l="0" t="0" r="0" b="0"/>
              <wp:wrapNone/>
              <wp:docPr id="3" name="Shape 3"/>
              <wp:cNvGraphicFramePr/>
              <a:graphic xmlns:a="http://schemas.openxmlformats.org/drawingml/2006/main">
                <a:graphicData uri="http://schemas.microsoft.com/office/word/2010/wordprocessingShape">
                  <wps:wsp>
                    <wps:cNvSpPr txBox="1"/>
                    <wps:spPr>
                      <a:xfrm>
                        <a:off x="0" y="0"/>
                        <a:ext cx="475615" cy="109855"/>
                      </a:xfrm>
                      <a:prstGeom prst="rect">
                        <a:avLst/>
                      </a:prstGeom>
                      <a:noFill/>
                    </wps:spPr>
                    <wps:txbx>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3" o:spid="_x0000_s1026" o:spt="202" type="#_x0000_t202" style="position:absolute;left:0pt;margin-left:278.9pt;margin-top:793.25pt;height:8.65pt;width:37.45pt;mso-position-horizontal-relative:page;mso-position-vertical-relative:page;mso-wrap-style:none;z-index:-251657216;mso-width-relative:page;mso-height-relative:page;" filled="f" stroked="f" coordsize="21600,21600" o:gfxdata="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3a7lrY&#10;AAAADQEAAA8AAAAAAAAAAQAgAAAAIgAAAGRycy9kb3ducmV2LnhtbFBLAQIUABQAAAAIAIdO4kCz&#10;4uWDrgEAAG8DAAAOAAAAAAAAAAEAIAAAACcBAABkcnMvZTJvRG9jLnhtbFBLBQYAAAAABgAGAFkB&#10;AABHBQ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3973830</wp:posOffset>
              </wp:positionH>
              <wp:positionV relativeFrom="page">
                <wp:posOffset>9892030</wp:posOffset>
              </wp:positionV>
              <wp:extent cx="560705" cy="115570"/>
              <wp:effectExtent l="0" t="0" r="0" b="0"/>
              <wp:wrapNone/>
              <wp:docPr id="15" name="Shape 15"/>
              <wp:cNvGraphicFramePr/>
              <a:graphic xmlns:a="http://schemas.openxmlformats.org/drawingml/2006/main">
                <a:graphicData uri="http://schemas.microsoft.com/office/word/2010/wordprocessingShape">
                  <wps:wsp>
                    <wps:cNvSpPr txBox="1"/>
                    <wps:spPr>
                      <a:xfrm>
                        <a:off x="0" y="0"/>
                        <a:ext cx="560705" cy="115570"/>
                      </a:xfrm>
                      <a:prstGeom prst="rect">
                        <a:avLst/>
                      </a:prstGeom>
                      <a:noFill/>
                    </wps:spPr>
                    <wps:txbx>
                      <w:txbxContent>
                        <w:p>
                          <w:pPr>
                            <w:pStyle w:val="21"/>
                            <w:keepNext w:val="0"/>
                            <w:keepLines w:val="0"/>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rPr>
                            <w:t xml:space="preserve">一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r>
                            <w:rPr>
                              <w:rFonts w:ascii="宋体" w:hAnsi="宋体" w:eastAsia="宋体" w:cs="宋体"/>
                              <w:color w:val="000000"/>
                              <w:spacing w:val="0"/>
                              <w:w w:val="100"/>
                              <w:position w:val="0"/>
                            </w:rPr>
                            <w:t>一</w:t>
                          </w:r>
                        </w:p>
                      </w:txbxContent>
                    </wps:txbx>
                    <wps:bodyPr wrap="none" lIns="0" tIns="0" rIns="0" bIns="0">
                      <a:spAutoFit/>
                    </wps:bodyPr>
                  </wps:wsp>
                </a:graphicData>
              </a:graphic>
            </wp:anchor>
          </w:drawing>
        </mc:Choice>
        <mc:Fallback>
          <w:pict>
            <v:shape id="Shape 15" o:spid="_x0000_s1026" o:spt="202" type="#_x0000_t202" style="position:absolute;left:0pt;margin-left:312.9pt;margin-top:778.9pt;height:9.1pt;width:44.15pt;mso-position-horizontal-relative:page;mso-position-vertical-relative:page;mso-wrap-style:none;z-index:-251657216;mso-width-relative:page;mso-height-relative:page;" filled="f" stroked="f" coordsize="21600,21600" o:gfxdata="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diMnNgA&#10;AAANAQAADwAAAAAAAAABACAAAAAiAAAAZHJzL2Rvd25yZXYueG1sUEsBAhQAFAAAAAgAh07iQPdZ&#10;gBStAQAAcQMAAA4AAAAAAAAAAQAgAAAAJwEAAGRycy9lMm9Eb2MueG1sUEsFBgAAAAAGAAYAWQEA&#10;AEYFA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rPr>
                      <w:t xml:space="preserve">一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r>
                      <w:rPr>
                        <w:rFonts w:ascii="宋体" w:hAnsi="宋体" w:eastAsia="宋体" w:cs="宋体"/>
                        <w:color w:val="000000"/>
                        <w:spacing w:val="0"/>
                        <w:w w:val="100"/>
                        <w:position w:val="0"/>
                      </w:rPr>
                      <w:t>一</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Lines="0" w:afterLines="0" w:line="1" w:lineRule="exact"/>
      <w:rPr>
        <w:rFonts w:hint="eastAsia"/>
        <w:sz w:val="24"/>
        <w:szCs w:val="24"/>
      </w:rPr>
    </w:pPr>
    <w:r>
      <w:rPr>
        <w:rFonts w:hint="default"/>
        <w:sz w:val="24"/>
        <w:szCs w:val="24"/>
      </w:rPr>
      <mc:AlternateContent>
        <mc:Choice Requires="wps">
          <w:drawing>
            <wp:anchor distT="0" distB="0" distL="0" distR="0" simplePos="0" relativeHeight="251660288" behindDoc="1" locked="0" layoutInCell="1" allowOverlap="1">
              <wp:simplePos x="0" y="0"/>
              <wp:positionH relativeFrom="page">
                <wp:posOffset>3497580</wp:posOffset>
              </wp:positionH>
              <wp:positionV relativeFrom="page">
                <wp:posOffset>10074275</wp:posOffset>
              </wp:positionV>
              <wp:extent cx="560705" cy="109855"/>
              <wp:effectExtent l="0" t="0" r="0" b="0"/>
              <wp:wrapNone/>
              <wp:docPr id="16" name="Shape 18"/>
              <wp:cNvGraphicFramePr/>
              <a:graphic xmlns:a="http://schemas.openxmlformats.org/drawingml/2006/main">
                <a:graphicData uri="http://schemas.microsoft.com/office/word/2010/wordprocessingShape">
                  <wps:wsp>
                    <wps:cNvSpPr txBox="1"/>
                    <wps:spPr>
                      <a:xfrm>
                        <a:off x="0" y="0"/>
                        <a:ext cx="560705" cy="109855"/>
                      </a:xfrm>
                      <a:prstGeom prst="rect">
                        <a:avLst/>
                      </a:prstGeom>
                      <a:noFill/>
                      <a:ln>
                        <a:noFill/>
                      </a:ln>
                    </wps:spPr>
                    <wps:txbx>
                      <w:txbxContent>
                        <w:p>
                          <w:pPr>
                            <w:spacing w:beforeLines="0" w:afterLines="0"/>
                            <w:rPr>
                              <w:rFonts w:hint="eastAsia"/>
                              <w:sz w:val="24"/>
                              <w:szCs w:val="24"/>
                            </w:rPr>
                          </w:pPr>
                          <w:r>
                            <w:rPr>
                              <w:rFonts w:hint="eastAsia"/>
                              <w:sz w:val="24"/>
                              <w:szCs w:val="24"/>
                            </w:rPr>
                            <w:t>—</w:t>
                          </w: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rFonts w:hint="eastAsia"/>
                              <w:sz w:val="24"/>
                              <w:szCs w:val="24"/>
                            </w:rPr>
                            <w:t>#</w:t>
                          </w:r>
                          <w:r>
                            <w:rPr>
                              <w:rFonts w:hint="eastAsia"/>
                              <w:sz w:val="24"/>
                              <w:szCs w:val="24"/>
                            </w:rPr>
                            <w:fldChar w:fldCharType="end"/>
                          </w:r>
                          <w:r>
                            <w:rPr>
                              <w:rFonts w:hint="eastAsia"/>
                              <w:sz w:val="24"/>
                              <w:szCs w:val="24"/>
                            </w:rPr>
                            <w:t xml:space="preserve"> —</w:t>
                          </w:r>
                        </w:p>
                      </w:txbxContent>
                    </wps:txbx>
                    <wps:bodyPr vert="horz" wrap="none" lIns="0" tIns="0" rIns="0" bIns="0" anchor="t" anchorCtr="0" upright="1">
                      <a:spAutoFit/>
                    </wps:bodyPr>
                  </wps:wsp>
                </a:graphicData>
              </a:graphic>
            </wp:anchor>
          </w:drawing>
        </mc:Choice>
        <mc:Fallback>
          <w:pict>
            <v:shape id="Shape 18" o:spid="_x0000_s1026" o:spt="202" type="#_x0000_t202" style="position:absolute;left:0pt;margin-left:275.4pt;margin-top:793.25pt;height:8.65pt;width:44.15pt;mso-position-horizontal-relative:page;mso-position-vertical-relative:page;mso-wrap-style:none;z-index:-251656192;mso-width-relative:page;mso-height-relative:page;" filled="f" stroked="f" coordsize="21600,21600" o:gfxdata="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vAyrdgAAAANAQAADwAAAAAAAAABACAAAAAi&#10;AAAAZHJzL2Rvd25yZXYueG1sUEsBAhQAFAAAAAgAh07iQFTOU0jRAQAAugMAAA4AAAAAAAAAAQAg&#10;AAAAJwEAAGRycy9lMm9Eb2MueG1sUEsFBgAAAAAGAAYAWQEAAGoFAAAAAA==&#10;">
              <v:fill on="f" focussize="0,0"/>
              <v:stroke on="f"/>
              <v:imagedata o:title=""/>
              <o:lock v:ext="edit" aspectratio="f"/>
              <v:textbox inset="0mm,0mm,0mm,0mm" style="mso-fit-shape-to-text:t;">
                <w:txbxContent>
                  <w:p>
                    <w:pPr>
                      <w:spacing w:beforeLines="0" w:afterLines="0"/>
                      <w:rPr>
                        <w:rFonts w:hint="eastAsia"/>
                        <w:sz w:val="24"/>
                        <w:szCs w:val="24"/>
                      </w:rPr>
                    </w:pPr>
                    <w:r>
                      <w:rPr>
                        <w:rFonts w:hint="eastAsia"/>
                        <w:sz w:val="24"/>
                        <w:szCs w:val="24"/>
                      </w:rPr>
                      <w:t>—</w:t>
                    </w: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rFonts w:hint="eastAsia"/>
                        <w:sz w:val="24"/>
                        <w:szCs w:val="24"/>
                      </w:rPr>
                      <w:t>#</w:t>
                    </w:r>
                    <w:r>
                      <w:rPr>
                        <w:rFonts w:hint="eastAsia"/>
                        <w:sz w:val="24"/>
                        <w:szCs w:val="24"/>
                      </w:rPr>
                      <w:fldChar w:fldCharType="end"/>
                    </w:r>
                    <w:r>
                      <w:rPr>
                        <w:rFonts w:hint="eastAsia"/>
                        <w:sz w:val="24"/>
                        <w:szCs w:val="24"/>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3501390</wp:posOffset>
              </wp:positionH>
              <wp:positionV relativeFrom="page">
                <wp:posOffset>10114280</wp:posOffset>
              </wp:positionV>
              <wp:extent cx="560705" cy="109855"/>
              <wp:effectExtent l="0" t="0" r="0" b="0"/>
              <wp:wrapNone/>
              <wp:docPr id="27" name="Shape 27"/>
              <wp:cNvGraphicFramePr/>
              <a:graphic xmlns:a="http://schemas.openxmlformats.org/drawingml/2006/main">
                <a:graphicData uri="http://schemas.microsoft.com/office/word/2010/wordprocessingShape">
                  <wps:wsp>
                    <wps:cNvSpPr txBox="1"/>
                    <wps:spPr>
                      <a:xfrm>
                        <a:off x="0" y="0"/>
                        <a:ext cx="560705" cy="109855"/>
                      </a:xfrm>
                      <a:prstGeom prst="rect">
                        <a:avLst/>
                      </a:prstGeom>
                      <a:noFill/>
                    </wps:spPr>
                    <wps:txbx>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27" o:spid="_x0000_s1026" o:spt="202" type="#_x0000_t202" style="position:absolute;left:0pt;margin-left:275.7pt;margin-top:796.4pt;height:8.65pt;width:44.15pt;mso-position-horizontal-relative:page;mso-position-vertical-relative:page;mso-wrap-style:none;z-index:-251657216;mso-width-relative:page;mso-height-relative:page;" filled="f" stroked="f" coordsize="21600,21600" o:gfxdata="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nPSrLY&#10;AAAADQEAAA8AAAAAAAAAAQAgAAAAIgAAAGRycy9kb3ducmV2LnhtbFBLAQIUABQAAAAIAIdO4kAR&#10;BXwhrgEAAHEDAAAOAAAAAAAAAAEAIAAAACcBAABkcnMvZTJvRG9jLnhtbFBLBQYAAAAABgAGAFkB&#10;AABHBQ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3496945</wp:posOffset>
              </wp:positionH>
              <wp:positionV relativeFrom="page">
                <wp:posOffset>10119360</wp:posOffset>
              </wp:positionV>
              <wp:extent cx="560705" cy="109855"/>
              <wp:effectExtent l="0" t="0" r="0" b="0"/>
              <wp:wrapNone/>
              <wp:docPr id="29" name="Shape 29"/>
              <wp:cNvGraphicFramePr/>
              <a:graphic xmlns:a="http://schemas.openxmlformats.org/drawingml/2006/main">
                <a:graphicData uri="http://schemas.microsoft.com/office/word/2010/wordprocessingShape">
                  <wps:wsp>
                    <wps:cNvSpPr txBox="1"/>
                    <wps:spPr>
                      <a:xfrm>
                        <a:off x="0" y="0"/>
                        <a:ext cx="560705" cy="109855"/>
                      </a:xfrm>
                      <a:prstGeom prst="rect">
                        <a:avLst/>
                      </a:prstGeom>
                      <a:noFill/>
                    </wps:spPr>
                    <wps:txbx>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29" o:spid="_x0000_s1026" o:spt="202" type="#_x0000_t202" style="position:absolute;left:0pt;margin-left:275.35pt;margin-top:796.8pt;height:8.65pt;width:44.15pt;mso-position-horizontal-relative:page;mso-position-vertical-relative:page;mso-wrap-style:none;z-index:-251657216;mso-width-relative:page;mso-height-relative:page;" filled="f" stroked="f" coordsize="21600,21600" o:gfxdata="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MD/i&#10;2QAAAA0BAAAPAAAAAAAAAAEAIAAAACIAAABkcnMvZG93bnJldi54bWxQSwECFAAUAAAACACHTuJA&#10;k47Bha4BAABxAwAADgAAAAAAAAABACAAAAAoAQAAZHJzL2Uyb0RvYy54bWxQSwUGAAAAAAYABgBZ&#10;AQAASAU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3475990</wp:posOffset>
              </wp:positionH>
              <wp:positionV relativeFrom="page">
                <wp:posOffset>10074275</wp:posOffset>
              </wp:positionV>
              <wp:extent cx="560705" cy="109855"/>
              <wp:effectExtent l="0" t="0" r="0" b="0"/>
              <wp:wrapNone/>
              <wp:docPr id="31" name="Shape 31"/>
              <wp:cNvGraphicFramePr/>
              <a:graphic xmlns:a="http://schemas.openxmlformats.org/drawingml/2006/main">
                <a:graphicData uri="http://schemas.microsoft.com/office/word/2010/wordprocessingShape">
                  <wps:wsp>
                    <wps:cNvSpPr txBox="1"/>
                    <wps:spPr>
                      <a:xfrm>
                        <a:off x="0" y="0"/>
                        <a:ext cx="560705" cy="109855"/>
                      </a:xfrm>
                      <a:prstGeom prst="rect">
                        <a:avLst/>
                      </a:prstGeom>
                      <a:noFill/>
                    </wps:spPr>
                    <wps:txbx>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31" o:spid="_x0000_s1026" o:spt="202" type="#_x0000_t202" style="position:absolute;left:0pt;margin-left:273.7pt;margin-top:793.25pt;height:8.65pt;width:44.15pt;mso-position-horizontal-relative:page;mso-position-vertical-relative:page;mso-wrap-style:none;z-index:-251657216;mso-width-relative:page;mso-height-relative:page;" filled="f" stroked="f" coordsize="21600,21600" o:gfxdata="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VucSr&#10;2QAAAA0BAAAPAAAAAAAAAAEAIAAAACIAAABkcnMvZG93bnJldi54bWxQSwECFAAUAAAACACHTuJA&#10;MGGgxq4BAABxAwAADgAAAAAAAAABACAAAAAoAQAAZHJzL2Uyb0RvYy54bWxQSwUGAAAAAAYABgBZ&#10;AQAASAU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9991B4"/>
    <w:multiLevelType w:val="singleLevel"/>
    <w:tmpl w:val="869991B4"/>
    <w:lvl w:ilvl="0" w:tentative="0">
      <w:start w:val="1"/>
      <w:numFmt w:val="decimal"/>
      <w:suff w:val="nothing"/>
      <w:lvlText w:val="（%1）"/>
      <w:lvlJc w:val="left"/>
    </w:lvl>
  </w:abstractNum>
  <w:abstractNum w:abstractNumId="1">
    <w:nsid w:val="CF092B84"/>
    <w:multiLevelType w:val="singleLevel"/>
    <w:tmpl w:val="CF092B8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30"/>
        <w:szCs w:val="30"/>
        <w:u w:val="none"/>
        <w:shd w:val="clear" w:color="auto" w:fill="auto"/>
        <w:lang w:val="en-US" w:eastAsia="en-US" w:bidi="en-US"/>
      </w:rPr>
    </w:lvl>
  </w:abstractNum>
  <w:abstractNum w:abstractNumId="2">
    <w:nsid w:val="EFFC7047"/>
    <w:multiLevelType w:val="singleLevel"/>
    <w:tmpl w:val="EFFC7047"/>
    <w:lvl w:ilvl="0" w:tentative="0">
      <w:start w:val="1"/>
      <w:numFmt w:val="decimal"/>
      <w:suff w:val="nothing"/>
      <w:lvlText w:val="（%1）"/>
      <w:lvlJc w:val="left"/>
    </w:lvl>
  </w:abstractNum>
  <w:abstractNum w:abstractNumId="3">
    <w:nsid w:val="F0EEB632"/>
    <w:multiLevelType w:val="singleLevel"/>
    <w:tmpl w:val="F0EEB632"/>
    <w:lvl w:ilvl="0" w:tentative="0">
      <w:start w:val="4"/>
      <w:numFmt w:val="chineseCounting"/>
      <w:suff w:val="nothing"/>
      <w:lvlText w:val="%1、"/>
      <w:lvlJc w:val="left"/>
      <w:rPr>
        <w:rFonts w:hint="eastAsia"/>
      </w:rPr>
    </w:lvl>
  </w:abstractNum>
  <w:abstractNum w:abstractNumId="4">
    <w:nsid w:val="5A241D34"/>
    <w:multiLevelType w:val="singleLevel"/>
    <w:tmpl w:val="5A241D3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30"/>
        <w:szCs w:val="30"/>
        <w:u w:val="none"/>
        <w:shd w:val="clear" w:color="auto" w:fill="auto"/>
        <w:lang w:val="en-US" w:eastAsia="en-US" w:bidi="en-US"/>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
  <w:docVars>
    <w:docVar w:name="commondata" w:val="eyJoZGlkIjoiMzYxYzg2ZDg3MWU3MTE3OWNjYjRiZjlkMzMzMmI0MTgifQ=="/>
  </w:docVars>
  <w:rsids>
    <w:rsidRoot w:val="00172A27"/>
    <w:rsid w:val="0F6A64B9"/>
    <w:rsid w:val="2274796D"/>
    <w:rsid w:val="3C5119BE"/>
    <w:rsid w:val="4A1C1F96"/>
    <w:rsid w:val="546C5E3B"/>
    <w:rsid w:val="592E18E6"/>
    <w:rsid w:val="796014B1"/>
    <w:rsid w:val="7DD25C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7">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列出段落1"/>
    <w:basedOn w:val="1"/>
    <w:next w:val="1"/>
    <w:qFormat/>
    <w:uiPriority w:val="0"/>
    <w:pPr>
      <w:ind w:firstLine="420" w:firstLineChars="200"/>
    </w:pPr>
    <w:rPr>
      <w:rFonts w:ascii="Calibri" w:hAnsi="Calibri"/>
      <w:szCs w:val="22"/>
    </w:rPr>
  </w:style>
  <w:style w:type="paragraph" w:styleId="3">
    <w:name w:val="footer"/>
    <w:basedOn w:val="1"/>
    <w:unhideWhenUsed/>
    <w:qFormat/>
    <w:uiPriority w:val="0"/>
    <w:pPr>
      <w:tabs>
        <w:tab w:val="center" w:pos="4153"/>
        <w:tab w:val="right" w:pos="8306"/>
      </w:tabs>
      <w:snapToGrid w:val="0"/>
      <w:spacing w:beforeLines="0" w:afterLines="0"/>
      <w:jc w:val="left"/>
    </w:pPr>
    <w:rPr>
      <w:rFonts w:hint="default"/>
      <w:sz w:val="18"/>
      <w:szCs w:val="24"/>
    </w:rPr>
  </w:style>
  <w:style w:type="paragraph" w:styleId="4">
    <w:name w:val="header"/>
    <w:basedOn w:val="1"/>
    <w:unhideWhenUsed/>
    <w:qFormat/>
    <w:uiPriority w:val="0"/>
    <w:pPr>
      <w:pBdr>
        <w:bottom w:val="single" w:color="auto" w:sz="6" w:space="1"/>
      </w:pBdr>
      <w:tabs>
        <w:tab w:val="center" w:pos="4153"/>
        <w:tab w:val="right" w:pos="8306"/>
      </w:tabs>
      <w:snapToGrid w:val="0"/>
      <w:spacing w:beforeLines="0" w:afterLines="0"/>
      <w:jc w:val="center"/>
    </w:pPr>
    <w:rPr>
      <w:rFonts w:hint="default"/>
      <w:sz w:val="18"/>
      <w:szCs w:val="24"/>
    </w:rPr>
  </w:style>
  <w:style w:type="paragraph" w:styleId="5">
    <w:name w:val="Normal (Web)"/>
    <w:basedOn w:val="1"/>
    <w:qFormat/>
    <w:uiPriority w:val="0"/>
    <w:rPr>
      <w:sz w:val="24"/>
    </w:rPr>
  </w:style>
  <w:style w:type="character" w:customStyle="1" w:styleId="8">
    <w:name w:val="Body text|6_"/>
    <w:basedOn w:val="7"/>
    <w:link w:val="9"/>
    <w:qFormat/>
    <w:uiPriority w:val="0"/>
    <w:rPr>
      <w:b/>
      <w:bCs/>
      <w:sz w:val="72"/>
      <w:szCs w:val="72"/>
      <w:u w:val="none"/>
      <w:shd w:val="clear" w:color="auto" w:fill="auto"/>
      <w:lang w:val="zh-CN" w:eastAsia="zh-CN" w:bidi="zh-CN"/>
    </w:rPr>
  </w:style>
  <w:style w:type="paragraph" w:customStyle="1" w:styleId="9">
    <w:name w:val="Body text|6"/>
    <w:basedOn w:val="1"/>
    <w:link w:val="8"/>
    <w:qFormat/>
    <w:uiPriority w:val="0"/>
    <w:pPr>
      <w:widowControl w:val="0"/>
      <w:shd w:val="clear" w:color="auto" w:fill="auto"/>
      <w:spacing w:line="710" w:lineRule="exact"/>
      <w:jc w:val="center"/>
    </w:pPr>
    <w:rPr>
      <w:b/>
      <w:bCs/>
      <w:sz w:val="72"/>
      <w:szCs w:val="72"/>
      <w:u w:val="none"/>
      <w:shd w:val="clear" w:color="auto" w:fill="auto"/>
      <w:lang w:val="zh-CN" w:eastAsia="zh-CN" w:bidi="zh-CN"/>
    </w:rPr>
  </w:style>
  <w:style w:type="character" w:customStyle="1" w:styleId="10">
    <w:name w:val="Header or footer|2_"/>
    <w:basedOn w:val="7"/>
    <w:link w:val="11"/>
    <w:qFormat/>
    <w:uiPriority w:val="0"/>
    <w:rPr>
      <w:sz w:val="20"/>
      <w:szCs w:val="20"/>
      <w:u w:val="none"/>
      <w:shd w:val="clear" w:color="auto" w:fill="auto"/>
      <w:lang w:val="zh-TW" w:eastAsia="zh-TW" w:bidi="zh-TW"/>
    </w:rPr>
  </w:style>
  <w:style w:type="paragraph" w:customStyle="1" w:styleId="11">
    <w:name w:val="Header or footer|2"/>
    <w:basedOn w:val="1"/>
    <w:link w:val="10"/>
    <w:qFormat/>
    <w:uiPriority w:val="0"/>
    <w:pPr>
      <w:widowControl w:val="0"/>
      <w:shd w:val="clear" w:color="auto" w:fill="auto"/>
    </w:pPr>
    <w:rPr>
      <w:sz w:val="20"/>
      <w:szCs w:val="20"/>
      <w:u w:val="none"/>
      <w:shd w:val="clear" w:color="auto" w:fill="auto"/>
      <w:lang w:val="zh-TW" w:eastAsia="zh-TW" w:bidi="zh-TW"/>
    </w:rPr>
  </w:style>
  <w:style w:type="character" w:customStyle="1" w:styleId="12">
    <w:name w:val="Body text|5_"/>
    <w:basedOn w:val="7"/>
    <w:link w:val="13"/>
    <w:qFormat/>
    <w:uiPriority w:val="0"/>
    <w:rPr>
      <w:rFonts w:ascii="宋体" w:hAnsi="宋体" w:eastAsia="宋体" w:cs="宋体"/>
      <w:sz w:val="72"/>
      <w:szCs w:val="72"/>
      <w:u w:val="none"/>
      <w:shd w:val="clear" w:color="auto" w:fill="auto"/>
      <w:lang w:val="zh-TW" w:eastAsia="zh-TW" w:bidi="zh-TW"/>
    </w:rPr>
  </w:style>
  <w:style w:type="paragraph" w:customStyle="1" w:styleId="13">
    <w:name w:val="Body text|5"/>
    <w:basedOn w:val="1"/>
    <w:link w:val="12"/>
    <w:qFormat/>
    <w:uiPriority w:val="0"/>
    <w:pPr>
      <w:widowControl w:val="0"/>
      <w:shd w:val="clear" w:color="auto" w:fill="auto"/>
      <w:spacing w:line="710" w:lineRule="exact"/>
      <w:jc w:val="center"/>
    </w:pPr>
    <w:rPr>
      <w:rFonts w:ascii="宋体" w:hAnsi="宋体" w:eastAsia="宋体" w:cs="宋体"/>
      <w:sz w:val="72"/>
      <w:szCs w:val="72"/>
      <w:u w:val="none"/>
      <w:shd w:val="clear" w:color="auto" w:fill="auto"/>
      <w:lang w:val="zh-TW" w:eastAsia="zh-TW" w:bidi="zh-TW"/>
    </w:rPr>
  </w:style>
  <w:style w:type="character" w:customStyle="1" w:styleId="14">
    <w:name w:val="Body text|1_"/>
    <w:basedOn w:val="7"/>
    <w:link w:val="15"/>
    <w:qFormat/>
    <w:uiPriority w:val="0"/>
    <w:rPr>
      <w:rFonts w:ascii="宋体" w:hAnsi="宋体" w:eastAsia="宋体" w:cs="宋体"/>
      <w:sz w:val="30"/>
      <w:szCs w:val="30"/>
      <w:u w:val="none"/>
      <w:shd w:val="clear" w:color="auto" w:fill="auto"/>
      <w:lang w:val="zh-TW" w:eastAsia="zh-TW" w:bidi="zh-TW"/>
    </w:rPr>
  </w:style>
  <w:style w:type="paragraph" w:customStyle="1" w:styleId="15">
    <w:name w:val="Body text|1"/>
    <w:basedOn w:val="1"/>
    <w:link w:val="14"/>
    <w:qFormat/>
    <w:uiPriority w:val="0"/>
    <w:pPr>
      <w:widowControl w:val="0"/>
      <w:shd w:val="clear" w:color="auto" w:fill="auto"/>
      <w:spacing w:after="240"/>
      <w:ind w:firstLine="320"/>
    </w:pPr>
    <w:rPr>
      <w:rFonts w:ascii="宋体" w:hAnsi="宋体" w:eastAsia="宋体" w:cs="宋体"/>
      <w:sz w:val="30"/>
      <w:szCs w:val="30"/>
      <w:u w:val="none"/>
      <w:shd w:val="clear" w:color="auto" w:fill="auto"/>
      <w:lang w:val="zh-TW" w:eastAsia="zh-TW" w:bidi="zh-TW"/>
    </w:rPr>
  </w:style>
  <w:style w:type="character" w:customStyle="1" w:styleId="16">
    <w:name w:val="Body text|3_"/>
    <w:basedOn w:val="7"/>
    <w:link w:val="17"/>
    <w:qFormat/>
    <w:uiPriority w:val="0"/>
    <w:rPr>
      <w:rFonts w:ascii="宋体" w:hAnsi="宋体" w:eastAsia="宋体" w:cs="宋体"/>
      <w:sz w:val="42"/>
      <w:szCs w:val="42"/>
      <w:u w:val="none"/>
      <w:shd w:val="clear" w:color="auto" w:fill="auto"/>
      <w:lang w:val="zh-TW" w:eastAsia="zh-TW" w:bidi="zh-TW"/>
    </w:rPr>
  </w:style>
  <w:style w:type="paragraph" w:customStyle="1" w:styleId="17">
    <w:name w:val="Body text|3"/>
    <w:basedOn w:val="1"/>
    <w:link w:val="16"/>
    <w:qFormat/>
    <w:uiPriority w:val="0"/>
    <w:pPr>
      <w:widowControl w:val="0"/>
      <w:shd w:val="clear" w:color="auto" w:fill="auto"/>
      <w:spacing w:after="1640"/>
    </w:pPr>
    <w:rPr>
      <w:rFonts w:ascii="宋体" w:hAnsi="宋体" w:eastAsia="宋体" w:cs="宋体"/>
      <w:sz w:val="42"/>
      <w:szCs w:val="42"/>
      <w:u w:val="none"/>
      <w:shd w:val="clear" w:color="auto" w:fill="auto"/>
      <w:lang w:val="zh-TW" w:eastAsia="zh-TW" w:bidi="zh-TW"/>
    </w:rPr>
  </w:style>
  <w:style w:type="character" w:customStyle="1" w:styleId="18">
    <w:name w:val="Heading #1|1_"/>
    <w:basedOn w:val="7"/>
    <w:link w:val="19"/>
    <w:qFormat/>
    <w:uiPriority w:val="0"/>
    <w:rPr>
      <w:rFonts w:ascii="宋体" w:hAnsi="宋体" w:eastAsia="宋体" w:cs="宋体"/>
      <w:sz w:val="48"/>
      <w:szCs w:val="48"/>
      <w:u w:val="none"/>
      <w:shd w:val="clear" w:color="auto" w:fill="auto"/>
      <w:lang w:val="zh-TW" w:eastAsia="zh-TW" w:bidi="zh-TW"/>
    </w:rPr>
  </w:style>
  <w:style w:type="paragraph" w:customStyle="1" w:styleId="19">
    <w:name w:val="Heading #1|1"/>
    <w:basedOn w:val="1"/>
    <w:link w:val="18"/>
    <w:qFormat/>
    <w:uiPriority w:val="0"/>
    <w:pPr>
      <w:widowControl w:val="0"/>
      <w:shd w:val="clear" w:color="auto" w:fill="auto"/>
      <w:jc w:val="center"/>
      <w:outlineLvl w:val="0"/>
    </w:pPr>
    <w:rPr>
      <w:rFonts w:ascii="宋体" w:hAnsi="宋体" w:eastAsia="宋体" w:cs="宋体"/>
      <w:sz w:val="48"/>
      <w:szCs w:val="48"/>
      <w:u w:val="none"/>
      <w:shd w:val="clear" w:color="auto" w:fill="auto"/>
      <w:lang w:val="zh-TW" w:eastAsia="zh-TW" w:bidi="zh-TW"/>
    </w:rPr>
  </w:style>
  <w:style w:type="character" w:customStyle="1" w:styleId="20">
    <w:name w:val="Header or footer|1_"/>
    <w:basedOn w:val="7"/>
    <w:link w:val="21"/>
    <w:qFormat/>
    <w:uiPriority w:val="0"/>
    <w:rPr>
      <w:sz w:val="28"/>
      <w:szCs w:val="28"/>
      <w:u w:val="none"/>
      <w:shd w:val="clear" w:color="auto" w:fill="auto"/>
      <w:lang w:val="zh-TW" w:eastAsia="zh-TW" w:bidi="zh-TW"/>
    </w:rPr>
  </w:style>
  <w:style w:type="paragraph" w:customStyle="1" w:styleId="21">
    <w:name w:val="Header or footer|1"/>
    <w:basedOn w:val="1"/>
    <w:link w:val="20"/>
    <w:qFormat/>
    <w:uiPriority w:val="0"/>
    <w:pPr>
      <w:widowControl w:val="0"/>
      <w:shd w:val="clear" w:color="auto" w:fill="auto"/>
    </w:pPr>
    <w:rPr>
      <w:sz w:val="28"/>
      <w:szCs w:val="28"/>
      <w:u w:val="none"/>
      <w:shd w:val="clear" w:color="auto" w:fill="auto"/>
      <w:lang w:val="zh-TW" w:eastAsia="zh-TW" w:bidi="zh-TW"/>
    </w:rPr>
  </w:style>
  <w:style w:type="character" w:customStyle="1" w:styleId="22">
    <w:name w:val="Body text|4_"/>
    <w:basedOn w:val="7"/>
    <w:link w:val="23"/>
    <w:qFormat/>
    <w:uiPriority w:val="0"/>
    <w:rPr>
      <w:rFonts w:ascii="宋体" w:hAnsi="宋体" w:eastAsia="宋体" w:cs="宋体"/>
      <w:sz w:val="48"/>
      <w:szCs w:val="48"/>
      <w:u w:val="none"/>
      <w:shd w:val="clear" w:color="auto" w:fill="auto"/>
      <w:lang w:val="zh-TW" w:eastAsia="zh-TW" w:bidi="zh-TW"/>
    </w:rPr>
  </w:style>
  <w:style w:type="paragraph" w:customStyle="1" w:styleId="23">
    <w:name w:val="Body text|4"/>
    <w:basedOn w:val="1"/>
    <w:link w:val="22"/>
    <w:qFormat/>
    <w:uiPriority w:val="0"/>
    <w:pPr>
      <w:widowControl w:val="0"/>
      <w:shd w:val="clear" w:color="auto" w:fill="auto"/>
      <w:jc w:val="center"/>
    </w:pPr>
    <w:rPr>
      <w:rFonts w:ascii="宋体" w:hAnsi="宋体" w:eastAsia="宋体" w:cs="宋体"/>
      <w:sz w:val="48"/>
      <w:szCs w:val="48"/>
      <w:u w:val="none"/>
      <w:shd w:val="clear" w:color="auto" w:fill="auto"/>
      <w:lang w:val="zh-TW" w:eastAsia="zh-TW" w:bidi="zh-TW"/>
    </w:rPr>
  </w:style>
  <w:style w:type="character" w:customStyle="1" w:styleId="24">
    <w:name w:val="Heading #2|1_"/>
    <w:basedOn w:val="7"/>
    <w:link w:val="25"/>
    <w:qFormat/>
    <w:uiPriority w:val="0"/>
    <w:rPr>
      <w:rFonts w:ascii="宋体" w:hAnsi="宋体" w:eastAsia="宋体" w:cs="宋体"/>
      <w:sz w:val="42"/>
      <w:szCs w:val="42"/>
      <w:u w:val="none"/>
      <w:shd w:val="clear" w:color="auto" w:fill="auto"/>
      <w:lang w:val="zh-TW" w:eastAsia="zh-TW" w:bidi="zh-TW"/>
    </w:rPr>
  </w:style>
  <w:style w:type="paragraph" w:customStyle="1" w:styleId="25">
    <w:name w:val="Heading #2|1"/>
    <w:basedOn w:val="1"/>
    <w:link w:val="24"/>
    <w:qFormat/>
    <w:uiPriority w:val="0"/>
    <w:pPr>
      <w:widowControl w:val="0"/>
      <w:shd w:val="clear" w:color="auto" w:fill="auto"/>
      <w:spacing w:after="520"/>
      <w:jc w:val="center"/>
      <w:outlineLvl w:val="1"/>
    </w:pPr>
    <w:rPr>
      <w:rFonts w:ascii="宋体" w:hAnsi="宋体" w:eastAsia="宋体" w:cs="宋体"/>
      <w:sz w:val="42"/>
      <w:szCs w:val="42"/>
      <w:u w:val="none"/>
      <w:shd w:val="clear" w:color="auto" w:fill="auto"/>
      <w:lang w:val="zh-TW" w:eastAsia="zh-TW" w:bidi="zh-TW"/>
    </w:rPr>
  </w:style>
  <w:style w:type="character" w:customStyle="1" w:styleId="26">
    <w:name w:val="Body text|2_"/>
    <w:basedOn w:val="7"/>
    <w:link w:val="27"/>
    <w:qFormat/>
    <w:uiPriority w:val="0"/>
    <w:rPr>
      <w:rFonts w:ascii="宋体" w:hAnsi="宋体" w:eastAsia="宋体" w:cs="宋体"/>
      <w:u w:val="none"/>
      <w:shd w:val="clear" w:color="auto" w:fill="auto"/>
      <w:lang w:val="zh-TW" w:eastAsia="zh-TW" w:bidi="zh-TW"/>
    </w:rPr>
  </w:style>
  <w:style w:type="paragraph" w:customStyle="1" w:styleId="27">
    <w:name w:val="Body text|2"/>
    <w:basedOn w:val="1"/>
    <w:link w:val="26"/>
    <w:qFormat/>
    <w:uiPriority w:val="0"/>
    <w:pPr>
      <w:widowControl w:val="0"/>
      <w:shd w:val="clear" w:color="auto" w:fill="auto"/>
      <w:ind w:right="460"/>
      <w:jc w:val="right"/>
    </w:pPr>
    <w:rPr>
      <w:rFonts w:ascii="宋体" w:hAnsi="宋体" w:eastAsia="宋体" w:cs="宋体"/>
      <w:u w:val="none"/>
      <w:shd w:val="clear" w:color="auto" w:fill="auto"/>
      <w:lang w:val="zh-TW" w:eastAsia="zh-TW" w:bidi="zh-TW"/>
    </w:rPr>
  </w:style>
  <w:style w:type="character" w:customStyle="1" w:styleId="28">
    <w:name w:val="Table caption|1_"/>
    <w:basedOn w:val="7"/>
    <w:link w:val="29"/>
    <w:qFormat/>
    <w:uiPriority w:val="0"/>
    <w:rPr>
      <w:rFonts w:ascii="宋体" w:hAnsi="宋体" w:eastAsia="宋体" w:cs="宋体"/>
      <w:sz w:val="18"/>
      <w:szCs w:val="18"/>
      <w:u w:val="none"/>
      <w:shd w:val="clear" w:color="auto" w:fill="auto"/>
      <w:lang w:val="zh-TW" w:eastAsia="zh-TW" w:bidi="zh-TW"/>
    </w:rPr>
  </w:style>
  <w:style w:type="paragraph" w:customStyle="1" w:styleId="29">
    <w:name w:val="Table caption|1"/>
    <w:basedOn w:val="1"/>
    <w:link w:val="28"/>
    <w:qFormat/>
    <w:uiPriority w:val="0"/>
    <w:pPr>
      <w:widowControl w:val="0"/>
      <w:shd w:val="clear" w:color="auto" w:fill="auto"/>
      <w:spacing w:line="274" w:lineRule="exact"/>
    </w:pPr>
    <w:rPr>
      <w:rFonts w:ascii="宋体" w:hAnsi="宋体" w:eastAsia="宋体" w:cs="宋体"/>
      <w:sz w:val="18"/>
      <w:szCs w:val="18"/>
      <w:u w:val="none"/>
      <w:shd w:val="clear" w:color="auto" w:fill="auto"/>
      <w:lang w:val="zh-TW" w:eastAsia="zh-TW" w:bidi="zh-TW"/>
    </w:rPr>
  </w:style>
  <w:style w:type="character" w:customStyle="1" w:styleId="30">
    <w:name w:val="Other|1_"/>
    <w:basedOn w:val="7"/>
    <w:link w:val="31"/>
    <w:qFormat/>
    <w:uiPriority w:val="0"/>
    <w:rPr>
      <w:rFonts w:ascii="宋体" w:hAnsi="宋体" w:eastAsia="宋体" w:cs="宋体"/>
      <w:sz w:val="30"/>
      <w:szCs w:val="30"/>
      <w:u w:val="none"/>
      <w:shd w:val="clear" w:color="auto" w:fill="auto"/>
      <w:lang w:val="zh-TW" w:eastAsia="zh-TW" w:bidi="zh-TW"/>
    </w:rPr>
  </w:style>
  <w:style w:type="paragraph" w:customStyle="1" w:styleId="31">
    <w:name w:val="Other|1"/>
    <w:basedOn w:val="1"/>
    <w:link w:val="30"/>
    <w:qFormat/>
    <w:uiPriority w:val="0"/>
    <w:pPr>
      <w:widowControl w:val="0"/>
      <w:shd w:val="clear" w:color="auto" w:fill="auto"/>
      <w:spacing w:after="240"/>
      <w:ind w:firstLine="320"/>
    </w:pPr>
    <w:rPr>
      <w:rFonts w:ascii="宋体" w:hAnsi="宋体" w:eastAsia="宋体" w:cs="宋体"/>
      <w:sz w:val="30"/>
      <w:szCs w:val="30"/>
      <w:u w:val="none"/>
      <w:shd w:val="clear" w:color="auto" w:fill="auto"/>
      <w:lang w:val="zh-TW" w:eastAsia="zh-TW" w:bidi="zh-TW"/>
    </w:rPr>
  </w:style>
  <w:style w:type="character" w:customStyle="1" w:styleId="32">
    <w:name w:val="Heading #3|1_"/>
    <w:basedOn w:val="7"/>
    <w:link w:val="33"/>
    <w:qFormat/>
    <w:uiPriority w:val="0"/>
    <w:rPr>
      <w:rFonts w:ascii="宋体" w:hAnsi="宋体" w:eastAsia="宋体" w:cs="宋体"/>
      <w:u w:val="none"/>
      <w:shd w:val="clear" w:color="auto" w:fill="auto"/>
      <w:lang w:val="zh-TW" w:eastAsia="zh-TW" w:bidi="zh-TW"/>
    </w:rPr>
  </w:style>
  <w:style w:type="paragraph" w:customStyle="1" w:styleId="33">
    <w:name w:val="Heading #3|1"/>
    <w:basedOn w:val="1"/>
    <w:link w:val="32"/>
    <w:qFormat/>
    <w:uiPriority w:val="0"/>
    <w:pPr>
      <w:widowControl w:val="0"/>
      <w:shd w:val="clear" w:color="auto" w:fill="auto"/>
      <w:jc w:val="right"/>
      <w:outlineLvl w:val="2"/>
    </w:pPr>
    <w:rPr>
      <w:rFonts w:ascii="宋体" w:hAnsi="宋体" w:eastAsia="宋体" w:cs="宋体"/>
      <w:u w:val="none"/>
      <w:shd w:val="clear" w:color="auto" w:fill="auto"/>
      <w:lang w:val="zh-TW" w:eastAsia="zh-TW" w:bidi="zh-TW"/>
    </w:rPr>
  </w:style>
  <w:style w:type="character" w:customStyle="1" w:styleId="34">
    <w:name w:val="Picture caption|1_"/>
    <w:basedOn w:val="7"/>
    <w:link w:val="35"/>
    <w:qFormat/>
    <w:uiPriority w:val="0"/>
    <w:rPr>
      <w:rFonts w:ascii="宋体" w:hAnsi="宋体" w:eastAsia="宋体" w:cs="宋体"/>
      <w:sz w:val="30"/>
      <w:szCs w:val="30"/>
      <w:u w:val="none"/>
      <w:shd w:val="clear" w:color="auto" w:fill="auto"/>
      <w:lang w:val="zh-TW" w:eastAsia="zh-TW" w:bidi="zh-TW"/>
    </w:rPr>
  </w:style>
  <w:style w:type="paragraph" w:customStyle="1" w:styleId="35">
    <w:name w:val="Picture caption|1"/>
    <w:basedOn w:val="1"/>
    <w:link w:val="34"/>
    <w:qFormat/>
    <w:uiPriority w:val="0"/>
    <w:pPr>
      <w:widowControl w:val="0"/>
      <w:shd w:val="clear" w:color="auto" w:fill="auto"/>
      <w:spacing w:line="593" w:lineRule="exact"/>
      <w:ind w:firstLine="62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notes" Target="footnotes.xml"/><Relationship Id="rId29" Type="http://schemas.openxmlformats.org/officeDocument/2006/relationships/image" Target="media/image10.jpe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2.xml"/><Relationship Id="rId17" Type="http://schemas.openxmlformats.org/officeDocument/2006/relationships/header" Target="header2.xml"/><Relationship Id="rId16" Type="http://schemas.openxmlformats.org/officeDocument/2006/relationships/footer" Target="footer11.xml"/><Relationship Id="rId15" Type="http://schemas.openxmlformats.org/officeDocument/2006/relationships/header" Target="header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48</Pages>
  <Words>13240</Words>
  <Characters>14667</Characters>
  <Lines>1</Lines>
  <Paragraphs>1</Paragraphs>
  <TotalTime>3</TotalTime>
  <ScaleCrop>false</ScaleCrop>
  <LinksUpToDate>false</LinksUpToDate>
  <CharactersWithSpaces>14953</CharactersWithSpaces>
  <Application>WPS Office_11.1.0.12763_F1E327BC-269C-435d-A152-05C5408002CA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2022-10-20T09:18:00Z</dcterms:created>
  <dc:creator>Administrator</dc:creator>
  <cp:lastModifiedBy>慕冰</cp:lastModifiedBy>
  <dcterms:modified xsi:type="dcterms:W3CDTF">2022-12-05T03:49:34Z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D5CC6C3B5EB642FDBAE53CE3AA238E9B</vt:lpwstr>
  </property>
</Properties>
</file>