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hint="eastAsia" w:ascii="方正小标宋简体" w:hAnsi="仿宋_GB2312" w:eastAsia="方正小标宋简体" w:cs="仿宋_GB2312"/>
          <w:sz w:val="44"/>
          <w:szCs w:val="44"/>
        </w:rPr>
      </w:pPr>
      <w:r>
        <w:rPr>
          <w:rFonts w:hint="eastAsia" w:ascii="方正小标宋简体" w:hAnsi="黑体" w:eastAsia="方正小标宋简体" w:cs="仿宋_GB2312"/>
          <w:sz w:val="44"/>
          <w:szCs w:val="44"/>
          <w:lang w:eastAsia="zh-CN"/>
        </w:rPr>
        <w:t>张店区商务局</w:t>
      </w:r>
      <w:r>
        <w:rPr>
          <w:rFonts w:hint="eastAsia" w:ascii="方正小标宋简体" w:hAnsi="黑体" w:eastAsia="方正小标宋简体" w:cs="仿宋_GB2312"/>
          <w:sz w:val="44"/>
          <w:szCs w:val="44"/>
        </w:rPr>
        <w:t>202</w:t>
      </w:r>
      <w:r>
        <w:rPr>
          <w:rFonts w:hint="eastAsia" w:ascii="方正小标宋简体" w:hAnsi="黑体" w:eastAsia="方正小标宋简体" w:cs="仿宋_GB2312"/>
          <w:sz w:val="44"/>
          <w:szCs w:val="44"/>
          <w:lang w:val="en-US" w:eastAsia="zh-CN"/>
        </w:rPr>
        <w:t>1</w:t>
      </w:r>
      <w:r>
        <w:rPr>
          <w:rFonts w:hint="eastAsia" w:ascii="方正小标宋简体" w:hAnsi="黑体" w:eastAsia="方正小标宋简体" w:cs="仿宋_GB2312"/>
          <w:sz w:val="44"/>
          <w:szCs w:val="44"/>
        </w:rPr>
        <w:t>年度行政执法数据统计表</w:t>
      </w: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张店区商务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年度行政许可情况统计表</w:t>
      </w:r>
    </w:p>
    <w:tbl>
      <w:tblPr>
        <w:tblStyle w:val="6"/>
        <w:tblW w:w="13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736" w:type="dxa"/>
            <w:vMerge w:val="restart"/>
            <w:noWrap w:val="0"/>
            <w:vAlign w:val="center"/>
          </w:tcPr>
          <w:p>
            <w:pPr>
              <w:spacing w:line="480" w:lineRule="exact"/>
              <w:jc w:val="center"/>
              <w:rPr>
                <w:rFonts w:hint="eastAsia" w:ascii="黑体" w:hAnsi="黑体" w:eastAsia="黑体" w:cs="黑体"/>
                <w:sz w:val="30"/>
                <w:szCs w:val="30"/>
              </w:rPr>
            </w:pPr>
            <w:r>
              <w:rPr>
                <w:rFonts w:hint="eastAsia" w:ascii="黑体" w:hAnsi="黑体" w:eastAsia="黑体" w:cs="黑体"/>
                <w:sz w:val="30"/>
                <w:szCs w:val="30"/>
              </w:rPr>
              <w:t>单位名称</w:t>
            </w:r>
          </w:p>
        </w:tc>
        <w:tc>
          <w:tcPr>
            <w:tcW w:w="6354" w:type="dxa"/>
            <w:gridSpan w:val="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736" w:type="dxa"/>
            <w:vMerge w:val="continue"/>
            <w:noWrap w:val="0"/>
            <w:vAlign w:val="center"/>
          </w:tcPr>
          <w:p>
            <w:pPr>
              <w:spacing w:line="480" w:lineRule="exact"/>
              <w:jc w:val="center"/>
              <w:rPr>
                <w:rFonts w:hint="eastAsia" w:ascii="黑体" w:hAnsi="黑体" w:eastAsia="黑体" w:cs="黑体"/>
                <w:sz w:val="30"/>
                <w:szCs w:val="30"/>
              </w:rPr>
            </w:pPr>
          </w:p>
        </w:tc>
        <w:tc>
          <w:tcPr>
            <w:tcW w:w="2184"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受理数量</w:t>
            </w:r>
          </w:p>
        </w:tc>
        <w:tc>
          <w:tcPr>
            <w:tcW w:w="2126"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许可数量</w:t>
            </w:r>
          </w:p>
        </w:tc>
        <w:tc>
          <w:tcPr>
            <w:tcW w:w="2044"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noWrap w:val="0"/>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3736" w:type="dxa"/>
            <w:noWrap w:val="0"/>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张店区商务</w:t>
            </w:r>
            <w:r>
              <w:rPr>
                <w:rFonts w:hint="eastAsia" w:ascii="仿宋_GB2312" w:hAnsi="仿宋_GB2312" w:eastAsia="仿宋_GB2312" w:cs="仿宋_GB2312"/>
                <w:sz w:val="28"/>
                <w:szCs w:val="28"/>
              </w:rPr>
              <w:t>局</w:t>
            </w:r>
          </w:p>
        </w:tc>
        <w:tc>
          <w:tcPr>
            <w:tcW w:w="2184"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2"/>
                <w:lang w:val="en-US" w:eastAsia="zh-CN"/>
              </w:rPr>
              <w:t>7</w:t>
            </w:r>
          </w:p>
        </w:tc>
        <w:tc>
          <w:tcPr>
            <w:tcW w:w="2126"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2"/>
                <w:lang w:val="en-US" w:eastAsia="zh-CN"/>
              </w:rPr>
              <w:t>7</w:t>
            </w:r>
          </w:p>
        </w:tc>
        <w:tc>
          <w:tcPr>
            <w:tcW w:w="2044" w:type="dxa"/>
            <w:noWrap w:val="0"/>
            <w:vAlign w:val="center"/>
          </w:tcPr>
          <w:p>
            <w:pPr>
              <w:spacing w:line="480" w:lineRule="exact"/>
              <w:jc w:val="center"/>
              <w:rPr>
                <w:rFonts w:hint="eastAsia" w:ascii="仿宋_GB2312" w:hAnsi="仿宋_GB2312" w:eastAsia="仿宋_GB2312" w:cs="仿宋_GB2312"/>
                <w:sz w:val="28"/>
                <w:szCs w:val="22"/>
                <w:lang w:val="en-US" w:eastAsia="zh-CN"/>
              </w:rPr>
            </w:pPr>
            <w:r>
              <w:rPr>
                <w:rFonts w:hint="default" w:ascii="仿宋_GB2312" w:hAnsi="仿宋_GB2312" w:eastAsia="仿宋_GB2312" w:cs="仿宋_GB2312"/>
                <w:sz w:val="28"/>
                <w:szCs w:val="22"/>
                <w:lang w:val="en-US" w:eastAsia="zh-CN"/>
              </w:rPr>
              <w:t>0</w:t>
            </w:r>
          </w:p>
        </w:tc>
        <w:tc>
          <w:tcPr>
            <w:tcW w:w="3410" w:type="dxa"/>
            <w:noWrap w:val="0"/>
            <w:vAlign w:val="center"/>
          </w:tcPr>
          <w:p>
            <w:pPr>
              <w:spacing w:line="480" w:lineRule="exact"/>
              <w:jc w:val="center"/>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3736" w:type="dxa"/>
            <w:noWrap w:val="0"/>
            <w:vAlign w:val="top"/>
          </w:tcPr>
          <w:p>
            <w:pPr>
              <w:spacing w:line="480" w:lineRule="exact"/>
              <w:jc w:val="center"/>
              <w:rPr>
                <w:rFonts w:hint="eastAsia" w:ascii="仿宋_GB2312" w:hAnsi="仿宋_GB2312" w:eastAsia="仿宋_GB2312" w:cs="仿宋_GB2312"/>
                <w:sz w:val="28"/>
                <w:szCs w:val="28"/>
              </w:rPr>
            </w:pPr>
            <w:r>
              <w:rPr>
                <w:rFonts w:hint="eastAsia" w:ascii="黑体" w:hAnsi="黑体" w:eastAsia="黑体" w:cs="黑体"/>
                <w:sz w:val="28"/>
                <w:szCs w:val="28"/>
              </w:rPr>
              <w:t>合计</w:t>
            </w:r>
          </w:p>
        </w:tc>
        <w:tc>
          <w:tcPr>
            <w:tcW w:w="2184"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2"/>
                <w:lang w:val="en-US" w:eastAsia="zh-CN"/>
              </w:rPr>
              <w:t>7</w:t>
            </w:r>
          </w:p>
        </w:tc>
        <w:tc>
          <w:tcPr>
            <w:tcW w:w="2126"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2"/>
                <w:lang w:val="en-US" w:eastAsia="zh-CN"/>
              </w:rPr>
              <w:t>7</w:t>
            </w:r>
          </w:p>
        </w:tc>
        <w:tc>
          <w:tcPr>
            <w:tcW w:w="2044" w:type="dxa"/>
            <w:noWrap w:val="0"/>
            <w:vAlign w:val="center"/>
          </w:tcPr>
          <w:p>
            <w:pPr>
              <w:spacing w:line="480" w:lineRule="exact"/>
              <w:jc w:val="center"/>
              <w:rPr>
                <w:rFonts w:hint="eastAsia" w:ascii="文星标宋" w:hAnsi="文星标宋" w:eastAsia="文星标宋" w:cs="文星标宋"/>
                <w:sz w:val="44"/>
                <w:szCs w:val="44"/>
              </w:rPr>
            </w:pPr>
            <w:r>
              <w:rPr>
                <w:rFonts w:hint="default" w:ascii="仿宋_GB2312" w:hAnsi="仿宋_GB2312" w:eastAsia="仿宋_GB2312" w:cs="仿宋_GB2312"/>
                <w:sz w:val="28"/>
                <w:szCs w:val="22"/>
                <w:lang w:val="en-US" w:eastAsia="zh-CN"/>
              </w:rPr>
              <w:t>0</w:t>
            </w:r>
          </w:p>
        </w:tc>
        <w:tc>
          <w:tcPr>
            <w:tcW w:w="3410"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2"/>
                <w:lang w:val="en-US" w:eastAsia="zh-CN"/>
              </w:rPr>
              <w:t>0</w:t>
            </w:r>
          </w:p>
        </w:tc>
      </w:tr>
    </w:tbl>
    <w:p>
      <w:pPr>
        <w:spacing w:line="320" w:lineRule="exact"/>
        <w:rPr>
          <w:rFonts w:hint="eastAsia"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hint="eastAsia"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张店区商务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年度行政处罚情况统计表</w:t>
      </w: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044" w:type="dxa"/>
            <w:vMerge w:val="restart"/>
            <w:noWrap w:val="0"/>
            <w:vAlign w:val="center"/>
          </w:tcPr>
          <w:p>
            <w:pPr>
              <w:spacing w:line="480" w:lineRule="exact"/>
              <w:jc w:val="center"/>
            </w:pPr>
            <w:r>
              <w:rPr>
                <w:rFonts w:hint="eastAsia" w:ascii="黑体" w:hAnsi="黑体" w:eastAsia="黑体" w:cs="黑体"/>
                <w:sz w:val="28"/>
                <w:szCs w:val="28"/>
              </w:rPr>
              <w:t>单位名称</w:t>
            </w:r>
          </w:p>
        </w:tc>
        <w:tc>
          <w:tcPr>
            <w:tcW w:w="9072" w:type="dxa"/>
            <w:gridSpan w:val="1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被行政复议应诉数量</w:t>
            </w:r>
          </w:p>
        </w:tc>
        <w:tc>
          <w:tcPr>
            <w:tcW w:w="851" w:type="dxa"/>
            <w:vMerge w:val="restart"/>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1044" w:type="dxa"/>
            <w:vMerge w:val="continue"/>
            <w:noWrap w:val="0"/>
            <w:vAlign w:val="top"/>
          </w:tcPr>
          <w:p>
            <w:pPr>
              <w:spacing w:line="480" w:lineRule="exact"/>
              <w:jc w:val="center"/>
            </w:pP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立案数量</w:t>
            </w: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结案数量</w:t>
            </w: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警告</w:t>
            </w: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罚款</w:t>
            </w:r>
          </w:p>
        </w:tc>
        <w:tc>
          <w:tcPr>
            <w:tcW w:w="850" w:type="dxa"/>
            <w:noWrap w:val="0"/>
            <w:vAlign w:val="center"/>
          </w:tcPr>
          <w:p>
            <w:pPr>
              <w:spacing w:line="200" w:lineRule="exact"/>
              <w:jc w:val="center"/>
              <w:rPr>
                <w:rFonts w:hint="eastAsia" w:ascii="黑体" w:hAnsi="黑体" w:eastAsia="黑体" w:cs="黑体"/>
              </w:rPr>
            </w:pPr>
            <w:r>
              <w:rPr>
                <w:rFonts w:hint="eastAsia" w:ascii="黑体" w:hAnsi="黑体" w:eastAsia="黑体" w:cs="黑体"/>
                <w:spacing w:val="-11"/>
              </w:rPr>
              <w:t>没收违法所得、没收非法财物</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暂扣许可证、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责令停产停业</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吊销许可证、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w:t>
            </w:r>
          </w:p>
          <w:p>
            <w:pPr>
              <w:spacing w:line="240" w:lineRule="exact"/>
              <w:jc w:val="center"/>
              <w:rPr>
                <w:rFonts w:hint="eastAsia" w:ascii="黑体" w:hAnsi="黑体" w:eastAsia="黑体" w:cs="黑体"/>
              </w:rPr>
            </w:pPr>
            <w:r>
              <w:rPr>
                <w:rFonts w:hint="eastAsia" w:ascii="黑体" w:hAnsi="黑体" w:eastAsia="黑体" w:cs="黑体"/>
              </w:rPr>
              <w:t>拘留</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其他行政处罚</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罚没金额</w:t>
            </w:r>
          </w:p>
          <w:p>
            <w:pPr>
              <w:spacing w:line="240" w:lineRule="exact"/>
              <w:jc w:val="center"/>
              <w:rPr>
                <w:rFonts w:hint="eastAsia" w:ascii="黑体" w:hAnsi="黑体" w:eastAsia="黑体" w:cs="黑体"/>
              </w:rPr>
            </w:pPr>
            <w:r>
              <w:rPr>
                <w:rFonts w:hint="eastAsia" w:ascii="黑体" w:hAnsi="黑体" w:eastAsia="黑体" w:cs="黑体"/>
              </w:rPr>
              <w:t>（万元）</w:t>
            </w:r>
          </w:p>
        </w:tc>
        <w:tc>
          <w:tcPr>
            <w:tcW w:w="85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不予处罚案件数及不罚金额</w:t>
            </w:r>
          </w:p>
        </w:tc>
        <w:tc>
          <w:tcPr>
            <w:tcW w:w="851"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减轻处罚的案件数及减轻金额</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被行政复议数量</w:t>
            </w:r>
          </w:p>
        </w:tc>
        <w:tc>
          <w:tcPr>
            <w:tcW w:w="70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被行政复议纠错数量</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被行政诉讼数量</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行政诉讼败诉数量</w:t>
            </w:r>
          </w:p>
        </w:tc>
        <w:tc>
          <w:tcPr>
            <w:tcW w:w="851" w:type="dxa"/>
            <w:vMerge w:val="continue"/>
            <w:noWrap w:val="0"/>
            <w:vAlign w:val="center"/>
          </w:tcPr>
          <w:p>
            <w:pPr>
              <w:spacing w:line="24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044" w:type="dxa"/>
            <w:noWrap w:val="0"/>
            <w:vAlign w:val="center"/>
          </w:tcPr>
          <w:p>
            <w:pPr>
              <w:spacing w:line="320" w:lineRule="exact"/>
              <w:jc w:val="center"/>
            </w:pPr>
            <w:r>
              <w:rPr>
                <w:rFonts w:hint="eastAsia" w:ascii="仿宋_GB2312" w:hAnsi="仿宋_GB2312" w:eastAsia="仿宋_GB2312" w:cs="仿宋_GB2312"/>
                <w:sz w:val="28"/>
                <w:szCs w:val="28"/>
                <w:lang w:val="en-US" w:eastAsia="zh-CN"/>
              </w:rPr>
              <w:t>张店区商务</w:t>
            </w:r>
            <w:r>
              <w:rPr>
                <w:rFonts w:hint="eastAsia" w:ascii="仿宋_GB2312" w:hAnsi="仿宋_GB2312" w:eastAsia="仿宋_GB2312" w:cs="仿宋_GB2312"/>
                <w:sz w:val="28"/>
                <w:szCs w:val="28"/>
              </w:rPr>
              <w:t>局</w:t>
            </w:r>
          </w:p>
        </w:tc>
        <w:tc>
          <w:tcPr>
            <w:tcW w:w="567" w:type="dxa"/>
            <w:noWrap w:val="0"/>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30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44" w:type="dxa"/>
            <w:noWrap w:val="0"/>
            <w:vAlign w:val="top"/>
          </w:tcPr>
          <w:p>
            <w:pPr>
              <w:spacing w:line="480" w:lineRule="exact"/>
              <w:jc w:val="center"/>
            </w:pPr>
            <w:r>
              <w:rPr>
                <w:rFonts w:hint="eastAsia" w:ascii="黑体" w:hAnsi="黑体" w:eastAsia="黑体" w:cs="黑体"/>
                <w:sz w:val="28"/>
                <w:szCs w:val="28"/>
              </w:rPr>
              <w:t>合计</w:t>
            </w:r>
          </w:p>
        </w:tc>
        <w:tc>
          <w:tcPr>
            <w:tcW w:w="567" w:type="dxa"/>
            <w:noWrap w:val="0"/>
            <w:vAlign w:val="center"/>
          </w:tcPr>
          <w:p>
            <w:pPr>
              <w:spacing w:line="48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r>
    </w:tbl>
    <w:p>
      <w:pPr>
        <w:spacing w:line="260" w:lineRule="exact"/>
        <w:ind w:left="1050" w:hanging="1050" w:hangingChars="500"/>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hint="eastAsia" w:ascii="仿宋_GB2312" w:hAnsi="仿宋_GB2312" w:eastAsia="仿宋_GB2312" w:cs="仿宋_GB2312"/>
          <w:sz w:val="24"/>
        </w:rPr>
      </w:pPr>
      <w:r>
        <w:rPr>
          <w:rFonts w:hint="eastAsia" w:ascii="仿宋_GB2312" w:hAnsi="仿宋_GB2312" w:eastAsia="仿宋_GB2312" w:cs="仿宋_GB2312"/>
        </w:rPr>
        <w:t>7.不予处罚、减轻处罚案件情况统计范围为6月1日至12月31日，以进入处罚立案程序的案件为准，不属于本次公开的范围。</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val="en-US" w:eastAsia="zh-CN"/>
        </w:rPr>
        <w:t>张店区商务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年度行政强制情况统计表</w:t>
      </w:r>
    </w:p>
    <w:p>
      <w:pPr>
        <w:spacing w:line="480" w:lineRule="exact"/>
        <w:jc w:val="center"/>
        <w:rPr>
          <w:rFonts w:hint="eastAsia" w:ascii="文星标宋" w:hAnsi="文星标宋" w:eastAsia="文星标宋" w:cs="文星标宋"/>
          <w:sz w:val="44"/>
          <w:szCs w:val="44"/>
        </w:rPr>
      </w:pPr>
    </w:p>
    <w:tbl>
      <w:tblPr>
        <w:tblStyle w:val="6"/>
        <w:tblW w:w="13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381" w:type="dxa"/>
            <w:vMerge w:val="restart"/>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noWrap w:val="0"/>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381" w:type="dxa"/>
            <w:vMerge w:val="continue"/>
            <w:noWrap w:val="0"/>
            <w:vAlign w:val="center"/>
          </w:tcPr>
          <w:p>
            <w:pPr>
              <w:spacing w:line="300" w:lineRule="exact"/>
              <w:jc w:val="center"/>
              <w:rPr>
                <w:rFonts w:hint="eastAsia" w:ascii="黑体" w:hAnsi="黑体" w:eastAsia="黑体" w:cs="黑体"/>
                <w:sz w:val="28"/>
                <w:szCs w:val="28"/>
              </w:rPr>
            </w:pPr>
          </w:p>
        </w:tc>
        <w:tc>
          <w:tcPr>
            <w:tcW w:w="3854" w:type="dxa"/>
            <w:gridSpan w:val="5"/>
            <w:vMerge w:val="continue"/>
            <w:noWrap w:val="0"/>
            <w:vAlign w:val="center"/>
          </w:tcPr>
          <w:p>
            <w:pPr>
              <w:spacing w:line="320" w:lineRule="exact"/>
              <w:jc w:val="center"/>
              <w:rPr>
                <w:rFonts w:hint="eastAsia" w:ascii="黑体" w:hAnsi="黑体" w:eastAsia="黑体" w:cs="黑体"/>
                <w:sz w:val="28"/>
                <w:szCs w:val="28"/>
              </w:rPr>
            </w:pPr>
          </w:p>
        </w:tc>
        <w:tc>
          <w:tcPr>
            <w:tcW w:w="5518" w:type="dxa"/>
            <w:gridSpan w:val="7"/>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noWrap w:val="0"/>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2381" w:type="dxa"/>
            <w:vMerge w:val="continue"/>
            <w:noWrap w:val="0"/>
            <w:vAlign w:val="top"/>
          </w:tcPr>
          <w:p>
            <w:pPr>
              <w:spacing w:line="480" w:lineRule="exact"/>
              <w:jc w:val="center"/>
            </w:pPr>
          </w:p>
        </w:tc>
        <w:tc>
          <w:tcPr>
            <w:tcW w:w="771" w:type="dxa"/>
            <w:noWrap w:val="0"/>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noWrap w:val="0"/>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noWrap w:val="0"/>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noWrap w:val="0"/>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加处罚款或者滞纳金</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划拨存款、汇款</w:t>
            </w:r>
          </w:p>
        </w:tc>
        <w:tc>
          <w:tcPr>
            <w:tcW w:w="802" w:type="dxa"/>
            <w:noWrap w:val="0"/>
            <w:vAlign w:val="center"/>
          </w:tcPr>
          <w:p>
            <w:pPr>
              <w:spacing w:line="220" w:lineRule="exact"/>
              <w:jc w:val="center"/>
              <w:rPr>
                <w:rFonts w:hint="eastAsia"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排除妨碍、恢复原状</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代履行</w:t>
            </w:r>
          </w:p>
        </w:tc>
        <w:tc>
          <w:tcPr>
            <w:tcW w:w="801"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其他强制执行</w:t>
            </w:r>
          </w:p>
        </w:tc>
        <w:tc>
          <w:tcPr>
            <w:tcW w:w="707"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1451" w:type="dxa"/>
            <w:vMerge w:val="continue"/>
            <w:noWrap w:val="0"/>
            <w:vAlign w:val="center"/>
          </w:tcPr>
          <w:p>
            <w:pPr>
              <w:spacing w:line="480" w:lineRule="exact"/>
              <w:jc w:val="center"/>
            </w:pPr>
          </w:p>
        </w:tc>
        <w:tc>
          <w:tcPr>
            <w:tcW w:w="776" w:type="dxa"/>
            <w:vMerge w:val="continue"/>
            <w:noWrap w:val="0"/>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381" w:type="dxa"/>
            <w:noWrap w:val="0"/>
            <w:vAlign w:val="center"/>
          </w:tcPr>
          <w:p>
            <w:pPr>
              <w:spacing w:line="320" w:lineRule="exact"/>
              <w:jc w:val="center"/>
            </w:pPr>
            <w:r>
              <w:rPr>
                <w:rFonts w:hint="eastAsia" w:ascii="仿宋_GB2312" w:hAnsi="仿宋_GB2312" w:eastAsia="仿宋_GB2312" w:cs="仿宋_GB2312"/>
                <w:sz w:val="28"/>
                <w:szCs w:val="28"/>
                <w:lang w:val="en-US" w:eastAsia="zh-CN"/>
              </w:rPr>
              <w:t>张店区商务</w:t>
            </w:r>
            <w:r>
              <w:rPr>
                <w:rFonts w:hint="eastAsia" w:ascii="仿宋_GB2312" w:hAnsi="仿宋_GB2312" w:eastAsia="仿宋_GB2312" w:cs="仿宋_GB2312"/>
                <w:sz w:val="28"/>
                <w:szCs w:val="28"/>
              </w:rPr>
              <w:t>局</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0"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1"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145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6"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381" w:type="dxa"/>
            <w:noWrap w:val="0"/>
            <w:vAlign w:val="center"/>
          </w:tcPr>
          <w:p>
            <w:pPr>
              <w:spacing w:line="480" w:lineRule="exact"/>
              <w:jc w:val="center"/>
            </w:pPr>
            <w:r>
              <w:rPr>
                <w:rFonts w:hint="eastAsia" w:ascii="黑体" w:hAnsi="黑体" w:eastAsia="黑体" w:cs="黑体"/>
                <w:sz w:val="28"/>
                <w:szCs w:val="28"/>
              </w:rPr>
              <w:t>合计</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0"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2"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01"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0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1451"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776" w:type="dxa"/>
            <w:noWrap w:val="0"/>
            <w:vAlign w:val="center"/>
          </w:tcPr>
          <w:p>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r>
    </w:tbl>
    <w:p>
      <w:pPr>
        <w:spacing w:line="280" w:lineRule="exact"/>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4.其他强制执行方式，如《城乡规划法》规定的强制拆除等。</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5.申请法院强制执行数量是指向法院申请强制执行的数量，时间以申请日期为准。</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val="en-US" w:eastAsia="zh-CN"/>
        </w:rPr>
        <w:t>张店区商务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年度行政征收征用情况统计表</w:t>
      </w:r>
    </w:p>
    <w:p>
      <w:pPr>
        <w:spacing w:line="480" w:lineRule="exact"/>
        <w:rPr>
          <w:rFonts w:hint="eastAsia"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3437" w:type="dxa"/>
            <w:vMerge w:val="restart"/>
            <w:noWrap w:val="0"/>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noWrap w:val="0"/>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3437" w:type="dxa"/>
            <w:vMerge w:val="continue"/>
            <w:noWrap w:val="0"/>
            <w:vAlign w:val="center"/>
          </w:tcPr>
          <w:p>
            <w:pPr>
              <w:spacing w:line="480" w:lineRule="exact"/>
              <w:jc w:val="center"/>
            </w:pPr>
          </w:p>
        </w:tc>
        <w:tc>
          <w:tcPr>
            <w:tcW w:w="1980"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行政收费（次）</w:t>
            </w:r>
          </w:p>
        </w:tc>
        <w:tc>
          <w:tcPr>
            <w:tcW w:w="2488"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行政收费数额（万元）</w:t>
            </w:r>
          </w:p>
        </w:tc>
        <w:tc>
          <w:tcPr>
            <w:tcW w:w="3453"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土地、房屋征收实施数量</w:t>
            </w:r>
          </w:p>
        </w:tc>
        <w:tc>
          <w:tcPr>
            <w:tcW w:w="2602" w:type="dxa"/>
            <w:vMerge w:val="continue"/>
            <w:noWrap w:val="0"/>
            <w:vAlign w:val="center"/>
          </w:tcPr>
          <w:p>
            <w:pPr>
              <w:spacing w:line="48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437" w:type="dxa"/>
            <w:noWrap w:val="0"/>
            <w:vAlign w:val="center"/>
          </w:tcPr>
          <w:p>
            <w:pPr>
              <w:spacing w:line="32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张店区商务局</w:t>
            </w:r>
          </w:p>
        </w:tc>
        <w:tc>
          <w:tcPr>
            <w:tcW w:w="1980"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2488"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3453"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2602"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437" w:type="dxa"/>
            <w:noWrap w:val="0"/>
            <w:vAlign w:val="center"/>
          </w:tcPr>
          <w:p>
            <w:pPr>
              <w:spacing w:line="480" w:lineRule="exact"/>
              <w:jc w:val="center"/>
              <w:rPr>
                <w:rFonts w:hint="eastAsia" w:ascii="仿宋_GB2312" w:hAnsi="仿宋_GB2312" w:eastAsia="仿宋_GB2312" w:cs="仿宋_GB2312"/>
                <w:sz w:val="28"/>
                <w:szCs w:val="28"/>
              </w:rPr>
            </w:pPr>
            <w:r>
              <w:rPr>
                <w:rFonts w:hint="eastAsia" w:ascii="黑体" w:hAnsi="黑体" w:eastAsia="黑体" w:cs="黑体"/>
                <w:sz w:val="28"/>
                <w:szCs w:val="28"/>
              </w:rPr>
              <w:t>合计</w:t>
            </w:r>
          </w:p>
        </w:tc>
        <w:tc>
          <w:tcPr>
            <w:tcW w:w="1980"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2488"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3453"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2602"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0</w:t>
            </w:r>
          </w:p>
        </w:tc>
      </w:tr>
    </w:tbl>
    <w:p>
      <w:pPr>
        <w:spacing w:line="280" w:lineRule="exact"/>
        <w:jc w:val="left"/>
        <w:rPr>
          <w:rFonts w:hint="eastAsia"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hint="eastAsia"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val="en-US" w:eastAsia="zh-CN"/>
        </w:rPr>
        <w:t>张店区商务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年度行政检查情况统计表</w:t>
      </w:r>
    </w:p>
    <w:p>
      <w:pPr>
        <w:spacing w:line="480" w:lineRule="exact"/>
        <w:rPr>
          <w:rFonts w:hint="eastAsia"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842"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6199"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8"/>
                <w:szCs w:val="28"/>
                <w:lang w:val="en-US" w:eastAsia="zh-CN"/>
              </w:rPr>
              <w:t>张店区商务</w:t>
            </w:r>
            <w:r>
              <w:rPr>
                <w:rFonts w:hint="eastAsia" w:ascii="仿宋_GB2312" w:hAnsi="仿宋_GB2312" w:eastAsia="仿宋_GB2312" w:cs="仿宋_GB2312"/>
                <w:sz w:val="28"/>
                <w:szCs w:val="28"/>
              </w:rPr>
              <w:t>局</w:t>
            </w:r>
          </w:p>
        </w:tc>
        <w:tc>
          <w:tcPr>
            <w:tcW w:w="6199"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842" w:type="dxa"/>
            <w:noWrap w:val="0"/>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合计</w:t>
            </w:r>
          </w:p>
        </w:tc>
        <w:tc>
          <w:tcPr>
            <w:tcW w:w="6199"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bookmarkStart w:id="0" w:name="_GoBack"/>
            <w:bookmarkEnd w:id="0"/>
          </w:p>
        </w:tc>
      </w:tr>
    </w:tbl>
    <w:p>
      <w:pPr>
        <w:spacing w:line="320" w:lineRule="exact"/>
        <w:rPr>
          <w:rFonts w:hint="eastAsia"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hint="eastAsia" w:ascii="方正小标宋简体" w:hAnsi="仿宋" w:eastAsia="方正小标宋简体" w:cs="仿宋_GB2312"/>
          <w:bCs/>
          <w:sz w:val="44"/>
          <w:szCs w:val="44"/>
        </w:rPr>
      </w:pPr>
    </w:p>
    <w:p>
      <w:pPr>
        <w:spacing w:line="660" w:lineRule="exact"/>
        <w:rPr>
          <w:rFonts w:hint="eastAsia" w:ascii="方正小标宋简体" w:hAnsi="仿宋" w:eastAsia="方正小标宋简体" w:cs="仿宋_GB2312"/>
          <w:bCs/>
          <w:sz w:val="44"/>
          <w:szCs w:val="44"/>
        </w:rPr>
      </w:pPr>
    </w:p>
    <w:sectPr>
      <w:footerReference r:id="rId3" w:type="default"/>
      <w:pgSz w:w="16838" w:h="11906" w:orient="landscape"/>
      <w:pgMar w:top="1587" w:right="2098" w:bottom="1474" w:left="1985" w:header="851" w:footer="992" w:gutter="0"/>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Bdr>
                              <w:between w:val="none" w:color="auto" w:sz="0" w:space="0"/>
                            </w:pBdr>
                          </w:pP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3"/>
                      <w:pBdr>
                        <w:between w:val="none" w:color="auto" w:sz="0" w:space="0"/>
                      </w:pBdr>
                    </w:pP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4765"/>
    <w:rsid w:val="005A51BE"/>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916615"/>
    <w:rsid w:val="03114E7C"/>
    <w:rsid w:val="036E3E96"/>
    <w:rsid w:val="048571C8"/>
    <w:rsid w:val="0C685520"/>
    <w:rsid w:val="0CDA0E7E"/>
    <w:rsid w:val="14FE1BD8"/>
    <w:rsid w:val="1C63102D"/>
    <w:rsid w:val="1E791359"/>
    <w:rsid w:val="24197F04"/>
    <w:rsid w:val="266F5E17"/>
    <w:rsid w:val="290D4DB7"/>
    <w:rsid w:val="2C4D706C"/>
    <w:rsid w:val="385625E4"/>
    <w:rsid w:val="43765B1A"/>
    <w:rsid w:val="4A264A3D"/>
    <w:rsid w:val="4E1E0BCF"/>
    <w:rsid w:val="505D5B6A"/>
    <w:rsid w:val="553C6728"/>
    <w:rsid w:val="594A6D1C"/>
    <w:rsid w:val="5AC77C83"/>
    <w:rsid w:val="5DCD3D91"/>
    <w:rsid w:val="64362467"/>
    <w:rsid w:val="68F267C6"/>
    <w:rsid w:val="69FF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 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 Char Char Char Char"/>
    <w:basedOn w:val="1"/>
    <w:qFormat/>
    <w:uiPriority w:val="0"/>
    <w:pPr>
      <w:adjustRightInd w:val="0"/>
      <w:spacing w:line="360" w:lineRule="auto"/>
    </w:pPr>
    <w:rPr>
      <w:rFonts w:ascii="Times New Roman" w:hAnsi="Times New Roman" w:cs="Times New Roman"/>
      <w:szCs w:val="24"/>
    </w:rPr>
  </w:style>
  <w:style w:type="paragraph" w:customStyle="1" w:styleId="16">
    <w:name w:val=" 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1973</Words>
  <Characters>2101</Characters>
  <Lines>17</Lines>
  <Paragraphs>4</Paragraphs>
  <TotalTime>4</TotalTime>
  <ScaleCrop>false</ScaleCrop>
  <LinksUpToDate>false</LinksUpToDate>
  <CharactersWithSpaces>2205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2020-01-10T08:37:00Z</dcterms:created>
  <dc:creator>1</dc:creator>
  <cp:lastModifiedBy>信息先锋</cp:lastModifiedBy>
  <cp:lastPrinted>2020-01-14T06:34:00Z</cp:lastPrinted>
  <dcterms:modified xsi:type="dcterms:W3CDTF">2022-09-13T08:17:20Z</dcterms:modified>
  <dc:title>国务院第一巡查组召开安全生产大检查汇报会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