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张店区商务局2022年度“双随机一公开”抽查工作计划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 </w:t>
      </w:r>
    </w:p>
    <w:tbl>
      <w:tblPr>
        <w:tblStyle w:val="3"/>
        <w:tblW w:w="1331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859"/>
        <w:gridCol w:w="1843"/>
        <w:gridCol w:w="992"/>
        <w:gridCol w:w="851"/>
        <w:gridCol w:w="2126"/>
        <w:gridCol w:w="1843"/>
        <w:gridCol w:w="851"/>
        <w:gridCol w:w="1259"/>
        <w:gridCol w:w="12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ascii="黑体" w:hAnsi="宋体" w:eastAsia="黑体" w:cs="黑体"/>
                <w:color w:val="000000"/>
              </w:rPr>
              <w:t>序号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任务名称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抽查任务名称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类型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抽查事项类别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抽查依据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抽查对象范围及比例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检查主体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抽查时间自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抽查时间至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1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2022年单用途商业预付卡发行和服务随机抽查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对发卡企业和售卡企业的单用途卡业务活动、内部控制和风险状况等进行现场检查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不定向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一般检查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《单用途商业预付卡管理办法》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全市规模以上单用途预付卡发行企业（20%）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张店区商务局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2022年1月6日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2022年12月15日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 2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2022年商业特许经营特许活动随机抽查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对特许经营企业经营情况进行监督检查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不定向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一般检查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《特许经营管理办法》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全区特许经营企业（20%）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张店区商务局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2022年1月6日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2022年12月15日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3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2022年新车销售企业随机抽查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对新车销售企业销售情况进行监督检查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不定向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一般检查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《汽车销售管理办法》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全区新车销售企业（5%）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张店区商务局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2022年7月6日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2022年12月15日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2022年外商投资企业随机抽查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对外商投资企业进行监督检查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不定向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一般检查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《中华人民共和国外商投资法》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全区外商投资企业（10%）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张店区商务局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2022年5月1日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2022年9月30日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2022年成品油经营企业随机抽查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对取得成品油经营资格的企业的监督检查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不定向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一般检查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山东省成品油零售经营资格管理暂行规定》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区成品油零售企业（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10%）</w:t>
            </w:r>
            <w:bookmarkEnd w:id="0"/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张店区商务局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2022年</w:t>
            </w:r>
            <w:r>
              <w:rPr>
                <w:rFonts w:hint="eastAsia" w:ascii="仿宋_GB2312" w:hAnsi="微软雅黑" w:eastAsia="仿宋_GB2312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 w:cs="仿宋_GB2312"/>
                <w:color w:val="000000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仿宋_GB2312"/>
                <w:color w:val="000000"/>
              </w:rPr>
              <w:t>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微软雅黑" w:eastAsia="仿宋_GB2312" w:cs="仿宋_GB2312"/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</w:rPr>
              <w:t>2022年12月15日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C46A31"/>
    <w:rsid w:val="00494B9C"/>
    <w:rsid w:val="0069156B"/>
    <w:rsid w:val="0077093B"/>
    <w:rsid w:val="0327157F"/>
    <w:rsid w:val="10C46A31"/>
    <w:rsid w:val="17945504"/>
    <w:rsid w:val="18D5261B"/>
    <w:rsid w:val="19EF493B"/>
    <w:rsid w:val="1CCD3BF5"/>
    <w:rsid w:val="240B4039"/>
    <w:rsid w:val="277E009C"/>
    <w:rsid w:val="4E361C03"/>
    <w:rsid w:val="6DE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63</TotalTime>
  <ScaleCrop>false</ScaleCrop>
  <LinksUpToDate>false</LinksUpToDate>
  <CharactersWithSpaces>674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2021-12-08T09:03:00Z</dcterms:created>
  <dc:creator>Administrator</dc:creator>
  <cp:lastModifiedBy>信息先锋</cp:lastModifiedBy>
  <dcterms:modified xsi:type="dcterms:W3CDTF">2022-04-14T08:29:14Z</dcterms:modified>
  <dc:title>张店区商务局2021年度“双随机一公开”抽查工作计划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94C1E8A640F240DD891D6F3792E44ACB</vt:lpwstr>
  </property>
</Properties>
</file>