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张店区应急局2021年“双随机、一公开”内部抽查计划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643"/>
        <w:gridCol w:w="1891"/>
        <w:gridCol w:w="1711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64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抽查方式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抽查比例和频次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4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企业取得安全生产许可证情况的检查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危险化学品企业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一般工贸企业、危险化学品企业抽查比例为5%，根据实际情况确定频次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4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企业安全生产有关制度设置、落实等情况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危险化学品企业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一般工贸企业、危险化学品企业抽查比例为5%，根据实际情况确定频次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4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易制毒化学品企业专项抽查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危险化学品企业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危险化学品企业抽查比例为5%，根据实际情况确定频次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9月-12月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27B3"/>
    <w:rsid w:val="61C87A07"/>
    <w:rsid w:val="7FA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2021-12-03T05:38:00Z</dcterms:created>
  <dc:creator>Dell</dc:creator>
  <cp:lastModifiedBy>WPS_600475996</cp:lastModifiedBy>
  <dcterms:modified xsi:type="dcterms:W3CDTF">2021-12-03T07:53:50Z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C32DFCC8D2B544F3B0E48C22C5FECFF3</vt:lpwstr>
  </property>
</Properties>
</file>