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ind w:left="0" w:leftChars="0" w:right="-397" w:rightChars="-124" w:firstLine="0" w:firstLineChars="0"/>
        <w:jc w:val="both"/>
        <w:rPr>
          <w:rFonts w:hint="eastAsia" w:ascii="宋体" w:hAnsi="宋体" w:eastAsia="宋体" w:cs="宋体"/>
          <w:b w:val="0"/>
          <w:bCs w:val="0"/>
          <w:color w:val="FF0000"/>
          <w:spacing w:val="-23"/>
          <w:w w:val="44"/>
          <w:sz w:val="144"/>
          <w:szCs w:val="144"/>
        </w:rPr>
      </w:pPr>
      <w:r>
        <w:rPr>
          <w:rFonts w:hint="eastAsia" w:ascii="宋体" w:hAnsi="宋体" w:eastAsia="宋体" w:cs="宋体"/>
          <w:b w:val="0"/>
          <w:bCs w:val="0"/>
          <w:color w:val="FF0000"/>
          <w:spacing w:val="-23"/>
          <w:w w:val="44"/>
          <w:sz w:val="144"/>
          <w:szCs w:val="144"/>
        </w:rPr>
        <w:t>淄博市张店区服务业发展中心文件</w:t>
      </w:r>
    </w:p>
    <w:p>
      <w:pPr>
        <w:pageBreakBefore w:val="0"/>
        <w:overflowPunct/>
        <w:topLinePunct w:val="0"/>
        <w:bidi w:val="0"/>
        <w:spacing w:line="560" w:lineRule="exact"/>
        <w:ind w:left="0" w:leftChars="0" w:firstLine="2880" w:firstLineChars="900"/>
        <w:jc w:val="left"/>
        <w:rPr>
          <w:rFonts w:hint="eastAsia"/>
          <w:lang w:val="en-US" w:eastAsia="zh-CN"/>
        </w:rPr>
      </w:pPr>
      <w:r>
        <w:rPr>
          <w:rFonts w:hint="eastAsia" w:ascii="仿宋_GB2312" w:hAnsi="仿宋_GB2312" w:eastAsia="仿宋_GB2312" w:cs="仿宋_GB2312"/>
        </w:rPr>
        <w:t>张服字〔202</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r>
        <w:rPr>
          <w:rFonts w:hint="eastAsia" w:ascii="仿宋_GB2312" w:hAnsi="仿宋_GB2312" w:cs="仿宋_GB2312"/>
          <w:lang w:val="en-US" w:eastAsia="zh-CN"/>
        </w:rPr>
        <w:t>2</w:t>
      </w:r>
      <w:r>
        <w:rPr>
          <w:rFonts w:hint="eastAsia" w:ascii="仿宋_GB2312" w:hAnsi="仿宋_GB2312" w:eastAsia="仿宋_GB2312" w:cs="仿宋_GB231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lang w:val="en-US" w:eastAsia="zh-CN"/>
        </w:rPr>
      </w:pPr>
      <w:r>
        <w:rPr>
          <w:rFonts w:ascii="Times New Roman" w:hAnsi="Times New Roman" w:eastAsia="方正小标宋简体"/>
          <w:color w:val="FF0000"/>
          <w:spacing w:val="56"/>
          <w:w w:val="66"/>
          <w:sz w:val="84"/>
          <w:szCs w:val="84"/>
          <w:lang w:val="zh-CN"/>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70485</wp:posOffset>
                </wp:positionV>
                <wp:extent cx="5615940" cy="0"/>
                <wp:effectExtent l="0" t="12700" r="762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5.55pt;height:0pt;width:442.2pt;z-index:251660288;mso-width-relative:page;mso-height-relative:page;" filled="f" stroked="t" coordsize="21600,21600" o:gfxdata="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tammrTAAAABwEAAA8AAAAAAAAAAQAgAAAAIgAAAGRycy9kb3ducmV2LnhtbFBLAQIU&#10;ABQAAAAIAIdO4kAVOt10+AEAAOUDAAAOAAAAAAAAAAEAIAAAACIBAABkcnMvZTJvRG9jLnhtbFBL&#10;BQYAAAAABgAGAFkBAACMBQAAAAA=&#10;">
                <v:fill on="f" focussize="0,0"/>
                <v:stroke weight="2pt" color="#FF0000" joinstyle="round"/>
                <v:imagedata o:title=""/>
                <o:lock v:ext="edit" aspectratio="f"/>
              </v:line>
            </w:pict>
          </mc:Fallback>
        </mc:AlternateContent>
      </w:r>
    </w:p>
    <w:p>
      <w:pPr>
        <w:pStyle w:val="3"/>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张店区</w:t>
      </w:r>
      <w:bookmarkStart w:id="0" w:name="_GoBack"/>
      <w:bookmarkEnd w:id="0"/>
      <w:r>
        <w:rPr>
          <w:rFonts w:hint="eastAsia"/>
          <w:lang w:val="en-US" w:eastAsia="zh-CN"/>
        </w:rPr>
        <w:t>服务业发展中心</w:t>
      </w:r>
    </w:p>
    <w:p>
      <w:pPr>
        <w:pStyle w:val="3"/>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《关于贯彻“创新落实年”，实施七大品质提升工程的意见》</w:t>
      </w:r>
    </w:p>
    <w:p>
      <w:pPr>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p>
    <w:p>
      <w:pPr>
        <w:pStyle w:val="4"/>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一、指导思想</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sz w:val="32"/>
          <w:lang w:val="en-US" w:eastAsia="zh-CN"/>
        </w:rPr>
      </w:pPr>
      <w:r>
        <w:rPr>
          <w:rFonts w:hint="eastAsia"/>
          <w:sz w:val="32"/>
          <w:lang w:val="en-US" w:eastAsia="zh-CN"/>
        </w:rPr>
        <w:t>2022年是推动转型发展、建设现代化中心城区的关键一年。为深入贯彻落实市委、市政府“六大品质提升工程”和区委、区政府“创新落实年”的目标要求，我中心紧紧围绕“创新落实”工作部署，突出经济运行品质提升、产业支撑品质提升、消费供给品质提升、双创要素品质提升、资源链接品质提升、作风建设品质提升、群众关切品质提升七大重点领域，努力在全区转型跨越发展中争当排头兵，奋力开创宜居宜业幸福张店建设新局面。</w:t>
      </w:r>
    </w:p>
    <w:p>
      <w:pPr>
        <w:pStyle w:val="4"/>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二、重点任务</w:t>
      </w:r>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（一）以创新落实推动经济运行品质提升。（责任领导：庞云翔；责任人：丁一）</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lang w:val="en-US" w:eastAsia="zh-CN"/>
        </w:rPr>
      </w:pPr>
      <w:r>
        <w:rPr>
          <w:rFonts w:hint="eastAsia"/>
          <w:sz w:val="32"/>
          <w:lang w:val="en-US" w:eastAsia="zh-CN"/>
        </w:rPr>
        <w:t>一是围绕考核指标，抓好经济运行。主要做好规上企业优和扩两篇文章：一方面扩增量。落实好市《关于深化服务业高质量发展攻坚行动和科学纳统工作实施方案》，对准规上服务业企业。通过建库立档、制定计划、帮扶培育、跟踪监测、及时纳统，增强全区服务业发展后劲。另一方面优存量。针对库内企业开展走访调研，重点健全监测预警、分析研判、问题解决的闭环工作机制，突出数据质量管控，加强行业指导服务力度，确保在库企业应报尽报，真实反映行业发展绩效。</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sz w:val="32"/>
          <w:lang w:val="en-US" w:eastAsia="zh-CN"/>
        </w:rPr>
      </w:pPr>
      <w:r>
        <w:rPr>
          <w:rFonts w:hint="eastAsia"/>
          <w:sz w:val="32"/>
          <w:lang w:val="en-US" w:eastAsia="zh-CN"/>
        </w:rPr>
        <w:t>二是做好企业调研，全力为企业服务。一方面建立常态化调研机制。制定调研计划，对重点企业上门走访，了解企业发展第一手资料，协调帮助企业解决企业经营中存在的突出问题，精准施策，促进服务业稳定健康发展。同时做好行业调度和指导工作。根据市定目标，由主管部门合理确定每家企业营收目标，分至各镇办，帮助镇办企业提升数据统计水平，将各镇办规上服务业营收额及增速纳入年度考核，确保应统尽统。另一方面提供“管家式”企业服务。通过细致入微的企业服务工作，加强与企业的联系，缩短服务企业的“最后一米”，提升服务企业的工作质量，营造一流的政商氛围。将六稳六保相关措施以及市《关于促进规模以上服务业高质量发展的政策措施》等各种扶持政策宣传到位，对符合奖励标准的相关企业、营收增长达标企业兑现奖补政策。</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lang w:val="en-US" w:eastAsia="zh-CN"/>
        </w:rPr>
      </w:pPr>
      <w:r>
        <w:rPr>
          <w:rFonts w:hint="eastAsia"/>
          <w:sz w:val="32"/>
          <w:lang w:val="en-US" w:eastAsia="zh-CN"/>
        </w:rPr>
        <w:t>三是做好服务业发展顶层设计。一方面以出台的《张店区服务业“十四五”发展总体规划》为蓝本，为我区现代服务业发展提供有效路径，抢抓新机遇，努力走出一条依靠国内市场需求拉动、国内国际双循环的现代服务业开放发展、改革创新的新路径。另一方面与山东理工大学共建创业创新研究院，通过研究院对区内服务业发展现状做全面摸底调研，制定行业发展规划，为我区服务业发展提供数据支撑。对中央和地方出台的各类重要经济政策、产业发展政策、地方扶持政策项目申报进行研究分析，为我区服务业发展提供政策支持。</w:t>
      </w:r>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（二）以创新落实推动产业支撑品质提升。（责任领导：赵承滟、魏俊光；责任人：路晓强、荆菁、房明）</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lang w:val="en-US" w:eastAsia="zh-CN"/>
        </w:rPr>
      </w:pPr>
      <w:r>
        <w:rPr>
          <w:rFonts w:hint="eastAsia"/>
          <w:sz w:val="32"/>
          <w:lang w:val="en-US" w:eastAsia="zh-CN"/>
        </w:rPr>
        <w:t>一是打造总部企业集聚示范中心。深入实施总部经济“筑巢工程”。充分依托政府现有自持的12万平商务楼宇，实行统一规划、统一定位、统一招商、统一管理，夯实总部楼宇载体空间，增强总部载体“话语权”。强势开展总部经济“引凤行动”。充分发挥张店区《鼓励总部经济发展若干措施》政策的加持作用，强势实施总部企业、总部项目招引工程，以最优资源链接服务企业，年新力争签约金谷锂业集团大道聚能金泰能源数字贸易基金港等总部项目不少于10个，聚力打造全市科创研发基地、区域总部基地和交易平台聚集区。着力打造总部经济“创新生态”。深挖本地总部企业、龙头企业潜力，鼓励其不断延链聚链补链，通过基金运作、供应链金融支持、上市并购等形式壮大企业总部实力。</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sz w:val="32"/>
          <w:lang w:val="en-US" w:eastAsia="zh-CN"/>
        </w:rPr>
      </w:pPr>
      <w:r>
        <w:rPr>
          <w:rFonts w:hint="eastAsia"/>
          <w:sz w:val="32"/>
          <w:lang w:val="en-US" w:eastAsia="zh-CN"/>
        </w:rPr>
        <w:t>二是打造生产性服务业集群。聚焦“2+4”产业，统筹做好“引”和“培”两篇文章，围绕全市化工和机械制造两大存量基础，紧盯其产业链条中适合我区发展的生产性服务业，聚力补短板和建生态，实现招商企业和本土良性互动、集群式发展，力促装备制造产业创新中心等项目落地，力争年内初步形成1-2个生产性服务业产业集聚。对汇美领域等250万方楼宇资源进行统一招商运营，力争打造特色楼宇20座，税收过亿元楼宇达到5座以上，争取楼宇经济迈入新台阶。</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sz w:val="32"/>
          <w:lang w:val="en-US" w:eastAsia="zh-CN"/>
        </w:rPr>
      </w:pPr>
      <w:r>
        <w:rPr>
          <w:rFonts w:hint="eastAsia"/>
          <w:sz w:val="32"/>
          <w:lang w:val="en-US" w:eastAsia="zh-CN"/>
        </w:rPr>
        <w:t>三是打造金融赋能高地。瞄准中心城区的发展定位，深入实施金融赋能行动，加大投资基金合作招引力度，细化“产业资本+产业基地+优质企业”招引模式，不断增强实体经济发展的资本支持，着力打造企业全成长周期金融服务体系，力争打造省级现代服务金融聚集示范区。</w:t>
      </w:r>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（三）以创新落实推动消费供给品质提升。（责任领导：庞云翔；责任人：周振宇、朱孜莘、丁一）</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lang w:val="en-US" w:eastAsia="zh-CN"/>
        </w:rPr>
      </w:pPr>
      <w:r>
        <w:rPr>
          <w:rFonts w:hint="eastAsia"/>
          <w:sz w:val="32"/>
          <w:lang w:val="en-US" w:eastAsia="zh-CN"/>
        </w:rPr>
        <w:t>一是深入推进服务业品牌建设。发挥品牌带动作用，提升消费品质，拟定品牌建设扶持政策，实施服务业品牌“金融赋能、文化赋能、产业赋能、平台赋能”四大赋能行动，探索对品牌企业的金融产品支持，支持服务业品牌企业建设中央厨房、中央仓储、中央网络，鼓励举办品牌博览会、产品采购会等产业大会，利用好新媒体平台，加大品牌宣传推广力度，打造“爆点”，进一步提升品牌竞争力和价值潜力。完善张店区服务业品牌协会职能，充分发挥行业协会组织协调、指导和服务作用，为行业市场主体搭建服务平台，积极盘活现有资源，优化营商环境，树立行业标杆和服务典范。</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lang w:val="en-US" w:eastAsia="zh-CN"/>
        </w:rPr>
      </w:pPr>
      <w:r>
        <w:rPr>
          <w:rFonts w:hint="eastAsia"/>
          <w:sz w:val="32"/>
          <w:lang w:val="en-US" w:eastAsia="zh-CN"/>
        </w:rPr>
        <w:t>二是实施夜经济品质提升行动。继续实施“四个平台、四个提升”行动，鼓励街区“一街一品”特色发展，不断提升街区文化内涵。加快布局年轻化、时尚化、品质化青年业态，统筹布局文创园区、时尚街区、青年打卡地等品质生活场景，打造高质量精致宜居生活圈、高层次活力时尚休闲带。鼓励唐库文创园等文化创意街区延长营业时间以消费者的体验差异化为主，积极引进复古潮牌、特色酒吧等业态，从想象力、时尚触觉、艺术格调等方面进行探索和创新，打造夜间经济潮流“地标”。鼓励水晶街、王府井等街区不断提升文化特色，举办主题突出的特色文化演出，将地域文脉嵌入夜间经济。</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lang w:val="en-US" w:eastAsia="zh-CN"/>
        </w:rPr>
      </w:pPr>
      <w:r>
        <w:rPr>
          <w:rFonts w:hint="eastAsia"/>
          <w:sz w:val="32"/>
          <w:lang w:val="en-US" w:eastAsia="zh-CN"/>
        </w:rPr>
        <w:t>三是打造鲁中消费中心。打造多元化消费场景，发挥好万象汇、淄博商厦传统商圈引领作用，加快推进唐库文创园、老新华1948、齐盛里、NBA篮球公园等新消费地标建设，激发消费市场活力。丰富多层次消费内容，围绕“五好城市”建设，深化供给侧结构性改革，鼓励引进“首店经济”“一线品牌”，丰富青年群体消费新业态。举办多模式促销活动，举办好麦田音乐节、青岛啤酒节、robotex机器人大会等节会活动，积极引进动漫电竞、文化娱乐、儿童游乐嘉年华等青年群体潮流活动，利用节假日鼓励商家开展促销活动，进一步提升城</w:t>
      </w:r>
      <w:r>
        <w:rPr>
          <w:rFonts w:hint="eastAsia"/>
          <w:lang w:val="en-US" w:eastAsia="zh-CN"/>
        </w:rPr>
        <w:t>市活力和知名度</w:t>
      </w:r>
      <w:r>
        <w:rPr>
          <w:rFonts w:hint="eastAsia"/>
          <w:sz w:val="32"/>
          <w:lang w:val="en-US" w:eastAsia="zh-CN"/>
        </w:rPr>
        <w:t>，打造鲁中消费IP。</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（四）以创新落实推动双创要素品质提升。（责任领导：赵承滟、庞云翔；责任人：路晓强，丁一）</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lang w:val="en-US" w:eastAsia="zh-CN"/>
        </w:rPr>
      </w:pPr>
      <w:r>
        <w:rPr>
          <w:rFonts w:hint="eastAsia"/>
          <w:sz w:val="32"/>
          <w:lang w:val="en-US" w:eastAsia="zh-CN"/>
        </w:rPr>
        <w:t>一是深化校城融合发展，探索高校转化路径。充分发挥青创园与理工大学临近的区位优势，依托山东理工大学合作发展处及山东理工大学青创联盟探索共建山东省内首个校友经济孵化园即山东理工大学校友经济孵化园，合作共建张店区创业创新研究院，探索高校科技、人才、智力优势转化路径，激发科技创新活力，为全区经济发展“问诊把脉”。</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lang w:val="en-US" w:eastAsia="zh-CN"/>
        </w:rPr>
      </w:pPr>
      <w:r>
        <w:rPr>
          <w:rFonts w:hint="eastAsia"/>
          <w:sz w:val="32"/>
          <w:lang w:val="en-US" w:eastAsia="zh-CN"/>
        </w:rPr>
        <w:t>二是鼓励青年人才创业，拓展创业创新平台。一方面以青创园为载体，积极构建独具特色的“2+4+6”双创孵化体制，即“政府主管部门+专业化团队”双脑运营模式，打造“苗圃-孵化器-加速器-产业园”四级孵化体系，完善创业孵化服务、投融资服务、人力资源服务、创业创新研究、产业对接服务、创业创新人才培养等六大专业服务平台建设，为企业提供全生命周期的创业孵化服务，打造具有较强吸引力的创业创新生态园区。另一方面打造青动力“好创业”双创云平台，打造智能小程序，将双创要素全部上云，将青创园服务由实体园区辐射全区，实现“创客入驻”即可享受创业服务，扩大园区辐射范围和服务能力。</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sz w:val="32"/>
          <w:lang w:val="en-US" w:eastAsia="zh-CN"/>
        </w:rPr>
      </w:pPr>
      <w:r>
        <w:rPr>
          <w:rFonts w:hint="eastAsia"/>
          <w:sz w:val="32"/>
          <w:lang w:val="en-US" w:eastAsia="zh-CN"/>
        </w:rPr>
        <w:t>三是优化年轻化品质生活场景，提升城市青春魅力。加力推进“环理工大学创业创新带”建设，打造高品质精致双创园区，推进园区基础设施提升，统一园区外部形象，计划统一园区落地地标样式、楼号标识，高标准、时尚化建设“园区展厅”，计划打造具有最新前沿科技、形象展示性和</w:t>
      </w:r>
      <w:r>
        <w:rPr>
          <w:rFonts w:hint="eastAsia"/>
          <w:sz w:val="32"/>
          <w:lang w:val="en-US"/>
        </w:rPr>
        <w:t>视觉冲击力的</w:t>
      </w:r>
      <w:r>
        <w:rPr>
          <w:rFonts w:hint="eastAsia"/>
          <w:sz w:val="32"/>
          <w:lang w:val="en-US" w:eastAsia="zh-CN"/>
        </w:rPr>
        <w:t>多媒体展厅，展示园区发展规划、服务功能、招引政策、运营现状、荣誉成绩以及重点企业形成“一站式”对外窗口，实现公共空间的全新升级。</w:t>
      </w:r>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（五）以创新落实推动资源链接品质提升。（责任领导：魏俊光、赵承滟、庞云翔；责任人：房明、路晓强、朱孜莘、丁一）</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lang w:val="en-US" w:eastAsia="zh-CN"/>
        </w:rPr>
      </w:pPr>
      <w:r>
        <w:rPr>
          <w:rFonts w:hint="eastAsia"/>
          <w:sz w:val="32"/>
          <w:lang w:val="en-US" w:eastAsia="zh-CN"/>
        </w:rPr>
        <w:t>一是精研政策，争取项目。高度重视政策研究分析，细化完善项目储备。加强省、市政策的收集研究，对新出台的政策对号入座，找准与张店区经济、社会发展的结合点和契合点，围绕基础设施建设、产业引导等领域包装一批有规模、上档次、后劲足的上报项目，力争更多项目列入上级扶持范围。积极对接争取资金，落实区委、区政府争取项目资金的要求，定期召集相关科室和单位研究部署。每月赴市发展改革委汇报对接，争取在考核、荣誉、政策上，给予张店区最大的支持。</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sz w:val="32"/>
          <w:lang w:val="en-US" w:eastAsia="zh-CN"/>
        </w:rPr>
      </w:pPr>
      <w:r>
        <w:rPr>
          <w:rFonts w:hint="eastAsia"/>
          <w:sz w:val="32"/>
          <w:lang w:val="en-US" w:eastAsia="zh-CN"/>
        </w:rPr>
        <w:t>二是对标学习，借鉴经验。赴近年来服务业发展迅速的地区学习，成渝经济圈核心城市成都与重庆成为近年来新晋“网红”城市备受青年追捧，服务业占比均超50%，成渝地区双城经济圈建设正向着建设国家级现代服务经济中心出发，对我区服务业发展颇有借鉴价值。赴夜间经济繁荣先进地区学习，长沙、西安等夜经济业态丰富，以从单一的餐饮、购物等消费活动，发展到酒吧、夜游、演艺体验、灯光多元业态。进一步引领夜经济发展，有计划地统筹规则，进一步擦亮夜经济名片。赴双创园区建设先进地区学习，青岛、杭州等地牵紧科技创新“牛鼻子”，坚持以科技创新赋能高质量发展，科创工作取得明显成效。以上地区的先进做法、典型经验均对我区有较强的借鉴作用，下一步通过实地考察、网上学习等方式，加强学习交流，“借力引智”促进我区服务业繁荣发展。</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sz w:val="32"/>
          <w:lang w:val="en-US" w:eastAsia="zh-CN"/>
        </w:rPr>
      </w:pPr>
      <w:r>
        <w:rPr>
          <w:rFonts w:hint="eastAsia"/>
          <w:sz w:val="32"/>
          <w:lang w:val="en-US" w:eastAsia="zh-CN"/>
        </w:rPr>
        <w:t>三是“走出去”招商。以产业主管部门、各类产业园区为主的行业招商力量，以基金、企业、商会、校友等为主的社会招商力量，构建“全员招商”新格局。着重补短板、建生态，聚焦“2+4”产业，围绕强链、补链、拓链实施精准招商，将招引重点放在面向工业基础的生产性服务业上，以产业招商、以市场招商，真正实现良性循环。</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sz w:val="32"/>
          <w:lang w:val="en-US" w:eastAsia="zh-CN"/>
        </w:rPr>
      </w:pPr>
      <w:r>
        <w:rPr>
          <w:rFonts w:hint="eastAsia"/>
          <w:sz w:val="32"/>
          <w:lang w:val="en-US" w:eastAsia="zh-CN"/>
        </w:rPr>
        <w:t>四是加强对外宣传。加强顶层设计，借助微信公众号、新媒体营销的“顺风车”，将有“爆点”潜力的话题和产品进行集中策划营销，达到信息迅速裂变，急速传播的效果。在更大的青年群体中形成舆论热点，保持城市话题热度。出台相关政策措施，吸引网络大V、超级网红关注张店、来淄体验、推荐张店，力争将城市正面话题曝光量突破10亿人次，切实提高张店在全国的知名度和存在感。</w:t>
      </w:r>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（六）以创新落实推动作风建设品质提升。（责任领导：赵承滟；责任人：王松、朱云涛）</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lang w:val="en-US" w:eastAsia="zh-CN"/>
        </w:rPr>
      </w:pPr>
      <w:r>
        <w:rPr>
          <w:rFonts w:hint="eastAsia"/>
          <w:sz w:val="32"/>
          <w:lang w:val="en-US" w:eastAsia="zh-CN"/>
        </w:rPr>
        <w:t>一是党建引领品质提升。按照规定完成下属党支部换届选举工作，选好配强领导班子。按照《关于在全区推行党支部评星定级管理的实施方案》要求，持续深化党支部建设规范提升行动，全面提升党支部标准化规范化建设水平。按照时间节点严格落实“三会一课”制度，扎实开展党员学习教育。组织生活会和民主评议党员严格规范，主题党日计划健全、主题鲜明。党建工作经费按每名党员每年不低于600元的标准设立，并列入部门公用经费，保障满足党员学习、活动需求；组织开展红色主题现场教育，力争党建活动出亮点出特色。</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lang w:val="en-US" w:eastAsia="zh-CN"/>
        </w:rPr>
      </w:pPr>
      <w:r>
        <w:rPr>
          <w:rFonts w:hint="eastAsia"/>
          <w:sz w:val="32"/>
          <w:lang w:val="en-US" w:eastAsia="zh-CN"/>
        </w:rPr>
        <w:t>二是廉政建设品质提升。紧抓“一把手”和领导班子成员这个“关键少数”，扎实开展廉政谈话，全面履行管党治党政治责任，对存在的苗头性、倾向性问题进行提醒谈话。开展全面从严治党宣传教育，加强党章党规党纪和国家法律法规教育，突出加强现场警示教育，用身边事教育身边人。严格执行“三重一大”制度，制定事项清单，明确事项的范围、内容、标准和决策程序；研究“三重一大”事项时，会前充分研究论证，并做好会议记录。深化“四零四快”作风建设，围绕发展优作风，向前一步、持续发力，主动联系、主动服务企业和群众，稳步推进总部经济、消费供给、产业支撑、双创要素等品质提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lang w:val="en-US" w:eastAsia="zh-CN"/>
        </w:rPr>
      </w:pPr>
      <w:r>
        <w:rPr>
          <w:rFonts w:hint="eastAsia"/>
          <w:sz w:val="32"/>
          <w:lang w:val="en-US" w:eastAsia="zh-CN"/>
        </w:rPr>
        <w:t>三是精神文明建设品质提升。大力弘扬社会主义核心价值观，着力培育机关政德文化、行为文化、廉洁文化、红色文化。围绕党的二十大、“我们的节日”组织开展系列庆祝活动以及适合机关特点的文体活动；广泛开展“道德讲堂”、“学雷锋志愿服务”、“讲文明、树新风”、学习宣传身边典型等群众性文明创建活动，做好市级文明单位创建工作。加强志愿者队伍建设，积极构建规模适宜、结构优化、管理有序、素质过硬的志愿者队伍体系，利用“双报到”、“红色星期六”等活动，扎实开展为民服务志愿活动，努力打造亮点和特色，营造良好氛围，确保志愿服务工作取得实效。</w:t>
      </w:r>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（六）以创新落实推动单位幸福品质提升。（责任领导：赵承滟；责任人：徐燕、吕健捷）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lang w:val="en-US" w:eastAsia="zh-CN"/>
        </w:rPr>
      </w:pPr>
      <w:r>
        <w:rPr>
          <w:rFonts w:hint="eastAsia"/>
          <w:sz w:val="32"/>
          <w:lang w:val="en-US" w:eastAsia="zh-CN"/>
        </w:rPr>
        <w:t>以建设宜居宜业幸福张店为契机，创建“最具幸福感单位”，开展“幸福张店从我做起”系列活动。快速推进职称设置实施。继续加大</w:t>
      </w:r>
      <w:r>
        <w:rPr>
          <w:rFonts w:hint="default"/>
          <w:sz w:val="32"/>
          <w:lang w:val="en-US" w:eastAsia="zh-CN"/>
        </w:rPr>
        <w:t>与区编办、区</w:t>
      </w:r>
      <w:r>
        <w:rPr>
          <w:rFonts w:hint="eastAsia"/>
          <w:sz w:val="32"/>
          <w:lang w:val="en-US" w:eastAsia="zh-CN"/>
        </w:rPr>
        <w:t>人社局</w:t>
      </w:r>
      <w:r>
        <w:rPr>
          <w:rFonts w:hint="default"/>
          <w:sz w:val="32"/>
          <w:lang w:val="en-US" w:eastAsia="zh-CN"/>
        </w:rPr>
        <w:t>进行协调，尽快</w:t>
      </w:r>
      <w:r>
        <w:rPr>
          <w:rFonts w:hint="eastAsia"/>
          <w:sz w:val="32"/>
          <w:lang w:val="en-US" w:eastAsia="zh-CN"/>
        </w:rPr>
        <w:t>落实</w:t>
      </w:r>
      <w:r>
        <w:rPr>
          <w:rFonts w:hint="default"/>
          <w:sz w:val="32"/>
          <w:lang w:val="en-US" w:eastAsia="zh-CN"/>
        </w:rPr>
        <w:t>本单位专业技术岗位竞聘工作。</w:t>
      </w:r>
      <w:r>
        <w:rPr>
          <w:rFonts w:hint="eastAsia"/>
          <w:sz w:val="32"/>
          <w:lang w:val="en-US" w:eastAsia="zh-CN"/>
        </w:rPr>
        <w:t>推动单位人员身份转隶问题，积极协调区编办、区人社局等部门解决自收自支人员转全额问题。结合精神文明创建、党建等工作，策划丰富多彩、寓教于乐的文体拓展团建活动，增强爱岗敬业和主人翁责任意识，活跃单位人员的业余文化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sz w:val="32"/>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sz w:val="32"/>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sz w:val="32"/>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sz w:val="32"/>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sz w:val="32"/>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sz w:val="32"/>
          <w:lang w:val="en-US" w:eastAsia="zh-CN"/>
        </w:rPr>
      </w:pPr>
      <w:r>
        <w:rPr>
          <w:rFonts w:hint="eastAsia"/>
          <w:sz w:val="32"/>
          <w:lang w:val="en-US" w:eastAsia="zh-CN"/>
        </w:rPr>
        <w:t>淄博市张店区服务业发展中心</w:t>
      </w:r>
    </w:p>
    <w:p>
      <w:pPr>
        <w:pStyle w:val="2"/>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sz w:val="32"/>
          <w:lang w:val="en-US" w:eastAsia="zh-CN"/>
        </w:rPr>
      </w:pPr>
      <w:r>
        <w:rPr>
          <w:rFonts w:hint="eastAsia"/>
          <w:sz w:val="32"/>
          <w:lang w:val="en-US" w:eastAsia="zh-CN"/>
        </w:rPr>
        <w:t xml:space="preserve">2022年2月22日     </w:t>
      </w:r>
    </w:p>
    <w:sectPr>
      <w:footerReference r:id="rId3" w:type="default"/>
      <w:pgSz w:w="11906" w:h="16838"/>
      <w:pgMar w:top="2098"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汉仪超级战甲W">
    <w:panose1 w:val="00020600040101010101"/>
    <w:charset w:val="86"/>
    <w:family w:val="auto"/>
    <w:pitch w:val="default"/>
    <w:sig w:usb0="A000003F" w:usb1="0AC17CFA" w:usb2="00000016" w:usb3="00000000" w:csb0="0004009F" w:csb1="00000000"/>
  </w:font>
  <w:font w:name="汉仪铸字苏打黑W">
    <w:panose1 w:val="00020600040101010101"/>
    <w:charset w:val="86"/>
    <w:family w:val="auto"/>
    <w:pitch w:val="default"/>
    <w:sig w:usb0="8000002F" w:usb1="1AC17CFA" w:usb2="00000016" w:usb3="00000000" w:csb0="0004009F" w:csb1="00000000"/>
  </w:font>
  <w:font w:name="SimSun-ExtB">
    <w:panose1 w:val="02010609060101010101"/>
    <w:charset w:val="86"/>
    <w:family w:val="auto"/>
    <w:pitch w:val="default"/>
    <w:sig w:usb0="00000001" w:usb1="02000000" w:usb2="00000000" w:usb3="00000000" w:csb0="00040001" w:csb1="00000000"/>
  </w:font>
  <w:font w:name="Yu Gothic Medium">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80183"/>
    <w:rsid w:val="020717D4"/>
    <w:rsid w:val="020E4675"/>
    <w:rsid w:val="02217FDE"/>
    <w:rsid w:val="03541CED"/>
    <w:rsid w:val="05175572"/>
    <w:rsid w:val="062B2DC1"/>
    <w:rsid w:val="06A10FD1"/>
    <w:rsid w:val="08BF5E5A"/>
    <w:rsid w:val="0A8A0F6A"/>
    <w:rsid w:val="0ACF1469"/>
    <w:rsid w:val="0B0614D4"/>
    <w:rsid w:val="0D02504D"/>
    <w:rsid w:val="0D2C6083"/>
    <w:rsid w:val="0ED91C40"/>
    <w:rsid w:val="100A1780"/>
    <w:rsid w:val="100F3B6B"/>
    <w:rsid w:val="10CD6A2A"/>
    <w:rsid w:val="116C5D68"/>
    <w:rsid w:val="12A64A65"/>
    <w:rsid w:val="12C201D8"/>
    <w:rsid w:val="132A4818"/>
    <w:rsid w:val="16F2564D"/>
    <w:rsid w:val="1973708C"/>
    <w:rsid w:val="19E73463"/>
    <w:rsid w:val="1A136006"/>
    <w:rsid w:val="1AF45176"/>
    <w:rsid w:val="1B43291B"/>
    <w:rsid w:val="1C2838BF"/>
    <w:rsid w:val="1E432C32"/>
    <w:rsid w:val="202076CF"/>
    <w:rsid w:val="21D267A7"/>
    <w:rsid w:val="226D3693"/>
    <w:rsid w:val="2271479E"/>
    <w:rsid w:val="235E69EB"/>
    <w:rsid w:val="23600CBF"/>
    <w:rsid w:val="24045981"/>
    <w:rsid w:val="24594F5D"/>
    <w:rsid w:val="24857B00"/>
    <w:rsid w:val="25485D6F"/>
    <w:rsid w:val="256A4F48"/>
    <w:rsid w:val="25B52667"/>
    <w:rsid w:val="26655E3B"/>
    <w:rsid w:val="27221F7E"/>
    <w:rsid w:val="27553A8D"/>
    <w:rsid w:val="2943145A"/>
    <w:rsid w:val="2A662182"/>
    <w:rsid w:val="2C581F9E"/>
    <w:rsid w:val="2D53501C"/>
    <w:rsid w:val="2DEC0BF0"/>
    <w:rsid w:val="2E1E4633"/>
    <w:rsid w:val="30A9726C"/>
    <w:rsid w:val="30C60521"/>
    <w:rsid w:val="314F06D5"/>
    <w:rsid w:val="33090326"/>
    <w:rsid w:val="34BF705E"/>
    <w:rsid w:val="35F73632"/>
    <w:rsid w:val="3640314C"/>
    <w:rsid w:val="390037A2"/>
    <w:rsid w:val="3AC7206B"/>
    <w:rsid w:val="3B693880"/>
    <w:rsid w:val="3DC9292C"/>
    <w:rsid w:val="3E72001C"/>
    <w:rsid w:val="3E9A6446"/>
    <w:rsid w:val="3FBB0422"/>
    <w:rsid w:val="401A15ED"/>
    <w:rsid w:val="40422E65"/>
    <w:rsid w:val="40F40090"/>
    <w:rsid w:val="413606A8"/>
    <w:rsid w:val="41D25BC6"/>
    <w:rsid w:val="41F00C1A"/>
    <w:rsid w:val="421B46B0"/>
    <w:rsid w:val="431B20BB"/>
    <w:rsid w:val="45124F88"/>
    <w:rsid w:val="46084EAD"/>
    <w:rsid w:val="46D303D0"/>
    <w:rsid w:val="47266AC9"/>
    <w:rsid w:val="48E57757"/>
    <w:rsid w:val="49753D38"/>
    <w:rsid w:val="4A192915"/>
    <w:rsid w:val="4B111A14"/>
    <w:rsid w:val="4B125CE2"/>
    <w:rsid w:val="4CF431C6"/>
    <w:rsid w:val="4DAE15C6"/>
    <w:rsid w:val="4F5B577E"/>
    <w:rsid w:val="502D3FBD"/>
    <w:rsid w:val="505052C8"/>
    <w:rsid w:val="509251CF"/>
    <w:rsid w:val="50BD78F1"/>
    <w:rsid w:val="51F92A22"/>
    <w:rsid w:val="52AA6800"/>
    <w:rsid w:val="57E52089"/>
    <w:rsid w:val="58CC4E05"/>
    <w:rsid w:val="595E20F3"/>
    <w:rsid w:val="5999798B"/>
    <w:rsid w:val="5A3F0176"/>
    <w:rsid w:val="5B074004"/>
    <w:rsid w:val="5CAD6653"/>
    <w:rsid w:val="5CCA3D52"/>
    <w:rsid w:val="5D730EDB"/>
    <w:rsid w:val="611834CF"/>
    <w:rsid w:val="622765CB"/>
    <w:rsid w:val="62F63EE5"/>
    <w:rsid w:val="64966BE4"/>
    <w:rsid w:val="69144529"/>
    <w:rsid w:val="6BA80183"/>
    <w:rsid w:val="6BC44D1B"/>
    <w:rsid w:val="6C7218C1"/>
    <w:rsid w:val="6D0E5786"/>
    <w:rsid w:val="6EAF6592"/>
    <w:rsid w:val="6EE102CE"/>
    <w:rsid w:val="6FEC6252"/>
    <w:rsid w:val="706D1628"/>
    <w:rsid w:val="70B54896"/>
    <w:rsid w:val="70F53102"/>
    <w:rsid w:val="732B6917"/>
    <w:rsid w:val="73644352"/>
    <w:rsid w:val="753E571C"/>
    <w:rsid w:val="7A19518C"/>
    <w:rsid w:val="7A344A7F"/>
    <w:rsid w:val="7AA148E1"/>
    <w:rsid w:val="7AA21FFC"/>
    <w:rsid w:val="7B494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next w:val="1"/>
    <w:qFormat/>
    <w:uiPriority w:val="0"/>
    <w:pPr>
      <w:keepNext/>
      <w:keepLines/>
      <w:spacing w:beforeLines="0" w:beforeAutospacing="0" w:afterLines="0" w:afterAutospacing="0" w:line="560" w:lineRule="exact"/>
      <w:jc w:val="center"/>
      <w:outlineLvl w:val="0"/>
    </w:pPr>
    <w:rPr>
      <w:rFonts w:ascii="Times New Roman" w:hAnsi="Times New Roman" w:eastAsia="方正小标宋简体" w:cstheme="minorBidi"/>
      <w:kern w:val="44"/>
      <w:sz w:val="44"/>
    </w:rPr>
  </w:style>
  <w:style w:type="paragraph" w:styleId="4">
    <w:name w:val="heading 2"/>
    <w:next w:val="1"/>
    <w:unhideWhenUsed/>
    <w:qFormat/>
    <w:uiPriority w:val="0"/>
    <w:pPr>
      <w:keepNext/>
      <w:keepLines/>
      <w:spacing w:beforeLines="0" w:beforeAutospacing="0" w:afterLines="0" w:afterAutospacing="0" w:line="560" w:lineRule="exact"/>
      <w:outlineLvl w:val="1"/>
    </w:pPr>
    <w:rPr>
      <w:rFonts w:ascii="Arial" w:hAnsi="Arial" w:eastAsia="黑体" w:cstheme="minorBidi"/>
      <w:sz w:val="32"/>
    </w:rPr>
  </w:style>
  <w:style w:type="paragraph" w:styleId="5">
    <w:name w:val="heading 3"/>
    <w:next w:val="1"/>
    <w:link w:val="10"/>
    <w:unhideWhenUsed/>
    <w:qFormat/>
    <w:uiPriority w:val="0"/>
    <w:pPr>
      <w:keepNext/>
      <w:keepLines/>
      <w:spacing w:beforeLines="0" w:beforeAutospacing="0" w:afterLines="0" w:afterAutospacing="0" w:line="560" w:lineRule="exact"/>
      <w:outlineLvl w:val="2"/>
    </w:pPr>
    <w:rPr>
      <w:rFonts w:ascii="Times New Roman" w:hAnsi="Times New Roman" w:eastAsia="楷体_GB2312" w:cstheme="minorBidi"/>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3 Char"/>
    <w:link w:val="5"/>
    <w:uiPriority w:val="0"/>
    <w:rPr>
      <w:rFonts w:ascii="Times New Roman" w:hAnsi="Times New Roman" w:eastAsia="楷体_GB2312" w:cstheme="minorBid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2022-02-07T00:13:00Z</dcterms:created>
  <dc:creator>Rieny</dc:creator>
  <cp:lastModifiedBy>楚秀月明心</cp:lastModifiedBy>
  <cp:lastPrinted>2022-03-01T01:03:31Z</cp:lastPrinted>
  <dcterms:modified xsi:type="dcterms:W3CDTF">2022-03-01T01:07:19Z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CBB0468B56984D14A63BAE974966544F</vt:lpwstr>
  </property>
</Properties>
</file>