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color w:val="000000" w:themeColor="text1"/>
          <w:sz w:val="36"/>
          <w:szCs w:val="36"/>
          <w14:textFill>
            <w14:solidFill>
              <w14:schemeClr w14:val="tx1"/>
            </w14:solidFill>
          </w14:textFill>
        </w:rPr>
      </w:pPr>
      <w:bookmarkStart w:id="9" w:name="_GoBack"/>
    </w:p>
    <w:p>
      <w:pPr>
        <w:rPr>
          <w:rFonts w:eastAsia="仿宋_GB2312"/>
          <w:color w:val="000000" w:themeColor="text1"/>
          <w:sz w:val="36"/>
          <w:szCs w:val="36"/>
          <w14:textFill>
            <w14:solidFill>
              <w14:schemeClr w14:val="tx1"/>
            </w14:solidFill>
          </w14:textFill>
        </w:rPr>
      </w:pPr>
    </w:p>
    <w:p>
      <w:pPr>
        <w:rPr>
          <w:rFonts w:eastAsia="仿宋_GB2312"/>
          <w:color w:val="000000" w:themeColor="text1"/>
          <w:sz w:val="36"/>
          <w:szCs w:val="36"/>
          <w14:textFill>
            <w14:solidFill>
              <w14:schemeClr w14:val="tx1"/>
            </w14:solidFill>
          </w14:textFill>
        </w:rPr>
      </w:pPr>
    </w:p>
    <w:p>
      <w:pPr>
        <w:rPr>
          <w:rFonts w:eastAsia="仿宋_GB2312"/>
          <w:color w:val="000000" w:themeColor="text1"/>
          <w:sz w:val="36"/>
          <w:szCs w:val="36"/>
          <w14:textFill>
            <w14:solidFill>
              <w14:schemeClr w14:val="tx1"/>
            </w14:solidFill>
          </w14:textFill>
        </w:rPr>
      </w:pPr>
    </w:p>
    <w:p>
      <w:pPr>
        <w:adjustRightInd w:val="0"/>
        <w:snapToGrid w:val="0"/>
        <w:jc w:val="center"/>
        <w:outlineLvl w:val="0"/>
        <w:rPr>
          <w:rFonts w:eastAsia="方正小标宋_GBK"/>
          <w:bCs/>
          <w:color w:val="000000" w:themeColor="text1"/>
          <w:sz w:val="72"/>
          <w:szCs w:val="72"/>
          <w14:textFill>
            <w14:solidFill>
              <w14:schemeClr w14:val="tx1"/>
            </w14:solidFill>
          </w14:textFill>
        </w:rPr>
      </w:pPr>
      <w:r>
        <w:rPr>
          <w:rFonts w:eastAsia="方正小标宋_GBK"/>
          <w:bCs/>
          <w:color w:val="000000" w:themeColor="text1"/>
          <w:sz w:val="72"/>
          <w:szCs w:val="72"/>
          <w14:textFill>
            <w14:solidFill>
              <w14:schemeClr w14:val="tx1"/>
            </w14:solidFill>
          </w14:textFill>
        </w:rPr>
        <w:t>建设项目环境影响报告表</w:t>
      </w:r>
    </w:p>
    <w:p>
      <w:pPr>
        <w:adjustRightInd w:val="0"/>
        <w:snapToGrid w:val="0"/>
        <w:spacing w:before="192" w:beforeLines="80"/>
        <w:jc w:val="center"/>
        <w:rPr>
          <w:rFonts w:eastAsia="楷体_GB2312"/>
          <w:bCs/>
          <w:color w:val="000000" w:themeColor="text1"/>
          <w:sz w:val="48"/>
          <w:szCs w:val="48"/>
          <w14:textFill>
            <w14:solidFill>
              <w14:schemeClr w14:val="tx1"/>
            </w14:solidFill>
          </w14:textFill>
        </w:rPr>
      </w:pPr>
      <w:r>
        <w:rPr>
          <w:rFonts w:eastAsia="楷体_GB2312"/>
          <w:bCs/>
          <w:color w:val="000000" w:themeColor="text1"/>
          <w:sz w:val="48"/>
          <w:szCs w:val="48"/>
          <w14:textFill>
            <w14:solidFill>
              <w14:schemeClr w14:val="tx1"/>
            </w14:solidFill>
          </w14:textFill>
        </w:rPr>
        <w:t>（污染影响类）</w:t>
      </w:r>
    </w:p>
    <w:p>
      <w:pPr>
        <w:ind w:firstLine="1040"/>
        <w:rPr>
          <w:rFonts w:eastAsia="仿宋"/>
          <w:color w:val="000000" w:themeColor="text1"/>
          <w:sz w:val="44"/>
          <w:szCs w:val="44"/>
          <w14:textFill>
            <w14:solidFill>
              <w14:schemeClr w14:val="tx1"/>
            </w14:solidFill>
          </w14:textFill>
        </w:rPr>
      </w:pPr>
    </w:p>
    <w:p>
      <w:pPr>
        <w:ind w:firstLine="1040"/>
        <w:rPr>
          <w:rFonts w:eastAsia="仿宋"/>
          <w:color w:val="000000" w:themeColor="text1"/>
          <w:sz w:val="44"/>
          <w:szCs w:val="44"/>
          <w14:textFill>
            <w14:solidFill>
              <w14:schemeClr w14:val="tx1"/>
            </w14:solidFill>
          </w14:textFill>
        </w:rPr>
      </w:pPr>
    </w:p>
    <w:p>
      <w:pPr>
        <w:ind w:firstLine="1040"/>
        <w:rPr>
          <w:rFonts w:eastAsia="仿宋"/>
          <w:color w:val="000000" w:themeColor="text1"/>
          <w:sz w:val="44"/>
          <w:szCs w:val="44"/>
          <w14:textFill>
            <w14:solidFill>
              <w14:schemeClr w14:val="tx1"/>
            </w14:solidFill>
          </w14:textFill>
        </w:rPr>
      </w:pPr>
    </w:p>
    <w:p>
      <w:pPr>
        <w:ind w:firstLine="1040"/>
        <w:rPr>
          <w:rFonts w:eastAsia="仿宋"/>
          <w:color w:val="000000" w:themeColor="text1"/>
          <w:sz w:val="44"/>
          <w:szCs w:val="44"/>
          <w14:textFill>
            <w14:solidFill>
              <w14:schemeClr w14:val="tx1"/>
            </w14:solidFill>
          </w14:textFill>
        </w:rPr>
      </w:pPr>
    </w:p>
    <w:p>
      <w:pPr>
        <w:ind w:firstLine="1040"/>
        <w:rPr>
          <w:rFonts w:eastAsia="仿宋"/>
          <w:color w:val="000000" w:themeColor="text1"/>
          <w:sz w:val="44"/>
          <w:szCs w:val="44"/>
          <w14:textFill>
            <w14:solidFill>
              <w14:schemeClr w14:val="tx1"/>
            </w14:solidFill>
          </w14:textFill>
        </w:rPr>
      </w:pPr>
    </w:p>
    <w:p>
      <w:pPr>
        <w:ind w:firstLine="1040"/>
        <w:rPr>
          <w:rFonts w:eastAsia="仿宋"/>
          <w:color w:val="000000" w:themeColor="text1"/>
          <w:sz w:val="44"/>
          <w:szCs w:val="44"/>
          <w14:textFill>
            <w14:solidFill>
              <w14:schemeClr w14:val="tx1"/>
            </w14:solidFill>
          </w14:textFill>
        </w:rPr>
      </w:pPr>
    </w:p>
    <w:p>
      <w:pPr>
        <w:adjustRightInd w:val="0"/>
        <w:snapToGrid w:val="0"/>
        <w:spacing w:line="288" w:lineRule="auto"/>
        <w:ind w:left="422" w:leftChars="201" w:firstLine="720" w:firstLineChars="200"/>
        <w:rPr>
          <w:rFonts w:eastAsia="仿宋_GB2312"/>
          <w:color w:val="000000" w:themeColor="text1"/>
          <w:sz w:val="36"/>
          <w:szCs w:val="36"/>
          <w:u w:val="single"/>
          <w14:textFill>
            <w14:solidFill>
              <w14:schemeClr w14:val="tx1"/>
            </w14:solidFill>
          </w14:textFill>
        </w:rPr>
      </w:pPr>
      <w:r>
        <w:rPr>
          <w:rFonts w:eastAsia="仿宋_GB2312"/>
          <w:color w:val="000000" w:themeColor="text1"/>
          <w:sz w:val="36"/>
          <w:szCs w:val="36"/>
          <w14:textFill>
            <w14:solidFill>
              <w14:schemeClr w14:val="tx1"/>
            </w14:solidFill>
          </w14:textFill>
        </w:rPr>
        <w:t>项目名称：</w:t>
      </w:r>
      <w:r>
        <w:rPr>
          <w:rFonts w:hint="eastAsia" w:eastAsia="仿宋_GB2312"/>
          <w:color w:val="000000" w:themeColor="text1"/>
          <w:sz w:val="36"/>
          <w:szCs w:val="36"/>
          <w:u w:val="single"/>
          <w14:textFill>
            <w14:solidFill>
              <w14:schemeClr w14:val="tx1"/>
            </w14:solidFill>
          </w14:textFill>
        </w:rPr>
        <w:t xml:space="preserve">   </w:t>
      </w:r>
      <w:r>
        <w:rPr>
          <w:rFonts w:eastAsia="仿宋_GB2312"/>
          <w:color w:val="000000" w:themeColor="text1"/>
          <w:sz w:val="36"/>
          <w:szCs w:val="36"/>
          <w:u w:val="single"/>
          <w14:textFill>
            <w14:solidFill>
              <w14:schemeClr w14:val="tx1"/>
            </w14:solidFill>
          </w14:textFill>
        </w:rPr>
        <w:t>淄博市张店区第二人民医院</w:t>
      </w:r>
      <w:r>
        <w:rPr>
          <w:rFonts w:hint="eastAsia" w:eastAsia="仿宋_GB2312"/>
          <w:color w:val="000000" w:themeColor="text1"/>
          <w:sz w:val="36"/>
          <w:szCs w:val="36"/>
          <w:u w:val="single"/>
          <w14:textFill>
            <w14:solidFill>
              <w14:schemeClr w14:val="tx1"/>
            </w14:solidFill>
          </w14:textFill>
        </w:rPr>
        <w:t xml:space="preserve">     </w:t>
      </w:r>
    </w:p>
    <w:p>
      <w:pPr>
        <w:adjustRightInd w:val="0"/>
        <w:snapToGrid w:val="0"/>
        <w:spacing w:line="288" w:lineRule="auto"/>
        <w:ind w:left="3054" w:leftChars="700" w:hanging="1584" w:hangingChars="440"/>
        <w:jc w:val="center"/>
        <w:rPr>
          <w:rFonts w:eastAsia="仿宋_GB2312"/>
          <w:color w:val="000000" w:themeColor="text1"/>
          <w:sz w:val="36"/>
          <w:szCs w:val="36"/>
          <w:u w:val="single"/>
          <w14:textFill>
            <w14:solidFill>
              <w14:schemeClr w14:val="tx1"/>
            </w14:solidFill>
          </w14:textFill>
        </w:rPr>
      </w:pPr>
      <w:r>
        <w:rPr>
          <w:rFonts w:hint="eastAsia" w:eastAsia="仿宋_GB2312"/>
          <w:color w:val="000000" w:themeColor="text1"/>
          <w:sz w:val="36"/>
          <w:szCs w:val="36"/>
          <w:u w:val="single"/>
          <w14:textFill>
            <w14:solidFill>
              <w14:schemeClr w14:val="tx1"/>
            </w14:solidFill>
          </w14:textFill>
        </w:rPr>
        <w:t xml:space="preserve">   </w:t>
      </w:r>
      <w:r>
        <w:rPr>
          <w:rFonts w:eastAsia="仿宋_GB2312"/>
          <w:color w:val="000000" w:themeColor="text1"/>
          <w:sz w:val="36"/>
          <w:szCs w:val="36"/>
          <w:u w:val="single"/>
          <w14:textFill>
            <w14:solidFill>
              <w14:schemeClr w14:val="tx1"/>
            </w14:solidFill>
          </w14:textFill>
        </w:rPr>
        <w:t>（淄博口腔医院）项目</w:t>
      </w:r>
      <w:r>
        <w:rPr>
          <w:rFonts w:hint="eastAsia" w:eastAsia="仿宋_GB2312"/>
          <w:color w:val="000000" w:themeColor="text1"/>
          <w:sz w:val="36"/>
          <w:szCs w:val="36"/>
          <w:u w:val="single"/>
          <w14:textFill>
            <w14:solidFill>
              <w14:schemeClr w14:val="tx1"/>
            </w14:solidFill>
          </w14:textFill>
        </w:rPr>
        <w:t xml:space="preserve">       </w:t>
      </w:r>
    </w:p>
    <w:p>
      <w:pPr>
        <w:adjustRightInd w:val="0"/>
        <w:snapToGrid w:val="0"/>
        <w:spacing w:line="288" w:lineRule="auto"/>
        <w:ind w:left="2008" w:leftChars="202" w:hanging="1584" w:hangingChars="440"/>
        <w:jc w:val="center"/>
        <w:rPr>
          <w:rFonts w:eastAsia="仿宋_GB2312"/>
          <w:color w:val="000000" w:themeColor="text1"/>
          <w:sz w:val="36"/>
          <w:szCs w:val="36"/>
          <w:u w:val="single"/>
          <w14:textFill>
            <w14:solidFill>
              <w14:schemeClr w14:val="tx1"/>
            </w14:solidFill>
          </w14:textFill>
        </w:rPr>
      </w:pPr>
      <w:r>
        <w:rPr>
          <w:rFonts w:hint="eastAsia" w:eastAsia="仿宋_GB2312"/>
          <w:color w:val="000000" w:themeColor="text1"/>
          <w:sz w:val="36"/>
          <w:szCs w:val="36"/>
          <w14:textFill>
            <w14:solidFill>
              <w14:schemeClr w14:val="tx1"/>
            </w14:solidFill>
          </w14:textFill>
        </w:rPr>
        <w:t xml:space="preserve">   </w:t>
      </w:r>
      <w:r>
        <w:rPr>
          <w:rFonts w:eastAsia="仿宋_GB2312"/>
          <w:color w:val="000000" w:themeColor="text1"/>
          <w:sz w:val="36"/>
          <w:szCs w:val="36"/>
          <w14:textFill>
            <w14:solidFill>
              <w14:schemeClr w14:val="tx1"/>
            </w14:solidFill>
          </w14:textFill>
        </w:rPr>
        <w:t>建设单位（盖章）：</w:t>
      </w:r>
      <w:r>
        <w:rPr>
          <w:rFonts w:eastAsia="仿宋_GB2312"/>
          <w:color w:val="000000" w:themeColor="text1"/>
          <w:sz w:val="36"/>
          <w:szCs w:val="36"/>
          <w:u w:val="single"/>
          <w14:textFill>
            <w14:solidFill>
              <w14:schemeClr w14:val="tx1"/>
            </w14:solidFill>
          </w14:textFill>
        </w:rPr>
        <w:t>淄博市张店区第二人民医院</w:t>
      </w:r>
    </w:p>
    <w:p>
      <w:pPr>
        <w:adjustRightInd w:val="0"/>
        <w:snapToGrid w:val="0"/>
        <w:spacing w:line="288" w:lineRule="auto"/>
        <w:ind w:left="3054" w:leftChars="700" w:hanging="1584" w:hangingChars="440"/>
        <w:jc w:val="center"/>
        <w:rPr>
          <w:rFonts w:eastAsia="仿宋_GB2312"/>
          <w:color w:val="000000" w:themeColor="text1"/>
          <w:sz w:val="36"/>
          <w:szCs w:val="36"/>
          <w:u w:val="single"/>
          <w14:textFill>
            <w14:solidFill>
              <w14:schemeClr w14:val="tx1"/>
            </w14:solidFill>
          </w14:textFill>
        </w:rPr>
      </w:pPr>
      <w:r>
        <w:rPr>
          <w:rFonts w:hint="eastAsia" w:eastAsia="仿宋_GB2312"/>
          <w:color w:val="000000" w:themeColor="text1"/>
          <w:sz w:val="36"/>
          <w:szCs w:val="36"/>
          <w:u w:val="single"/>
          <w14:textFill>
            <w14:solidFill>
              <w14:schemeClr w14:val="tx1"/>
            </w14:solidFill>
          </w14:textFill>
        </w:rPr>
        <w:t xml:space="preserve">          </w:t>
      </w:r>
      <w:r>
        <w:rPr>
          <w:rFonts w:eastAsia="仿宋_GB2312"/>
          <w:color w:val="000000" w:themeColor="text1"/>
          <w:sz w:val="36"/>
          <w:szCs w:val="36"/>
          <w:u w:val="single"/>
          <w14:textFill>
            <w14:solidFill>
              <w14:schemeClr w14:val="tx1"/>
            </w14:solidFill>
          </w14:textFill>
        </w:rPr>
        <w:t>（淄博口腔医院）</w:t>
      </w:r>
      <w:r>
        <w:rPr>
          <w:rFonts w:hint="eastAsia" w:eastAsia="仿宋_GB2312"/>
          <w:color w:val="000000" w:themeColor="text1"/>
          <w:sz w:val="36"/>
          <w:szCs w:val="36"/>
          <w:u w:val="single"/>
          <w14:textFill>
            <w14:solidFill>
              <w14:schemeClr w14:val="tx1"/>
            </w14:solidFill>
          </w14:textFill>
        </w:rPr>
        <w:t xml:space="preserve">      </w:t>
      </w:r>
    </w:p>
    <w:p>
      <w:pPr>
        <w:adjustRightInd w:val="0"/>
        <w:snapToGrid w:val="0"/>
        <w:spacing w:line="288" w:lineRule="auto"/>
        <w:ind w:firstLine="1080" w:firstLineChars="300"/>
        <w:rPr>
          <w:rFonts w:eastAsia="仿宋_GB2312"/>
          <w:color w:val="000000" w:themeColor="text1"/>
          <w:sz w:val="36"/>
          <w:szCs w:val="36"/>
          <w:u w:val="single"/>
          <w14:textFill>
            <w14:solidFill>
              <w14:schemeClr w14:val="tx1"/>
            </w14:solidFill>
          </w14:textFill>
        </w:rPr>
      </w:pPr>
      <w:r>
        <w:rPr>
          <w:rFonts w:eastAsia="仿宋_GB2312"/>
          <w:color w:val="000000" w:themeColor="text1"/>
          <w:sz w:val="36"/>
          <w:szCs w:val="36"/>
          <w14:textFill>
            <w14:solidFill>
              <w14:schemeClr w14:val="tx1"/>
            </w14:solidFill>
          </w14:textFill>
        </w:rPr>
        <w:t>编制日期：</w:t>
      </w:r>
      <w:r>
        <w:rPr>
          <w:rFonts w:eastAsia="仿宋_GB2312"/>
          <w:color w:val="000000" w:themeColor="text1"/>
          <w:sz w:val="36"/>
          <w:szCs w:val="36"/>
          <w:u w:val="single"/>
          <w14:textFill>
            <w14:solidFill>
              <w14:schemeClr w14:val="tx1"/>
            </w14:solidFill>
          </w14:textFill>
        </w:rPr>
        <w:t xml:space="preserve">           2022年10月   </w:t>
      </w:r>
      <w:r>
        <w:rPr>
          <w:rFonts w:hint="eastAsia" w:eastAsia="仿宋_GB2312"/>
          <w:color w:val="000000" w:themeColor="text1"/>
          <w:sz w:val="36"/>
          <w:szCs w:val="36"/>
          <w:u w:val="single"/>
          <w14:textFill>
            <w14:solidFill>
              <w14:schemeClr w14:val="tx1"/>
            </w14:solidFill>
          </w14:textFill>
        </w:rPr>
        <w:t xml:space="preserve">    </w:t>
      </w:r>
      <w:r>
        <w:rPr>
          <w:rFonts w:eastAsia="仿宋_GB2312"/>
          <w:color w:val="000000" w:themeColor="text1"/>
          <w:sz w:val="36"/>
          <w:szCs w:val="36"/>
          <w:u w:val="single"/>
          <w14:textFill>
            <w14:solidFill>
              <w14:schemeClr w14:val="tx1"/>
            </w14:solidFill>
          </w14:textFill>
        </w:rPr>
        <w:t xml:space="preserve">  </w:t>
      </w:r>
    </w:p>
    <w:p>
      <w:pPr>
        <w:adjustRightInd w:val="0"/>
        <w:snapToGrid w:val="0"/>
        <w:spacing w:line="288" w:lineRule="auto"/>
        <w:ind w:firstLine="1040"/>
        <w:rPr>
          <w:rFonts w:eastAsia="仿宋_GB2312"/>
          <w:color w:val="000000" w:themeColor="text1"/>
          <w:sz w:val="36"/>
          <w:szCs w:val="36"/>
          <w14:textFill>
            <w14:solidFill>
              <w14:schemeClr w14:val="tx1"/>
            </w14:solidFill>
          </w14:textFill>
        </w:rPr>
      </w:pPr>
      <w:bookmarkStart w:id="0" w:name="_Hlk57884087"/>
    </w:p>
    <w:p>
      <w:pPr>
        <w:adjustRightInd w:val="0"/>
        <w:snapToGrid w:val="0"/>
        <w:spacing w:line="288" w:lineRule="auto"/>
        <w:ind w:firstLine="1040"/>
        <w:rPr>
          <w:rFonts w:eastAsia="仿宋_GB2312"/>
          <w:color w:val="000000" w:themeColor="text1"/>
          <w:sz w:val="36"/>
          <w:szCs w:val="36"/>
          <w14:textFill>
            <w14:solidFill>
              <w14:schemeClr w14:val="tx1"/>
            </w14:solidFill>
          </w14:textFill>
        </w:rPr>
      </w:pPr>
    </w:p>
    <w:p>
      <w:pPr>
        <w:adjustRightInd w:val="0"/>
        <w:snapToGrid w:val="0"/>
        <w:spacing w:line="288" w:lineRule="auto"/>
        <w:ind w:firstLine="1040"/>
        <w:rPr>
          <w:rFonts w:eastAsia="仿宋_GB2312"/>
          <w:color w:val="000000" w:themeColor="text1"/>
          <w:sz w:val="36"/>
          <w:szCs w:val="36"/>
          <w14:textFill>
            <w14:solidFill>
              <w14:schemeClr w14:val="tx1"/>
            </w14:solidFill>
          </w14:textFill>
        </w:rPr>
      </w:pPr>
    </w:p>
    <w:p>
      <w:pPr>
        <w:adjustRightInd w:val="0"/>
        <w:snapToGrid w:val="0"/>
        <w:spacing w:line="288" w:lineRule="auto"/>
        <w:ind w:firstLine="1040"/>
        <w:rPr>
          <w:rFonts w:eastAsia="仿宋_GB2312"/>
          <w:color w:val="000000" w:themeColor="text1"/>
          <w:sz w:val="36"/>
          <w:szCs w:val="36"/>
          <w14:textFill>
            <w14:solidFill>
              <w14:schemeClr w14:val="tx1"/>
            </w14:solidFill>
          </w14:textFill>
        </w:rPr>
      </w:pPr>
    </w:p>
    <w:bookmarkEnd w:id="0"/>
    <w:p>
      <w:pPr>
        <w:adjustRightInd w:val="0"/>
        <w:snapToGrid w:val="0"/>
        <w:spacing w:line="288" w:lineRule="auto"/>
        <w:jc w:val="center"/>
        <w:rPr>
          <w:rFonts w:eastAsia="楷体_GB2312"/>
          <w:color w:val="000000" w:themeColor="text1"/>
          <w:sz w:val="36"/>
          <w:szCs w:val="36"/>
          <w14:textFill>
            <w14:solidFill>
              <w14:schemeClr w14:val="tx1"/>
            </w14:solidFill>
          </w14:textFill>
        </w:rPr>
      </w:pPr>
      <w:r>
        <w:rPr>
          <w:rFonts w:eastAsia="楷体_GB2312"/>
          <w:color w:val="000000" w:themeColor="text1"/>
          <w:sz w:val="36"/>
          <w:szCs w:val="36"/>
          <w14:textFill>
            <w14:solidFill>
              <w14:schemeClr w14:val="tx1"/>
            </w14:solidFill>
          </w14:textFill>
        </w:rPr>
        <w:t>中华人民共和国生态环境部制</w:t>
      </w:r>
    </w:p>
    <w:p>
      <w:pPr>
        <w:adjustRightInd w:val="0"/>
        <w:snapToGrid w:val="0"/>
        <w:spacing w:line="288" w:lineRule="auto"/>
        <w:ind w:firstLine="1040"/>
        <w:rPr>
          <w:rFonts w:eastAsia="仿宋_GB2312"/>
          <w:color w:val="000000" w:themeColor="text1"/>
          <w:sz w:val="36"/>
          <w:szCs w:val="36"/>
          <w14:textFill>
            <w14:solidFill>
              <w14:schemeClr w14:val="tx1"/>
            </w14:solidFill>
          </w14:textFill>
        </w:rPr>
        <w:sectPr>
          <w:footerReference r:id="rId3" w:type="default"/>
          <w:pgSz w:w="11906" w:h="16838"/>
          <w:pgMar w:top="1701" w:right="1531" w:bottom="1701" w:left="1531" w:header="851" w:footer="1077" w:gutter="0"/>
          <w:pgNumType w:fmt="numberInDash" w:start="1"/>
          <w:cols w:space="720" w:num="1"/>
          <w:docGrid w:linePitch="312" w:charSpace="0"/>
        </w:sectPr>
      </w:pPr>
    </w:p>
    <w:p>
      <w:pPr>
        <w:pStyle w:val="21"/>
        <w:jc w:val="center"/>
        <w:outlineLvl w:val="0"/>
        <w:rPr>
          <w:rFonts w:ascii="Times New Roman" w:hAnsi="Times New Roman" w:eastAsia="黑体"/>
          <w:snapToGrid w:val="0"/>
          <w:color w:val="000000" w:themeColor="text1"/>
          <w:sz w:val="30"/>
          <w:szCs w:val="30"/>
          <w14:textFill>
            <w14:solidFill>
              <w14:schemeClr w14:val="tx1"/>
            </w14:solidFill>
          </w14:textFill>
        </w:rPr>
      </w:pPr>
      <w:r>
        <w:rPr>
          <w:rFonts w:ascii="Times New Roman" w:hAnsi="Times New Roman" w:eastAsia="黑体"/>
          <w:snapToGrid w:val="0"/>
          <w:color w:val="000000" w:themeColor="text1"/>
          <w:sz w:val="30"/>
          <w:szCs w:val="30"/>
          <w14:textFill>
            <w14:solidFill>
              <w14:schemeClr w14:val="tx1"/>
            </w14:solidFill>
          </w14:textFill>
        </w:rPr>
        <w:t>一、建设项目基本情况</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0"/>
        <w:gridCol w:w="979"/>
        <w:gridCol w:w="2176"/>
        <w:gridCol w:w="2274"/>
        <w:gridCol w:w="30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389" w:type="dxa"/>
            <w:gridSpan w:val="2"/>
            <w:tcMar>
              <w:top w:w="16" w:type="dxa"/>
              <w:left w:w="16" w:type="dxa"/>
              <w:right w:w="16"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建设项目名称</w:t>
            </w:r>
          </w:p>
        </w:tc>
        <w:tc>
          <w:tcPr>
            <w:tcW w:w="7481"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淄博市张店区第二人民医院（淄博口腔医院）项目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389" w:type="dxa"/>
            <w:gridSpan w:val="2"/>
            <w:tcMar>
              <w:top w:w="16" w:type="dxa"/>
              <w:left w:w="16" w:type="dxa"/>
              <w:right w:w="16"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项目代码</w:t>
            </w:r>
          </w:p>
        </w:tc>
        <w:tc>
          <w:tcPr>
            <w:tcW w:w="7481"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389" w:type="dxa"/>
            <w:gridSpan w:val="2"/>
            <w:tcMar>
              <w:top w:w="16" w:type="dxa"/>
              <w:left w:w="16" w:type="dxa"/>
              <w:right w:w="16"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建设单位联系人</w:t>
            </w:r>
          </w:p>
        </w:tc>
        <w:tc>
          <w:tcPr>
            <w:tcW w:w="2176"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丁宁</w:t>
            </w:r>
          </w:p>
        </w:tc>
        <w:tc>
          <w:tcPr>
            <w:tcW w:w="2274"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联系方式</w:t>
            </w:r>
          </w:p>
        </w:tc>
        <w:tc>
          <w:tcPr>
            <w:tcW w:w="3031"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13853324425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389" w:type="dxa"/>
            <w:gridSpan w:val="2"/>
            <w:tcMar>
              <w:top w:w="16" w:type="dxa"/>
              <w:left w:w="16" w:type="dxa"/>
              <w:right w:w="16"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建设地点</w:t>
            </w:r>
          </w:p>
        </w:tc>
        <w:tc>
          <w:tcPr>
            <w:tcW w:w="7481" w:type="dxa"/>
            <w:gridSpan w:val="3"/>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淄博市张店区新村西路188号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389" w:type="dxa"/>
            <w:gridSpan w:val="2"/>
            <w:tcMar>
              <w:top w:w="16" w:type="dxa"/>
              <w:left w:w="16" w:type="dxa"/>
              <w:right w:w="16"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地理坐标</w:t>
            </w:r>
          </w:p>
        </w:tc>
        <w:tc>
          <w:tcPr>
            <w:tcW w:w="7481" w:type="dxa"/>
            <w:gridSpan w:val="3"/>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color w:val="000000" w:themeColor="text1"/>
                <w:szCs w:val="21"/>
                <w:u w:val="single"/>
                <w14:textFill>
                  <w14:solidFill>
                    <w14:schemeClr w14:val="tx1"/>
                  </w14:solidFill>
                </w14:textFill>
              </w:rPr>
              <w:t xml:space="preserve"> 118 </w:t>
            </w:r>
            <w:r>
              <w:rPr>
                <w:color w:val="000000" w:themeColor="text1"/>
                <w:szCs w:val="21"/>
                <w14:textFill>
                  <w14:solidFill>
                    <w14:schemeClr w14:val="tx1"/>
                  </w14:solidFill>
                </w14:textFill>
              </w:rPr>
              <w:t>度</w:t>
            </w:r>
            <w:r>
              <w:rPr>
                <w:color w:val="000000" w:themeColor="text1"/>
                <w:szCs w:val="21"/>
                <w:u w:val="single"/>
                <w14:textFill>
                  <w14:solidFill>
                    <w14:schemeClr w14:val="tx1"/>
                  </w14:solidFill>
                </w14:textFill>
              </w:rPr>
              <w:t xml:space="preserve"> 37  </w:t>
            </w:r>
            <w:r>
              <w:rPr>
                <w:color w:val="000000" w:themeColor="text1"/>
                <w:szCs w:val="21"/>
                <w14:textFill>
                  <w14:solidFill>
                    <w14:schemeClr w14:val="tx1"/>
                  </w14:solidFill>
                </w14:textFill>
              </w:rPr>
              <w:t>分</w:t>
            </w:r>
            <w:r>
              <w:rPr>
                <w:color w:val="000000" w:themeColor="text1"/>
                <w:szCs w:val="21"/>
                <w:u w:val="single"/>
                <w14:textFill>
                  <w14:solidFill>
                    <w14:schemeClr w14:val="tx1"/>
                  </w14:solidFill>
                </w14:textFill>
              </w:rPr>
              <w:t xml:space="preserve"> 14.516 </w:t>
            </w:r>
            <w:r>
              <w:rPr>
                <w:color w:val="000000" w:themeColor="text1"/>
                <w:szCs w:val="21"/>
                <w14:textFill>
                  <w14:solidFill>
                    <w14:schemeClr w14:val="tx1"/>
                  </w14:solidFill>
                </w14:textFill>
              </w:rPr>
              <w:t>秒，</w:t>
            </w:r>
            <w:r>
              <w:rPr>
                <w:color w:val="000000" w:themeColor="text1"/>
                <w:szCs w:val="21"/>
                <w:u w:val="single"/>
                <w14:textFill>
                  <w14:solidFill>
                    <w14:schemeClr w14:val="tx1"/>
                  </w14:solidFill>
                </w14:textFill>
              </w:rPr>
              <w:t xml:space="preserve"> 36 </w:t>
            </w:r>
            <w:r>
              <w:rPr>
                <w:color w:val="000000" w:themeColor="text1"/>
                <w:szCs w:val="21"/>
                <w14:textFill>
                  <w14:solidFill>
                    <w14:schemeClr w14:val="tx1"/>
                  </w14:solidFill>
                </w14:textFill>
              </w:rPr>
              <w:t>度</w:t>
            </w:r>
            <w:r>
              <w:rPr>
                <w:color w:val="000000" w:themeColor="text1"/>
                <w:szCs w:val="21"/>
                <w:u w:val="single"/>
                <w14:textFill>
                  <w14:solidFill>
                    <w14:schemeClr w14:val="tx1"/>
                  </w14:solidFill>
                </w14:textFill>
              </w:rPr>
              <w:t xml:space="preserve"> 48 </w:t>
            </w:r>
            <w:r>
              <w:rPr>
                <w:color w:val="000000" w:themeColor="text1"/>
                <w:szCs w:val="21"/>
                <w14:textFill>
                  <w14:solidFill>
                    <w14:schemeClr w14:val="tx1"/>
                  </w14:solidFill>
                </w14:textFill>
              </w:rPr>
              <w:t>分</w:t>
            </w:r>
            <w:r>
              <w:rPr>
                <w:color w:val="000000" w:themeColor="text1"/>
                <w:szCs w:val="21"/>
                <w:u w:val="single"/>
                <w14:textFill>
                  <w14:solidFill>
                    <w14:schemeClr w14:val="tx1"/>
                  </w14:solidFill>
                </w14:textFill>
              </w:rPr>
              <w:t xml:space="preserve"> 10.642 </w:t>
            </w:r>
            <w:r>
              <w:rPr>
                <w:color w:val="000000" w:themeColor="text1"/>
                <w:szCs w:val="21"/>
                <w14:textFill>
                  <w14:solidFill>
                    <w14:schemeClr w14:val="tx1"/>
                  </w14:solidFill>
                </w14:textFill>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389" w:type="dxa"/>
            <w:gridSpan w:val="2"/>
            <w:tcMar>
              <w:top w:w="16" w:type="dxa"/>
              <w:left w:w="16" w:type="dxa"/>
              <w:right w:w="16"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国民经济</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行业类别</w:t>
            </w:r>
          </w:p>
        </w:tc>
        <w:tc>
          <w:tcPr>
            <w:tcW w:w="2176"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Q8415专科医院</w:t>
            </w:r>
          </w:p>
        </w:tc>
        <w:tc>
          <w:tcPr>
            <w:tcW w:w="2274" w:type="dxa"/>
            <w:vAlign w:val="center"/>
          </w:tcPr>
          <w:p>
            <w:pPr>
              <w:adjustRightInd w:val="0"/>
              <w:snapToGrid w:val="0"/>
              <w:jc w:val="center"/>
              <w:rPr>
                <w:color w:val="000000" w:themeColor="text1"/>
                <w:szCs w:val="21"/>
                <w14:textFill>
                  <w14:solidFill>
                    <w14:schemeClr w14:val="tx1"/>
                  </w14:solidFill>
                </w14:textFill>
              </w:rPr>
            </w:pPr>
            <w:bookmarkStart w:id="1" w:name="_Hlk49843745"/>
            <w:r>
              <w:rPr>
                <w:color w:val="000000" w:themeColor="text1"/>
                <w:szCs w:val="21"/>
                <w14:textFill>
                  <w14:solidFill>
                    <w14:schemeClr w14:val="tx1"/>
                  </w14:solidFill>
                </w14:textFill>
              </w:rPr>
              <w:t>建设项目</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行业类别</w:t>
            </w:r>
            <w:bookmarkEnd w:id="1"/>
          </w:p>
        </w:tc>
        <w:tc>
          <w:tcPr>
            <w:tcW w:w="3031" w:type="dxa"/>
            <w:tcMar>
              <w:top w:w="0" w:type="dxa"/>
              <w:left w:w="28" w:type="dxa"/>
              <w:bottom w:w="0" w:type="dxa"/>
              <w:right w:w="28" w:type="dxa"/>
            </w:tcMar>
            <w:vAlign w:val="center"/>
          </w:tcPr>
          <w:p>
            <w:pPr>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四十九、卫生84</w:t>
            </w:r>
          </w:p>
          <w:p>
            <w:pPr>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108-841医院--其他（住院床位20张以下的除外）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389" w:type="dxa"/>
            <w:gridSpan w:val="2"/>
            <w:tcMar>
              <w:top w:w="16" w:type="dxa"/>
              <w:left w:w="16" w:type="dxa"/>
              <w:right w:w="16"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建设性质</w:t>
            </w:r>
          </w:p>
        </w:tc>
        <w:tc>
          <w:tcPr>
            <w:tcW w:w="2176" w:type="dxa"/>
            <w:vAlign w:val="center"/>
          </w:tcPr>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sym w:font="Wingdings 2" w:char="0052"/>
            </w:r>
            <w:r>
              <w:rPr>
                <w:color w:val="000000" w:themeColor="text1"/>
                <w:szCs w:val="21"/>
                <w14:textFill>
                  <w14:solidFill>
                    <w14:schemeClr w14:val="tx1"/>
                  </w14:solidFill>
                </w14:textFill>
              </w:rPr>
              <w:t>新建（迁建）</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sym w:font="Wingdings 2" w:char="00A3"/>
            </w:r>
            <w:r>
              <w:rPr>
                <w:color w:val="000000" w:themeColor="text1"/>
                <w:szCs w:val="21"/>
                <w14:textFill>
                  <w14:solidFill>
                    <w14:schemeClr w14:val="tx1"/>
                  </w14:solidFill>
                </w14:textFill>
              </w:rPr>
              <w:t>改建</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sym w:font="Wingdings 2" w:char="00A3"/>
            </w:r>
            <w:r>
              <w:rPr>
                <w:color w:val="000000" w:themeColor="text1"/>
                <w:szCs w:val="21"/>
                <w14:textFill>
                  <w14:solidFill>
                    <w14:schemeClr w14:val="tx1"/>
                  </w14:solidFill>
                </w14:textFill>
              </w:rPr>
              <w:t>扩建</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sym w:font="Wingdings 2" w:char="00A3"/>
            </w:r>
            <w:r>
              <w:rPr>
                <w:color w:val="000000" w:themeColor="text1"/>
                <w:szCs w:val="21"/>
                <w14:textFill>
                  <w14:solidFill>
                    <w14:schemeClr w14:val="tx1"/>
                  </w14:solidFill>
                </w14:textFill>
              </w:rPr>
              <w:t>技术改造</w:t>
            </w:r>
          </w:p>
        </w:tc>
        <w:tc>
          <w:tcPr>
            <w:tcW w:w="2274"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建设项目</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申报情形</w:t>
            </w:r>
          </w:p>
        </w:tc>
        <w:tc>
          <w:tcPr>
            <w:tcW w:w="3031" w:type="dxa"/>
            <w:vAlign w:val="center"/>
          </w:tcPr>
          <w:p>
            <w:pPr>
              <w:jc w:val="left"/>
              <w:rPr>
                <w:color w:val="000000" w:themeColor="text1"/>
                <w:szCs w:val="21"/>
                <w14:textFill>
                  <w14:solidFill>
                    <w14:schemeClr w14:val="tx1"/>
                  </w14:solidFill>
                </w14:textFill>
              </w:rPr>
            </w:pPr>
            <w:r>
              <w:rPr>
                <w:rFonts w:hint="eastAsia" w:ascii="MS Gothic" w:hAnsi="MS Gothic" w:eastAsia="MS Gothic" w:cs="MS Gothic"/>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首次申报项目             </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□不予批准后再次申报项目</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□超五年重新审核项目     </w:t>
            </w:r>
          </w:p>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389" w:type="dxa"/>
            <w:gridSpan w:val="2"/>
            <w:tcMar>
              <w:top w:w="16" w:type="dxa"/>
              <w:left w:w="16" w:type="dxa"/>
              <w:right w:w="16"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项目审批部门</w:t>
            </w:r>
          </w:p>
        </w:tc>
        <w:tc>
          <w:tcPr>
            <w:tcW w:w="2176"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2274"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项目审批文号</w:t>
            </w:r>
          </w:p>
        </w:tc>
        <w:tc>
          <w:tcPr>
            <w:tcW w:w="3031"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389" w:type="dxa"/>
            <w:gridSpan w:val="2"/>
            <w:tcMar>
              <w:top w:w="16" w:type="dxa"/>
              <w:left w:w="16" w:type="dxa"/>
              <w:right w:w="16"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总投资（万元）</w:t>
            </w:r>
          </w:p>
        </w:tc>
        <w:tc>
          <w:tcPr>
            <w:tcW w:w="2176"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2769.06</w:t>
            </w:r>
          </w:p>
        </w:tc>
        <w:tc>
          <w:tcPr>
            <w:tcW w:w="2274" w:type="dxa"/>
            <w:tcMar>
              <w:top w:w="16" w:type="dxa"/>
              <w:left w:w="16" w:type="dxa"/>
              <w:right w:w="16"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环保投资（万元）</w:t>
            </w:r>
          </w:p>
        </w:tc>
        <w:tc>
          <w:tcPr>
            <w:tcW w:w="3031"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1389" w:type="dxa"/>
            <w:gridSpan w:val="2"/>
            <w:tcMar>
              <w:top w:w="16" w:type="dxa"/>
              <w:left w:w="16" w:type="dxa"/>
              <w:right w:w="16"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环保投资占比（%）</w:t>
            </w:r>
          </w:p>
        </w:tc>
        <w:tc>
          <w:tcPr>
            <w:tcW w:w="2176"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1.1</w:t>
            </w:r>
          </w:p>
        </w:tc>
        <w:tc>
          <w:tcPr>
            <w:tcW w:w="2274" w:type="dxa"/>
            <w:tcMar>
              <w:top w:w="16" w:type="dxa"/>
              <w:left w:w="16" w:type="dxa"/>
              <w:right w:w="16"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施工工期</w:t>
            </w:r>
          </w:p>
        </w:tc>
        <w:tc>
          <w:tcPr>
            <w:tcW w:w="3031"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已投产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0" w:hRule="atLeast"/>
          <w:jc w:val="center"/>
        </w:trPr>
        <w:tc>
          <w:tcPr>
            <w:tcW w:w="1389" w:type="dxa"/>
            <w:gridSpan w:val="2"/>
            <w:tcMar>
              <w:top w:w="16" w:type="dxa"/>
              <w:left w:w="16" w:type="dxa"/>
              <w:right w:w="16"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是否开工建设</w:t>
            </w:r>
          </w:p>
        </w:tc>
        <w:tc>
          <w:tcPr>
            <w:tcW w:w="2176" w:type="dxa"/>
            <w:vAlign w:val="center"/>
          </w:tcPr>
          <w:p>
            <w:pPr>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sym w:font="Wingdings 2" w:char="00A3"/>
            </w:r>
            <w:r>
              <w:rPr>
                <w:color w:val="000000" w:themeColor="text1"/>
                <w:szCs w:val="21"/>
                <w14:textFill>
                  <w14:solidFill>
                    <w14:schemeClr w14:val="tx1"/>
                  </w14:solidFill>
                </w14:textFill>
              </w:rPr>
              <w:t>否</w:t>
            </w:r>
          </w:p>
          <w:p>
            <w:pPr>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sym w:font="Wingdings 2" w:char="0052"/>
            </w:r>
            <w:r>
              <w:rPr>
                <w:color w:val="000000" w:themeColor="text1"/>
                <w:szCs w:val="21"/>
                <w14:textFill>
                  <w14:solidFill>
                    <w14:schemeClr w14:val="tx1"/>
                  </w14:solidFill>
                </w14:textFill>
              </w:rPr>
              <w:t>是：淄博市张店区第二人民医院（淄博口腔医院）</w:t>
            </w:r>
            <w:r>
              <w:rPr>
                <w:color w:val="000000" w:themeColor="text1"/>
                <w14:textFill>
                  <w14:solidFill>
                    <w14:schemeClr w14:val="tx1"/>
                  </w14:solidFill>
                </w14:textFill>
              </w:rPr>
              <w:t>已于1996年10月建成投运，本项目为补办环评</w:t>
            </w:r>
            <w:r>
              <w:rPr>
                <w:color w:val="000000" w:themeColor="text1"/>
                <w:szCs w:val="21"/>
                <w14:textFill>
                  <w14:solidFill>
                    <w14:schemeClr w14:val="tx1"/>
                  </w14:solidFill>
                </w14:textFill>
              </w:rPr>
              <w:t>。</w:t>
            </w:r>
          </w:p>
        </w:tc>
        <w:tc>
          <w:tcPr>
            <w:tcW w:w="2274" w:type="dxa"/>
            <w:tcMar>
              <w:top w:w="16" w:type="dxa"/>
              <w:left w:w="16" w:type="dxa"/>
              <w:right w:w="16" w:type="dxa"/>
            </w:tcMar>
            <w:vAlign w:val="center"/>
          </w:tcPr>
          <w:p>
            <w:pPr>
              <w:adjustRightInd w:val="0"/>
              <w:snapToGrid w:val="0"/>
              <w:jc w:val="center"/>
              <w:rPr>
                <w:color w:val="000000" w:themeColor="text1"/>
                <w:spacing w:val="-6"/>
                <w:szCs w:val="21"/>
                <w14:textFill>
                  <w14:solidFill>
                    <w14:schemeClr w14:val="tx1"/>
                  </w14:solidFill>
                </w14:textFill>
              </w:rPr>
            </w:pPr>
            <w:r>
              <w:rPr>
                <w:color w:val="000000" w:themeColor="text1"/>
                <w:spacing w:val="-6"/>
                <w:szCs w:val="21"/>
                <w14:textFill>
                  <w14:solidFill>
                    <w14:schemeClr w14:val="tx1"/>
                  </w14:solidFill>
                </w14:textFill>
              </w:rPr>
              <w:t>用地（用海）</w:t>
            </w:r>
          </w:p>
          <w:p>
            <w:pPr>
              <w:adjustRightInd w:val="0"/>
              <w:snapToGrid w:val="0"/>
              <w:jc w:val="center"/>
              <w:rPr>
                <w:color w:val="000000" w:themeColor="text1"/>
                <w:szCs w:val="21"/>
                <w14:textFill>
                  <w14:solidFill>
                    <w14:schemeClr w14:val="tx1"/>
                  </w14:solidFill>
                </w14:textFill>
              </w:rPr>
            </w:pPr>
            <w:r>
              <w:rPr>
                <w:color w:val="000000" w:themeColor="text1"/>
                <w:spacing w:val="-6"/>
                <w:szCs w:val="21"/>
                <w14:textFill>
                  <w14:solidFill>
                    <w14:schemeClr w14:val="tx1"/>
                  </w14:solidFill>
                </w14:textFill>
              </w:rPr>
              <w:t>面积（m</w:t>
            </w:r>
            <w:r>
              <w:rPr>
                <w:color w:val="000000" w:themeColor="text1"/>
                <w:spacing w:val="-6"/>
                <w:szCs w:val="21"/>
                <w:vertAlign w:val="superscript"/>
                <w14:textFill>
                  <w14:solidFill>
                    <w14:schemeClr w14:val="tx1"/>
                  </w14:solidFill>
                </w14:textFill>
              </w:rPr>
              <w:t>2</w:t>
            </w:r>
            <w:r>
              <w:rPr>
                <w:color w:val="000000" w:themeColor="text1"/>
                <w:spacing w:val="-6"/>
                <w:szCs w:val="21"/>
                <w14:textFill>
                  <w14:solidFill>
                    <w14:schemeClr w14:val="tx1"/>
                  </w14:solidFill>
                </w14:textFill>
              </w:rPr>
              <w:t>）</w:t>
            </w:r>
          </w:p>
        </w:tc>
        <w:tc>
          <w:tcPr>
            <w:tcW w:w="3031"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4302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389" w:type="dxa"/>
            <w:gridSpan w:val="2"/>
            <w:vAlign w:val="center"/>
          </w:tcPr>
          <w:p>
            <w:pPr>
              <w:autoSpaceDE w:val="0"/>
              <w:autoSpaceDN w:val="0"/>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专项评价设置情况</w:t>
            </w:r>
          </w:p>
        </w:tc>
        <w:tc>
          <w:tcPr>
            <w:tcW w:w="7481" w:type="dxa"/>
            <w:gridSpan w:val="3"/>
            <w:vAlign w:val="center"/>
          </w:tcPr>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3067"/>
              <w:gridCol w:w="1985"/>
              <w:gridCol w:w="1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4" w:type="dxa"/>
                  <w:vAlign w:val="center"/>
                </w:tcPr>
                <w:p>
                  <w:pPr>
                    <w:autoSpaceDE w:val="0"/>
                    <w:autoSpaceDN w:val="0"/>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专项评价的类别</w:t>
                  </w:r>
                </w:p>
              </w:tc>
              <w:tc>
                <w:tcPr>
                  <w:tcW w:w="3067" w:type="dxa"/>
                  <w:vAlign w:val="center"/>
                </w:tcPr>
                <w:p>
                  <w:pPr>
                    <w:autoSpaceDE w:val="0"/>
                    <w:autoSpaceDN w:val="0"/>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设置原则</w:t>
                  </w:r>
                </w:p>
              </w:tc>
              <w:tc>
                <w:tcPr>
                  <w:tcW w:w="1985" w:type="dxa"/>
                  <w:vAlign w:val="center"/>
                </w:tcPr>
                <w:p>
                  <w:pPr>
                    <w:autoSpaceDE w:val="0"/>
                    <w:autoSpaceDN w:val="0"/>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本项目情况</w:t>
                  </w:r>
                </w:p>
              </w:tc>
              <w:tc>
                <w:tcPr>
                  <w:tcW w:w="1089" w:type="dxa"/>
                  <w:vAlign w:val="center"/>
                </w:tcPr>
                <w:p>
                  <w:pPr>
                    <w:autoSpaceDE w:val="0"/>
                    <w:autoSpaceDN w:val="0"/>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是否设置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4" w:type="dxa"/>
                  <w:vAlign w:val="center"/>
                </w:tcPr>
                <w:p>
                  <w:pPr>
                    <w:autoSpaceDE w:val="0"/>
                    <w:autoSpaceDN w:val="0"/>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大气</w:t>
                  </w:r>
                </w:p>
              </w:tc>
              <w:tc>
                <w:tcPr>
                  <w:tcW w:w="3067" w:type="dxa"/>
                  <w:vAlign w:val="center"/>
                </w:tcPr>
                <w:p>
                  <w:pPr>
                    <w:autoSpaceDE w:val="0"/>
                    <w:autoSpaceDN w:val="0"/>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排放废气含有毒有害污染物、二噁英、苯并[a]芘、氰化物、氯气且厂界外500米范围内有环境空气保护目标的建设项目</w:t>
                  </w:r>
                </w:p>
              </w:tc>
              <w:tc>
                <w:tcPr>
                  <w:tcW w:w="1985" w:type="dxa"/>
                  <w:vAlign w:val="center"/>
                </w:tcPr>
                <w:p>
                  <w:pPr>
                    <w:autoSpaceDE w:val="0"/>
                    <w:autoSpaceDN w:val="0"/>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本项目不涉及上述特征污染物</w:t>
                  </w:r>
                </w:p>
              </w:tc>
              <w:tc>
                <w:tcPr>
                  <w:tcW w:w="1089" w:type="dxa"/>
                  <w:vAlign w:val="center"/>
                </w:tcPr>
                <w:p>
                  <w:pPr>
                    <w:autoSpaceDE w:val="0"/>
                    <w:autoSpaceDN w:val="0"/>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4" w:type="dxa"/>
                  <w:vAlign w:val="center"/>
                </w:tcPr>
                <w:p>
                  <w:pPr>
                    <w:autoSpaceDE w:val="0"/>
                    <w:autoSpaceDN w:val="0"/>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地表水</w:t>
                  </w:r>
                </w:p>
              </w:tc>
              <w:tc>
                <w:tcPr>
                  <w:tcW w:w="3067" w:type="dxa"/>
                  <w:vAlign w:val="center"/>
                </w:tcPr>
                <w:p>
                  <w:pPr>
                    <w:autoSpaceDE w:val="0"/>
                    <w:autoSpaceDN w:val="0"/>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新增工业废水直排建设项目（槽罐车外送污水处理厂的除外）；新增废水直排的污水集中处理厂</w:t>
                  </w:r>
                </w:p>
              </w:tc>
              <w:tc>
                <w:tcPr>
                  <w:tcW w:w="1985" w:type="dxa"/>
                  <w:vAlign w:val="center"/>
                </w:tcPr>
                <w:p>
                  <w:pPr>
                    <w:autoSpaceDE w:val="0"/>
                    <w:autoSpaceDN w:val="0"/>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本项目不属于工业项目，且属于间接排放</w:t>
                  </w:r>
                </w:p>
              </w:tc>
              <w:tc>
                <w:tcPr>
                  <w:tcW w:w="1089" w:type="dxa"/>
                  <w:vAlign w:val="center"/>
                </w:tcPr>
                <w:p>
                  <w:pPr>
                    <w:autoSpaceDE w:val="0"/>
                    <w:autoSpaceDN w:val="0"/>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4" w:type="dxa"/>
                  <w:vAlign w:val="center"/>
                </w:tcPr>
                <w:p>
                  <w:pPr>
                    <w:autoSpaceDE w:val="0"/>
                    <w:autoSpaceDN w:val="0"/>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环境风险</w:t>
                  </w:r>
                </w:p>
              </w:tc>
              <w:tc>
                <w:tcPr>
                  <w:tcW w:w="3067" w:type="dxa"/>
                  <w:vAlign w:val="center"/>
                </w:tcPr>
                <w:p>
                  <w:pPr>
                    <w:autoSpaceDE w:val="0"/>
                    <w:autoSpaceDN w:val="0"/>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有毒有害和易燃易爆危险物质存储量超过临界量的建设项目</w:t>
                  </w:r>
                </w:p>
              </w:tc>
              <w:tc>
                <w:tcPr>
                  <w:tcW w:w="1985" w:type="dxa"/>
                  <w:vAlign w:val="center"/>
                </w:tcPr>
                <w:p>
                  <w:pPr>
                    <w:autoSpaceDE w:val="0"/>
                    <w:autoSpaceDN w:val="0"/>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本项目危险物质储存量未超过临界量</w:t>
                  </w:r>
                </w:p>
              </w:tc>
              <w:tc>
                <w:tcPr>
                  <w:tcW w:w="1089" w:type="dxa"/>
                  <w:vAlign w:val="center"/>
                </w:tcPr>
                <w:p>
                  <w:pPr>
                    <w:autoSpaceDE w:val="0"/>
                    <w:autoSpaceDN w:val="0"/>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4" w:type="dxa"/>
                  <w:vAlign w:val="center"/>
                </w:tcPr>
                <w:p>
                  <w:pPr>
                    <w:autoSpaceDE w:val="0"/>
                    <w:autoSpaceDN w:val="0"/>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生态</w:t>
                  </w:r>
                </w:p>
              </w:tc>
              <w:tc>
                <w:tcPr>
                  <w:tcW w:w="3067" w:type="dxa"/>
                  <w:vAlign w:val="center"/>
                </w:tcPr>
                <w:p>
                  <w:pPr>
                    <w:autoSpaceDE w:val="0"/>
                    <w:autoSpaceDN w:val="0"/>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取水口下游500 米范围内有重要水生生物的自然产卵场、索饵场、越冬场和洄游通道的新增河道取水的污染类建设项目</w:t>
                  </w:r>
                </w:p>
              </w:tc>
              <w:tc>
                <w:tcPr>
                  <w:tcW w:w="1985" w:type="dxa"/>
                  <w:vAlign w:val="center"/>
                </w:tcPr>
                <w:p>
                  <w:pPr>
                    <w:autoSpaceDE w:val="0"/>
                    <w:autoSpaceDN w:val="0"/>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不涉及</w:t>
                  </w:r>
                </w:p>
              </w:tc>
              <w:tc>
                <w:tcPr>
                  <w:tcW w:w="1089" w:type="dxa"/>
                  <w:vAlign w:val="center"/>
                </w:tcPr>
                <w:p>
                  <w:pPr>
                    <w:autoSpaceDE w:val="0"/>
                    <w:autoSpaceDN w:val="0"/>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14" w:type="dxa"/>
                  <w:vAlign w:val="center"/>
                </w:tcPr>
                <w:p>
                  <w:pPr>
                    <w:autoSpaceDE w:val="0"/>
                    <w:autoSpaceDN w:val="0"/>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海洋</w:t>
                  </w:r>
                </w:p>
              </w:tc>
              <w:tc>
                <w:tcPr>
                  <w:tcW w:w="3067" w:type="dxa"/>
                  <w:vAlign w:val="center"/>
                </w:tcPr>
                <w:p>
                  <w:pPr>
                    <w:autoSpaceDE w:val="0"/>
                    <w:autoSpaceDN w:val="0"/>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直接向海排放污染物的海洋工程建设项目</w:t>
                  </w:r>
                </w:p>
              </w:tc>
              <w:tc>
                <w:tcPr>
                  <w:tcW w:w="1985" w:type="dxa"/>
                  <w:vAlign w:val="center"/>
                </w:tcPr>
                <w:p>
                  <w:pPr>
                    <w:autoSpaceDE w:val="0"/>
                    <w:autoSpaceDN w:val="0"/>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不涉及</w:t>
                  </w:r>
                </w:p>
              </w:tc>
              <w:tc>
                <w:tcPr>
                  <w:tcW w:w="1089" w:type="dxa"/>
                  <w:vAlign w:val="center"/>
                </w:tcPr>
                <w:p>
                  <w:pPr>
                    <w:autoSpaceDE w:val="0"/>
                    <w:autoSpaceDN w:val="0"/>
                    <w:adjustRightInd w:val="0"/>
                    <w:snapToGrid w:val="0"/>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否</w:t>
                  </w:r>
                </w:p>
              </w:tc>
            </w:tr>
          </w:tbl>
          <w:p>
            <w:pPr>
              <w:autoSpaceDE w:val="0"/>
              <w:autoSpaceDN w:val="0"/>
              <w:adjustRightInd w:val="0"/>
              <w:snapToGrid w:val="0"/>
              <w:jc w:val="center"/>
              <w:rPr>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1389" w:type="dxa"/>
            <w:gridSpan w:val="2"/>
            <w:vAlign w:val="center"/>
          </w:tcPr>
          <w:p>
            <w:pPr>
              <w:autoSpaceDE w:val="0"/>
              <w:autoSpaceDN w:val="0"/>
              <w:adjustRightInd w:val="0"/>
              <w:snapToGrid w:val="0"/>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规划情况</w:t>
            </w:r>
          </w:p>
        </w:tc>
        <w:tc>
          <w:tcPr>
            <w:tcW w:w="7481" w:type="dxa"/>
            <w:gridSpan w:val="3"/>
            <w:vAlign w:val="center"/>
          </w:tcPr>
          <w:p>
            <w:pPr>
              <w:spacing w:line="360"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389" w:type="dxa"/>
            <w:gridSpan w:val="2"/>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规划环境影响评价情况</w:t>
            </w:r>
          </w:p>
        </w:tc>
        <w:tc>
          <w:tcPr>
            <w:tcW w:w="7481" w:type="dxa"/>
            <w:gridSpan w:val="3"/>
            <w:vAlign w:val="center"/>
          </w:tcPr>
          <w:p>
            <w:pPr>
              <w:autoSpaceDE w:val="0"/>
              <w:autoSpaceDN w:val="0"/>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389" w:type="dxa"/>
            <w:gridSpan w:val="2"/>
            <w:vAlign w:val="center"/>
          </w:tcPr>
          <w:p>
            <w:pPr>
              <w:autoSpaceDE w:val="0"/>
              <w:autoSpaceDN w:val="0"/>
              <w:adjustRightInd w:val="0"/>
              <w:snapToGrid w:val="0"/>
              <w:jc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规划及规划环境影响评价符合性分析</w:t>
            </w:r>
          </w:p>
        </w:tc>
        <w:tc>
          <w:tcPr>
            <w:tcW w:w="7481" w:type="dxa"/>
            <w:gridSpan w:val="3"/>
            <w:vAlign w:val="center"/>
          </w:tcPr>
          <w:p>
            <w:pPr>
              <w:autoSpaceDE w:val="0"/>
              <w:autoSpaceDN w:val="0"/>
              <w:adjustRightInd w:val="0"/>
              <w:snapToGrid w:val="0"/>
              <w:spacing w:line="360" w:lineRule="auto"/>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38" w:hRule="atLeast"/>
          <w:jc w:val="center"/>
        </w:trPr>
        <w:tc>
          <w:tcPr>
            <w:tcW w:w="410" w:type="dxa"/>
            <w:vAlign w:val="center"/>
          </w:tcPr>
          <w:p>
            <w:pPr>
              <w:autoSpaceDE w:val="0"/>
              <w:autoSpaceDN w:val="0"/>
              <w:adjustRightInd w:val="0"/>
              <w:snapToGrid w:val="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其他符合性分析</w:t>
            </w:r>
          </w:p>
        </w:tc>
        <w:tc>
          <w:tcPr>
            <w:tcW w:w="8460" w:type="dxa"/>
            <w:gridSpan w:val="4"/>
            <w:vAlign w:val="center"/>
          </w:tcPr>
          <w:p>
            <w:pPr>
              <w:autoSpaceDE w:val="0"/>
              <w:autoSpaceDN w:val="0"/>
              <w:adjustRightInd w:val="0"/>
              <w:snapToGrid w:val="0"/>
              <w:spacing w:line="360" w:lineRule="auto"/>
              <w:ind w:firstLine="422" w:firstLineChars="20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1、产业政策的符合性分析</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本项目属于专科医院，根据《产业结构调整指导目录（2021年修订）》，本项目属于“鼓励类”第三十七类“卫生健康”第5款“医疗卫生服务设施建设”，因此，本项目属于鼓励类项目，符合国家产业政策要求。</w:t>
            </w:r>
          </w:p>
          <w:p>
            <w:pPr>
              <w:autoSpaceDE w:val="0"/>
              <w:autoSpaceDN w:val="0"/>
              <w:adjustRightInd w:val="0"/>
              <w:snapToGrid w:val="0"/>
              <w:spacing w:line="360" w:lineRule="auto"/>
              <w:ind w:firstLine="422" w:firstLineChars="20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2、相关规划符合性分析</w:t>
            </w:r>
          </w:p>
          <w:p>
            <w:pPr>
              <w:spacing w:line="360" w:lineRule="auto"/>
              <w:ind w:firstLine="420" w:firstLineChars="200"/>
              <w:jc w:val="left"/>
              <w:rPr>
                <w:color w:val="000000" w:themeColor="text1"/>
                <w:szCs w:val="21"/>
                <w:lang w:val="zh-CN"/>
                <w14:textFill>
                  <w14:solidFill>
                    <w14:schemeClr w14:val="tx1"/>
                  </w14:solidFill>
                </w14:textFill>
              </w:rPr>
            </w:pPr>
            <w:r>
              <w:rPr>
                <w:color w:val="000000" w:themeColor="text1"/>
                <w:szCs w:val="21"/>
                <w:lang w:val="zh-CN"/>
                <w14:textFill>
                  <w14:solidFill>
                    <w14:schemeClr w14:val="tx1"/>
                  </w14:solidFill>
                </w14:textFill>
              </w:rPr>
              <w:t>本项目位于淄博市张店区新村西路188号，属于</w:t>
            </w:r>
            <w:r>
              <w:rPr>
                <w:rFonts w:hint="eastAsia"/>
                <w:color w:val="000000" w:themeColor="text1"/>
                <w:szCs w:val="21"/>
                <w:lang w:val="zh-CN"/>
                <w14:textFill>
                  <w14:solidFill>
                    <w14:schemeClr w14:val="tx1"/>
                  </w14:solidFill>
                </w14:textFill>
              </w:rPr>
              <w:t>专科</w:t>
            </w:r>
            <w:r>
              <w:rPr>
                <w:color w:val="000000" w:themeColor="text1"/>
                <w:szCs w:val="21"/>
                <w:lang w:val="zh-CN"/>
                <w14:textFill>
                  <w14:solidFill>
                    <w14:schemeClr w14:val="tx1"/>
                  </w14:solidFill>
                </w14:textFill>
              </w:rPr>
              <w:t>医院，根据企业建设用地规划许可证</w:t>
            </w:r>
            <w:r>
              <w:rPr>
                <w:rFonts w:hint="eastAsia"/>
                <w:color w:val="000000" w:themeColor="text1"/>
                <w:szCs w:val="21"/>
                <w:lang w:val="zh-CN"/>
                <w14:textFill>
                  <w14:solidFill>
                    <w14:schemeClr w14:val="tx1"/>
                  </w14:solidFill>
                </w14:textFill>
              </w:rPr>
              <w:t>：（96）编号鲁-03-01第9号，本用地项目符合城市规划要求，准予办理征用划拨土地手续。</w:t>
            </w:r>
          </w:p>
          <w:p>
            <w:pPr>
              <w:spacing w:line="360" w:lineRule="auto"/>
              <w:ind w:firstLine="420" w:firstLineChars="200"/>
              <w:jc w:val="left"/>
              <w:rPr>
                <w:b/>
                <w:color w:val="000000" w:themeColor="text1"/>
                <w:szCs w:val="21"/>
                <w14:textFill>
                  <w14:solidFill>
                    <w14:schemeClr w14:val="tx1"/>
                  </w14:solidFill>
                </w14:textFill>
              </w:rPr>
            </w:pPr>
            <w:r>
              <w:rPr>
                <w:rFonts w:hint="eastAsia"/>
                <w:color w:val="000000" w:themeColor="text1"/>
                <w:szCs w:val="21"/>
                <w:lang w:val="zh-CN"/>
                <w14:textFill>
                  <w14:solidFill>
                    <w14:schemeClr w14:val="tx1"/>
                  </w14:solidFill>
                </w14:textFill>
              </w:rPr>
              <w:t>根据</w:t>
            </w:r>
            <w:r>
              <w:rPr>
                <w:color w:val="000000" w:themeColor="text1"/>
                <w:szCs w:val="21"/>
                <w:lang w:val="zh-CN"/>
                <w14:textFill>
                  <w14:solidFill>
                    <w14:schemeClr w14:val="tx1"/>
                  </w14:solidFill>
                </w14:textFill>
              </w:rPr>
              <w:t>《淄博市城市总体规划》（2011-2020）</w:t>
            </w:r>
            <w:r>
              <w:rPr>
                <w:rFonts w:hint="eastAsia"/>
                <w:color w:val="000000" w:themeColor="text1"/>
                <w:szCs w:val="21"/>
                <w:lang w:val="zh-CN"/>
                <w14:textFill>
                  <w14:solidFill>
                    <w14:schemeClr w14:val="tx1"/>
                  </w14:solidFill>
                </w14:textFill>
              </w:rPr>
              <w:t>，</w:t>
            </w:r>
            <w:r>
              <w:rPr>
                <w:color w:val="000000" w:themeColor="text1"/>
                <w:szCs w:val="21"/>
                <w:lang w:val="zh-CN"/>
                <w14:textFill>
                  <w14:solidFill>
                    <w14:schemeClr w14:val="tx1"/>
                  </w14:solidFill>
                </w14:textFill>
              </w:rPr>
              <w:t>本项目用地性质为医疗卫生用地</w:t>
            </w:r>
            <w:r>
              <w:rPr>
                <w:rFonts w:hint="eastAsia"/>
                <w:color w:val="000000" w:themeColor="text1"/>
                <w:szCs w:val="21"/>
                <w:lang w:val="zh-CN"/>
                <w14:textFill>
                  <w14:solidFill>
                    <w14:schemeClr w14:val="tx1"/>
                  </w14:solidFill>
                </w14:textFill>
              </w:rPr>
              <w:t>，</w:t>
            </w:r>
            <w:r>
              <w:rPr>
                <w:color w:val="000000" w:themeColor="text1"/>
                <w:szCs w:val="21"/>
                <w:lang w:val="zh-CN"/>
                <w14:textFill>
                  <w14:solidFill>
                    <w14:schemeClr w14:val="tx1"/>
                  </w14:solidFill>
                </w14:textFill>
              </w:rPr>
              <w:t>符合淄博市城市总体规划要求</w:t>
            </w:r>
            <w:r>
              <w:rPr>
                <w:rFonts w:hint="eastAsia"/>
                <w:color w:val="000000" w:themeColor="text1"/>
                <w:szCs w:val="21"/>
                <w:lang w:val="zh-CN"/>
                <w14:textFill>
                  <w14:solidFill>
                    <w14:schemeClr w14:val="tx1"/>
                  </w14:solidFill>
                </w14:textFill>
              </w:rPr>
              <w:t>，具体</w:t>
            </w:r>
            <w:r>
              <w:rPr>
                <w:color w:val="000000" w:themeColor="text1"/>
                <w:szCs w:val="21"/>
                <w:lang w:val="zh-CN"/>
                <w14:textFill>
                  <w14:solidFill>
                    <w14:schemeClr w14:val="tx1"/>
                  </w14:solidFill>
                </w14:textFill>
              </w:rPr>
              <w:t>详见附图</w:t>
            </w:r>
            <w:r>
              <w:rPr>
                <w:color w:val="000000" w:themeColor="text1"/>
                <w:szCs w:val="21"/>
                <w14:textFill>
                  <w14:solidFill>
                    <w14:schemeClr w14:val="tx1"/>
                  </w14:solidFill>
                </w14:textFill>
              </w:rPr>
              <w:t>4</w:t>
            </w:r>
            <w:r>
              <w:rPr>
                <w:rFonts w:hint="eastAsia"/>
                <w:color w:val="000000" w:themeColor="text1"/>
                <w:szCs w:val="21"/>
                <w:lang w:val="zh-CN"/>
                <w14:textFill>
                  <w14:solidFill>
                    <w14:schemeClr w14:val="tx1"/>
                  </w14:solidFill>
                </w14:textFill>
              </w:rPr>
              <w:t>；根据张店区土地利用总体规划（2006-2020年）可知，本项目用地性质为建设用地，符合张店区土地利用总体规划要求，具体详见附图5。</w:t>
            </w:r>
          </w:p>
          <w:p>
            <w:pPr>
              <w:spacing w:line="360" w:lineRule="auto"/>
              <w:ind w:firstLine="422" w:firstLineChars="200"/>
              <w:jc w:val="left"/>
              <w:rPr>
                <w:b/>
                <w:color w:val="000000" w:themeColor="text1"/>
                <w:szCs w:val="21"/>
                <w:lang w:val="zh-CN"/>
                <w14:textFill>
                  <w14:solidFill>
                    <w14:schemeClr w14:val="tx1"/>
                  </w14:solidFill>
                </w14:textFill>
              </w:rPr>
            </w:pPr>
            <w:r>
              <w:rPr>
                <w:b/>
                <w:color w:val="000000" w:themeColor="text1"/>
                <w:szCs w:val="21"/>
                <w14:textFill>
                  <w14:solidFill>
                    <w14:schemeClr w14:val="tx1"/>
                  </w14:solidFill>
                </w14:textFill>
              </w:rPr>
              <w:t>3</w:t>
            </w:r>
            <w:r>
              <w:rPr>
                <w:b/>
                <w:color w:val="000000" w:themeColor="text1"/>
                <w:szCs w:val="21"/>
                <w:lang w:val="zh-CN"/>
                <w14:textFill>
                  <w14:solidFill>
                    <w14:schemeClr w14:val="tx1"/>
                  </w14:solidFill>
                </w14:textFill>
              </w:rPr>
              <w:t>、项目选址合理性分析</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szCs w:val="21"/>
                <w:lang w:val="zh-CN"/>
                <w14:textFill>
                  <w14:solidFill>
                    <w14:schemeClr w14:val="tx1"/>
                  </w14:solidFill>
                </w14:textFill>
              </w:rPr>
              <w:t>（1）</w:t>
            </w:r>
            <w:r>
              <w:rPr>
                <w:color w:val="000000" w:themeColor="text1"/>
                <w:kern w:val="0"/>
                <w:szCs w:val="21"/>
                <w14:textFill>
                  <w14:solidFill>
                    <w14:schemeClr w14:val="tx1"/>
                  </w14:solidFill>
                </w14:textFill>
              </w:rPr>
              <w:t>本项目位于淄博市张店区新村西路188号，项目用地符合</w:t>
            </w:r>
            <w:r>
              <w:rPr>
                <w:rFonts w:hint="eastAsia"/>
                <w:color w:val="000000" w:themeColor="text1"/>
                <w:kern w:val="0"/>
                <w:szCs w:val="21"/>
                <w14:textFill>
                  <w14:solidFill>
                    <w14:schemeClr w14:val="tx1"/>
                  </w14:solidFill>
                </w14:textFill>
              </w:rPr>
              <w:t>符合淄博市城市总体规划要求，符合</w:t>
            </w:r>
            <w:r>
              <w:rPr>
                <w:color w:val="000000" w:themeColor="text1"/>
                <w:kern w:val="0"/>
                <w:szCs w:val="21"/>
                <w14:textFill>
                  <w14:solidFill>
                    <w14:schemeClr w14:val="tx1"/>
                  </w14:solidFill>
                </w14:textFill>
              </w:rPr>
              <w:t>张店区土地利用总体规划要求。</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（2）本项目用地已取得淄博市规划局出具的“建设用地规划许可证”（96）编号鲁-03-01第9号，根据规划许可证，用地面积4302m</w:t>
            </w:r>
            <w:r>
              <w:rPr>
                <w:color w:val="000000" w:themeColor="text1"/>
                <w:szCs w:val="21"/>
                <w:vertAlign w:val="superscript"/>
                <w14:textFill>
                  <w14:solidFill>
                    <w14:schemeClr w14:val="tx1"/>
                  </w14:solidFill>
                </w14:textFill>
              </w:rPr>
              <w:t>2</w:t>
            </w:r>
            <w:r>
              <w:rPr>
                <w:color w:val="000000" w:themeColor="text1"/>
                <w:szCs w:val="21"/>
                <w14:textFill>
                  <w14:solidFill>
                    <w14:schemeClr w14:val="tx1"/>
                  </w14:solidFill>
                </w14:textFill>
              </w:rPr>
              <w:t>，本用地项目符合城市规划要求，建设用地规划许可证详见附件。</w:t>
            </w:r>
          </w:p>
          <w:p>
            <w:pPr>
              <w:spacing w:line="360" w:lineRule="auto"/>
              <w:ind w:firstLine="420" w:firstLineChars="20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（3）本项目为医院，属于敏感目标，项目500m范围内不存在工业企业，周边均为居民生活区，不在工业企业防护距离范围内。</w:t>
            </w:r>
          </w:p>
          <w:p>
            <w:pPr>
              <w:autoSpaceDE w:val="0"/>
              <w:autoSpaceDN w:val="0"/>
              <w:adjustRightInd w:val="0"/>
              <w:snapToGrid w:val="0"/>
              <w:spacing w:line="360" w:lineRule="auto"/>
              <w:ind w:firstLine="422" w:firstLineChars="200"/>
              <w:jc w:val="left"/>
              <w:rPr>
                <w:b/>
                <w:color w:val="000000" w:themeColor="text1"/>
                <w14:textFill>
                  <w14:solidFill>
                    <w14:schemeClr w14:val="tx1"/>
                  </w14:solidFill>
                </w14:textFill>
              </w:rPr>
            </w:pPr>
            <w:r>
              <w:rPr>
                <w:b/>
                <w:color w:val="000000" w:themeColor="text1"/>
                <w14:textFill>
                  <w14:solidFill>
                    <w14:schemeClr w14:val="tx1"/>
                  </w14:solidFill>
                </w14:textFill>
              </w:rPr>
              <w:t>3、与“三线一单”符合性分析</w:t>
            </w:r>
          </w:p>
          <w:p>
            <w:pPr>
              <w:autoSpaceDE w:val="0"/>
              <w:autoSpaceDN w:val="0"/>
              <w:adjustRightInd w:val="0"/>
              <w:snapToGrid w:val="0"/>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根据</w:t>
            </w:r>
            <w:r>
              <w:rPr>
                <w:rFonts w:hint="eastAsia"/>
                <w:color w:val="000000" w:themeColor="text1"/>
                <w14:textFill>
                  <w14:solidFill>
                    <w14:schemeClr w14:val="tx1"/>
                  </w14:solidFill>
                </w14:textFill>
              </w:rPr>
              <w:t>《关于实施“三线一单”生态环境分区管控的指导意见(试行)》(环环评(2021〕108 号)</w:t>
            </w:r>
            <w:r>
              <w:rPr>
                <w:color w:val="000000" w:themeColor="text1"/>
                <w14:textFill>
                  <w14:solidFill>
                    <w14:schemeClr w14:val="tx1"/>
                  </w14:solidFill>
                </w14:textFill>
              </w:rPr>
              <w:t>要求，</w:t>
            </w:r>
            <w:r>
              <w:rPr>
                <w:rFonts w:hint="eastAsia"/>
                <w:color w:val="000000" w:themeColor="text1"/>
                <w14:textFill>
                  <w14:solidFill>
                    <w14:schemeClr w14:val="tx1"/>
                  </w14:solidFill>
                </w14:textFill>
              </w:rPr>
              <w:t>实施“三线一单”（生态保护红线、环境质量底线、资源利用上线和生态环境准入清单）生态环境分区管控制度，分析内容具体如下：</w:t>
            </w:r>
          </w:p>
          <w:p>
            <w:pPr>
              <w:autoSpaceDE w:val="0"/>
              <w:autoSpaceDN w:val="0"/>
              <w:adjustRightInd w:val="0"/>
              <w:snapToGrid w:val="0"/>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（1）生态保护红线符合性判定</w:t>
            </w:r>
          </w:p>
          <w:p>
            <w:pPr>
              <w:autoSpaceDE w:val="0"/>
              <w:autoSpaceDN w:val="0"/>
              <w:adjustRightInd w:val="0"/>
              <w:spacing w:line="36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根据《山东省生态保护红线规划（2016-2020 年）》，规划将省级及以上自然保护区、风景名胜区、湿地公园、森林公园、地质公园以及世界文化自然遗产的全部区域纳入生态保护红线。</w:t>
            </w:r>
          </w:p>
          <w:p>
            <w:pPr>
              <w:autoSpaceDE w:val="0"/>
              <w:autoSpaceDN w:val="0"/>
              <w:adjustRightInd w:val="0"/>
              <w:spacing w:line="36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张店区生态保护红线区为四宝山以西生物多样性维护生态保护红线区，具体范围见表1-1</w:t>
            </w:r>
            <w:r>
              <w:rPr>
                <w:color w:val="000000" w:themeColor="text1"/>
                <w:kern w:val="0"/>
                <w:szCs w:val="21"/>
                <w:lang w:val="zh-CN"/>
                <w14:textFill>
                  <w14:solidFill>
                    <w14:schemeClr w14:val="tx1"/>
                  </w14:solidFill>
                </w14:textFill>
              </w:rPr>
              <w:t>。</w:t>
            </w:r>
          </w:p>
          <w:p>
            <w:pPr>
              <w:autoSpaceDE w:val="0"/>
              <w:autoSpaceDN w:val="0"/>
              <w:adjustRightInd w:val="0"/>
              <w:snapToGrid w:val="0"/>
              <w:jc w:val="center"/>
              <w:rPr>
                <w:b/>
                <w:bCs/>
                <w:color w:val="000000" w:themeColor="text1"/>
                <w:kern w:val="0"/>
                <w:szCs w:val="21"/>
                <w:lang w:val="zh-CN"/>
                <w14:textFill>
                  <w14:solidFill>
                    <w14:schemeClr w14:val="tx1"/>
                  </w14:solidFill>
                </w14:textFill>
              </w:rPr>
            </w:pPr>
            <w:r>
              <w:rPr>
                <w:b/>
                <w:bCs/>
                <w:color w:val="000000" w:themeColor="text1"/>
                <w:kern w:val="0"/>
                <w:szCs w:val="21"/>
                <w:lang w:val="zh-CN"/>
                <w14:textFill>
                  <w14:solidFill>
                    <w14:schemeClr w14:val="tx1"/>
                  </w14:solidFill>
                </w14:textFill>
              </w:rPr>
              <w:t>表</w:t>
            </w:r>
            <w:r>
              <w:rPr>
                <w:b/>
                <w:bCs/>
                <w:color w:val="000000" w:themeColor="text1"/>
                <w:kern w:val="0"/>
                <w:szCs w:val="21"/>
                <w14:textFill>
                  <w14:solidFill>
                    <w14:schemeClr w14:val="tx1"/>
                  </w14:solidFill>
                </w14:textFill>
              </w:rPr>
              <w:t>1-1</w:t>
            </w:r>
            <w:r>
              <w:rPr>
                <w:b/>
                <w:bCs/>
                <w:color w:val="000000" w:themeColor="text1"/>
                <w:kern w:val="0"/>
                <w:szCs w:val="21"/>
                <w:lang w:val="zh-CN"/>
                <w14:textFill>
                  <w14:solidFill>
                    <w14:schemeClr w14:val="tx1"/>
                  </w14:solidFill>
                </w14:textFill>
              </w:rPr>
              <w:t xml:space="preserve">  生态保护红线区具体范围一览表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275"/>
              <w:gridCol w:w="851"/>
              <w:gridCol w:w="1276"/>
              <w:gridCol w:w="708"/>
              <w:gridCol w:w="993"/>
              <w:gridCol w:w="85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pct"/>
                  <w:vAlign w:val="center"/>
                </w:tcPr>
                <w:p>
                  <w:pPr>
                    <w:jc w:val="center"/>
                    <w:rPr>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生态保护红线区名称</w:t>
                  </w:r>
                </w:p>
              </w:tc>
              <w:tc>
                <w:tcPr>
                  <w:tcW w:w="774" w:type="pct"/>
                  <w:vAlign w:val="center"/>
                </w:tcPr>
                <w:p>
                  <w:pPr>
                    <w:jc w:val="center"/>
                    <w:rPr>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代码</w:t>
                  </w:r>
                </w:p>
              </w:tc>
              <w:tc>
                <w:tcPr>
                  <w:tcW w:w="517" w:type="pct"/>
                  <w:vAlign w:val="center"/>
                </w:tcPr>
                <w:p>
                  <w:pPr>
                    <w:jc w:val="center"/>
                    <w:rPr>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所在行政区域</w:t>
                  </w:r>
                </w:p>
              </w:tc>
              <w:tc>
                <w:tcPr>
                  <w:tcW w:w="775" w:type="pct"/>
                  <w:vAlign w:val="center"/>
                </w:tcPr>
                <w:p>
                  <w:pPr>
                    <w:jc w:val="center"/>
                    <w:rPr>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边界描述</w:t>
                  </w:r>
                </w:p>
              </w:tc>
              <w:tc>
                <w:tcPr>
                  <w:tcW w:w="430" w:type="pct"/>
                  <w:vAlign w:val="center"/>
                </w:tcPr>
                <w:p>
                  <w:pPr>
                    <w:jc w:val="center"/>
                    <w:rPr>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面积(km</w:t>
                  </w:r>
                  <w:r>
                    <w:rPr>
                      <w:b/>
                      <w:bCs/>
                      <w:color w:val="000000" w:themeColor="text1"/>
                      <w:sz w:val="18"/>
                      <w:szCs w:val="18"/>
                      <w:vertAlign w:val="superscript"/>
                      <w14:textFill>
                        <w14:solidFill>
                          <w14:schemeClr w14:val="tx1"/>
                        </w14:solidFill>
                      </w14:textFill>
                    </w:rPr>
                    <w:t>2</w:t>
                  </w:r>
                  <w:r>
                    <w:rPr>
                      <w:b/>
                      <w:bCs/>
                      <w:color w:val="000000" w:themeColor="text1"/>
                      <w:sz w:val="18"/>
                      <w:szCs w:val="18"/>
                      <w14:textFill>
                        <w14:solidFill>
                          <w14:schemeClr w14:val="tx1"/>
                        </w14:solidFill>
                      </w14:textFill>
                    </w:rPr>
                    <w:t>)</w:t>
                  </w:r>
                </w:p>
              </w:tc>
              <w:tc>
                <w:tcPr>
                  <w:tcW w:w="603" w:type="pct"/>
                  <w:vAlign w:val="center"/>
                </w:tcPr>
                <w:p>
                  <w:pPr>
                    <w:jc w:val="center"/>
                    <w:rPr>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生态功能</w:t>
                  </w:r>
                </w:p>
              </w:tc>
              <w:tc>
                <w:tcPr>
                  <w:tcW w:w="516" w:type="pct"/>
                  <w:vAlign w:val="center"/>
                </w:tcPr>
                <w:p>
                  <w:pPr>
                    <w:jc w:val="center"/>
                    <w:rPr>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类型</w:t>
                  </w:r>
                </w:p>
              </w:tc>
              <w:tc>
                <w:tcPr>
                  <w:tcW w:w="403" w:type="pct"/>
                  <w:vAlign w:val="center"/>
                </w:tcPr>
                <w:p>
                  <w:pPr>
                    <w:jc w:val="center"/>
                    <w:rPr>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2" w:type="pct"/>
                  <w:vAlign w:val="center"/>
                </w:tcPr>
                <w:p>
                  <w:pPr>
                    <w:pStyle w:val="51"/>
                    <w:spacing w:before="24" w:after="24"/>
                    <w:ind w:left="67"/>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四宝山以西生物多样性维护生态保护红线区</w:t>
                  </w:r>
                </w:p>
              </w:tc>
              <w:tc>
                <w:tcPr>
                  <w:tcW w:w="774" w:type="pct"/>
                  <w:vAlign w:val="center"/>
                </w:tcPr>
                <w:p>
                  <w:pPr>
                    <w:pStyle w:val="51"/>
                    <w:spacing w:before="24" w:after="24"/>
                    <w:ind w:left="67"/>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SD-03-B4-03</w:t>
                  </w:r>
                </w:p>
              </w:tc>
              <w:tc>
                <w:tcPr>
                  <w:tcW w:w="517" w:type="pct"/>
                  <w:vAlign w:val="center"/>
                </w:tcPr>
                <w:p>
                  <w:pPr>
                    <w:pStyle w:val="51"/>
                    <w:spacing w:before="24" w:after="24"/>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张店区、高新区</w:t>
                  </w:r>
                </w:p>
              </w:tc>
              <w:tc>
                <w:tcPr>
                  <w:tcW w:w="775" w:type="pct"/>
                  <w:vAlign w:val="center"/>
                </w:tcPr>
                <w:p>
                  <w:pPr>
                    <w:pStyle w:val="51"/>
                    <w:spacing w:before="24" w:after="24"/>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龙泉山庄西北、四宝山环山路以南、化工设备厂以东。</w:t>
                  </w:r>
                </w:p>
              </w:tc>
              <w:tc>
                <w:tcPr>
                  <w:tcW w:w="430" w:type="pct"/>
                  <w:vAlign w:val="center"/>
                </w:tcPr>
                <w:p>
                  <w:pPr>
                    <w:pStyle w:val="51"/>
                    <w:spacing w:before="24" w:after="24"/>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1.21</w:t>
                  </w:r>
                </w:p>
              </w:tc>
              <w:tc>
                <w:tcPr>
                  <w:tcW w:w="603" w:type="pct"/>
                  <w:vAlign w:val="center"/>
                </w:tcPr>
                <w:p>
                  <w:pPr>
                    <w:pStyle w:val="51"/>
                    <w:spacing w:before="24" w:after="24"/>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水源涵养、生物多样性维护</w:t>
                  </w:r>
                </w:p>
              </w:tc>
              <w:tc>
                <w:tcPr>
                  <w:tcW w:w="516" w:type="pct"/>
                  <w:vAlign w:val="center"/>
                </w:tcPr>
                <w:p>
                  <w:pPr>
                    <w:pStyle w:val="51"/>
                    <w:spacing w:before="24" w:after="24"/>
                    <w:ind w:left="67"/>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森林、草地</w:t>
                  </w:r>
                </w:p>
              </w:tc>
              <w:tc>
                <w:tcPr>
                  <w:tcW w:w="403" w:type="pct"/>
                  <w:vAlign w:val="center"/>
                </w:tcPr>
                <w:p>
                  <w:pPr>
                    <w:pStyle w:val="51"/>
                    <w:spacing w:before="24" w:after="24"/>
                    <w:rPr>
                      <w:rFonts w:ascii="Times New Roman"/>
                      <w:color w:val="000000" w:themeColor="text1"/>
                      <w:sz w:val="18"/>
                      <w:szCs w:val="18"/>
                      <w14:textFill>
                        <w14:solidFill>
                          <w14:schemeClr w14:val="tx1"/>
                        </w14:solidFill>
                      </w14:textFill>
                    </w:rPr>
                  </w:pPr>
                  <w:r>
                    <w:rPr>
                      <w:rFonts w:ascii="Times New Roman"/>
                      <w:color w:val="000000" w:themeColor="text1"/>
                      <w:sz w:val="18"/>
                      <w:szCs w:val="18"/>
                      <w14:textFill>
                        <w14:solidFill>
                          <w14:schemeClr w14:val="tx1"/>
                        </w14:solidFill>
                      </w14:textFill>
                    </w:rPr>
                    <w:t>/</w:t>
                  </w:r>
                </w:p>
              </w:tc>
            </w:tr>
          </w:tbl>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本项目位于淄博市张店区新村西路188号，四宝山以西生物多样性维护生态保护红线区位于项目区东北侧8.32km处，项目所在区域无生态保护红线区，不涉及占用或穿越生态保护红线，本项目与生态保护红线区位置关系图见附图6。</w:t>
            </w:r>
          </w:p>
          <w:p>
            <w:pPr>
              <w:autoSpaceDE w:val="0"/>
              <w:autoSpaceDN w:val="0"/>
              <w:adjustRightInd w:val="0"/>
              <w:snapToGrid w:val="0"/>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（2）环境质量底线符合性判定</w:t>
            </w:r>
          </w:p>
          <w:p>
            <w:pPr>
              <w:autoSpaceDE w:val="0"/>
              <w:autoSpaceDN w:val="0"/>
              <w:adjustRightInd w:val="0"/>
              <w:spacing w:line="360" w:lineRule="auto"/>
              <w:ind w:firstLine="420" w:firstLineChars="200"/>
              <w:rPr>
                <w:color w:val="000000" w:themeColor="text1"/>
                <w14:textFill>
                  <w14:solidFill>
                    <w14:schemeClr w14:val="tx1"/>
                  </w14:solidFill>
                </w14:textFill>
              </w:rPr>
            </w:pPr>
            <w:r>
              <w:rPr>
                <w:bCs/>
                <w:color w:val="000000" w:themeColor="text1"/>
                <w:szCs w:val="21"/>
                <w14:textFill>
                  <w14:solidFill>
                    <w14:schemeClr w14:val="tx1"/>
                  </w14:solidFill>
                </w14:textFill>
              </w:rPr>
              <w:t>环境质量底线是指国家和地方设置的大气、水和土壤环境质量目标，也是改善环境质量的基准线。根据</w:t>
            </w:r>
            <w:r>
              <w:rPr>
                <w:color w:val="000000" w:themeColor="text1"/>
                <w:szCs w:val="21"/>
                <w14:textFill>
                  <w14:solidFill>
                    <w14:schemeClr w14:val="tx1"/>
                  </w14:solidFill>
                </w14:textFill>
              </w:rPr>
              <w:t>《生态淄博建设工作简报》（2020年第2期）</w:t>
            </w:r>
            <w:r>
              <w:rPr>
                <w:bCs/>
                <w:color w:val="000000" w:themeColor="text1"/>
                <w:szCs w:val="21"/>
                <w14:textFill>
                  <w14:solidFill>
                    <w14:schemeClr w14:val="tx1"/>
                  </w14:solidFill>
                </w14:textFill>
              </w:rPr>
              <w:t>，</w:t>
            </w:r>
            <w:r>
              <w:rPr>
                <w:color w:val="000000" w:themeColor="text1"/>
                <w:szCs w:val="21"/>
                <w14:textFill>
                  <w14:solidFill>
                    <w14:schemeClr w14:val="tx1"/>
                  </w14:solidFill>
                </w14:textFill>
              </w:rPr>
              <w:t>项目区域环境空气质量不能满足《环境空气质量标准》(GB3095-2012)二级标准要求</w:t>
            </w:r>
            <w:r>
              <w:rPr>
                <w:bCs/>
                <w:color w:val="000000" w:themeColor="text1"/>
                <w:szCs w:val="21"/>
                <w14:textFill>
                  <w14:solidFill>
                    <w14:schemeClr w14:val="tx1"/>
                  </w14:solidFill>
                </w14:textFill>
              </w:rPr>
              <w:t>；声环境质量满足</w:t>
            </w:r>
            <w:r>
              <w:rPr>
                <w:color w:val="000000" w:themeColor="text1"/>
                <w:szCs w:val="21"/>
                <w14:textFill>
                  <w14:solidFill>
                    <w14:schemeClr w14:val="tx1"/>
                  </w14:solidFill>
                </w14:textFill>
              </w:rPr>
              <w:t>《声环境质量标准》(GB3096-2008)中的1类区标准；</w:t>
            </w:r>
            <w:r>
              <w:rPr>
                <w:bCs/>
                <w:color w:val="000000" w:themeColor="text1"/>
                <w:szCs w:val="21"/>
                <w14:textFill>
                  <w14:solidFill>
                    <w14:schemeClr w14:val="tx1"/>
                  </w14:solidFill>
                </w14:textFill>
              </w:rPr>
              <w:t>地表水质量满足</w:t>
            </w:r>
            <w:r>
              <w:rPr>
                <w:color w:val="000000" w:themeColor="text1"/>
                <w:szCs w:val="21"/>
                <w14:textFill>
                  <w14:solidFill>
                    <w14:schemeClr w14:val="tx1"/>
                  </w14:solidFill>
                </w14:textFill>
              </w:rPr>
              <w:t>《地表水环境质量标准》（GB3838-2002）中</w:t>
            </w:r>
            <w:r>
              <w:rPr>
                <w:color w:val="000000" w:themeColor="text1"/>
                <w:szCs w:val="21"/>
                <w:lang w:eastAsia="ja-JP"/>
                <w14:textFill>
                  <w14:solidFill>
                    <w14:schemeClr w14:val="tx1"/>
                  </w14:solidFill>
                </w14:textFill>
              </w:rPr>
              <w:fldChar w:fldCharType="begin"/>
            </w:r>
            <w:r>
              <w:rPr>
                <w:color w:val="000000" w:themeColor="text1"/>
                <w:szCs w:val="21"/>
                <w14:textFill>
                  <w14:solidFill>
                    <w14:schemeClr w14:val="tx1"/>
                  </w14:solidFill>
                </w14:textFill>
              </w:rPr>
              <w:instrText xml:space="preserve"> = 4 \* ROMAN </w:instrText>
            </w:r>
            <w:r>
              <w:rPr>
                <w:color w:val="000000" w:themeColor="text1"/>
                <w:szCs w:val="21"/>
                <w:lang w:eastAsia="ja-JP"/>
                <w14:textFill>
                  <w14:solidFill>
                    <w14:schemeClr w14:val="tx1"/>
                  </w14:solidFill>
                </w14:textFill>
              </w:rPr>
              <w:fldChar w:fldCharType="separate"/>
            </w:r>
            <w:r>
              <w:rPr>
                <w:color w:val="000000" w:themeColor="text1"/>
                <w:szCs w:val="21"/>
                <w14:textFill>
                  <w14:solidFill>
                    <w14:schemeClr w14:val="tx1"/>
                  </w14:solidFill>
                </w14:textFill>
              </w:rPr>
              <w:t>IV</w:t>
            </w:r>
            <w:r>
              <w:rPr>
                <w:color w:val="000000" w:themeColor="text1"/>
                <w:szCs w:val="21"/>
                <w:lang w:eastAsia="ja-JP"/>
                <w14:textFill>
                  <w14:solidFill>
                    <w14:schemeClr w14:val="tx1"/>
                  </w14:solidFill>
                </w14:textFill>
              </w:rPr>
              <w:fldChar w:fldCharType="end"/>
            </w:r>
            <w:r>
              <w:rPr>
                <w:color w:val="000000" w:themeColor="text1"/>
                <w:szCs w:val="21"/>
                <w14:textFill>
                  <w14:solidFill>
                    <w14:schemeClr w14:val="tx1"/>
                  </w14:solidFill>
                </w14:textFill>
              </w:rPr>
              <w:t>类标准</w:t>
            </w:r>
            <w:r>
              <w:rPr>
                <w:bCs/>
                <w:color w:val="000000" w:themeColor="text1"/>
                <w:szCs w:val="21"/>
                <w14:textFill>
                  <w14:solidFill>
                    <w14:schemeClr w14:val="tx1"/>
                  </w14:solidFill>
                </w14:textFill>
              </w:rPr>
              <w:t>；地下水质量满足</w:t>
            </w:r>
            <w:r>
              <w:rPr>
                <w:color w:val="000000" w:themeColor="text1"/>
                <w:szCs w:val="21"/>
                <w14:textFill>
                  <w14:solidFill>
                    <w14:schemeClr w14:val="tx1"/>
                  </w14:solidFill>
                </w14:textFill>
              </w:rPr>
              <w:t>《地下水质量标准》（GB/T14848-2017）Ⅲ类标准。</w:t>
            </w:r>
          </w:p>
          <w:p>
            <w:pPr>
              <w:autoSpaceDE w:val="0"/>
              <w:autoSpaceDN w:val="0"/>
              <w:adjustRightInd w:val="0"/>
              <w:snapToGrid w:val="0"/>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本项目运行过程中废气、废水、噪声经处理后满足相应标准，不会加重对环境质量的不利影响，同时，项目产生的固体废物均能妥善处置，对周围环境影响较小，项目建设符合环境质量底线要求。</w:t>
            </w:r>
          </w:p>
          <w:p>
            <w:pPr>
              <w:autoSpaceDE w:val="0"/>
              <w:autoSpaceDN w:val="0"/>
              <w:adjustRightInd w:val="0"/>
              <w:snapToGrid w:val="0"/>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（3）资源利用上线符合性判定</w:t>
            </w:r>
          </w:p>
          <w:p>
            <w:pPr>
              <w:autoSpaceDE w:val="0"/>
              <w:autoSpaceDN w:val="0"/>
              <w:adjustRightInd w:val="0"/>
              <w:snapToGrid w:val="0"/>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资源是环境的载体，资源利用上线是各地区能源、水、土地等资源消耗不得突破的“天花板”。相关规划环评应依据有关资源利用上线，对规划实施以及规划内项目的资源开发利用，区分不同行业，从能源资源开发等量或减量替代、开采方式和规模控制、利用效率和保护措施等方面提出建议，为规划编制和审批决策提供重要依据。</w:t>
            </w:r>
          </w:p>
          <w:p>
            <w:pPr>
              <w:autoSpaceDE w:val="0"/>
              <w:autoSpaceDN w:val="0"/>
              <w:adjustRightInd w:val="0"/>
              <w:snapToGrid w:val="0"/>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项目资源消耗较少，不需要蒸汽、天然气，产生的固体废物量不大，且得到有效妥善的处置，因此项目整体资源消耗不大，不会对当地的资源产生明显的影响，不会触及当地资源分配的上线，项目建设在资源利用上是合理的。</w:t>
            </w:r>
          </w:p>
          <w:p>
            <w:pPr>
              <w:autoSpaceDE w:val="0"/>
              <w:autoSpaceDN w:val="0"/>
              <w:adjustRightInd w:val="0"/>
              <w:snapToGrid w:val="0"/>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（4）与生态环境准入清单符合性</w:t>
            </w:r>
          </w:p>
          <w:p>
            <w:pPr>
              <w:autoSpaceDE w:val="0"/>
              <w:autoSpaceDN w:val="0"/>
              <w:adjustRightInd w:val="0"/>
              <w:snapToGrid w:val="0"/>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对照《淄博市人民政府 关于印发&lt;淄博市“三线一单”生态环境分区管控方案&gt;的通知》（淄政字[2021]49号）中淄博市环境管控单元图，本项目位于重点管控单元区域内。依据《淄博市生态环境委员会办公室 关于印发&lt;淄博市“三线一单”生态环境准入清单&gt;的通知》（淄环委办[2021]24号）中所述的“附件淄博市“三线一单”生态环境准入清单”要求，本项目符合性判定情况如下表。</w:t>
            </w:r>
          </w:p>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表1-2  《淄博市“三线一单”生态环境准入清单》符合性分析</w:t>
            </w:r>
          </w:p>
          <w:tbl>
            <w:tblPr>
              <w:tblStyle w:val="24"/>
              <w:tblW w:w="8226"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243"/>
              <w:gridCol w:w="2519"/>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00" w:type="pct"/>
                  <w:gridSpan w:val="4"/>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环境管控单元编码：ZH37030320006</w:t>
                  </w:r>
                </w:p>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环境管控单元名称：马尚街道</w:t>
                  </w:r>
                </w:p>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行政区划：山东省淄博市张店区</w:t>
                  </w:r>
                </w:p>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管控单元分类：重点管控单元</w:t>
                  </w:r>
                </w:p>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单元面积(km</w:t>
                  </w:r>
                  <w:r>
                    <w:rPr>
                      <w:color w:val="000000" w:themeColor="text1"/>
                      <w:sz w:val="18"/>
                      <w:szCs w:val="18"/>
                      <w:vertAlign w:val="superscript"/>
                      <w14:textFill>
                        <w14:solidFill>
                          <w14:schemeClr w14:val="tx1"/>
                        </w14:solidFill>
                      </w14:textFill>
                    </w:rPr>
                    <w:t>2</w:t>
                  </w:r>
                  <w:r>
                    <w:rPr>
                      <w:color w:val="000000" w:themeColor="text1"/>
                      <w:sz w:val="18"/>
                      <w:szCs w:val="18"/>
                      <w14:textFill>
                        <w14:solidFill>
                          <w14:schemeClr w14:val="tx1"/>
                        </w14:solidFill>
                      </w14:textFill>
                    </w:rPr>
                    <w:t>）：24.82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3"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序号</w:t>
                  </w:r>
                </w:p>
              </w:tc>
              <w:tc>
                <w:tcPr>
                  <w:tcW w:w="2579"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文件要求</w:t>
                  </w:r>
                </w:p>
              </w:tc>
              <w:tc>
                <w:tcPr>
                  <w:tcW w:w="1531"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本项目情况</w:t>
                  </w:r>
                </w:p>
              </w:tc>
              <w:tc>
                <w:tcPr>
                  <w:tcW w:w="497"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一、空间布局约束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2579"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禁止新建、扩建《产业结构调整指导目录》（现行）明确的淘汰类项目和引入《市场准入负面清单》（现行）禁止准入类事项；鼓励对列入《产业结构调整指导目录》的限制类、淘汰类工业项目进行淘汰和提升改造。</w:t>
                  </w:r>
                </w:p>
              </w:tc>
              <w:tc>
                <w:tcPr>
                  <w:tcW w:w="1531"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本项目属于《产业结构调整指导目录（2021年修订）》中鼓励类项目、不属于《市场准入负面清单》（2020年版）中禁止准入类项目。</w:t>
                  </w:r>
                </w:p>
              </w:tc>
              <w:tc>
                <w:tcPr>
                  <w:tcW w:w="497"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2579"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按《土壤污染防治行动计划》的要求管理：严格控制在优先保护类耕地集中区域新建有色金属冶炼、石油加工、化工、焦化、电镀、制革等行业企业。对永久基本农田实行严格保护，确保其面积不减少、土壤环境质量不下降，除法律规定的重点建设项目选址确实无法避让外，其他任何建设不得占用。</w:t>
                  </w:r>
                </w:p>
              </w:tc>
              <w:tc>
                <w:tcPr>
                  <w:tcW w:w="1531"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本项目不属于化工类项目，不涉及农田占用。</w:t>
                  </w:r>
                </w:p>
              </w:tc>
              <w:tc>
                <w:tcPr>
                  <w:tcW w:w="497"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2579"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按《山东省水利厅关于公布我省地下水限采区和禁采区的通知》要求，执行超采区管控要求。</w:t>
                  </w:r>
                </w:p>
              </w:tc>
              <w:tc>
                <w:tcPr>
                  <w:tcW w:w="1531"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本项目用水由张店区市政自来水管网供给，不取用地下水。</w:t>
                  </w:r>
                </w:p>
              </w:tc>
              <w:tc>
                <w:tcPr>
                  <w:tcW w:w="497"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2579"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从严控制新建、扩建排放大气污染物的工业项目；科学合理规划布局商业、居住并严格执行。</w:t>
                  </w:r>
                </w:p>
              </w:tc>
              <w:tc>
                <w:tcPr>
                  <w:tcW w:w="1531"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本项目不属于排放大气污染物的工业项目。</w:t>
                  </w:r>
                </w:p>
              </w:tc>
              <w:tc>
                <w:tcPr>
                  <w:tcW w:w="497"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2579"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污水处理设施不健全、未正常运行或污水管网未覆盖的地区，未配套污水处理设施的项目不得建设。</w:t>
                  </w:r>
                </w:p>
              </w:tc>
              <w:tc>
                <w:tcPr>
                  <w:tcW w:w="1531"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本项目废水经院内污水处理站处理后排入市政污水管网。</w:t>
                  </w:r>
                </w:p>
              </w:tc>
              <w:tc>
                <w:tcPr>
                  <w:tcW w:w="497"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二、污染物排放管控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2579"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严格控制“两高”项目，确需建设的需严格执行产能、煤耗、能耗、碳排放、污染物排放减量替代制度。</w:t>
                  </w:r>
                </w:p>
              </w:tc>
              <w:tc>
                <w:tcPr>
                  <w:tcW w:w="1531"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本项目不属于“两高”项目。</w:t>
                  </w:r>
                </w:p>
              </w:tc>
              <w:tc>
                <w:tcPr>
                  <w:tcW w:w="497"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2579"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落实主要污染物总量控制和排污许可制度。新（改、扩）建工业项目生产工艺应达到国内先进水平，主要污染物治理要达到国内同行业先进水平，实施主要污染物总量等量或倍量替代。</w:t>
                  </w:r>
                </w:p>
              </w:tc>
              <w:tc>
                <w:tcPr>
                  <w:tcW w:w="1531"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本项目严格落实主要污染物总量控制和排污许可制度。</w:t>
                  </w:r>
                </w:p>
              </w:tc>
              <w:tc>
                <w:tcPr>
                  <w:tcW w:w="497"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2579"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废水应当按照分类收集、分质处理的要求进行预处理，达到行业排放标准或是综合排放标准后方可排放。</w:t>
                  </w:r>
                </w:p>
              </w:tc>
              <w:tc>
                <w:tcPr>
                  <w:tcW w:w="1531"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本项目废水经院内污水处理站处理后排入市政污水管网。</w:t>
                  </w:r>
                </w:p>
              </w:tc>
              <w:tc>
                <w:tcPr>
                  <w:tcW w:w="497"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2579"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禁止工业废水和生活污水未经处理直排环境；原则上除工业污水集中处理设施、城镇污水处理厂外不得新建入河排污口。</w:t>
                  </w:r>
                </w:p>
              </w:tc>
              <w:tc>
                <w:tcPr>
                  <w:tcW w:w="1531"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本项目废水经院内污水处理站处理后排入市政污水管网。</w:t>
                  </w:r>
                </w:p>
              </w:tc>
              <w:tc>
                <w:tcPr>
                  <w:tcW w:w="497"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2579"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进一步加强对建设工程施工、建筑物拆除、交通运输、道路保洁、物料运输与堆存、取土、养护绿化等活动的扬尘管理。</w:t>
                  </w:r>
                </w:p>
              </w:tc>
              <w:tc>
                <w:tcPr>
                  <w:tcW w:w="1531"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本项目不涉及施工期及工业生产，院内定期进行保洁、绿化管理，可控制扬尘产生。</w:t>
                  </w:r>
                </w:p>
              </w:tc>
              <w:tc>
                <w:tcPr>
                  <w:tcW w:w="497"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2579"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加强餐饮服务业燃料烟气及油烟防治，鼓励餐饮业及居民生活能源使用天然气、液化石油气等洁净能源。餐饮行业按要求安装油烟高效净化设备并定期清洗和维护。</w:t>
                  </w:r>
                </w:p>
              </w:tc>
              <w:tc>
                <w:tcPr>
                  <w:tcW w:w="1531"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本项目不设置食堂。</w:t>
                  </w:r>
                </w:p>
              </w:tc>
              <w:tc>
                <w:tcPr>
                  <w:tcW w:w="497"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三、环境风险防控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2579"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紧邻居住、科教、医院等环境敏感点的工业用地，禁止新建环境风险潜势等级高建设项目。</w:t>
                  </w:r>
                </w:p>
              </w:tc>
              <w:tc>
                <w:tcPr>
                  <w:tcW w:w="1531"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本项目属于专业医院，不属于工业项目，不属于环境风险潜势等级高建设项目。</w:t>
                  </w:r>
                </w:p>
              </w:tc>
              <w:tc>
                <w:tcPr>
                  <w:tcW w:w="497"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2579"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企业应按照《企业事业单位突发环境事件应急预案备案管理办法（试行）》等要求，依法依规编制环境应急预案并定期开展演练。</w:t>
                  </w:r>
                </w:p>
              </w:tc>
              <w:tc>
                <w:tcPr>
                  <w:tcW w:w="1531"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医院依法依规编制环境应急预案并定期开展演练。</w:t>
                  </w:r>
                </w:p>
              </w:tc>
              <w:tc>
                <w:tcPr>
                  <w:tcW w:w="497"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2579"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建立各企业危险废物的贮存、申报、经营许可、转移及处置管理制度，并负责对危废相应活动的全程监管和环境安全保障。</w:t>
                  </w:r>
                </w:p>
              </w:tc>
              <w:tc>
                <w:tcPr>
                  <w:tcW w:w="1531"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医院严格按照要求进行危废管理。</w:t>
                  </w:r>
                </w:p>
              </w:tc>
              <w:tc>
                <w:tcPr>
                  <w:tcW w:w="497"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4"/>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四、资源开发效率要求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2579"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严格执行淄博市高污染燃料禁燃区划定范围及管控要求。</w:t>
                  </w:r>
                </w:p>
              </w:tc>
              <w:tc>
                <w:tcPr>
                  <w:tcW w:w="1531"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本项目能源消耗用电，不使用高污染。</w:t>
                  </w:r>
                </w:p>
              </w:tc>
              <w:tc>
                <w:tcPr>
                  <w:tcW w:w="497"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2579"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未经许可不得开采地下水，执行浅层地下水限采区管理规定。</w:t>
                  </w:r>
                </w:p>
              </w:tc>
              <w:tc>
                <w:tcPr>
                  <w:tcW w:w="1531"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本项目用水由张店区市政自来水管网供给，不取用地下水。</w:t>
                  </w:r>
                </w:p>
              </w:tc>
              <w:tc>
                <w:tcPr>
                  <w:tcW w:w="497"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2579"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提升土地集约化水平。</w:t>
                  </w:r>
                </w:p>
              </w:tc>
              <w:tc>
                <w:tcPr>
                  <w:tcW w:w="1531"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本项目土地集约化水平较高。</w:t>
                  </w:r>
                </w:p>
              </w:tc>
              <w:tc>
                <w:tcPr>
                  <w:tcW w:w="497" w:type="pct"/>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bl>
          <w:p>
            <w:pPr>
              <w:autoSpaceDE w:val="0"/>
              <w:autoSpaceDN w:val="0"/>
              <w:adjustRightInd w:val="0"/>
              <w:snapToGrid w:val="0"/>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综上，本项目建设满足“三线一单”环境管理要求。</w:t>
            </w:r>
          </w:p>
          <w:p>
            <w:pPr>
              <w:autoSpaceDE w:val="0"/>
              <w:autoSpaceDN w:val="0"/>
              <w:adjustRightInd w:val="0"/>
              <w:snapToGrid w:val="0"/>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淄博市环境管控单元位置图见附图7。</w:t>
            </w:r>
          </w:p>
          <w:p>
            <w:pPr>
              <w:autoSpaceDE w:val="0"/>
              <w:autoSpaceDN w:val="0"/>
              <w:adjustRightInd w:val="0"/>
              <w:snapToGrid w:val="0"/>
              <w:spacing w:line="360" w:lineRule="auto"/>
              <w:ind w:firstLine="422" w:firstLineChars="200"/>
              <w:jc w:val="left"/>
              <w:rPr>
                <w:color w:val="000000" w:themeColor="text1"/>
                <w14:textFill>
                  <w14:solidFill>
                    <w14:schemeClr w14:val="tx1"/>
                  </w14:solidFill>
                </w14:textFill>
              </w:rPr>
            </w:pPr>
            <w:r>
              <w:rPr>
                <w:b/>
                <w:color w:val="000000" w:themeColor="text1"/>
                <w14:textFill>
                  <w14:solidFill>
                    <w14:schemeClr w14:val="tx1"/>
                  </w14:solidFill>
                </w14:textFill>
              </w:rPr>
              <w:t>4、环保政策符合性分析</w:t>
            </w:r>
          </w:p>
          <w:p>
            <w:pPr>
              <w:autoSpaceDE w:val="0"/>
              <w:autoSpaceDN w:val="0"/>
              <w:adjustRightInd w:val="0"/>
              <w:snapToGrid w:val="0"/>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（1）与“气十条”“水十条”“土十条”符合性分析</w:t>
            </w:r>
          </w:p>
          <w:p>
            <w:pPr>
              <w:autoSpaceDE w:val="0"/>
              <w:autoSpaceDN w:val="0"/>
              <w:adjustRightInd w:val="0"/>
              <w:snapToGrid w:val="0"/>
              <w:spacing w:line="360" w:lineRule="auto"/>
              <w:ind w:firstLine="420" w:firstLineChars="200"/>
              <w:jc w:val="left"/>
              <w:rPr>
                <w:b/>
                <w:color w:val="000000" w:themeColor="text1"/>
                <w14:textFill>
                  <w14:solidFill>
                    <w14:schemeClr w14:val="tx1"/>
                  </w14:solidFill>
                </w14:textFill>
              </w:rPr>
            </w:pPr>
            <w:r>
              <w:rPr>
                <w:color w:val="000000" w:themeColor="text1"/>
                <w14:textFill>
                  <w14:solidFill>
                    <w14:schemeClr w14:val="tx1"/>
                  </w14:solidFill>
                </w14:textFill>
              </w:rPr>
              <w:t>与“气十条”“水十条”“土十条”符合性分析情况见表1-3。</w:t>
            </w:r>
          </w:p>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表1-3  “气十条”“水十条”“土十条”符合性分析</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4485"/>
              <w:gridCol w:w="151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2"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文件名称</w:t>
                  </w:r>
                </w:p>
              </w:tc>
              <w:tc>
                <w:tcPr>
                  <w:tcW w:w="4485"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要求</w:t>
                  </w:r>
                </w:p>
              </w:tc>
              <w:tc>
                <w:tcPr>
                  <w:tcW w:w="1515"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本项目情况</w:t>
                  </w:r>
                </w:p>
              </w:tc>
              <w:tc>
                <w:tcPr>
                  <w:tcW w:w="992"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2" w:type="dxa"/>
                  <w:vMerge w:val="restart"/>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《大气污染防治行动计划》(气十条)国发〔2013〕37号</w:t>
                  </w:r>
                </w:p>
              </w:tc>
              <w:tc>
                <w:tcPr>
                  <w:tcW w:w="4485"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加强工业企业大气污染综合治理。全面整治燃煤小锅炉。加快推进集中供热、“煤改气”、“煤改电”工程建设，到2017年，除必要保留的以外，地级及以上城市建成区基本淘汰每小时10蒸t及以下的</w:t>
                  </w:r>
                  <w:r>
                    <w:rPr>
                      <w:rStyle w:val="27"/>
                      <w:b w:val="0"/>
                      <w:snapToGrid w:val="0"/>
                      <w:color w:val="000000" w:themeColor="text1"/>
                      <w:sz w:val="18"/>
                      <w:szCs w:val="18"/>
                      <w14:textFill>
                        <w14:solidFill>
                          <w14:schemeClr w14:val="tx1"/>
                        </w14:solidFill>
                      </w14:textFill>
                    </w:rPr>
                    <w:cr/>
                  </w:r>
                  <w:r>
                    <w:rPr>
                      <w:rStyle w:val="27"/>
                      <w:b w:val="0"/>
                      <w:snapToGrid w:val="0"/>
                      <w:color w:val="000000" w:themeColor="text1"/>
                      <w:sz w:val="18"/>
                      <w:szCs w:val="18"/>
                      <w14:textFill>
                        <w14:solidFill>
                          <w14:schemeClr w14:val="tx1"/>
                        </w14:solidFill>
                      </w14:textFill>
                    </w:rPr>
                    <w:t>煤锅炉，禁止新建每小时20蒸t以下的燃煤锅炉；其他地区原则上不再新建每小时10蒸t 以下的燃煤锅炉。</w:t>
                  </w:r>
                </w:p>
              </w:tc>
              <w:tc>
                <w:tcPr>
                  <w:tcW w:w="1515"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本项目不涉及煤的使用</w:t>
                  </w:r>
                </w:p>
              </w:tc>
              <w:tc>
                <w:tcPr>
                  <w:tcW w:w="992"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2" w:type="dxa"/>
                  <w:vMerge w:val="continue"/>
                  <w:vAlign w:val="center"/>
                </w:tcPr>
                <w:p>
                  <w:pPr>
                    <w:jc w:val="center"/>
                    <w:rPr>
                      <w:rStyle w:val="27"/>
                      <w:b w:val="0"/>
                      <w:snapToGrid w:val="0"/>
                      <w:color w:val="000000" w:themeColor="text1"/>
                      <w:sz w:val="18"/>
                      <w:szCs w:val="18"/>
                      <w14:textFill>
                        <w14:solidFill>
                          <w14:schemeClr w14:val="tx1"/>
                        </w14:solidFill>
                      </w14:textFill>
                    </w:rPr>
                  </w:pPr>
                </w:p>
              </w:tc>
              <w:tc>
                <w:tcPr>
                  <w:tcW w:w="4485"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严控“两高”行业新增产能。修订高耗能、高污染和资源性行业准入条件，明确资源能源节约和污染物排放等指标。有条件的地区要制定符合当地功能定位、严于国家要求的产业准入目录。严格控制“两高”行业新增产能，新、改、扩建项目要实行产能等量或减量置换。</w:t>
                  </w:r>
                </w:p>
              </w:tc>
              <w:tc>
                <w:tcPr>
                  <w:tcW w:w="1515"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本项目不属于高耗能、高污染行业</w:t>
                  </w:r>
                </w:p>
              </w:tc>
              <w:tc>
                <w:tcPr>
                  <w:tcW w:w="992"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2" w:type="dxa"/>
                  <w:vMerge w:val="continue"/>
                  <w:vAlign w:val="center"/>
                </w:tcPr>
                <w:p>
                  <w:pPr>
                    <w:jc w:val="center"/>
                    <w:rPr>
                      <w:rStyle w:val="27"/>
                      <w:b w:val="0"/>
                      <w:snapToGrid w:val="0"/>
                      <w:color w:val="000000" w:themeColor="text1"/>
                      <w:sz w:val="18"/>
                      <w:szCs w:val="18"/>
                      <w14:textFill>
                        <w14:solidFill>
                          <w14:schemeClr w14:val="tx1"/>
                        </w14:solidFill>
                      </w14:textFill>
                    </w:rPr>
                  </w:pPr>
                </w:p>
              </w:tc>
              <w:tc>
                <w:tcPr>
                  <w:tcW w:w="4485"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加快淘汰落后产能。结合产业发展实际和环境质量状况，进一步提高环保、能耗、安全、质量等标准，分区域明确落后产能淘汰任务，倒逼产业转型升级。</w:t>
                  </w:r>
                </w:p>
              </w:tc>
              <w:tc>
                <w:tcPr>
                  <w:tcW w:w="1515"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本项目不属于落后产能</w:t>
                  </w:r>
                </w:p>
              </w:tc>
              <w:tc>
                <w:tcPr>
                  <w:tcW w:w="992"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2" w:type="dxa"/>
                  <w:vMerge w:val="restart"/>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《水污染防治行动计划》(水十条)国发〔2015〕17号</w:t>
                  </w:r>
                </w:p>
              </w:tc>
              <w:tc>
                <w:tcPr>
                  <w:tcW w:w="4485"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取缔“十小”企业。全面排查装备水平低、环保</w:t>
                  </w:r>
                  <w:r>
                    <w:rPr>
                      <w:rStyle w:val="27"/>
                      <w:b w:val="0"/>
                      <w:snapToGrid w:val="0"/>
                      <w:color w:val="000000" w:themeColor="text1"/>
                      <w:sz w:val="18"/>
                      <w:szCs w:val="18"/>
                      <w14:textFill>
                        <w14:solidFill>
                          <w14:schemeClr w14:val="tx1"/>
                        </w14:solidFill>
                      </w14:textFill>
                    </w:rPr>
                    <w:cr/>
                  </w:r>
                  <w:r>
                    <w:rPr>
                      <w:rStyle w:val="27"/>
                      <w:b w:val="0"/>
                      <w:snapToGrid w:val="0"/>
                      <w:color w:val="000000" w:themeColor="text1"/>
                      <w:sz w:val="18"/>
                      <w:szCs w:val="18"/>
                      <w14:textFill>
                        <w14:solidFill>
                          <w14:schemeClr w14:val="tx1"/>
                        </w14:solidFill>
                      </w14:textFill>
                    </w:rPr>
                    <w:t>施差的小型工业企业。2016 年底前，按照水污染防治法律法规要求，全部取缔不符合国家产业政策的小型造纸、制革、印染、染料、炼焦、炼硫、炼砷、炼油、电镀、农药等严重污染水环境的生产项目。</w:t>
                  </w:r>
                </w:p>
              </w:tc>
              <w:tc>
                <w:tcPr>
                  <w:tcW w:w="1515"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本项目不属于“十小”企业，不在取缔范围内</w:t>
                  </w:r>
                </w:p>
              </w:tc>
              <w:tc>
                <w:tcPr>
                  <w:tcW w:w="992"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2" w:type="dxa"/>
                  <w:vMerge w:val="continue"/>
                  <w:vAlign w:val="center"/>
                </w:tcPr>
                <w:p>
                  <w:pPr>
                    <w:jc w:val="center"/>
                    <w:rPr>
                      <w:rStyle w:val="27"/>
                      <w:b w:val="0"/>
                      <w:snapToGrid w:val="0"/>
                      <w:color w:val="000000" w:themeColor="text1"/>
                      <w:sz w:val="18"/>
                      <w:szCs w:val="18"/>
                      <w14:textFill>
                        <w14:solidFill>
                          <w14:schemeClr w14:val="tx1"/>
                        </w14:solidFill>
                      </w14:textFill>
                    </w:rPr>
                  </w:pPr>
                </w:p>
              </w:tc>
              <w:tc>
                <w:tcPr>
                  <w:tcW w:w="4485"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专项整治十大重点行业。制定造纸、焦化、氮肥、有色金属、印染、农副食品加工、原料药制造、制革、农药、电镀等行业专项治理方案，实施清洁化改造。新建、改建、扩建上述行业建设项目实行主要染物排放等量或减量置换。</w:t>
                  </w:r>
                </w:p>
              </w:tc>
              <w:tc>
                <w:tcPr>
                  <w:tcW w:w="1515"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本项目不属于十大重点行业</w:t>
                  </w:r>
                </w:p>
              </w:tc>
              <w:tc>
                <w:tcPr>
                  <w:tcW w:w="992"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2" w:type="dxa"/>
                  <w:vMerge w:val="continue"/>
                  <w:vAlign w:val="center"/>
                </w:tcPr>
                <w:p>
                  <w:pPr>
                    <w:jc w:val="center"/>
                    <w:rPr>
                      <w:rStyle w:val="27"/>
                      <w:b w:val="0"/>
                      <w:snapToGrid w:val="0"/>
                      <w:color w:val="000000" w:themeColor="text1"/>
                      <w:sz w:val="18"/>
                      <w:szCs w:val="18"/>
                      <w14:textFill>
                        <w14:solidFill>
                          <w14:schemeClr w14:val="tx1"/>
                        </w14:solidFill>
                      </w14:textFill>
                    </w:rPr>
                  </w:pPr>
                </w:p>
              </w:tc>
              <w:tc>
                <w:tcPr>
                  <w:tcW w:w="4485"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严控地下水超采。在地面沉降、地裂缝、岩溶塌陷等地质灾害易发区开发利用地下水，应进行地质灾害危险性评估。严格控制开采深层承压水，地热水、矿泉水开发应严格实行取水许可和采矿许可。依法规范机井建设管理，排查登记已建机井，未经批准的和公共供水管网覆盖范围内的自备水井，一律予以关闭。开展华北地下水超采区综合治理，超采区内禁止工农业生产及服务业新增</w:t>
                  </w:r>
                  <w:r>
                    <w:rPr>
                      <w:rStyle w:val="27"/>
                      <w:b w:val="0"/>
                      <w:snapToGrid w:val="0"/>
                      <w:color w:val="000000" w:themeColor="text1"/>
                      <w:sz w:val="18"/>
                      <w:szCs w:val="18"/>
                      <w14:textFill>
                        <w14:solidFill>
                          <w14:schemeClr w14:val="tx1"/>
                        </w14:solidFill>
                      </w14:textFill>
                    </w:rPr>
                    <w:cr/>
                  </w:r>
                  <w:r>
                    <w:rPr>
                      <w:rStyle w:val="27"/>
                      <w:b w:val="0"/>
                      <w:snapToGrid w:val="0"/>
                      <w:color w:val="000000" w:themeColor="text1"/>
                      <w:sz w:val="18"/>
                      <w:szCs w:val="18"/>
                      <w14:textFill>
                        <w14:solidFill>
                          <w14:schemeClr w14:val="tx1"/>
                        </w14:solidFill>
                      </w14:textFill>
                    </w:rPr>
                    <w:t>用地下水。京津冀区域实施土地整治、农业开发、扶贫等农业基础设施项目，不得以配套打井为条件。</w:t>
                  </w:r>
                </w:p>
              </w:tc>
              <w:tc>
                <w:tcPr>
                  <w:tcW w:w="1515"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本项目所在地地质稳定，使用区域自来水</w:t>
                  </w:r>
                </w:p>
              </w:tc>
              <w:tc>
                <w:tcPr>
                  <w:tcW w:w="992"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2" w:type="dxa"/>
                  <w:vMerge w:val="continue"/>
                  <w:vAlign w:val="center"/>
                </w:tcPr>
                <w:p>
                  <w:pPr>
                    <w:jc w:val="center"/>
                    <w:rPr>
                      <w:rStyle w:val="27"/>
                      <w:b w:val="0"/>
                      <w:snapToGrid w:val="0"/>
                      <w:color w:val="000000" w:themeColor="text1"/>
                      <w:sz w:val="18"/>
                      <w:szCs w:val="18"/>
                      <w14:textFill>
                        <w14:solidFill>
                          <w14:schemeClr w14:val="tx1"/>
                        </w14:solidFill>
                      </w14:textFill>
                    </w:rPr>
                  </w:pPr>
                </w:p>
              </w:tc>
              <w:tc>
                <w:tcPr>
                  <w:tcW w:w="4485"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促进再生水利用。以缺水及水污染严重地区城市为重点，完善再生水利用设施，工业生产、城市绿化、道路清扫、车辆冲洗、建筑施工以及生态景观等用水，要优先使用再生水。推进高速公路服务区污水处理和利用。具备使用再生水条件但未充分利用的钢铁、火电、化工、制浆造纸、印染等项目，不得批准其新增取水许可。</w:t>
                  </w:r>
                </w:p>
              </w:tc>
              <w:tc>
                <w:tcPr>
                  <w:tcW w:w="1515"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本项目不属于左栏所列行业范围</w:t>
                  </w:r>
                </w:p>
              </w:tc>
              <w:tc>
                <w:tcPr>
                  <w:tcW w:w="992"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2" w:type="dxa"/>
                  <w:vMerge w:val="restart"/>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《土壤污染防治行动计划》</w:t>
                  </w:r>
                </w:p>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(土十条) 国发〔2016〕31</w:t>
                  </w:r>
                </w:p>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号</w:t>
                  </w:r>
                </w:p>
              </w:tc>
              <w:tc>
                <w:tcPr>
                  <w:tcW w:w="4485"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严厉打击非法排放有毒有害污染物、违法违规存放危化学品、非法处置危险废物、不正常使用污染治理设施、监测数据弄虚作假等环境违法行为。</w:t>
                  </w:r>
                </w:p>
              </w:tc>
              <w:tc>
                <w:tcPr>
                  <w:tcW w:w="1515"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本项目医疗废物设置专门医疗废物贮存场所</w:t>
                  </w:r>
                </w:p>
              </w:tc>
              <w:tc>
                <w:tcPr>
                  <w:tcW w:w="992"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2" w:type="dxa"/>
                  <w:vMerge w:val="continue"/>
                  <w:vAlign w:val="center"/>
                </w:tcPr>
                <w:p>
                  <w:pPr>
                    <w:jc w:val="center"/>
                    <w:rPr>
                      <w:rStyle w:val="27"/>
                      <w:b w:val="0"/>
                      <w:snapToGrid w:val="0"/>
                      <w:color w:val="000000" w:themeColor="text1"/>
                      <w:sz w:val="18"/>
                      <w:szCs w:val="18"/>
                      <w14:textFill>
                        <w14:solidFill>
                          <w14:schemeClr w14:val="tx1"/>
                        </w14:solidFill>
                      </w14:textFill>
                    </w:rPr>
                  </w:pPr>
                </w:p>
              </w:tc>
              <w:tc>
                <w:tcPr>
                  <w:tcW w:w="4485"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各地要将符合条件的优先保护类耕地划为永久基本农田，实行严格保护，确保其面积不减少、土壤环境质量不下降，除法律规定的重点建设项目选址确实无法避让外，其他任何建设不得占用。</w:t>
                  </w:r>
                </w:p>
              </w:tc>
              <w:tc>
                <w:tcPr>
                  <w:tcW w:w="1515"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本项目用地属于建设用地</w:t>
                  </w:r>
                </w:p>
              </w:tc>
              <w:tc>
                <w:tcPr>
                  <w:tcW w:w="992"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42" w:type="dxa"/>
                  <w:vMerge w:val="continue"/>
                  <w:vAlign w:val="center"/>
                </w:tcPr>
                <w:p>
                  <w:pPr>
                    <w:jc w:val="center"/>
                    <w:rPr>
                      <w:rStyle w:val="27"/>
                      <w:b w:val="0"/>
                      <w:snapToGrid w:val="0"/>
                      <w:color w:val="000000" w:themeColor="text1"/>
                      <w:sz w:val="18"/>
                      <w:szCs w:val="18"/>
                      <w14:textFill>
                        <w14:solidFill>
                          <w14:schemeClr w14:val="tx1"/>
                        </w14:solidFill>
                      </w14:textFill>
                    </w:rPr>
                  </w:pPr>
                </w:p>
              </w:tc>
              <w:tc>
                <w:tcPr>
                  <w:tcW w:w="4485"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加强工业废物处理处置。全面整治尾矿、煤矸石、工业副产石膏、粉煤灰、赤泥、冶炼渣、电石渣、铬渣、砷渣以及脱硫、脱硝、除尘产生固体废物的堆存场所，完善防扬散、防流失、防渗漏等设施，制定整治方案并有序实施。</w:t>
                  </w:r>
                </w:p>
              </w:tc>
              <w:tc>
                <w:tcPr>
                  <w:tcW w:w="1515"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项目固废得到妥善处理、零排放</w:t>
                  </w:r>
                </w:p>
              </w:tc>
              <w:tc>
                <w:tcPr>
                  <w:tcW w:w="992" w:type="dxa"/>
                  <w:vAlign w:val="center"/>
                </w:tcPr>
                <w:p>
                  <w:pPr>
                    <w:jc w:val="center"/>
                    <w:rPr>
                      <w:rStyle w:val="27"/>
                      <w:b w:val="0"/>
                      <w:snapToGrid w:val="0"/>
                      <w:color w:val="000000" w:themeColor="text1"/>
                      <w:sz w:val="18"/>
                      <w:szCs w:val="18"/>
                      <w14:textFill>
                        <w14:solidFill>
                          <w14:schemeClr w14:val="tx1"/>
                        </w14:solidFill>
                      </w14:textFill>
                    </w:rPr>
                  </w:pPr>
                  <w:r>
                    <w:rPr>
                      <w:rStyle w:val="27"/>
                      <w:b w:val="0"/>
                      <w:snapToGrid w:val="0"/>
                      <w:color w:val="000000" w:themeColor="text1"/>
                      <w:sz w:val="18"/>
                      <w:szCs w:val="18"/>
                      <w14:textFill>
                        <w14:solidFill>
                          <w14:schemeClr w14:val="tx1"/>
                        </w14:solidFill>
                      </w14:textFill>
                    </w:rPr>
                    <w:t>符合</w:t>
                  </w:r>
                </w:p>
              </w:tc>
            </w:tr>
          </w:tbl>
          <w:p>
            <w:pPr>
              <w:spacing w:line="360" w:lineRule="auto"/>
              <w:ind w:firstLine="422" w:firstLineChars="200"/>
              <w:rPr>
                <w:b/>
                <w:color w:val="000000" w:themeColor="text1"/>
                <w:szCs w:val="21"/>
                <w14:textFill>
                  <w14:solidFill>
                    <w14:schemeClr w14:val="tx1"/>
                  </w14:solidFill>
                </w14:textFill>
              </w:rPr>
            </w:pPr>
            <w:r>
              <w:rPr>
                <w:b/>
                <w:color w:val="000000" w:themeColor="text1"/>
                <w:szCs w:val="21"/>
                <w14:textFill>
                  <w14:solidFill>
                    <w14:schemeClr w14:val="tx1"/>
                  </w14:solidFill>
                </w14:textFill>
              </w:rPr>
              <w:t>（2）与《山东省深入打好蓝天保卫战行动计划（2021-2025年）》符合性分析</w:t>
            </w:r>
          </w:p>
          <w:p>
            <w:pPr>
              <w:jc w:val="center"/>
              <w:rPr>
                <w:b/>
                <w:bCs/>
                <w:color w:val="000000" w:themeColor="text1"/>
                <w:kern w:val="0"/>
                <w:szCs w:val="21"/>
                <w:lang w:val="zh-CN"/>
                <w14:textFill>
                  <w14:solidFill>
                    <w14:schemeClr w14:val="tx1"/>
                  </w14:solidFill>
                </w14:textFill>
              </w:rPr>
            </w:pPr>
            <w:r>
              <w:rPr>
                <w:b/>
                <w:bCs/>
                <w:color w:val="000000" w:themeColor="text1"/>
                <w:kern w:val="0"/>
                <w:szCs w:val="21"/>
                <w:lang w:val="zh-CN"/>
                <w14:textFill>
                  <w14:solidFill>
                    <w14:schemeClr w14:val="tx1"/>
                  </w14:solidFill>
                </w14:textFill>
              </w:rPr>
              <w:t>表1-4  与《山东省深入打好蓝天保卫战行动计划》（2021-2025年）符合性</w:t>
            </w:r>
          </w:p>
          <w:tbl>
            <w:tblPr>
              <w:tblStyle w:val="24"/>
              <w:tblW w:w="50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09"/>
              <w:gridCol w:w="1447"/>
              <w:gridCol w:w="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7" w:hRule="atLeast"/>
                <w:jc w:val="center"/>
              </w:trPr>
              <w:tc>
                <w:tcPr>
                  <w:tcW w:w="3690" w:type="pct"/>
                  <w:tcBorders>
                    <w:tl2br w:val="nil"/>
                    <w:tr2bl w:val="nil"/>
                  </w:tcBorders>
                  <w:vAlign w:val="center"/>
                </w:tcPr>
                <w:p>
                  <w:pPr>
                    <w:jc w:val="center"/>
                    <w:textAlignment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文件要求</w:t>
                  </w:r>
                </w:p>
              </w:tc>
              <w:tc>
                <w:tcPr>
                  <w:tcW w:w="874" w:type="pct"/>
                  <w:tcBorders>
                    <w:tl2br w:val="nil"/>
                    <w:tr2bl w:val="nil"/>
                  </w:tcBorders>
                  <w:vAlign w:val="center"/>
                </w:tcPr>
                <w:p>
                  <w:pPr>
                    <w:jc w:val="center"/>
                    <w:textAlignment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项目情况</w:t>
                  </w:r>
                </w:p>
              </w:tc>
              <w:tc>
                <w:tcPr>
                  <w:tcW w:w="434" w:type="pct"/>
                  <w:tcBorders>
                    <w:tl2br w:val="nil"/>
                    <w:tr2bl w:val="nil"/>
                  </w:tcBorders>
                  <w:vAlign w:val="center"/>
                </w:tcPr>
                <w:p>
                  <w:pPr>
                    <w:jc w:val="center"/>
                    <w:textAlignment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690" w:type="pct"/>
                  <w:tcBorders>
                    <w:tl2br w:val="nil"/>
                    <w:tr2bl w:val="nil"/>
                  </w:tcBorders>
                  <w:vAlign w:val="center"/>
                </w:tcPr>
                <w:p>
                  <w:pPr>
                    <w:spacing w:line="312" w:lineRule="atLeas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一、淘汰低效落后产能</w:t>
                  </w:r>
                </w:p>
                <w:p>
                  <w:pPr>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聚焦钢铁、地炼、焦化、煤电、水泥、轮胎、煤炭、化工8个重点行业，加快淘汰低效落后产能。严格执行质量、环保、能耗、安全等法规标准，按照《产业结构调整指导目录》，对“淘汰类”落后生产工艺装备和落后产品全部淘汰出清。各市聚焦“高耗能、高污染、高排放、高风险”等行业，分类组织实施转移、压减、整合、关停任务。</w:t>
                  </w:r>
                </w:p>
              </w:tc>
              <w:tc>
                <w:tcPr>
                  <w:tcW w:w="874" w:type="pct"/>
                  <w:tcBorders>
                    <w:tl2br w:val="nil"/>
                    <w:tr2bl w:val="nil"/>
                  </w:tcBorders>
                  <w:vAlign w:val="center"/>
                </w:tcPr>
                <w:p>
                  <w:pPr>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本项目不属于左栏所列重点行业。</w:t>
                  </w:r>
                </w:p>
              </w:tc>
              <w:tc>
                <w:tcPr>
                  <w:tcW w:w="434" w:type="pct"/>
                  <w:tcBorders>
                    <w:tl2br w:val="nil"/>
                    <w:tr2bl w:val="nil"/>
                  </w:tcBorders>
                  <w:vAlign w:val="center"/>
                </w:tcPr>
                <w:p>
                  <w:pPr>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690" w:type="pct"/>
                  <w:tcBorders>
                    <w:tl2br w:val="nil"/>
                    <w:tr2bl w:val="nil"/>
                  </w:tcBorders>
                  <w:vAlign w:val="center"/>
                </w:tcPr>
                <w:p>
                  <w:pPr>
                    <w:spacing w:line="312" w:lineRule="atLeast"/>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二、压减煤炭消费量</w:t>
                  </w:r>
                </w:p>
                <w:p>
                  <w:pPr>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持续压减煤炭消费总量，“十四五”期间，全省煤炭消费总量下降10%，控制在3.5亿吨左右。</w:t>
                  </w:r>
                </w:p>
              </w:tc>
              <w:tc>
                <w:tcPr>
                  <w:tcW w:w="874" w:type="pct"/>
                  <w:tcBorders>
                    <w:tl2br w:val="nil"/>
                    <w:tr2bl w:val="nil"/>
                  </w:tcBorders>
                  <w:vAlign w:val="center"/>
                </w:tcPr>
                <w:p>
                  <w:pPr>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本项目不使用煤炭。</w:t>
                  </w:r>
                </w:p>
              </w:tc>
              <w:tc>
                <w:tcPr>
                  <w:tcW w:w="434" w:type="pct"/>
                  <w:tcBorders>
                    <w:tl2br w:val="nil"/>
                    <w:tr2bl w:val="nil"/>
                  </w:tcBorders>
                  <w:vAlign w:val="center"/>
                </w:tcPr>
                <w:p>
                  <w:pPr>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690" w:type="pct"/>
                  <w:tcBorders>
                    <w:tl2br w:val="nil"/>
                    <w:tr2bl w:val="nil"/>
                  </w:tcBorders>
                  <w:vAlign w:val="center"/>
                </w:tcPr>
                <w:p>
                  <w:pPr>
                    <w:spacing w:line="312" w:lineRule="atLeast"/>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四、实施VOCs全过程污染防治</w:t>
                  </w:r>
                </w:p>
                <w:p>
                  <w:pPr>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实施低VOCs含量工业涂料、油墨、胶粘剂、清洗剂等原辅料使用替代。新、改、扩建工业涂装、包装印刷等含VOCs原辅材料使用的项目，原则上使用低（无）VOCs含量产品。</w:t>
                  </w:r>
                </w:p>
              </w:tc>
              <w:tc>
                <w:tcPr>
                  <w:tcW w:w="874" w:type="pct"/>
                  <w:tcBorders>
                    <w:tl2br w:val="nil"/>
                    <w:tr2bl w:val="nil"/>
                  </w:tcBorders>
                  <w:vAlign w:val="center"/>
                </w:tcPr>
                <w:p>
                  <w:pPr>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本项目不涉及。</w:t>
                  </w:r>
                </w:p>
              </w:tc>
              <w:tc>
                <w:tcPr>
                  <w:tcW w:w="434" w:type="pct"/>
                  <w:tcBorders>
                    <w:tl2br w:val="nil"/>
                    <w:tr2bl w:val="nil"/>
                  </w:tcBorders>
                  <w:vAlign w:val="center"/>
                </w:tcPr>
                <w:p>
                  <w:pPr>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690" w:type="pct"/>
                  <w:tcBorders>
                    <w:tl2br w:val="nil"/>
                    <w:tr2bl w:val="nil"/>
                  </w:tcBorders>
                  <w:vAlign w:val="center"/>
                </w:tcPr>
                <w:p>
                  <w:pPr>
                    <w:spacing w:line="312" w:lineRule="atLeast"/>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五、强化工业源NOx深度治理</w:t>
                  </w:r>
                </w:p>
                <w:p>
                  <w:pPr>
                    <w:spacing w:line="312" w:lineRule="atLeast"/>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严格治理设施运行监管，燃煤机组、锅炉、钢铁企业污染排放稳定达到超低排放要求。2023年年底前，完成焦化、水泥行业超低排放改造。实施玻璃、陶瓷、铸造、铁合金、有色等行业污染深度治理，确保各类大气污染物稳定达标排放。重点涉气排放企业取消烟气旁路，确因安全生产等原因无法取消的，应安装有效监控装置纳入监管。引导重点企业在秋冬季安排停产检修、维修，减少污染物排放。</w:t>
                  </w:r>
                </w:p>
              </w:tc>
              <w:tc>
                <w:tcPr>
                  <w:tcW w:w="874" w:type="pct"/>
                  <w:tcBorders>
                    <w:tl2br w:val="nil"/>
                    <w:tr2bl w:val="nil"/>
                  </w:tcBorders>
                  <w:vAlign w:val="center"/>
                </w:tcPr>
                <w:p>
                  <w:pPr>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本项目不涉及NOx排放。</w:t>
                  </w:r>
                </w:p>
              </w:tc>
              <w:tc>
                <w:tcPr>
                  <w:tcW w:w="434" w:type="pct"/>
                  <w:tcBorders>
                    <w:tl2br w:val="nil"/>
                    <w:tr2bl w:val="nil"/>
                  </w:tcBorders>
                  <w:vAlign w:val="center"/>
                </w:tcPr>
                <w:p>
                  <w:pPr>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3690" w:type="pct"/>
                  <w:tcBorders>
                    <w:tl2br w:val="nil"/>
                    <w:tr2bl w:val="nil"/>
                  </w:tcBorders>
                  <w:vAlign w:val="center"/>
                </w:tcPr>
                <w:p>
                  <w:pPr>
                    <w:spacing w:line="312" w:lineRule="atLeast"/>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七、严格扬尘污染管控</w:t>
                  </w:r>
                </w:p>
                <w:p>
                  <w:pPr>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加强施工扬尘精细化管控，建立并动态更新施工工地清单。全面推行绿色施工，将扬尘污染防治费用纳入工程造价，各类施工工地严格落实扬尘污染防治措施，其中建筑施工工地严格执行“六项措施”。规模以上建筑施工工地安装在线监测和视频监控设施，并接入当地监管平台。加强执法监管，对问题严重的依法依规实施联合惩戒。</w:t>
                  </w:r>
                </w:p>
              </w:tc>
              <w:tc>
                <w:tcPr>
                  <w:tcW w:w="874" w:type="pct"/>
                  <w:tcBorders>
                    <w:tl2br w:val="nil"/>
                    <w:tr2bl w:val="nil"/>
                  </w:tcBorders>
                  <w:vAlign w:val="center"/>
                </w:tcPr>
                <w:p>
                  <w:pPr>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本项目不涉及施工期及工业生产，院内定期进行保洁、绿化管理，可控制扬尘产生。</w:t>
                  </w:r>
                </w:p>
              </w:tc>
              <w:tc>
                <w:tcPr>
                  <w:tcW w:w="434" w:type="pct"/>
                  <w:tcBorders>
                    <w:tl2br w:val="nil"/>
                    <w:tr2bl w:val="nil"/>
                  </w:tcBorders>
                  <w:vAlign w:val="center"/>
                </w:tcPr>
                <w:p>
                  <w:pPr>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bl>
          <w:p>
            <w:pPr>
              <w:spacing w:line="360" w:lineRule="auto"/>
              <w:ind w:firstLine="422" w:firstLineChars="200"/>
              <w:rPr>
                <w:b/>
                <w:color w:val="000000" w:themeColor="text1"/>
                <w:szCs w:val="21"/>
                <w14:textFill>
                  <w14:solidFill>
                    <w14:schemeClr w14:val="tx1"/>
                  </w14:solidFill>
                </w14:textFill>
              </w:rPr>
            </w:pPr>
            <w:r>
              <w:rPr>
                <w:b/>
                <w:color w:val="000000" w:themeColor="text1"/>
                <w:szCs w:val="21"/>
                <w14:textFill>
                  <w14:solidFill>
                    <w14:schemeClr w14:val="tx1"/>
                  </w14:solidFill>
                </w14:textFill>
              </w:rPr>
              <w:t>（3）与《山东省环境保护条例》(2018年修订）符合性分析</w:t>
            </w:r>
          </w:p>
          <w:p>
            <w:pPr>
              <w:jc w:val="center"/>
              <w:rPr>
                <w:b/>
                <w:bCs/>
                <w:color w:val="000000" w:themeColor="text1"/>
                <w:kern w:val="0"/>
                <w:szCs w:val="21"/>
                <w:lang w:val="zh-CN"/>
                <w14:textFill>
                  <w14:solidFill>
                    <w14:schemeClr w14:val="tx1"/>
                  </w14:solidFill>
                </w14:textFill>
              </w:rPr>
            </w:pPr>
            <w:r>
              <w:rPr>
                <w:b/>
                <w:bCs/>
                <w:color w:val="000000" w:themeColor="text1"/>
                <w:kern w:val="0"/>
                <w:szCs w:val="21"/>
                <w:lang w:val="zh-CN"/>
                <w14:textFill>
                  <w14:solidFill>
                    <w14:schemeClr w14:val="tx1"/>
                  </w14:solidFill>
                </w14:textFill>
              </w:rPr>
              <w:t>表1-5  项目与《山东省环境保护条例》(2018年修订）符合性</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5"/>
              <w:gridCol w:w="2693"/>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35"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山东省环境保护条例要求</w:t>
                  </w:r>
                </w:p>
              </w:tc>
              <w:tc>
                <w:tcPr>
                  <w:tcW w:w="2693"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项目情况</w:t>
                  </w:r>
                </w:p>
              </w:tc>
              <w:tc>
                <w:tcPr>
                  <w:tcW w:w="806"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35" w:type="dxa"/>
                  <w:vAlign w:val="center"/>
                </w:tcPr>
                <w:p>
                  <w:pPr>
                    <w:pStyle w:val="84"/>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第十五条 禁止建设不符合国家和省产业政策的小型造纸、制革、印染、染料、炼焦、炼硫、炼砷、炼汞、炼油、电镀、农药、石棉、水泥、玻璃、钢铁、火电以及其他严重污染环境的生产项目。已经建设的，由所在地的县级以上人民政府责令拆除或者关闭。</w:t>
                  </w:r>
                </w:p>
              </w:tc>
              <w:tc>
                <w:tcPr>
                  <w:tcW w:w="2693"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本项目为医院建设项目，不属于严重污染环境的建设项目。</w:t>
                  </w:r>
                </w:p>
              </w:tc>
              <w:tc>
                <w:tcPr>
                  <w:tcW w:w="806"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35" w:type="dxa"/>
                  <w:vAlign w:val="center"/>
                </w:tcPr>
                <w:p>
                  <w:pPr>
                    <w:pStyle w:val="84"/>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第四十三条 各级人民政府应当推进绿色低碳发展，制定循环经济、清洁生产、环境综合治理、废弃物资源化等政策措施，加强重点区域、重点流域、重点行业污染控制，鼓励、支持无污染或者低污染产业发展，提高资源利用效率，减少污染排放。</w:t>
                  </w:r>
                </w:p>
              </w:tc>
              <w:tc>
                <w:tcPr>
                  <w:tcW w:w="2693"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本项目不属于重点行业，采取合理有效的环保措施后对环境影响较小。</w:t>
                  </w:r>
                </w:p>
              </w:tc>
              <w:tc>
                <w:tcPr>
                  <w:tcW w:w="806"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35" w:type="dxa"/>
                  <w:vAlign w:val="center"/>
                </w:tcPr>
                <w:p>
                  <w:pPr>
                    <w:pStyle w:val="84"/>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第四十四条 各级人民政府及其有关部门、园区管理机构应当做好环境基础设施规划，配套建设污水处理设施及配套管网、固体废物的收集处置设施、危险废物集中处置设施以及其他环境基础设施，建立环境基础设施的运行、维护制度，并保障其正常运行。县级以上人民政府应当根据产业结构调整和产业布局优化的要求，引导工业企业入驻工业园区；新建有污染物排放的工业项目，除在安全生产等方面有特殊要求的以外，应当进入工业园区或者工业集聚区。</w:t>
                  </w:r>
                </w:p>
              </w:tc>
              <w:tc>
                <w:tcPr>
                  <w:tcW w:w="2693"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本项目不属于工业项目。</w:t>
                  </w:r>
                </w:p>
              </w:tc>
              <w:tc>
                <w:tcPr>
                  <w:tcW w:w="806"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35" w:type="dxa"/>
                  <w:vAlign w:val="center"/>
                </w:tcPr>
                <w:p>
                  <w:pPr>
                    <w:pStyle w:val="84"/>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第四十六条 新建、改建、扩建建设项目，应当根据环境影响评价文件以及生态环境主管部门审批决定的要求建设环境保护设施、落实环境保护措施。环境保护设施应当与主体工程同时设计、同时施工、同时投产使用。</w:t>
                  </w:r>
                </w:p>
              </w:tc>
              <w:tc>
                <w:tcPr>
                  <w:tcW w:w="2693"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本项目建成后严格按照环保要求落实环境保护措施。</w:t>
                  </w:r>
                </w:p>
              </w:tc>
              <w:tc>
                <w:tcPr>
                  <w:tcW w:w="806"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735" w:type="dxa"/>
                  <w:vAlign w:val="center"/>
                </w:tcPr>
                <w:p>
                  <w:pPr>
                    <w:pStyle w:val="84"/>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第四十五条 排污单位应当采取措施，防治在生产建设或者其他活动中产生的废气、废水、废渣、医疗废物、粉尘、恶臭气体、放射性物质以及噪声、振动、光辐射、电磁辐射等对环境的污染和危害，其污染排放不得超过排放标准和重点污染物排放总量控制指标。</w:t>
                  </w:r>
                </w:p>
              </w:tc>
              <w:tc>
                <w:tcPr>
                  <w:tcW w:w="2693" w:type="dxa"/>
                  <w:vAlign w:val="center"/>
                </w:tcPr>
                <w:p>
                  <w:pPr>
                    <w:autoSpaceDE w:val="0"/>
                    <w:autoSpaceDN w:val="0"/>
                    <w:jc w:val="center"/>
                    <w:rPr>
                      <w:color w:val="000000" w:themeColor="text1"/>
                      <w:sz w:val="18"/>
                      <w:szCs w:val="18"/>
                      <w14:textFill>
                        <w14:solidFill>
                          <w14:schemeClr w14:val="tx1"/>
                        </w14:solidFill>
                      </w14:textFill>
                    </w:rPr>
                  </w:pPr>
                  <w:r>
                    <w:rPr>
                      <w:color w:val="000000" w:themeColor="text1"/>
                      <w:kern w:val="0"/>
                      <w:sz w:val="18"/>
                      <w:szCs w:val="18"/>
                      <w:lang w:val="zh-CN" w:bidi="zh-CN"/>
                      <w14:textFill>
                        <w14:solidFill>
                          <w14:schemeClr w14:val="tx1"/>
                        </w14:solidFill>
                      </w14:textFill>
                    </w:rPr>
                    <w:t>本项目废气、废水、噪声经处理后满足相应标准。</w:t>
                  </w:r>
                </w:p>
              </w:tc>
              <w:tc>
                <w:tcPr>
                  <w:tcW w:w="806"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bl>
          <w:p>
            <w:pPr>
              <w:adjustRightInd w:val="0"/>
              <w:snapToGrid w:val="0"/>
              <w:spacing w:line="360" w:lineRule="auto"/>
              <w:ind w:firstLine="422" w:firstLineChars="200"/>
              <w:rPr>
                <w:b/>
                <w:color w:val="000000" w:themeColor="text1"/>
                <w:szCs w:val="21"/>
                <w14:textFill>
                  <w14:solidFill>
                    <w14:schemeClr w14:val="tx1"/>
                  </w14:solidFill>
                </w14:textFill>
              </w:rPr>
            </w:pPr>
            <w:r>
              <w:rPr>
                <w:b/>
                <w:color w:val="000000" w:themeColor="text1"/>
                <w:szCs w:val="21"/>
                <w14:textFill>
                  <w14:solidFill>
                    <w14:schemeClr w14:val="tx1"/>
                  </w14:solidFill>
                </w14:textFill>
              </w:rPr>
              <w:t>（4）与《淄博市新一轮“四减四增” 三年行动方案》（淄环委〔2022〕1号）的符合性</w:t>
            </w:r>
          </w:p>
          <w:p>
            <w:pPr>
              <w:jc w:val="center"/>
              <w:rPr>
                <w:b/>
                <w:bCs/>
                <w:color w:val="000000" w:themeColor="text1"/>
                <w:kern w:val="0"/>
                <w:szCs w:val="21"/>
                <w:lang w:val="zh-CN"/>
                <w14:textFill>
                  <w14:solidFill>
                    <w14:schemeClr w14:val="tx1"/>
                  </w14:solidFill>
                </w14:textFill>
              </w:rPr>
            </w:pPr>
            <w:r>
              <w:rPr>
                <w:b/>
                <w:bCs/>
                <w:color w:val="000000" w:themeColor="text1"/>
                <w:kern w:val="0"/>
                <w:szCs w:val="21"/>
                <w:lang w:val="zh-CN"/>
                <w14:textFill>
                  <w14:solidFill>
                    <w14:schemeClr w14:val="tx1"/>
                  </w14:solidFill>
                </w14:textFill>
              </w:rPr>
              <w:t>表1-6  与《淄博市新一轮“四减四增” 三年行动方案》（2021-2025年）符合性</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80"/>
              <w:gridCol w:w="1439"/>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92" w:type="pct"/>
                  <w:tcBorders>
                    <w:tl2br w:val="nil"/>
                    <w:tr2bl w:val="nil"/>
                  </w:tcBorders>
                  <w:vAlign w:val="center"/>
                </w:tcPr>
                <w:p>
                  <w:pPr>
                    <w:jc w:val="center"/>
                    <w:textAlignment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文件要求</w:t>
                  </w:r>
                </w:p>
              </w:tc>
              <w:tc>
                <w:tcPr>
                  <w:tcW w:w="874" w:type="pct"/>
                  <w:tcBorders>
                    <w:tl2br w:val="nil"/>
                    <w:tr2bl w:val="nil"/>
                  </w:tcBorders>
                  <w:vAlign w:val="center"/>
                </w:tcPr>
                <w:p>
                  <w:pPr>
                    <w:jc w:val="center"/>
                    <w:textAlignment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项目情况</w:t>
                  </w:r>
                </w:p>
              </w:tc>
              <w:tc>
                <w:tcPr>
                  <w:tcW w:w="434" w:type="pct"/>
                  <w:tcBorders>
                    <w:tl2br w:val="nil"/>
                    <w:tr2bl w:val="nil"/>
                  </w:tcBorders>
                  <w:vAlign w:val="center"/>
                </w:tcPr>
                <w:p>
                  <w:pPr>
                    <w:jc w:val="center"/>
                    <w:textAlignment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92" w:type="pct"/>
                  <w:tcBorders>
                    <w:tl2br w:val="nil"/>
                    <w:tr2bl w:val="nil"/>
                  </w:tcBorders>
                  <w:vAlign w:val="center"/>
                </w:tcPr>
                <w:p>
                  <w:pPr>
                    <w:textAlignment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一、深入调整产业结构</w:t>
                  </w:r>
                </w:p>
              </w:tc>
              <w:tc>
                <w:tcPr>
                  <w:tcW w:w="874" w:type="pct"/>
                  <w:tcBorders>
                    <w:tl2br w:val="nil"/>
                    <w:tr2bl w:val="nil"/>
                  </w:tcBorders>
                  <w:vAlign w:val="center"/>
                </w:tcPr>
                <w:p>
                  <w:pPr>
                    <w:jc w:val="center"/>
                    <w:textAlignment w:val="center"/>
                    <w:rPr>
                      <w:b/>
                      <w:bCs/>
                      <w:color w:val="000000" w:themeColor="text1"/>
                      <w:sz w:val="18"/>
                      <w:szCs w:val="18"/>
                      <w14:textFill>
                        <w14:solidFill>
                          <w14:schemeClr w14:val="tx1"/>
                        </w14:solidFill>
                      </w14:textFill>
                    </w:rPr>
                  </w:pPr>
                </w:p>
              </w:tc>
              <w:tc>
                <w:tcPr>
                  <w:tcW w:w="434" w:type="pct"/>
                  <w:tcBorders>
                    <w:tl2br w:val="nil"/>
                    <w:tr2bl w:val="nil"/>
                  </w:tcBorders>
                  <w:vAlign w:val="center"/>
                </w:tcPr>
                <w:p>
                  <w:pPr>
                    <w:jc w:val="center"/>
                    <w:textAlignment w:val="center"/>
                    <w:rPr>
                      <w:b/>
                      <w:bCs/>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92" w:type="pct"/>
                  <w:tcBorders>
                    <w:tl2br w:val="nil"/>
                    <w:tr2bl w:val="nil"/>
                  </w:tcBorders>
                  <w:vAlign w:val="center"/>
                </w:tcPr>
                <w:p>
                  <w:pPr>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1.淘汰低效落后产能。依据安全、环保、技术、能耗、效益标准，以钢铁、煤电、水泥、轮胎、煤炭、化工等行业为重点，分类组织实施转移、压减、整合、关停任务，加快淘汰低效落后产能。</w:t>
                  </w:r>
                </w:p>
              </w:tc>
              <w:tc>
                <w:tcPr>
                  <w:tcW w:w="874" w:type="pct"/>
                  <w:tcBorders>
                    <w:tl2br w:val="nil"/>
                    <w:tr2bl w:val="nil"/>
                  </w:tcBorders>
                  <w:vAlign w:val="center"/>
                </w:tcPr>
                <w:p>
                  <w:pPr>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本项目不属于左栏所列低效落后产能。</w:t>
                  </w:r>
                </w:p>
              </w:tc>
              <w:tc>
                <w:tcPr>
                  <w:tcW w:w="434" w:type="pct"/>
                  <w:tcBorders>
                    <w:tl2br w:val="nil"/>
                    <w:tr2bl w:val="nil"/>
                  </w:tcBorders>
                  <w:vAlign w:val="center"/>
                </w:tcPr>
                <w:p>
                  <w:pPr>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92" w:type="pct"/>
                  <w:tcBorders>
                    <w:tl2br w:val="nil"/>
                    <w:tr2bl w:val="nil"/>
                  </w:tcBorders>
                  <w:vAlign w:val="center"/>
                </w:tcPr>
                <w:p>
                  <w:pPr>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2.持续开展“散乱污”企业专项执法检查。进一步压实管理责任，按照“发现一起、处置一起”的原则，实行“散乱污”企业动态清零，确保“散乱污”企业不复发。</w:t>
                  </w:r>
                </w:p>
              </w:tc>
              <w:tc>
                <w:tcPr>
                  <w:tcW w:w="874" w:type="pct"/>
                  <w:tcBorders>
                    <w:tl2br w:val="nil"/>
                    <w:tr2bl w:val="nil"/>
                  </w:tcBorders>
                  <w:vAlign w:val="center"/>
                </w:tcPr>
                <w:p>
                  <w:pPr>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本项目不属于散乱污企业。</w:t>
                  </w:r>
                </w:p>
              </w:tc>
              <w:tc>
                <w:tcPr>
                  <w:tcW w:w="434" w:type="pct"/>
                  <w:tcBorders>
                    <w:tl2br w:val="nil"/>
                    <w:tr2bl w:val="nil"/>
                  </w:tcBorders>
                  <w:vAlign w:val="center"/>
                </w:tcPr>
                <w:p>
                  <w:pPr>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92" w:type="pct"/>
                  <w:tcBorders>
                    <w:tl2br w:val="nil"/>
                    <w:tr2bl w:val="nil"/>
                  </w:tcBorders>
                  <w:vAlign w:val="center"/>
                </w:tcPr>
                <w:p>
                  <w:pPr>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3.各区县要重点围绕再生橡胶、废旧塑料再生、砖瓦、石灰、石膏等行业制定实施方案，对生产工艺装备进行筛查，按照有关法律法规程序要求，推动低效落后产能退出。</w:t>
                  </w:r>
                </w:p>
              </w:tc>
              <w:tc>
                <w:tcPr>
                  <w:tcW w:w="874" w:type="pct"/>
                  <w:tcBorders>
                    <w:tl2br w:val="nil"/>
                    <w:tr2bl w:val="nil"/>
                  </w:tcBorders>
                  <w:vAlign w:val="center"/>
                </w:tcPr>
                <w:p>
                  <w:pPr>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本项目不属于左栏所列落后产能行业。</w:t>
                  </w:r>
                </w:p>
              </w:tc>
              <w:tc>
                <w:tcPr>
                  <w:tcW w:w="434" w:type="pct"/>
                  <w:tcBorders>
                    <w:tl2br w:val="nil"/>
                    <w:tr2bl w:val="nil"/>
                  </w:tcBorders>
                  <w:vAlign w:val="center"/>
                </w:tcPr>
                <w:p>
                  <w:pPr>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92" w:type="pct"/>
                  <w:tcBorders>
                    <w:tl2br w:val="nil"/>
                    <w:tr2bl w:val="nil"/>
                  </w:tcBorders>
                  <w:vAlign w:val="center"/>
                </w:tcPr>
                <w:p>
                  <w:pPr>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4.严控重点行业新增产能。重大项目建设，必须首先满足环境质量“只能更好，不能变坏”的底线，严格落实污染物排放“减量替代是原则，等量替代是例外”的总量控制刚性要求。</w:t>
                  </w:r>
                </w:p>
              </w:tc>
              <w:tc>
                <w:tcPr>
                  <w:tcW w:w="874" w:type="pct"/>
                  <w:tcBorders>
                    <w:tl2br w:val="nil"/>
                    <w:tr2bl w:val="nil"/>
                  </w:tcBorders>
                  <w:vAlign w:val="center"/>
                </w:tcPr>
                <w:p>
                  <w:pPr>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本项目不属于重点行业；本项目污染物排放实行削减替代。</w:t>
                  </w:r>
                </w:p>
              </w:tc>
              <w:tc>
                <w:tcPr>
                  <w:tcW w:w="434" w:type="pct"/>
                  <w:tcBorders>
                    <w:tl2br w:val="nil"/>
                    <w:tr2bl w:val="nil"/>
                  </w:tcBorders>
                  <w:vAlign w:val="center"/>
                </w:tcPr>
                <w:p>
                  <w:pPr>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92" w:type="pct"/>
                  <w:tcBorders>
                    <w:tl2br w:val="nil"/>
                    <w:tr2bl w:val="nil"/>
                  </w:tcBorders>
                  <w:vAlign w:val="center"/>
                </w:tcPr>
                <w:p>
                  <w:pPr>
                    <w:spacing w:line="312" w:lineRule="atLeast"/>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二、深入调整能源结构</w:t>
                  </w:r>
                </w:p>
              </w:tc>
              <w:tc>
                <w:tcPr>
                  <w:tcW w:w="874" w:type="pct"/>
                  <w:tcBorders>
                    <w:tl2br w:val="nil"/>
                    <w:tr2bl w:val="nil"/>
                  </w:tcBorders>
                  <w:vAlign w:val="center"/>
                </w:tcPr>
                <w:p>
                  <w:pPr>
                    <w:jc w:val="left"/>
                    <w:textAlignment w:val="center"/>
                    <w:rPr>
                      <w:color w:val="000000" w:themeColor="text1"/>
                      <w:sz w:val="18"/>
                      <w:szCs w:val="18"/>
                      <w14:textFill>
                        <w14:solidFill>
                          <w14:schemeClr w14:val="tx1"/>
                        </w14:solidFill>
                      </w14:textFill>
                    </w:rPr>
                  </w:pPr>
                </w:p>
              </w:tc>
              <w:tc>
                <w:tcPr>
                  <w:tcW w:w="434" w:type="pct"/>
                  <w:tcBorders>
                    <w:tl2br w:val="nil"/>
                    <w:tr2bl w:val="nil"/>
                  </w:tcBorders>
                  <w:vAlign w:val="center"/>
                </w:tcPr>
                <w:p>
                  <w:pPr>
                    <w:jc w:val="center"/>
                    <w:textAlignment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92" w:type="pct"/>
                  <w:tcBorders>
                    <w:tl2br w:val="nil"/>
                    <w:tr2bl w:val="nil"/>
                  </w:tcBorders>
                  <w:vAlign w:val="center"/>
                </w:tcPr>
                <w:p>
                  <w:pPr>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 严控化石能源消费。严控能源消费总量，在满足全社会能源需求前提下，持续推进煤炭消费压减，增加清洁能源供给，加大清洁能源替代力度，进一步控制化石能源消费，逐步实现新增能源需求主要由清洁能源供给。</w:t>
                  </w:r>
                </w:p>
              </w:tc>
              <w:tc>
                <w:tcPr>
                  <w:tcW w:w="874" w:type="pct"/>
                  <w:tcBorders>
                    <w:tl2br w:val="nil"/>
                    <w:tr2bl w:val="nil"/>
                  </w:tcBorders>
                  <w:vAlign w:val="center"/>
                </w:tcPr>
                <w:p>
                  <w:pPr>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本项目使用电能。</w:t>
                  </w:r>
                </w:p>
              </w:tc>
              <w:tc>
                <w:tcPr>
                  <w:tcW w:w="434" w:type="pct"/>
                  <w:tcBorders>
                    <w:tl2br w:val="nil"/>
                    <w:tr2bl w:val="nil"/>
                  </w:tcBorders>
                  <w:vAlign w:val="center"/>
                </w:tcPr>
                <w:p>
                  <w:pPr>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692" w:type="pct"/>
                  <w:tcBorders>
                    <w:tl2br w:val="nil"/>
                    <w:tr2bl w:val="nil"/>
                  </w:tcBorders>
                  <w:vAlign w:val="center"/>
                </w:tcPr>
                <w:p>
                  <w:pPr>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 持续压减煤炭使用。持续淘汰落后燃煤机组，在确保电力、热力接续稳定供应的前提下，大力推进单机容量30万千瓦以下煤电机组关停整合，严格按照减容量“上大压小”政策规划建设清洁高效煤电机组。</w:t>
                  </w:r>
                </w:p>
              </w:tc>
              <w:tc>
                <w:tcPr>
                  <w:tcW w:w="874" w:type="pct"/>
                  <w:tcBorders>
                    <w:tl2br w:val="nil"/>
                    <w:tr2bl w:val="nil"/>
                  </w:tcBorders>
                  <w:vAlign w:val="center"/>
                </w:tcPr>
                <w:p>
                  <w:pPr>
                    <w:jc w:val="left"/>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本项目不使用煤炭。</w:t>
                  </w:r>
                </w:p>
              </w:tc>
              <w:tc>
                <w:tcPr>
                  <w:tcW w:w="434" w:type="pct"/>
                  <w:tcBorders>
                    <w:tl2br w:val="nil"/>
                    <w:tr2bl w:val="nil"/>
                  </w:tcBorders>
                  <w:vAlign w:val="center"/>
                </w:tcPr>
                <w:p>
                  <w:pPr>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bl>
          <w:p>
            <w:pPr>
              <w:adjustRightInd w:val="0"/>
              <w:snapToGrid w:val="0"/>
              <w:spacing w:line="360" w:lineRule="auto"/>
              <w:ind w:firstLine="422" w:firstLineChars="200"/>
              <w:rPr>
                <w:b/>
                <w:color w:val="000000" w:themeColor="text1"/>
                <w:szCs w:val="21"/>
                <w14:textFill>
                  <w14:solidFill>
                    <w14:schemeClr w14:val="tx1"/>
                  </w14:solidFill>
                </w14:textFill>
              </w:rPr>
            </w:pPr>
            <w:r>
              <w:rPr>
                <w:b/>
                <w:color w:val="000000" w:themeColor="text1"/>
                <w:szCs w:val="21"/>
                <w14:textFill>
                  <w14:solidFill>
                    <w14:schemeClr w14:val="tx1"/>
                  </w14:solidFill>
                </w14:textFill>
              </w:rPr>
              <w:t>（5）与《山东省医疗废物管理办法》符合性分析</w:t>
            </w:r>
          </w:p>
          <w:p>
            <w:pPr>
              <w:pStyle w:val="87"/>
              <w:rPr>
                <w:rFonts w:ascii="Times New Roman" w:hAnsi="Times New Roman" w:eastAsia="宋体"/>
                <w:bCs/>
                <w:color w:val="000000" w:themeColor="text1"/>
                <w:kern w:val="0"/>
                <w:szCs w:val="21"/>
                <w:lang w:val="zh-CN"/>
                <w14:textFill>
                  <w14:solidFill>
                    <w14:schemeClr w14:val="tx1"/>
                  </w14:solidFill>
                </w14:textFill>
              </w:rPr>
            </w:pPr>
            <w:r>
              <w:rPr>
                <w:rFonts w:ascii="Times New Roman" w:hAnsi="Times New Roman" w:eastAsia="宋体"/>
                <w:bCs/>
                <w:color w:val="000000" w:themeColor="text1"/>
                <w:kern w:val="0"/>
                <w:szCs w:val="21"/>
                <w:lang w:val="zh-CN"/>
                <w14:textFill>
                  <w14:solidFill>
                    <w14:schemeClr w14:val="tx1"/>
                  </w14:solidFill>
                </w14:textFill>
              </w:rPr>
              <w:t>表1-7  与《山东省医疗废物管理办法》符合性分析</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839"/>
              <w:gridCol w:w="2639"/>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42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山东省医疗废物管理办法要求</w:t>
                  </w:r>
                </w:p>
              </w:tc>
              <w:tc>
                <w:tcPr>
                  <w:tcW w:w="241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项目情况</w:t>
                  </w:r>
                </w:p>
              </w:tc>
              <w:tc>
                <w:tcPr>
                  <w:tcW w:w="69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42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第六条 医疗卫生机构和医疗废物集中处置单位应当对医疗废物进行登记，登记内容应当包括医疗废物的来源、种类、重量或者数量、交接时间、处置方法、最终去向以及经办人签名等项目。登记资料双方均应各自至少保存五年。</w:t>
                  </w:r>
                </w:p>
              </w:tc>
              <w:tc>
                <w:tcPr>
                  <w:tcW w:w="241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本项目严格落实危险废物申报登记和管理计划备案要求，建立医疗废物管理台账，并保存至少五年。</w:t>
                  </w:r>
                </w:p>
              </w:tc>
              <w:tc>
                <w:tcPr>
                  <w:tcW w:w="69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42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第七条 医疗卫生机构应当按照规定对医疗废物和可回收物进行科学分类、规范收集。</w:t>
                  </w:r>
                </w:p>
              </w:tc>
              <w:tc>
                <w:tcPr>
                  <w:tcW w:w="241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本项目对医疗废物和可回收物进行分类收集。</w:t>
                  </w:r>
                </w:p>
              </w:tc>
              <w:tc>
                <w:tcPr>
                  <w:tcW w:w="69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42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第八条 医疗卫生机构应当严格落实危险废物申报登记和管理计划备案要求，建立医疗废物管理台账，依法向生态环境主管部门申报医疗废物的种类、产生量、产生时间、流向、贮存和处置等情况。</w:t>
                  </w:r>
                </w:p>
              </w:tc>
              <w:tc>
                <w:tcPr>
                  <w:tcW w:w="2410" w:type="dxa"/>
                  <w:vAlign w:val="center"/>
                </w:tcPr>
                <w:p>
                  <w:pPr>
                    <w:pStyle w:val="60"/>
                    <w:spacing w:line="242" w:lineRule="auto"/>
                    <w:ind w:left="111" w:right="-15"/>
                    <w:jc w:val="both"/>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pacing w:val="3"/>
                      <w:sz w:val="18"/>
                      <w:szCs w:val="18"/>
                      <w14:textFill>
                        <w14:solidFill>
                          <w14:schemeClr w14:val="tx1"/>
                        </w14:solidFill>
                      </w14:textFill>
                    </w:rPr>
                    <w:t>日常管理中严格落实危险废物申报登记和管理计划备案要求，建立医疗废物管理台账，依法向生态环境主管部门申报医疗废物的种类、产</w:t>
                  </w:r>
                  <w:r>
                    <w:rPr>
                      <w:rFonts w:ascii="Times New Roman" w:hAnsi="Times New Roman"/>
                      <w:color w:val="000000" w:themeColor="text1"/>
                      <w:spacing w:val="-8"/>
                      <w:sz w:val="18"/>
                      <w:szCs w:val="18"/>
                      <w14:textFill>
                        <w14:solidFill>
                          <w14:schemeClr w14:val="tx1"/>
                        </w14:solidFill>
                      </w14:textFill>
                    </w:rPr>
                    <w:t>生量、产生时间、流向、</w:t>
                  </w:r>
                  <w:r>
                    <w:rPr>
                      <w:rFonts w:ascii="Times New Roman" w:hAnsi="Times New Roman"/>
                      <w:color w:val="000000" w:themeColor="text1"/>
                      <w:sz w:val="18"/>
                      <w:szCs w:val="18"/>
                      <w14:textFill>
                        <w14:solidFill>
                          <w14:schemeClr w14:val="tx1"/>
                        </w14:solidFill>
                      </w14:textFill>
                    </w:rPr>
                    <w:t>贮存和处置等情况。</w:t>
                  </w:r>
                </w:p>
              </w:tc>
              <w:tc>
                <w:tcPr>
                  <w:tcW w:w="69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42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第九条  传染病疫情期间，根据防控需要，乡镇人民政府、街道办事处应当组织本辖区机关、社会团体、企业事业单位、居民委员会、村民委员会、商场超市、宾馆、酒店、住宅小区等，科学合理、规范足量设置专门收集防护用品废弃物的设施，并在收集设施上张贴明确标识，引导群众定点投放个人使用过的口罩、护目镜、手套、防护服等防护用品。</w:t>
                  </w:r>
                </w:p>
              </w:tc>
              <w:tc>
                <w:tcPr>
                  <w:tcW w:w="241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传染病疫情期间，严格按照防控要求进行防控。</w:t>
                  </w:r>
                </w:p>
              </w:tc>
              <w:tc>
                <w:tcPr>
                  <w:tcW w:w="69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42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第十一条  医疗卫生机构和医疗废物集中处置单位应当执行危险废物转移联单管理制度，采取有效措施防止医疗废物流失、泄漏、扩散。</w:t>
                  </w:r>
                </w:p>
              </w:tc>
              <w:tc>
                <w:tcPr>
                  <w:tcW w:w="2410" w:type="dxa"/>
                  <w:vAlign w:val="center"/>
                </w:tcPr>
                <w:p>
                  <w:pPr>
                    <w:pStyle w:val="60"/>
                    <w:spacing w:line="264" w:lineRule="exact"/>
                    <w:ind w:left="111"/>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kern w:val="2"/>
                      <w:sz w:val="18"/>
                      <w:szCs w:val="18"/>
                      <w14:textFill>
                        <w14:solidFill>
                          <w14:schemeClr w14:val="tx1"/>
                        </w14:solidFill>
                      </w14:textFill>
                    </w:rPr>
                    <w:t>项目运营后严格执行危</w:t>
                  </w:r>
                  <w:r>
                    <w:rPr>
                      <w:rFonts w:ascii="Times New Roman" w:hAnsi="Times New Roman"/>
                      <w:color w:val="000000" w:themeColor="text1"/>
                      <w:sz w:val="18"/>
                      <w:szCs w:val="18"/>
                      <w14:textFill>
                        <w14:solidFill>
                          <w14:schemeClr w14:val="tx1"/>
                        </w14:solidFill>
                      </w14:textFill>
                    </w:rPr>
                    <w:t>险废物转移联单管理制度，采取有效措施防止医疗废物流失和泄漏。</w:t>
                  </w:r>
                </w:p>
              </w:tc>
              <w:tc>
                <w:tcPr>
                  <w:tcW w:w="69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42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第十四条  医疗卫生机构产生的污水达到国家和省规定的排放标准后，方可排入污水处理系统。医疗卫生机构污水处理过程中产生的污泥应当按照危险废物进行处置。</w:t>
                  </w:r>
                </w:p>
              </w:tc>
              <w:tc>
                <w:tcPr>
                  <w:tcW w:w="241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本项目生活污水及医疗废水经项目配建污水处理站处理达标后排入市政污水管网。栅渣和污泥作为危险废物进行委托处置</w:t>
                  </w:r>
                </w:p>
              </w:tc>
              <w:tc>
                <w:tcPr>
                  <w:tcW w:w="69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42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第十六条  产生、收集、运送、贮存、处置医疗废物的单位，应当制定突发环境事件的防范措施和应急预案，并向所在地生态环境主管部门备案。</w:t>
                  </w:r>
                </w:p>
              </w:tc>
              <w:tc>
                <w:tcPr>
                  <w:tcW w:w="2410" w:type="dxa"/>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本项目制定有突发环境事件的防范措施，运营前根据当地生态环境部门要求，进行应急预案编制和备案。</w:t>
                  </w:r>
                </w:p>
              </w:tc>
              <w:tc>
                <w:tcPr>
                  <w:tcW w:w="69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bl>
          <w:p>
            <w:pPr>
              <w:adjustRightInd w:val="0"/>
              <w:snapToGrid w:val="0"/>
              <w:spacing w:line="360" w:lineRule="auto"/>
              <w:ind w:firstLine="422" w:firstLineChars="200"/>
              <w:rPr>
                <w:b/>
                <w:color w:val="000000" w:themeColor="text1"/>
                <w:szCs w:val="21"/>
                <w14:textFill>
                  <w14:solidFill>
                    <w14:schemeClr w14:val="tx1"/>
                  </w14:solidFill>
                </w14:textFill>
              </w:rPr>
            </w:pPr>
            <w:r>
              <w:rPr>
                <w:b/>
                <w:color w:val="000000" w:themeColor="text1"/>
                <w:szCs w:val="21"/>
                <w14:textFill>
                  <w14:solidFill>
                    <w14:schemeClr w14:val="tx1"/>
                  </w14:solidFill>
                </w14:textFill>
              </w:rPr>
              <w:t>（6）与《关于印发医疗机构废弃物综合治理工作方案的通知》（国卫医发[2020]3号）符合性分析</w:t>
            </w:r>
          </w:p>
          <w:p>
            <w:pPr>
              <w:pStyle w:val="87"/>
              <w:rPr>
                <w:rFonts w:ascii="Times New Roman" w:hAnsi="Times New Roman" w:eastAsia="宋体"/>
                <w:bCs/>
                <w:color w:val="000000" w:themeColor="text1"/>
                <w:kern w:val="0"/>
                <w:szCs w:val="21"/>
                <w:lang w:val="zh-CN"/>
                <w14:textFill>
                  <w14:solidFill>
                    <w14:schemeClr w14:val="tx1"/>
                  </w14:solidFill>
                </w14:textFill>
              </w:rPr>
            </w:pPr>
            <w:r>
              <w:rPr>
                <w:rFonts w:ascii="Times New Roman" w:hAnsi="Times New Roman" w:eastAsia="宋体"/>
                <w:bCs/>
                <w:color w:val="000000" w:themeColor="text1"/>
                <w:kern w:val="0"/>
                <w:szCs w:val="21"/>
                <w:lang w:val="zh-CN"/>
                <w14:textFill>
                  <w14:solidFill>
                    <w14:schemeClr w14:val="tx1"/>
                  </w14:solidFill>
                </w14:textFill>
              </w:rPr>
              <w:t>表1-8  与国卫医发[2020]3号文符合性分析</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4"/>
              <w:gridCol w:w="4811"/>
              <w:gridCol w:w="1863"/>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129" w:type="dxa"/>
                  <w:gridSpan w:val="2"/>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国卫医发[2020]3号文要求</w:t>
                  </w:r>
                </w:p>
              </w:tc>
              <w:tc>
                <w:tcPr>
                  <w:tcW w:w="1701"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项目情况</w:t>
                  </w:r>
                </w:p>
              </w:tc>
              <w:tc>
                <w:tcPr>
                  <w:tcW w:w="69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5" w:type="dxa"/>
                  <w:vMerge w:val="restart"/>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一、做好医疗机构内部废弃物分类和管理</w:t>
                  </w:r>
                </w:p>
              </w:tc>
              <w:tc>
                <w:tcPr>
                  <w:tcW w:w="4394"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加强源头管理。医疗机构废弃物分为医疗废物、生活垃圾和输液瓶（袋）。通过规范分类和清晰流程，各医疗机构内形成分类投放、分类收集、分类贮存、分类交接、分类转运的废弃物管理系统。充分利用电子标签、二维码等信息化技术手段，对药品和医用耗材购入、使用和处置等环节进行精细化全程跟踪管理，鼓励医疗机构使用具有追溯功能的医疗用品、具有计数功能的可复用容器，确保医疗机构废弃物应分尽分和可追溯。</w:t>
                  </w:r>
                </w:p>
              </w:tc>
              <w:tc>
                <w:tcPr>
                  <w:tcW w:w="1701"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本项目严格落实药品、医用耗材和医疗废物的管理台账。</w:t>
                  </w:r>
                </w:p>
              </w:tc>
              <w:tc>
                <w:tcPr>
                  <w:tcW w:w="69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5" w:type="dxa"/>
                  <w:vMerge w:val="continue"/>
                  <w:vAlign w:val="center"/>
                </w:tcPr>
                <w:p>
                  <w:pPr>
                    <w:pStyle w:val="84"/>
                    <w:rPr>
                      <w:color w:val="000000" w:themeColor="text1"/>
                      <w:sz w:val="18"/>
                      <w:szCs w:val="18"/>
                      <w14:textFill>
                        <w14:solidFill>
                          <w14:schemeClr w14:val="tx1"/>
                        </w14:solidFill>
                      </w14:textFill>
                    </w:rPr>
                  </w:pPr>
                </w:p>
              </w:tc>
              <w:tc>
                <w:tcPr>
                  <w:tcW w:w="4394"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（二）夯实各方责任。医疗机构法定代表人是医疗机构废弃物分类和管理的第一责任人，产生废弃物的具体科室和操作人员是直接责任人。</w:t>
                  </w:r>
                </w:p>
              </w:tc>
              <w:tc>
                <w:tcPr>
                  <w:tcW w:w="1701"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本项目制定医疗废物管理责任制，以法人代表作为第一责任人。</w:t>
                  </w:r>
                </w:p>
              </w:tc>
              <w:tc>
                <w:tcPr>
                  <w:tcW w:w="69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5"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二、做好医疗废物处置</w:t>
                  </w:r>
                </w:p>
              </w:tc>
              <w:tc>
                <w:tcPr>
                  <w:tcW w:w="4394"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二）进一步明确处置要求。医疗机构按照《医疗废物分类目录》等要求制定具体的分类收集清单。严格落实危险废物申报登记和管理计划备案要求，依法向生态环境部门申报医疗废物的种类、产生量、流向、贮存和处置等情况。严禁混合医疗废物、生活垃圾和输液瓶（袋），严禁混放各类医疗废物。规范医疗废物贮存场所（设施）管理，不得露天存放。及时告知并将医疗废物交由持有危险废物经营许可证的集中处置单位，执行转移联单并做好交接登记，资料保存不少于3年。</w:t>
                  </w:r>
                </w:p>
              </w:tc>
              <w:tc>
                <w:tcPr>
                  <w:tcW w:w="1701"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日常管理中严格落实危险废物申报登记和管理计划备案要求，建立医疗废物管理台账，依法向生态环境主管部门申报医疗废物的种类、产生量、产生时间、流向、贮存和处置等情况。</w:t>
                  </w:r>
                </w:p>
              </w:tc>
              <w:tc>
                <w:tcPr>
                  <w:tcW w:w="69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5"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三、做好生活垃圾管理</w:t>
                  </w:r>
                </w:p>
              </w:tc>
              <w:tc>
                <w:tcPr>
                  <w:tcW w:w="4394"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疗机构要严格落实生活垃圾分类管理有关政策，将非传染病患者或家属在就诊过程中产生的生活垃圾，以及医疗机构职工非医疗活动产生的生活垃圾，与医疗活动中产生的医疗废物、输液瓶（袋）等区别管理。做好医疗机构生活垃圾的接收、运输和处理工作。</w:t>
                  </w:r>
                </w:p>
              </w:tc>
              <w:tc>
                <w:tcPr>
                  <w:tcW w:w="1701"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本项目生活垃圾独立收集、管理，委托环卫部门定期清运。</w:t>
                  </w:r>
                </w:p>
              </w:tc>
              <w:tc>
                <w:tcPr>
                  <w:tcW w:w="69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bl>
          <w:p>
            <w:pPr>
              <w:pStyle w:val="55"/>
              <w:spacing w:line="360" w:lineRule="auto"/>
              <w:ind w:firstLine="422" w:firstLineChars="200"/>
              <w:rPr>
                <w:rFonts w:ascii="Times New Roman" w:cs="Times New Roman"/>
                <w:b/>
                <w:color w:val="000000" w:themeColor="text1"/>
                <w:kern w:val="2"/>
                <w:sz w:val="21"/>
                <w:szCs w:val="21"/>
                <w14:textFill>
                  <w14:solidFill>
                    <w14:schemeClr w14:val="tx1"/>
                  </w14:solidFill>
                </w14:textFill>
              </w:rPr>
            </w:pPr>
            <w:r>
              <w:rPr>
                <w:rFonts w:ascii="Times New Roman" w:cs="Times New Roman"/>
                <w:b/>
                <w:color w:val="000000" w:themeColor="text1"/>
                <w:kern w:val="2"/>
                <w:sz w:val="21"/>
                <w:szCs w:val="21"/>
                <w14:textFill>
                  <w14:solidFill>
                    <w14:schemeClr w14:val="tx1"/>
                  </w14:solidFill>
                </w14:textFill>
              </w:rPr>
              <w:t>（7）、与《</w:t>
            </w:r>
            <w:r>
              <w:rPr>
                <w:rFonts w:hint="eastAsia" w:ascii="Times New Roman" w:cs="Times New Roman"/>
                <w:b/>
                <w:color w:val="000000" w:themeColor="text1"/>
                <w:kern w:val="2"/>
                <w:sz w:val="21"/>
                <w:szCs w:val="21"/>
                <w14:textFill>
                  <w14:solidFill>
                    <w14:schemeClr w14:val="tx1"/>
                  </w14:solidFill>
                </w14:textFill>
              </w:rPr>
              <w:t>医疗废物集中处置技术规范（试行）</w:t>
            </w:r>
            <w:r>
              <w:rPr>
                <w:rFonts w:ascii="Times New Roman" w:cs="Times New Roman"/>
                <w:b/>
                <w:color w:val="000000" w:themeColor="text1"/>
                <w:kern w:val="2"/>
                <w:sz w:val="21"/>
                <w:szCs w:val="21"/>
                <w14:textFill>
                  <w14:solidFill>
                    <w14:schemeClr w14:val="tx1"/>
                  </w14:solidFill>
                </w14:textFill>
              </w:rPr>
              <w:t>》（</w:t>
            </w:r>
            <w:r>
              <w:rPr>
                <w:rFonts w:hint="eastAsia" w:ascii="Times New Roman" w:cs="Times New Roman"/>
                <w:b/>
                <w:color w:val="000000" w:themeColor="text1"/>
                <w:kern w:val="2"/>
                <w:sz w:val="21"/>
                <w:szCs w:val="21"/>
                <w14:textFill>
                  <w14:solidFill>
                    <w14:schemeClr w14:val="tx1"/>
                  </w14:solidFill>
                </w14:textFill>
              </w:rPr>
              <w:t>环发[2003]206号</w:t>
            </w:r>
            <w:r>
              <w:rPr>
                <w:rFonts w:ascii="Times New Roman" w:cs="Times New Roman"/>
                <w:b/>
                <w:color w:val="000000" w:themeColor="text1"/>
                <w:kern w:val="2"/>
                <w:sz w:val="21"/>
                <w:szCs w:val="21"/>
                <w14:textFill>
                  <w14:solidFill>
                    <w14:schemeClr w14:val="tx1"/>
                  </w14:solidFill>
                </w14:textFill>
              </w:rPr>
              <w:t>）符合性分析</w:t>
            </w:r>
          </w:p>
          <w:p>
            <w:pPr>
              <w:pStyle w:val="87"/>
              <w:ind w:firstLine="420" w:firstLineChars="200"/>
              <w:jc w:val="both"/>
              <w:rPr>
                <w:rFonts w:ascii="Times New Roman" w:hAnsi="Times New Roman" w:eastAsia="宋体"/>
                <w:b w:val="0"/>
                <w:color w:val="000000" w:themeColor="text1"/>
                <w:kern w:val="0"/>
                <w:szCs w:val="21"/>
                <w14:textFill>
                  <w14:solidFill>
                    <w14:schemeClr w14:val="tx1"/>
                  </w14:solidFill>
                </w14:textFill>
              </w:rPr>
            </w:pPr>
            <w:r>
              <w:rPr>
                <w:rFonts w:hint="eastAsia" w:ascii="Times New Roman" w:hAnsi="Times New Roman" w:eastAsia="宋体"/>
                <w:b w:val="0"/>
                <w:color w:val="000000" w:themeColor="text1"/>
                <w:kern w:val="0"/>
                <w:szCs w:val="21"/>
                <w14:textFill>
                  <w14:solidFill>
                    <w14:schemeClr w14:val="tx1"/>
                  </w14:solidFill>
                </w14:textFill>
              </w:rPr>
              <w:t>项目与《医疗废物集中处置技术规范（试行）》（环发[2003]206号）中“医疗废物的暂时贮存”环节符合性分析如下：</w:t>
            </w:r>
          </w:p>
          <w:p>
            <w:pPr>
              <w:pStyle w:val="87"/>
              <w:rPr>
                <w:rFonts w:ascii="Times New Roman" w:hAnsi="Times New Roman" w:eastAsia="宋体"/>
                <w:bCs/>
                <w:color w:val="000000" w:themeColor="text1"/>
                <w:kern w:val="0"/>
                <w:szCs w:val="21"/>
                <w:lang w:val="zh-CN"/>
                <w14:textFill>
                  <w14:solidFill>
                    <w14:schemeClr w14:val="tx1"/>
                  </w14:solidFill>
                </w14:textFill>
              </w:rPr>
            </w:pPr>
            <w:r>
              <w:rPr>
                <w:rFonts w:ascii="Times New Roman" w:hAnsi="Times New Roman" w:eastAsia="宋体"/>
                <w:bCs/>
                <w:color w:val="000000" w:themeColor="text1"/>
                <w:kern w:val="0"/>
                <w:szCs w:val="21"/>
                <w:lang w:val="zh-CN"/>
                <w14:textFill>
                  <w14:solidFill>
                    <w14:schemeClr w14:val="tx1"/>
                  </w14:solidFill>
                </w14:textFill>
              </w:rPr>
              <w:t>表1-9  与</w:t>
            </w:r>
            <w:r>
              <w:rPr>
                <w:rFonts w:hint="eastAsia" w:ascii="Times New Roman" w:hAnsi="Times New Roman" w:eastAsia="宋体"/>
                <w:bCs/>
                <w:color w:val="000000" w:themeColor="text1"/>
                <w:kern w:val="0"/>
                <w:szCs w:val="21"/>
                <w:lang w:val="zh-CN"/>
                <w14:textFill>
                  <w14:solidFill>
                    <w14:schemeClr w14:val="tx1"/>
                  </w14:solidFill>
                </w14:textFill>
              </w:rPr>
              <w:t>环发[2003]206号</w:t>
            </w:r>
            <w:r>
              <w:rPr>
                <w:rFonts w:ascii="Times New Roman" w:hAnsi="Times New Roman" w:eastAsia="宋体"/>
                <w:bCs/>
                <w:color w:val="000000" w:themeColor="text1"/>
                <w:kern w:val="0"/>
                <w:szCs w:val="21"/>
                <w:lang w:val="zh-CN"/>
                <w14:textFill>
                  <w14:solidFill>
                    <w14:schemeClr w14:val="tx1"/>
                  </w14:solidFill>
                </w14:textFill>
              </w:rPr>
              <w:t>符合性分析</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4"/>
              <w:gridCol w:w="4811"/>
              <w:gridCol w:w="1863"/>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615" w:type="dxa"/>
                  <w:gridSpan w:val="2"/>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文件要求</w:t>
                  </w:r>
                </w:p>
              </w:tc>
              <w:tc>
                <w:tcPr>
                  <w:tcW w:w="1863"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项目情况</w:t>
                  </w:r>
                </w:p>
              </w:tc>
              <w:tc>
                <w:tcPr>
                  <w:tcW w:w="756"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04" w:type="dxa"/>
                  <w:vMerge w:val="restart"/>
                  <w:vAlign w:val="center"/>
                </w:tcPr>
                <w:p>
                  <w:pPr>
                    <w:pStyle w:val="84"/>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医疗废物的暂时贮存</w:t>
                  </w:r>
                </w:p>
              </w:tc>
              <w:tc>
                <w:tcPr>
                  <w:tcW w:w="4811" w:type="dxa"/>
                  <w:vAlign w:val="center"/>
                </w:tcPr>
                <w:p>
                  <w:pPr>
                    <w:pStyle w:val="84"/>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 库房</w:t>
                  </w:r>
                </w:p>
                <w:p>
                  <w:pPr>
                    <w:pStyle w:val="84"/>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具有住院病床的医疗卫生机构应建立专门的医疗废物暂时贮存库房，并应满足下述要求：</w:t>
                  </w:r>
                </w:p>
                <w:p>
                  <w:pPr>
                    <w:pStyle w:val="84"/>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2.1.1 必须与生活垃圾存放地分开，有防雨淋的装置，地基高度应确保设施内不受雨洪冲击或浸泡；</w:t>
                  </w:r>
                </w:p>
                <w:p>
                  <w:pPr>
                    <w:pStyle w:val="84"/>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2.1.2 必须与医疗区、食品加工区和人员活动密集区隔开，方便医疗废物的装卸、装卸人员及运送车辆的出入；</w:t>
                  </w:r>
                </w:p>
                <w:p>
                  <w:pPr>
                    <w:pStyle w:val="84"/>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2.1.3 应有严密的封闭措施，设专人管理，避免非工作人员进出，以及防鼠、防蚊蝇、防蟑螂、防盗以及预防儿童接触等安全措施；</w:t>
                  </w:r>
                </w:p>
                <w:p>
                  <w:pPr>
                    <w:pStyle w:val="84"/>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2.1.4 地面和1.0米高的墙裙须进行防渗处理，地面有良好的排水性能，易于清洁和消毒，产生的废水应采用管道直接排入医疗卫生机构内的医疗废水消毒、处理系统，禁止将产生的废水直接排入外环境；</w:t>
                  </w:r>
                </w:p>
                <w:p>
                  <w:pPr>
                    <w:pStyle w:val="84"/>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2.1.5 库房外宜设有供水龙头，以供暂时贮存库房的清洗用；</w:t>
                  </w:r>
                </w:p>
                <w:p>
                  <w:pPr>
                    <w:pStyle w:val="84"/>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2.1.6 避免阳光直射库内，应有良好的照明设备和通风条件；</w:t>
                  </w:r>
                </w:p>
                <w:p>
                  <w:pPr>
                    <w:pStyle w:val="84"/>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2.1.7 库房内应张贴“禁止吸烟、饮食”的警示标识；</w:t>
                  </w:r>
                </w:p>
                <w:p>
                  <w:pPr>
                    <w:pStyle w:val="84"/>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2.1.8 应按GB15562.2和卫生、环保部门制定的专用医疗废物警示标识要求，在库房外的明显处同时设置危险废物和医疗废物的警示标识；</w:t>
                  </w:r>
                </w:p>
              </w:tc>
              <w:tc>
                <w:tcPr>
                  <w:tcW w:w="1863"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w:t>
                  </w:r>
                  <w:r>
                    <w:rPr>
                      <w:rFonts w:hint="eastAsia"/>
                      <w:color w:val="000000" w:themeColor="text1"/>
                      <w:sz w:val="18"/>
                      <w:szCs w:val="18"/>
                      <w14:textFill>
                        <w14:solidFill>
                          <w14:schemeClr w14:val="tx1"/>
                        </w14:solidFill>
                      </w14:textFill>
                    </w:rPr>
                    <w:t>已</w:t>
                  </w:r>
                  <w:r>
                    <w:rPr>
                      <w:color w:val="000000" w:themeColor="text1"/>
                      <w:sz w:val="18"/>
                      <w:szCs w:val="18"/>
                      <w14:textFill>
                        <w14:solidFill>
                          <w14:schemeClr w14:val="tx1"/>
                        </w14:solidFill>
                      </w14:textFill>
                    </w:rPr>
                    <w:t>建设</w:t>
                  </w:r>
                  <w:r>
                    <w:rPr>
                      <w:rFonts w:hint="eastAsia"/>
                      <w:color w:val="000000" w:themeColor="text1"/>
                      <w:sz w:val="18"/>
                      <w:szCs w:val="18"/>
                      <w14:textFill>
                        <w14:solidFill>
                          <w14:schemeClr w14:val="tx1"/>
                        </w14:solidFill>
                      </w14:textFill>
                    </w:rPr>
                    <w:t>1座40m</w:t>
                  </w:r>
                  <w:r>
                    <w:rPr>
                      <w:rFonts w:hint="eastAsia"/>
                      <w:color w:val="000000" w:themeColor="text1"/>
                      <w:sz w:val="18"/>
                      <w:szCs w:val="18"/>
                      <w:vertAlign w:val="superscript"/>
                      <w14:textFill>
                        <w14:solidFill>
                          <w14:schemeClr w14:val="tx1"/>
                        </w14:solidFill>
                      </w14:textFill>
                    </w:rPr>
                    <w:t>2</w:t>
                  </w:r>
                  <w:r>
                    <w:rPr>
                      <w:rFonts w:hint="eastAsia"/>
                      <w:color w:val="000000" w:themeColor="text1"/>
                      <w:sz w:val="18"/>
                      <w:szCs w:val="18"/>
                      <w14:textFill>
                        <w14:solidFill>
                          <w14:schemeClr w14:val="tx1"/>
                        </w14:solidFill>
                      </w14:textFill>
                    </w:rPr>
                    <w:t>危废间。且危废间建设按照技术规范要求进行建设，不会存放生活垃圾，有防雨淋装置，设施内不受雨洪冲击或浸泡；危废间位于园区东侧，与其他区域隔开；危废间严格密闭，专人管理；危废间进行重点防渗，并设置导流设施；有良好的照明设备和通风条件，按规定张贴警示标识。</w:t>
                  </w:r>
                </w:p>
              </w:tc>
              <w:tc>
                <w:tcPr>
                  <w:tcW w:w="756"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04" w:type="dxa"/>
                  <w:vMerge w:val="continue"/>
                  <w:vAlign w:val="center"/>
                </w:tcPr>
                <w:p>
                  <w:pPr>
                    <w:pStyle w:val="84"/>
                    <w:rPr>
                      <w:color w:val="000000" w:themeColor="text1"/>
                      <w:sz w:val="18"/>
                      <w:szCs w:val="18"/>
                      <w14:textFill>
                        <w14:solidFill>
                          <w14:schemeClr w14:val="tx1"/>
                        </w14:solidFill>
                      </w14:textFill>
                    </w:rPr>
                  </w:pPr>
                </w:p>
              </w:tc>
              <w:tc>
                <w:tcPr>
                  <w:tcW w:w="4811" w:type="dxa"/>
                  <w:vAlign w:val="center"/>
                </w:tcPr>
                <w:p>
                  <w:pPr>
                    <w:pStyle w:val="84"/>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 卫生要求</w:t>
                  </w:r>
                </w:p>
                <w:p>
                  <w:pPr>
                    <w:pStyle w:val="84"/>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2.3.1 医疗废物暂时贮存库房每天应在废物清运之后消毒冲洗，冲洗液应排入医疗卫生机构内的医疗废水消毒、处理系统。</w:t>
                  </w:r>
                </w:p>
              </w:tc>
              <w:tc>
                <w:tcPr>
                  <w:tcW w:w="1863"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医疗废物在每次清运后进行清洁消毒</w:t>
                  </w:r>
                  <w:r>
                    <w:rPr>
                      <w:rFonts w:hint="eastAsia"/>
                      <w:color w:val="000000" w:themeColor="text1"/>
                      <w:sz w:val="18"/>
                      <w:szCs w:val="18"/>
                      <w14:textFill>
                        <w14:solidFill>
                          <w14:schemeClr w14:val="tx1"/>
                        </w14:solidFill>
                      </w14:textFill>
                    </w:rPr>
                    <w:t>，清洁</w:t>
                  </w:r>
                  <w:r>
                    <w:rPr>
                      <w:color w:val="000000" w:themeColor="text1"/>
                      <w:sz w:val="18"/>
                      <w:szCs w:val="18"/>
                      <w14:textFill>
                        <w14:solidFill>
                          <w14:schemeClr w14:val="tx1"/>
                        </w14:solidFill>
                      </w14:textFill>
                    </w:rPr>
                    <w:t>消毒废水收集进入院区污水处理站处理</w:t>
                  </w:r>
                  <w:r>
                    <w:rPr>
                      <w:rFonts w:hint="eastAsia"/>
                      <w:color w:val="000000" w:themeColor="text1"/>
                      <w:sz w:val="18"/>
                      <w:szCs w:val="18"/>
                      <w14:textFill>
                        <w14:solidFill>
                          <w14:schemeClr w14:val="tx1"/>
                        </w14:solidFill>
                      </w14:textFill>
                    </w:rPr>
                    <w:t>。</w:t>
                  </w:r>
                </w:p>
              </w:tc>
              <w:tc>
                <w:tcPr>
                  <w:tcW w:w="756"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04" w:type="dxa"/>
                  <w:vMerge w:val="continue"/>
                  <w:vAlign w:val="center"/>
                </w:tcPr>
                <w:p>
                  <w:pPr>
                    <w:pStyle w:val="84"/>
                    <w:rPr>
                      <w:color w:val="000000" w:themeColor="text1"/>
                      <w:sz w:val="18"/>
                      <w:szCs w:val="18"/>
                      <w14:textFill>
                        <w14:solidFill>
                          <w14:schemeClr w14:val="tx1"/>
                        </w14:solidFill>
                      </w14:textFill>
                    </w:rPr>
                  </w:pPr>
                </w:p>
              </w:tc>
              <w:tc>
                <w:tcPr>
                  <w:tcW w:w="4811" w:type="dxa"/>
                  <w:vAlign w:val="center"/>
                </w:tcPr>
                <w:p>
                  <w:pPr>
                    <w:pStyle w:val="84"/>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2.4 暂时贮存时间</w:t>
                  </w:r>
                </w:p>
                <w:p>
                  <w:pPr>
                    <w:pStyle w:val="84"/>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2.4.1 应防止医疗废物在暂时贮存库房和专用暂时贮存柜（箱）中腐败散发恶臭，尽量做到日产日清。</w:t>
                  </w:r>
                </w:p>
                <w:p>
                  <w:pPr>
                    <w:pStyle w:val="84"/>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2.4.2 确实不能做到日产日清，且当地最高气温高于25℃时，应将医疗废物低温暂时贮存，暂时贮存温度应低于20℃，时间最长不超过48小时。</w:t>
                  </w:r>
                </w:p>
              </w:tc>
              <w:tc>
                <w:tcPr>
                  <w:tcW w:w="1863"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项目医疗废物清运频次为</w:t>
                  </w:r>
                  <w:r>
                    <w:rPr>
                      <w:rFonts w:hint="eastAsia"/>
                      <w:color w:val="000000" w:themeColor="text1"/>
                      <w:sz w:val="18"/>
                      <w:szCs w:val="18"/>
                      <w14:textFill>
                        <w14:solidFill>
                          <w14:schemeClr w14:val="tx1"/>
                        </w14:solidFill>
                      </w14:textFill>
                    </w:rPr>
                    <w:t>2d/次，时间最长不超过48h。</w:t>
                  </w:r>
                </w:p>
              </w:tc>
              <w:tc>
                <w:tcPr>
                  <w:tcW w:w="756"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04" w:type="dxa"/>
                  <w:vMerge w:val="continue"/>
                  <w:vAlign w:val="center"/>
                </w:tcPr>
                <w:p>
                  <w:pPr>
                    <w:pStyle w:val="84"/>
                    <w:rPr>
                      <w:color w:val="000000" w:themeColor="text1"/>
                      <w:sz w:val="18"/>
                      <w:szCs w:val="18"/>
                      <w14:textFill>
                        <w14:solidFill>
                          <w14:schemeClr w14:val="tx1"/>
                        </w14:solidFill>
                      </w14:textFill>
                    </w:rPr>
                  </w:pPr>
                </w:p>
              </w:tc>
              <w:tc>
                <w:tcPr>
                  <w:tcW w:w="4811" w:type="dxa"/>
                  <w:vAlign w:val="center"/>
                </w:tcPr>
                <w:p>
                  <w:pPr>
                    <w:pStyle w:val="84"/>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2.5 管理制度</w:t>
                  </w:r>
                </w:p>
                <w:p>
                  <w:pPr>
                    <w:pStyle w:val="84"/>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2.5.1 医疗卫生机构应制定医疗废物暂时贮存管理的有关规章制度、工作程序及应急处理措施。</w:t>
                  </w:r>
                </w:p>
              </w:tc>
              <w:tc>
                <w:tcPr>
                  <w:tcW w:w="1863"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医院已制定相关</w:t>
                  </w:r>
                  <w:r>
                    <w:rPr>
                      <w:rFonts w:hint="eastAsia"/>
                      <w:color w:val="000000" w:themeColor="text1"/>
                      <w:sz w:val="18"/>
                      <w:szCs w:val="18"/>
                      <w14:textFill>
                        <w14:solidFill>
                          <w14:schemeClr w14:val="tx1"/>
                        </w14:solidFill>
                      </w14:textFill>
                    </w:rPr>
                    <w:t>规章制度、工作程序及应急处理措施</w:t>
                  </w:r>
                </w:p>
              </w:tc>
              <w:tc>
                <w:tcPr>
                  <w:tcW w:w="756"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bl>
          <w:p>
            <w:pPr>
              <w:pStyle w:val="55"/>
              <w:spacing w:line="360" w:lineRule="auto"/>
              <w:ind w:firstLine="422" w:firstLineChars="200"/>
              <w:rPr>
                <w:rFonts w:ascii="Times New Roman" w:cs="Times New Roman"/>
                <w:b/>
                <w:color w:val="000000" w:themeColor="text1"/>
                <w:kern w:val="2"/>
                <w:sz w:val="21"/>
                <w:szCs w:val="21"/>
                <w14:textFill>
                  <w14:solidFill>
                    <w14:schemeClr w14:val="tx1"/>
                  </w14:solidFill>
                </w14:textFill>
              </w:rPr>
            </w:pPr>
            <w:r>
              <w:rPr>
                <w:rFonts w:ascii="Times New Roman" w:cs="Times New Roman"/>
                <w:b/>
                <w:color w:val="000000" w:themeColor="text1"/>
                <w:kern w:val="2"/>
                <w:sz w:val="21"/>
                <w:szCs w:val="21"/>
                <w14:textFill>
                  <w14:solidFill>
                    <w14:schemeClr w14:val="tx1"/>
                  </w14:solidFill>
                </w14:textFill>
              </w:rPr>
              <w:t>（8）、与《关于在医疗机构推进生活垃圾分类管理的通知》符合性分析</w:t>
            </w:r>
          </w:p>
          <w:p>
            <w:pPr>
              <w:pStyle w:val="87"/>
              <w:rPr>
                <w:rFonts w:ascii="Times New Roman" w:hAnsi="Times New Roman" w:eastAsia="宋体"/>
                <w:bCs/>
                <w:color w:val="000000" w:themeColor="text1"/>
                <w:kern w:val="0"/>
                <w:szCs w:val="21"/>
                <w:lang w:val="zh-CN"/>
                <w14:textFill>
                  <w14:solidFill>
                    <w14:schemeClr w14:val="tx1"/>
                  </w14:solidFill>
                </w14:textFill>
              </w:rPr>
            </w:pPr>
            <w:r>
              <w:rPr>
                <w:rFonts w:ascii="Times New Roman" w:hAnsi="Times New Roman" w:eastAsia="宋体"/>
                <w:bCs/>
                <w:color w:val="000000" w:themeColor="text1"/>
                <w:kern w:val="0"/>
                <w:szCs w:val="21"/>
                <w:lang w:val="zh-CN"/>
                <w14:textFill>
                  <w14:solidFill>
                    <w14:schemeClr w14:val="tx1"/>
                  </w14:solidFill>
                </w14:textFill>
              </w:rPr>
              <w:t>表1-10  与《关于在医疗机构推进生活垃圾分类管理的通知》符合性分析</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04"/>
              <w:gridCol w:w="4811"/>
              <w:gridCol w:w="1863"/>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5129" w:type="dxa"/>
                  <w:gridSpan w:val="2"/>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文件要求</w:t>
                  </w:r>
                </w:p>
              </w:tc>
              <w:tc>
                <w:tcPr>
                  <w:tcW w:w="1701"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项目情况</w:t>
                  </w:r>
                </w:p>
              </w:tc>
              <w:tc>
                <w:tcPr>
                  <w:tcW w:w="69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5" w:type="dxa"/>
                  <w:vMerge w:val="restart"/>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明确分类类别</w:t>
                  </w:r>
                </w:p>
              </w:tc>
              <w:tc>
                <w:tcPr>
                  <w:tcW w:w="4394"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疗机构应当按照《医疗废物管理条例》等相关规定严格医疗废物的源头分类管理，规范收集暂存，严禁将医疗废物混入生活垃圾。医疗机构内产生的生活垃圾按照属性分为有害垃圾、易腐垃圾、可回收物和其他垃圾四类。</w:t>
                  </w:r>
                </w:p>
              </w:tc>
              <w:tc>
                <w:tcPr>
                  <w:tcW w:w="1701"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本项目医疗废物与生活垃圾分别存放。</w:t>
                  </w:r>
                </w:p>
              </w:tc>
              <w:tc>
                <w:tcPr>
                  <w:tcW w:w="69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5"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明确分类投放要求</w:t>
                  </w:r>
                </w:p>
              </w:tc>
              <w:tc>
                <w:tcPr>
                  <w:tcW w:w="4394"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有害垃圾投放要求。医疗机构应当按照安全、便利、快捷的原则集中或定点设立容器对不同品种的有害垃圾收集、暂存，并在醒目位置设置有害垃圾标志。易腐垃圾投放要求。医疗机构应当在易腐垃圾主要产生区域设置专门容器单独投放易腐垃圾，原则上应采用密闭容器存放。可回收物投放要求。医疗机构应当根据可回收物的种类和产生量，设置专门容器和临时存储空间，定点投放和暂存，必要时可设专人分拣打包，做到标识明显。</w:t>
                  </w:r>
                </w:p>
              </w:tc>
              <w:tc>
                <w:tcPr>
                  <w:tcW w:w="1701"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本项目产生的医疗废物存于危险废物暂存间，定期交于有资质单位进行处理。</w:t>
                  </w:r>
                </w:p>
              </w:tc>
              <w:tc>
                <w:tcPr>
                  <w:tcW w:w="69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5"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明确分类处置要求</w:t>
                  </w:r>
                </w:p>
              </w:tc>
              <w:tc>
                <w:tcPr>
                  <w:tcW w:w="4394"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有害垃圾处置要求。医疗机构应当与有资质的危险废物处置单位签订合同，根据有害垃圾的品种和产生数量合理确定或约定收运频率。</w:t>
                  </w:r>
                </w:p>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易腐垃圾处置要求。医疗机构可与易腐垃圾专业处置单位签订合同，每日产生的易腐垃圾由易腐垃圾专业处置单位上门收集并处理。有条件的医疗机构可采用生物转化有机肥等技术就地处置易腐垃圾。</w:t>
                  </w:r>
                </w:p>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可回收物处置要求。医疗机构应当统一处置本单位产生的可回收物，与再生资源回收单位做好交接、登记和统计工作，实现可回收物的可追溯。再生资源回收单位向再生资源利用单位提供输液瓶（袋）类可回收物时，应当说明来源并做好交接登记，确保可追溯。再生资源利用单位利用这类可回收物时不得用于原用途，用于其他用途时不应危害人体健康。</w:t>
                  </w:r>
                </w:p>
              </w:tc>
              <w:tc>
                <w:tcPr>
                  <w:tcW w:w="1701"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本项目对于不同的垃圾按照要求分别进行处置。</w:t>
                  </w:r>
                </w:p>
              </w:tc>
              <w:tc>
                <w:tcPr>
                  <w:tcW w:w="69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35"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明确使用后输液瓶（袋）的分类管理要求</w:t>
                  </w:r>
                </w:p>
              </w:tc>
              <w:tc>
                <w:tcPr>
                  <w:tcW w:w="4394"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对于未被患者血液、体液和排泄物等污染的输液瓶（袋），应当在其与输液管连接处去除输液管后单独集中回收、存放。去除后的输液管、针头等应当严格按照医疗废物处理，严禁混入未被污染的输液瓶（袋）及其他生活垃圾中。残留少量经稀释的普通药液的输液瓶（袋），可以按照未被污染的输液瓶（袋）处理。医疗机构应当科学、规范、节约用药，提高药物使用效率，减少浪费，降低药品消耗和环境承载压力。存在下列情形的输液瓶（袋），即使未被患者血液、体液和排泄物等污染，也不得纳入可回收生活垃圾管理。在传染病区使用，或者用于传染病患者、疑似传染病患者以及采取隔离措施的其他患者的输液瓶（袋），应当按照感染性医疗废物处理；输液涉及使用细胞毒性药物（如肿瘤化疗药物等）的输液瓶（袋），应当按照药物性医疗废物处理；输液涉及使用麻醉类药品、精神类药品、易制毒药品和放射性药品的输液瓶（袋），应当严格按照相关规定处理。</w:t>
                  </w:r>
                </w:p>
              </w:tc>
              <w:tc>
                <w:tcPr>
                  <w:tcW w:w="1701"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本项目严格按照要求对输液瓶（袋）进行处置。</w:t>
                  </w:r>
                </w:p>
              </w:tc>
              <w:tc>
                <w:tcPr>
                  <w:tcW w:w="69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符合</w:t>
                  </w:r>
                </w:p>
              </w:tc>
            </w:tr>
          </w:tbl>
          <w:p>
            <w:pPr>
              <w:pStyle w:val="55"/>
              <w:spacing w:line="360" w:lineRule="auto"/>
              <w:ind w:firstLine="420" w:firstLineChars="200"/>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kern w:val="2"/>
                <w:sz w:val="21"/>
                <w:szCs w:val="21"/>
                <w14:textFill>
                  <w14:solidFill>
                    <w14:schemeClr w14:val="tx1"/>
                  </w14:solidFill>
                </w14:textFill>
              </w:rPr>
              <w:t>综上所述，本项目符合国家及省、市相关环保要求。</w:t>
            </w:r>
          </w:p>
          <w:p>
            <w:pPr>
              <w:pStyle w:val="55"/>
              <w:spacing w:line="360" w:lineRule="auto"/>
              <w:ind w:firstLine="420" w:firstLineChars="200"/>
              <w:rPr>
                <w:rFonts w:ascii="Times New Roman" w:cs="Times New Roman"/>
                <w:color w:val="000000" w:themeColor="text1"/>
                <w:sz w:val="21"/>
                <w:szCs w:val="21"/>
                <w14:textFill>
                  <w14:solidFill>
                    <w14:schemeClr w14:val="tx1"/>
                  </w14:solidFill>
                </w14:textFill>
              </w:rPr>
            </w:pPr>
          </w:p>
          <w:p>
            <w:pPr>
              <w:jc w:val="left"/>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tc>
      </w:tr>
    </w:tbl>
    <w:p>
      <w:pPr>
        <w:spacing w:line="360" w:lineRule="auto"/>
        <w:outlineLvl w:val="0"/>
        <w:rPr>
          <w:rFonts w:eastAsia="黑体"/>
          <w:color w:val="000000" w:themeColor="text1"/>
          <w:sz w:val="30"/>
          <w14:textFill>
            <w14:solidFill>
              <w14:schemeClr w14:val="tx1"/>
            </w14:solidFill>
          </w14:textFill>
        </w:rPr>
        <w:sectPr>
          <w:footerReference r:id="rId4" w:type="default"/>
          <w:pgSz w:w="11906" w:h="16838"/>
          <w:pgMar w:top="1701" w:right="1531" w:bottom="1701" w:left="1531" w:header="851" w:footer="1077" w:gutter="0"/>
          <w:pgNumType w:fmt="numberInDash" w:start="1"/>
          <w:cols w:space="720" w:num="1"/>
          <w:docGrid w:linePitch="312" w:charSpace="0"/>
        </w:sectPr>
      </w:pPr>
    </w:p>
    <w:p>
      <w:pPr>
        <w:pStyle w:val="21"/>
        <w:jc w:val="center"/>
        <w:outlineLvl w:val="0"/>
        <w:rPr>
          <w:rFonts w:ascii="Times New Roman" w:hAnsi="Times New Roman" w:eastAsia="黑体"/>
          <w:snapToGrid w:val="0"/>
          <w:color w:val="000000" w:themeColor="text1"/>
          <w:sz w:val="30"/>
          <w:szCs w:val="30"/>
          <w14:textFill>
            <w14:solidFill>
              <w14:schemeClr w14:val="tx1"/>
            </w14:solidFill>
          </w14:textFill>
        </w:rPr>
      </w:pPr>
      <w:r>
        <w:rPr>
          <w:rFonts w:ascii="Times New Roman" w:hAnsi="Times New Roman" w:eastAsia="黑体"/>
          <w:snapToGrid w:val="0"/>
          <w:color w:val="000000" w:themeColor="text1"/>
          <w:sz w:val="30"/>
          <w:szCs w:val="30"/>
          <w14:textFill>
            <w14:solidFill>
              <w14:schemeClr w14:val="tx1"/>
            </w14:solidFill>
          </w14:textFill>
        </w:rPr>
        <w:t>二、建设项目工程分析</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4"/>
        <w:gridCol w:w="8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1" w:hRule="atLeast"/>
          <w:jc w:val="center"/>
        </w:trPr>
        <w:tc>
          <w:tcPr>
            <w:tcW w:w="233" w:type="pct"/>
            <w:vAlign w:val="center"/>
          </w:tcPr>
          <w:p>
            <w:pPr>
              <w:pStyle w:val="21"/>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建设内容</w:t>
            </w:r>
          </w:p>
        </w:tc>
        <w:tc>
          <w:tcPr>
            <w:tcW w:w="4766" w:type="pct"/>
          </w:tcPr>
          <w:p>
            <w:pPr>
              <w:autoSpaceDE w:val="0"/>
              <w:autoSpaceDN w:val="0"/>
              <w:adjustRightInd w:val="0"/>
              <w:snapToGrid w:val="0"/>
              <w:spacing w:line="360" w:lineRule="auto"/>
              <w:ind w:firstLine="422" w:firstLineChars="20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1、项目背景</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淄博市张店区第二人民医院（淄博口腔医院）项目始建于1955年，历经发展变迁，目前已成为淄博市口腔专科领先，内、外、妇、儿专业齐全的医院，有着近六十年的深厚底蕴，是“张店区牙病防治中心”、“张店区青少年口腔疾病预防保健中心”；泰山医学院、潍坊医学院本科教学医院；淄博市规模最大、设备最精、技术领先、专业分科最全的口腔专科医院，在鲁中地区享有较高声誉。</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医院学科设置齐全，专科特色突出。口腔学科设有口腔种植科、口腔正畸科、牙体牙髓病科、儿童口腔科、牙周病科、口腔粘膜科、口腔颌面外科、口腔修复科、口腔综合特诊科等专业品牌科室；其他专业设有综合内科、外科、中医科、针灸理疗科、预防保健科、检验科、特检科、放射科、查体科、药剂科等临床医技科室。医院开放床位55张，开放牙椅40把。同时配套建设医疗废水处理、医疗废物暂存等环保设施和辅助设施。医院X射线影响诊断已取得放射诊疗许可证（见附件）（张卫放证字（2017）第022号）。医院不开设传染病科，不设置动物及生物实验室、煎药室等。本项目涉及的辐射设备，需要单独进行辐射环评，不在本次环境影响评价范围内。</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“淄博市张店区第二人民医院（淄博口腔医院）项目”建成投产时间较早，项目建成于</w:t>
            </w:r>
            <w:r>
              <w:rPr>
                <w:rFonts w:hint="eastAsia"/>
                <w:color w:val="000000" w:themeColor="text1"/>
                <w:kern w:val="0"/>
                <w:szCs w:val="21"/>
                <w14:textFill>
                  <w14:solidFill>
                    <w14:schemeClr w14:val="tx1"/>
                  </w14:solidFill>
                </w14:textFill>
              </w:rPr>
              <w:t>1996年10月，</w:t>
            </w:r>
            <w:r>
              <w:rPr>
                <w:color w:val="000000" w:themeColor="text1"/>
                <w:kern w:val="0"/>
                <w:szCs w:val="21"/>
                <w14:textFill>
                  <w14:solidFill>
                    <w14:schemeClr w14:val="tx1"/>
                  </w14:solidFill>
                </w14:textFill>
              </w:rPr>
              <w:t>建设初期取得原淄博市张店区环境保护局出具的环保意见《关于对口腔病医院迁建的环保意见》（1996年7月18日）</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项目开工</w:t>
            </w:r>
            <w:r>
              <w:rPr>
                <w:rFonts w:hint="eastAsia"/>
                <w:color w:val="000000" w:themeColor="text1"/>
                <w:kern w:val="0"/>
                <w:szCs w:val="21"/>
                <w14:textFill>
                  <w14:solidFill>
                    <w14:schemeClr w14:val="tx1"/>
                  </w14:solidFill>
                </w14:textFill>
              </w:rPr>
              <w:t>建设时，《中华人民共和国环境影响评价法》（2003年9月1日起施行）》尚未实施，因此</w:t>
            </w:r>
            <w:r>
              <w:rPr>
                <w:color w:val="000000" w:themeColor="text1"/>
                <w:kern w:val="0"/>
                <w:szCs w:val="21"/>
                <w14:textFill>
                  <w14:solidFill>
                    <w14:schemeClr w14:val="tx1"/>
                  </w14:solidFill>
                </w14:textFill>
              </w:rPr>
              <w:t>未编制环评文件</w:t>
            </w:r>
            <w:r>
              <w:rPr>
                <w:rFonts w:hint="eastAsia"/>
                <w:color w:val="000000" w:themeColor="text1"/>
                <w:kern w:val="0"/>
                <w:szCs w:val="21"/>
                <w14:textFill>
                  <w14:solidFill>
                    <w14:schemeClr w14:val="tx1"/>
                  </w14:solidFill>
                </w14:textFill>
              </w:rPr>
              <w:t>。根据《山东省人民政府关于印发山东省清理整顿环保违规建设项目工作方案的通知》（鲁政字[2015]170号），文件支出“通过淘汰一批、规范一批、完善一批，落实违规项目单位环境责任，规范市场竞争秩序，倒逼传统行业转型升级，努力实现环境保护与经济社会发展共赢”，本项目建成时间较早，已投产正常运营，项目符合产业政策要求且达到环境管理要求，属于“完善类”项目，应开展现状环境影响评估，提出整改和调整要求，依法完善环保手续。因此建设单位特委托我单位</w:t>
            </w:r>
            <w:r>
              <w:rPr>
                <w:color w:val="000000" w:themeColor="text1"/>
                <w:kern w:val="0"/>
                <w:szCs w:val="21"/>
                <w14:textFill>
                  <w14:solidFill>
                    <w14:schemeClr w14:val="tx1"/>
                  </w14:solidFill>
                </w14:textFill>
              </w:rPr>
              <w:t>对</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淄博市张店区第二人民医院（淄博口腔医院）项目</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进行环境影响评价。</w:t>
            </w:r>
          </w:p>
          <w:p>
            <w:pPr>
              <w:autoSpaceDE w:val="0"/>
              <w:autoSpaceDN w:val="0"/>
              <w:adjustRightInd w:val="0"/>
              <w:snapToGrid w:val="0"/>
              <w:spacing w:line="360" w:lineRule="auto"/>
              <w:ind w:firstLine="422" w:firstLineChars="20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2、项目概况</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项目名称：淄博市张店区第二人民医院（淄博口腔医院）项目</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建设单位：淄博市张店区第二人民医院（淄博口腔医院）</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建设性质：新建</w:t>
            </w:r>
            <w:r>
              <w:rPr>
                <w:rFonts w:hint="eastAsia"/>
                <w:color w:val="000000" w:themeColor="text1"/>
                <w:kern w:val="0"/>
                <w:szCs w:val="21"/>
                <w14:textFill>
                  <w14:solidFill>
                    <w14:schemeClr w14:val="tx1"/>
                  </w14:solidFill>
                </w14:textFill>
              </w:rPr>
              <w:t>（迁建）--已建成，于1996年10月投入运营</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项目地点：淄博市张店区新村西路188号，院区四周现状南侧为新村西路，东侧沿街商业建筑，西侧为沿街商业建筑，北侧为天府清华园。</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项目所在地理位置详见附图1。</w:t>
            </w:r>
          </w:p>
          <w:p>
            <w:pPr>
              <w:autoSpaceDE w:val="0"/>
              <w:autoSpaceDN w:val="0"/>
              <w:adjustRightInd w:val="0"/>
              <w:snapToGrid w:val="0"/>
              <w:spacing w:line="360" w:lineRule="auto"/>
              <w:ind w:firstLine="422" w:firstLineChars="20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3、建设内容</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本项目属于专科医院，院内主要构建筑物为</w:t>
            </w:r>
            <w:r>
              <w:rPr>
                <w:color w:val="000000" w:themeColor="text1"/>
                <w:kern w:val="0"/>
                <w:szCs w:val="21"/>
                <w14:textFill>
                  <w14:solidFill>
                    <w14:schemeClr w14:val="tx1"/>
                  </w14:solidFill>
                </w14:textFill>
              </w:rPr>
              <w:t>1栋</w:t>
            </w:r>
            <w:r>
              <w:rPr>
                <w:rFonts w:hint="eastAsia"/>
                <w:color w:val="000000" w:themeColor="text1"/>
                <w:kern w:val="0"/>
                <w:szCs w:val="21"/>
                <w14:textFill>
                  <w14:solidFill>
                    <w14:schemeClr w14:val="tx1"/>
                  </w14:solidFill>
                </w14:textFill>
              </w:rPr>
              <w:t>5</w:t>
            </w:r>
            <w:r>
              <w:rPr>
                <w:color w:val="000000" w:themeColor="text1"/>
                <w:kern w:val="0"/>
                <w:szCs w:val="21"/>
                <w14:textFill>
                  <w14:solidFill>
                    <w14:schemeClr w14:val="tx1"/>
                  </w14:solidFill>
                </w14:textFill>
              </w:rPr>
              <w:t>层病房综合楼</w:t>
            </w:r>
            <w:r>
              <w:rPr>
                <w:color w:val="000000" w:themeColor="text1"/>
                <w:kern w:val="0"/>
                <w:szCs w:val="21"/>
                <w14:textFill>
                  <w14:solidFill>
                    <w14:schemeClr w14:val="tx1"/>
                  </w14:solidFill>
                </w14:textFill>
              </w:rPr>
              <w:t>、1栋2层国医堂；诊疗科目主要有口腔种植科、口腔正畸科、牙体牙髓病科、儿童口腔科、牙周病科、口腔粘膜科、口腔颌面外科、口腔修复科、口腔综合特诊科、综合内科、外科、中医科、针灸理疗科、预防保健科、检验科、特检科、放射科、查体科、药剂科等个科室，共设置床位55张，牙椅40把，门诊人数约300人次/天。项目不开设传染病科，不设置动物及生物实验室、煎药室等，项目组成详见下表。</w:t>
            </w:r>
          </w:p>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表2-1  项目组成一览表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3"/>
              <w:gridCol w:w="508"/>
              <w:gridCol w:w="651"/>
              <w:gridCol w:w="5820"/>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30" w:type="pct"/>
                  <w:gridSpan w:val="3"/>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工程组成</w:t>
                  </w:r>
                </w:p>
              </w:tc>
              <w:tc>
                <w:tcPr>
                  <w:tcW w:w="346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工程内容</w:t>
                  </w:r>
                </w:p>
              </w:tc>
              <w:tc>
                <w:tcPr>
                  <w:tcW w:w="51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vMerge w:val="restar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主体工程</w:t>
                  </w:r>
                </w:p>
              </w:tc>
              <w:tc>
                <w:tcPr>
                  <w:tcW w:w="302" w:type="pct"/>
                  <w:vMerge w:val="restar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病房综合楼</w:t>
                  </w:r>
                </w:p>
              </w:tc>
              <w:tc>
                <w:tcPr>
                  <w:tcW w:w="387"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总体</w:t>
                  </w:r>
                </w:p>
              </w:tc>
              <w:tc>
                <w:tcPr>
                  <w:tcW w:w="346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建筑面积约5345m</w:t>
                  </w:r>
                  <w:r>
                    <w:rPr>
                      <w:color w:val="000000" w:themeColor="text1"/>
                      <w:sz w:val="18"/>
                      <w:szCs w:val="18"/>
                      <w:vertAlign w:val="superscript"/>
                      <w14:textFill>
                        <w14:solidFill>
                          <w14:schemeClr w14:val="tx1"/>
                        </w14:solidFill>
                      </w14:textFill>
                    </w:rPr>
                    <w:t>2</w:t>
                  </w:r>
                  <w:r>
                    <w:rPr>
                      <w:color w:val="000000" w:themeColor="text1"/>
                      <w:sz w:val="18"/>
                      <w:szCs w:val="18"/>
                      <w14:textFill>
                        <w14:solidFill>
                          <w14:schemeClr w14:val="tx1"/>
                        </w14:solidFill>
                      </w14:textFill>
                    </w:rPr>
                    <w:t>，6F，共病床55张，牙椅40把</w:t>
                  </w:r>
                </w:p>
              </w:tc>
              <w:tc>
                <w:tcPr>
                  <w:tcW w:w="51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302"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387"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一层</w:t>
                  </w:r>
                </w:p>
              </w:tc>
              <w:tc>
                <w:tcPr>
                  <w:tcW w:w="346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设置门诊室、诊室、药房、配药室、观察室、抢救室、放射科室、全身 CT室、值班室、输液大厅</w:t>
                  </w:r>
                </w:p>
              </w:tc>
              <w:tc>
                <w:tcPr>
                  <w:tcW w:w="51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302"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387"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二层</w:t>
                  </w:r>
                </w:p>
              </w:tc>
              <w:tc>
                <w:tcPr>
                  <w:tcW w:w="346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设置口腔特诊室、诊室、修复室、正畸室、抽血室、输血科、化验室、生化室、彩超室、心电室、牙体牙髓科、儿童口腔科</w:t>
                  </w:r>
                </w:p>
              </w:tc>
              <w:tc>
                <w:tcPr>
                  <w:tcW w:w="51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302"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387"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三层</w:t>
                  </w:r>
                </w:p>
              </w:tc>
              <w:tc>
                <w:tcPr>
                  <w:tcW w:w="346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设置手术室、诊室、清创室、种植中心、接待室、办公室；手术室主要进行口腔种植、口腔正畸、口腔修复等口腔类专科手术。</w:t>
                  </w:r>
                </w:p>
              </w:tc>
              <w:tc>
                <w:tcPr>
                  <w:tcW w:w="51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302"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387"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四层</w:t>
                  </w:r>
                </w:p>
              </w:tc>
              <w:tc>
                <w:tcPr>
                  <w:tcW w:w="346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设置病房，共43张病床</w:t>
                  </w:r>
                </w:p>
              </w:tc>
              <w:tc>
                <w:tcPr>
                  <w:tcW w:w="51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302"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387"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五层</w:t>
                  </w:r>
                </w:p>
              </w:tc>
              <w:tc>
                <w:tcPr>
                  <w:tcW w:w="346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设置病房（12张病床）、办公室、会议室、财务室</w:t>
                  </w:r>
                </w:p>
              </w:tc>
              <w:tc>
                <w:tcPr>
                  <w:tcW w:w="51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302"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387"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阁楼</w:t>
                  </w:r>
                </w:p>
              </w:tc>
              <w:tc>
                <w:tcPr>
                  <w:tcW w:w="346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设置会议室、图书室</w:t>
                  </w:r>
                </w:p>
              </w:tc>
              <w:tc>
                <w:tcPr>
                  <w:tcW w:w="51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689" w:type="pct"/>
                  <w:gridSpan w:val="2"/>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国医堂</w:t>
                  </w:r>
                </w:p>
              </w:tc>
              <w:tc>
                <w:tcPr>
                  <w:tcW w:w="346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建筑面积约300m</w:t>
                  </w:r>
                  <w:r>
                    <w:rPr>
                      <w:color w:val="000000" w:themeColor="text1"/>
                      <w:sz w:val="18"/>
                      <w:szCs w:val="18"/>
                      <w:vertAlign w:val="superscript"/>
                      <w14:textFill>
                        <w14:solidFill>
                          <w14:schemeClr w14:val="tx1"/>
                        </w14:solidFill>
                      </w14:textFill>
                    </w:rPr>
                    <w:t>2</w:t>
                  </w:r>
                  <w:r>
                    <w:rPr>
                      <w:color w:val="000000" w:themeColor="text1"/>
                      <w:sz w:val="18"/>
                      <w:szCs w:val="18"/>
                      <w14:textFill>
                        <w14:solidFill>
                          <w14:schemeClr w14:val="tx1"/>
                        </w14:solidFill>
                      </w14:textFill>
                    </w:rPr>
                    <w:t>，2F；主要进行中医疗法宣传与诊疗。</w:t>
                  </w:r>
                </w:p>
              </w:tc>
              <w:tc>
                <w:tcPr>
                  <w:tcW w:w="51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vMerge w:val="restar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辅助工程</w:t>
                  </w:r>
                </w:p>
              </w:tc>
              <w:tc>
                <w:tcPr>
                  <w:tcW w:w="689" w:type="pct"/>
                  <w:gridSpan w:val="2"/>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仓库</w:t>
                  </w:r>
                </w:p>
              </w:tc>
              <w:tc>
                <w:tcPr>
                  <w:tcW w:w="346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建筑面积约440m</w:t>
                  </w:r>
                  <w:r>
                    <w:rPr>
                      <w:color w:val="000000" w:themeColor="text1"/>
                      <w:sz w:val="18"/>
                      <w:szCs w:val="18"/>
                      <w:vertAlign w:val="superscript"/>
                      <w14:textFill>
                        <w14:solidFill>
                          <w14:schemeClr w14:val="tx1"/>
                        </w14:solidFill>
                      </w14:textFill>
                    </w:rPr>
                    <w:t>2</w:t>
                  </w:r>
                  <w:r>
                    <w:rPr>
                      <w:color w:val="000000" w:themeColor="text1"/>
                      <w:sz w:val="18"/>
                      <w:szCs w:val="18"/>
                      <w14:textFill>
                        <w14:solidFill>
                          <w14:schemeClr w14:val="tx1"/>
                        </w14:solidFill>
                      </w14:textFill>
                    </w:rPr>
                    <w:t>，2F，用于存放医疗用品</w:t>
                  </w:r>
                </w:p>
              </w:tc>
              <w:tc>
                <w:tcPr>
                  <w:tcW w:w="51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689" w:type="pct"/>
                  <w:gridSpan w:val="2"/>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洗衣房</w:t>
                  </w:r>
                </w:p>
              </w:tc>
              <w:tc>
                <w:tcPr>
                  <w:tcW w:w="346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建筑面积约15 m</w:t>
                  </w:r>
                  <w:r>
                    <w:rPr>
                      <w:color w:val="000000" w:themeColor="text1"/>
                      <w:sz w:val="18"/>
                      <w:szCs w:val="18"/>
                      <w:vertAlign w:val="superscript"/>
                      <w14:textFill>
                        <w14:solidFill>
                          <w14:schemeClr w14:val="tx1"/>
                        </w14:solidFill>
                      </w14:textFill>
                    </w:rPr>
                    <w:t>2</w:t>
                  </w:r>
                  <w:r>
                    <w:rPr>
                      <w:color w:val="000000" w:themeColor="text1"/>
                      <w:sz w:val="18"/>
                      <w:szCs w:val="18"/>
                      <w14:textFill>
                        <w14:solidFill>
                          <w14:schemeClr w14:val="tx1"/>
                        </w14:solidFill>
                      </w14:textFill>
                    </w:rPr>
                    <w:t>，1F，用于医护人员日常衣物清洗</w:t>
                  </w:r>
                </w:p>
              </w:tc>
              <w:tc>
                <w:tcPr>
                  <w:tcW w:w="51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689" w:type="pct"/>
                  <w:gridSpan w:val="2"/>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配电室</w:t>
                  </w:r>
                </w:p>
              </w:tc>
              <w:tc>
                <w:tcPr>
                  <w:tcW w:w="346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院区西北侧2层建筑的1层西侧，建筑面积约100m</w:t>
                  </w:r>
                  <w:r>
                    <w:rPr>
                      <w:color w:val="000000" w:themeColor="text1"/>
                      <w:sz w:val="18"/>
                      <w:szCs w:val="18"/>
                      <w:vertAlign w:val="superscript"/>
                      <w14:textFill>
                        <w14:solidFill>
                          <w14:schemeClr w14:val="tx1"/>
                        </w14:solidFill>
                      </w14:textFill>
                    </w:rPr>
                    <w:t>2</w:t>
                  </w:r>
                  <w:r>
                    <w:rPr>
                      <w:color w:val="000000" w:themeColor="text1"/>
                      <w:sz w:val="18"/>
                      <w:szCs w:val="18"/>
                      <w14:textFill>
                        <w14:solidFill>
                          <w14:schemeClr w14:val="tx1"/>
                        </w14:solidFill>
                      </w14:textFill>
                    </w:rPr>
                    <w:t xml:space="preserve"> </w:t>
                  </w:r>
                </w:p>
              </w:tc>
              <w:tc>
                <w:tcPr>
                  <w:tcW w:w="51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689" w:type="pct"/>
                  <w:gridSpan w:val="2"/>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杂物仓库</w:t>
                  </w:r>
                </w:p>
              </w:tc>
              <w:tc>
                <w:tcPr>
                  <w:tcW w:w="346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院区西北侧2层建筑的2层，建筑面积约120m</w:t>
                  </w:r>
                  <w:r>
                    <w:rPr>
                      <w:color w:val="000000" w:themeColor="text1"/>
                      <w:sz w:val="18"/>
                      <w:szCs w:val="18"/>
                      <w:vertAlign w:val="superscript"/>
                      <w14:textFill>
                        <w14:solidFill>
                          <w14:schemeClr w14:val="tx1"/>
                        </w14:solidFill>
                      </w14:textFill>
                    </w:rPr>
                    <w:t>2</w:t>
                  </w:r>
                  <w:r>
                    <w:rPr>
                      <w:color w:val="000000" w:themeColor="text1"/>
                      <w:sz w:val="18"/>
                      <w:szCs w:val="18"/>
                      <w14:textFill>
                        <w14:solidFill>
                          <w14:schemeClr w14:val="tx1"/>
                        </w14:solidFill>
                      </w14:textFill>
                    </w:rPr>
                    <w:t>，存放杂物</w:t>
                  </w:r>
                </w:p>
              </w:tc>
              <w:tc>
                <w:tcPr>
                  <w:tcW w:w="51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vMerge w:val="restar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公用工程</w:t>
                  </w:r>
                </w:p>
              </w:tc>
              <w:tc>
                <w:tcPr>
                  <w:tcW w:w="689" w:type="pct"/>
                  <w:gridSpan w:val="2"/>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供水</w:t>
                  </w:r>
                </w:p>
              </w:tc>
              <w:tc>
                <w:tcPr>
                  <w:tcW w:w="346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新鲜水由张店区市政自来水管网提供</w:t>
                  </w:r>
                </w:p>
                <w:p>
                  <w:pP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纯水外购</w:t>
                  </w:r>
                </w:p>
              </w:tc>
              <w:tc>
                <w:tcPr>
                  <w:tcW w:w="51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689" w:type="pct"/>
                  <w:gridSpan w:val="2"/>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供电</w:t>
                  </w:r>
                </w:p>
              </w:tc>
              <w:tc>
                <w:tcPr>
                  <w:tcW w:w="346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由张店区供电电网供给</w:t>
                  </w:r>
                </w:p>
              </w:tc>
              <w:tc>
                <w:tcPr>
                  <w:tcW w:w="51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689" w:type="pct"/>
                  <w:gridSpan w:val="2"/>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供热</w:t>
                  </w:r>
                </w:p>
              </w:tc>
              <w:tc>
                <w:tcPr>
                  <w:tcW w:w="3460" w:type="pct"/>
                  <w:vMerge w:val="restart"/>
                  <w:tcMar>
                    <w:top w:w="0" w:type="dxa"/>
                    <w:left w:w="28" w:type="dxa"/>
                    <w:bottom w:w="0" w:type="dxa"/>
                    <w:right w:w="28" w:type="dxa"/>
                  </w:tcMar>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制热、制冷采用室内单体空调</w:t>
                  </w:r>
                </w:p>
              </w:tc>
              <w:tc>
                <w:tcPr>
                  <w:tcW w:w="510" w:type="pct"/>
                  <w:vMerge w:val="restar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689" w:type="pct"/>
                  <w:gridSpan w:val="2"/>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制冷</w:t>
                  </w:r>
                </w:p>
              </w:tc>
              <w:tc>
                <w:tcPr>
                  <w:tcW w:w="3460"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p>
              </w:tc>
              <w:tc>
                <w:tcPr>
                  <w:tcW w:w="510"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vMerge w:val="restar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环保工程</w:t>
                  </w:r>
                </w:p>
              </w:tc>
              <w:tc>
                <w:tcPr>
                  <w:tcW w:w="689" w:type="pct"/>
                  <w:gridSpan w:val="2"/>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废水</w:t>
                  </w:r>
                </w:p>
              </w:tc>
              <w:tc>
                <w:tcPr>
                  <w:tcW w:w="346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项目医疗废水（门诊、病房、牙椅）、洗衣房废水、生活污水经污水处理站（设计处理能力：30m</w:t>
                  </w:r>
                  <w:r>
                    <w:rPr>
                      <w:color w:val="000000" w:themeColor="text1"/>
                      <w:sz w:val="18"/>
                      <w:szCs w:val="18"/>
                      <w:vertAlign w:val="superscript"/>
                      <w14:textFill>
                        <w14:solidFill>
                          <w14:schemeClr w14:val="tx1"/>
                        </w14:solidFill>
                      </w14:textFill>
                    </w:rPr>
                    <w:t>3</w:t>
                  </w:r>
                  <w:r>
                    <w:rPr>
                      <w:color w:val="000000" w:themeColor="text1"/>
                      <w:sz w:val="18"/>
                      <w:szCs w:val="18"/>
                      <w14:textFill>
                        <w14:solidFill>
                          <w14:schemeClr w14:val="tx1"/>
                        </w14:solidFill>
                      </w14:textFill>
                    </w:rPr>
                    <w:t>/d</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 xml:space="preserve">；污水处理工艺：格栅+调节池+水解酸化池+接触氧化池+沉淀池+消毒池）处理达标后排入市政污水管网，经管网排入光大水务（淄博）有限公司三分厂 </w:t>
                  </w:r>
                </w:p>
              </w:tc>
              <w:tc>
                <w:tcPr>
                  <w:tcW w:w="51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689" w:type="pct"/>
                  <w:gridSpan w:val="2"/>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废气</w:t>
                  </w:r>
                </w:p>
              </w:tc>
              <w:tc>
                <w:tcPr>
                  <w:tcW w:w="346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项目污水处理站为地下密闭设计，恶臭产生量较少，污水站恶臭气体无组织排放</w:t>
                  </w:r>
                </w:p>
              </w:tc>
              <w:tc>
                <w:tcPr>
                  <w:tcW w:w="51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689" w:type="pct"/>
                  <w:gridSpan w:val="2"/>
                  <w:vMerge w:val="restar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固体废物</w:t>
                  </w:r>
                </w:p>
              </w:tc>
              <w:tc>
                <w:tcPr>
                  <w:tcW w:w="346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废包装材料（外包装）集中收集外售综合利用；</w:t>
                  </w:r>
                </w:p>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医疗废物、污水站栅渣及污泥委托有资质单位处置；</w:t>
                  </w:r>
                </w:p>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生活垃圾由环卫部门定期清运。</w:t>
                  </w:r>
                </w:p>
              </w:tc>
              <w:tc>
                <w:tcPr>
                  <w:tcW w:w="51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689" w:type="pct"/>
                  <w:gridSpan w:val="2"/>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346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一般固废间：院区西北侧2层建筑的1层东侧，建筑面积约20m</w:t>
                  </w:r>
                  <w:r>
                    <w:rPr>
                      <w:color w:val="000000" w:themeColor="text1"/>
                      <w:sz w:val="18"/>
                      <w:szCs w:val="18"/>
                      <w:vertAlign w:val="superscript"/>
                      <w14:textFill>
                        <w14:solidFill>
                          <w14:schemeClr w14:val="tx1"/>
                        </w14:solidFill>
                      </w14:textFill>
                    </w:rPr>
                    <w:t>2</w:t>
                  </w:r>
                  <w:r>
                    <w:rPr>
                      <w:color w:val="000000" w:themeColor="text1"/>
                      <w:sz w:val="18"/>
                      <w:szCs w:val="18"/>
                      <w14:textFill>
                        <w14:solidFill>
                          <w14:schemeClr w14:val="tx1"/>
                        </w14:solidFill>
                      </w14:textFill>
                    </w:rPr>
                    <w:t>，用于一般固体废物贮存</w:t>
                  </w:r>
                </w:p>
              </w:tc>
              <w:tc>
                <w:tcPr>
                  <w:tcW w:w="51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689" w:type="pct"/>
                  <w:gridSpan w:val="2"/>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346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危废间：建筑面积约40 m</w:t>
                  </w:r>
                  <w:r>
                    <w:rPr>
                      <w:color w:val="000000" w:themeColor="text1"/>
                      <w:sz w:val="18"/>
                      <w:szCs w:val="18"/>
                      <w:vertAlign w:val="superscript"/>
                      <w14:textFill>
                        <w14:solidFill>
                          <w14:schemeClr w14:val="tx1"/>
                        </w14:solidFill>
                      </w14:textFill>
                    </w:rPr>
                    <w:t>2</w:t>
                  </w:r>
                  <w:r>
                    <w:rPr>
                      <w:color w:val="000000" w:themeColor="text1"/>
                      <w:sz w:val="18"/>
                      <w:szCs w:val="18"/>
                      <w14:textFill>
                        <w14:solidFill>
                          <w14:schemeClr w14:val="tx1"/>
                        </w14:solidFill>
                      </w14:textFill>
                    </w:rPr>
                    <w:t>，1F，用于危险废物贮存</w:t>
                  </w:r>
                </w:p>
              </w:tc>
              <w:tc>
                <w:tcPr>
                  <w:tcW w:w="51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已建成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41" w:type="pct"/>
                  <w:vMerge w:val="continue"/>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689" w:type="pct"/>
                  <w:gridSpan w:val="2"/>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噪声</w:t>
                  </w:r>
                </w:p>
              </w:tc>
              <w:tc>
                <w:tcPr>
                  <w:tcW w:w="346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合理布置噪声源位置，噪声设备合理布置，采取基础减振、隔声等常见降噪措施</w:t>
                  </w:r>
                </w:p>
              </w:tc>
              <w:tc>
                <w:tcPr>
                  <w:tcW w:w="510"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已建成</w:t>
                  </w:r>
                </w:p>
              </w:tc>
            </w:tr>
          </w:tbl>
          <w:p>
            <w:pPr>
              <w:autoSpaceDE w:val="0"/>
              <w:autoSpaceDN w:val="0"/>
              <w:adjustRightInd w:val="0"/>
              <w:snapToGrid w:val="0"/>
              <w:spacing w:line="360" w:lineRule="auto"/>
              <w:ind w:firstLine="422" w:firstLineChars="20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4、规模</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本项目为专科医院，设置床位55张，牙椅40把，门诊人数约300人次/天。</w:t>
            </w:r>
          </w:p>
          <w:p>
            <w:pPr>
              <w:autoSpaceDE w:val="0"/>
              <w:autoSpaceDN w:val="0"/>
              <w:adjustRightInd w:val="0"/>
              <w:snapToGrid w:val="0"/>
              <w:spacing w:line="360" w:lineRule="auto"/>
              <w:ind w:firstLine="422" w:firstLineChars="20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5、工作制度及劳动定员</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项目职工定员156人，三班工作，每班8小时，年工作日365天。</w:t>
            </w:r>
          </w:p>
          <w:p>
            <w:pPr>
              <w:autoSpaceDE w:val="0"/>
              <w:autoSpaceDN w:val="0"/>
              <w:adjustRightInd w:val="0"/>
              <w:snapToGrid w:val="0"/>
              <w:spacing w:line="360" w:lineRule="auto"/>
              <w:ind w:firstLine="422" w:firstLineChars="20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6、原辅材料及能源消耗</w:t>
            </w:r>
          </w:p>
          <w:p>
            <w:pPr>
              <w:autoSpaceDE w:val="0"/>
              <w:autoSpaceDN w:val="0"/>
              <w:adjustRightInd w:val="0"/>
              <w:snapToGrid w:val="0"/>
              <w:spacing w:line="360" w:lineRule="auto"/>
              <w:ind w:firstLine="420" w:firstLineChars="200"/>
              <w:rPr>
                <w:color w:val="000000" w:themeColor="text1"/>
                <w:kern w:val="0"/>
                <w:szCs w:val="21"/>
                <w14:textFill>
                  <w14:solidFill>
                    <w14:schemeClr w14:val="tx1"/>
                  </w14:solidFill>
                </w14:textFill>
              </w:rPr>
            </w:pPr>
            <w:r>
              <w:rPr>
                <w:color w:val="000000" w:themeColor="text1"/>
                <w14:textFill>
                  <w14:solidFill>
                    <w14:schemeClr w14:val="tx1"/>
                  </w14:solidFill>
                </w14:textFill>
              </w:rPr>
              <w:t>项目所需主要原辅材料为治疗过程所需物品，</w:t>
            </w:r>
            <w:r>
              <w:rPr>
                <w:color w:val="000000" w:themeColor="text1"/>
                <w:kern w:val="0"/>
                <w:szCs w:val="21"/>
                <w14:textFill>
                  <w14:solidFill>
                    <w14:schemeClr w14:val="tx1"/>
                  </w14:solidFill>
                </w14:textFill>
              </w:rPr>
              <w:t>项目原料及能耗消耗量见下表。</w:t>
            </w:r>
          </w:p>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 xml:space="preserve">表2-2  </w:t>
            </w:r>
            <w:bookmarkStart w:id="2" w:name="_Hlk3319122"/>
            <w:r>
              <w:rPr>
                <w:b/>
                <w:bCs/>
                <w:color w:val="000000" w:themeColor="text1"/>
                <w:kern w:val="0"/>
                <w:szCs w:val="21"/>
                <w14:textFill>
                  <w14:solidFill>
                    <w14:schemeClr w14:val="tx1"/>
                  </w14:solidFill>
                </w14:textFill>
              </w:rPr>
              <w:t>项目主要原辅材料及</w:t>
            </w:r>
            <w:bookmarkEnd w:id="2"/>
            <w:r>
              <w:rPr>
                <w:b/>
                <w:bCs/>
                <w:color w:val="000000" w:themeColor="text1"/>
                <w:kern w:val="0"/>
                <w:szCs w:val="21"/>
                <w14:textFill>
                  <w14:solidFill>
                    <w14:schemeClr w14:val="tx1"/>
                  </w14:solidFill>
                </w14:textFill>
              </w:rPr>
              <w:t>能源消耗一览表</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0"/>
              <w:gridCol w:w="2245"/>
              <w:gridCol w:w="1283"/>
              <w:gridCol w:w="1483"/>
              <w:gridCol w:w="2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序号</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原材料名称</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物理状态</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年消耗量</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75%酒精</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液体</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5600瓶/500mL</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生理盐水</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液体</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7000袋</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84消毒液</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液体</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1100瓶/400mL</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医用氧</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气体</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80瓶/40L</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一次性医疗器械</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30万支</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（包括注射器、采血器、口镜、口腔器械盒、无菌手术包、牙科注射针、吸引管、口腔印模托盘、洞巾、缝合包、麻醉导管、输液器、采血针、吸唾管、等）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医用外科口罩</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8万只</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检查手套</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8万付</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医用帽</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8万个</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抛光针</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3500个</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无菌手术刀片</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1800片</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游离牵引钩</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600包</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种植体系统</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600盒</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网状牙托</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400付</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根管锉</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300盒</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牙科石膏</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250袋/1kg</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吸收性明胶海绵</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600包</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17</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正畸橡皮圈</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200包</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18</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伢典龋齿微创袪腐凝胶</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200盒/0.3g</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19</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齿科藻酸盐印模材料</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400桶/1kg</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流动树脂</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200支/2g</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暂时填充材料</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300盒/15g</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骨填充材料</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500盒/0.25g</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23</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玻璃离子水门汀(富士IX)</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100盒/15g</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24</w:t>
                  </w:r>
                </w:p>
              </w:tc>
              <w:tc>
                <w:tcPr>
                  <w:tcW w:w="1335" w:type="pct"/>
                  <w:tcMar>
                    <w:top w:w="0" w:type="dxa"/>
                    <w:left w:w="57" w:type="dxa"/>
                    <w:bottom w:w="0" w:type="dxa"/>
                    <w:right w:w="57" w:type="dxa"/>
                  </w:tcMa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TPC口腔涂药棒</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100包/100支</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1335" w:type="pct"/>
                  <w:tcMar>
                    <w:top w:w="0" w:type="dxa"/>
                    <w:left w:w="57" w:type="dxa"/>
                    <w:bottom w:w="0" w:type="dxa"/>
                    <w:right w:w="57" w:type="dxa"/>
                  </w:tcMa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无砷失活抑菌材料</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100支/1g</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26</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根管充填修复材料</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100支/0.5g</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27</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金属网底托槽</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100套</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光固化复合树脂</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200盒/4g</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29</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350树脂</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50盒/4g</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根管清洁糊剂</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100支/5mL</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31</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DMG轻体</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100支/50mL</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医用超声耦合剂</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50瓶/250mL</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33</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牙齿抛光膏</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100桶/36g</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34</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硅橡胶印模材料</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20盒/100mL</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35</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口腔治疗盘 </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61000个</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36</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膜片</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150包</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37</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棉签</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20000包</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38</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纱布</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5000块</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39</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除臭剂</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0.05t</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消毒粉</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0.15t</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41</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纯水</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1460</w:t>
                  </w:r>
                  <w:r>
                    <w:rPr>
                      <w:color w:val="000000" w:themeColor="text1"/>
                      <w:sz w:val="18"/>
                      <w:szCs w:val="18"/>
                      <w14:textFill>
                        <w14:solidFill>
                          <w14:schemeClr w14:val="tx1"/>
                        </w14:solidFill>
                      </w14:textFill>
                    </w:rPr>
                    <w:t xml:space="preserve"> m</w:t>
                  </w:r>
                  <w:r>
                    <w:rPr>
                      <w:color w:val="000000" w:themeColor="text1"/>
                      <w:sz w:val="18"/>
                      <w:szCs w:val="18"/>
                      <w:vertAlign w:val="superscript"/>
                      <w14:textFill>
                        <w14:solidFill>
                          <w14:schemeClr w14:val="tx1"/>
                        </w14:solidFill>
                      </w14:textFill>
                    </w:rPr>
                    <w:t>3</w:t>
                  </w:r>
                  <w:r>
                    <w:rPr>
                      <w:color w:val="000000" w:themeColor="text1"/>
                      <w:sz w:val="18"/>
                      <w:szCs w:val="18"/>
                      <w14:textFill>
                        <w14:solidFill>
                          <w14:schemeClr w14:val="tx1"/>
                        </w14:solidFill>
                      </w14:textFill>
                    </w:rPr>
                    <w:t>/a</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hint="eastAsia"/>
                      <w:color w:val="000000" w:themeColor="text1"/>
                      <w:sz w:val="18"/>
                      <w:szCs w:val="18"/>
                      <w14:textFill>
                        <w14:solidFill>
                          <w14:schemeClr w14:val="tx1"/>
                        </w14:solidFill>
                      </w14:textFill>
                    </w:rPr>
                    <w:t>2</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电</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10万kWh/a</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张店区供电电网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1"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r>
                    <w:rPr>
                      <w:rFonts w:hint="eastAsia"/>
                      <w:color w:val="000000" w:themeColor="text1"/>
                      <w:sz w:val="18"/>
                      <w:szCs w:val="18"/>
                      <w14:textFill>
                        <w14:solidFill>
                          <w14:schemeClr w14:val="tx1"/>
                        </w14:solidFill>
                      </w14:textFill>
                    </w:rPr>
                    <w:t>3</w:t>
                  </w:r>
                </w:p>
              </w:tc>
              <w:tc>
                <w:tcPr>
                  <w:tcW w:w="1335"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水</w:t>
                  </w:r>
                </w:p>
              </w:tc>
              <w:tc>
                <w:tcPr>
                  <w:tcW w:w="763"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82"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8261.75</w:t>
                  </w:r>
                  <w:r>
                    <w:rPr>
                      <w:color w:val="000000" w:themeColor="text1"/>
                      <w:sz w:val="18"/>
                      <w:szCs w:val="18"/>
                      <w14:textFill>
                        <w14:solidFill>
                          <w14:schemeClr w14:val="tx1"/>
                        </w14:solidFill>
                      </w14:textFill>
                    </w:rPr>
                    <w:t>m</w:t>
                  </w:r>
                  <w:r>
                    <w:rPr>
                      <w:color w:val="000000" w:themeColor="text1"/>
                      <w:sz w:val="18"/>
                      <w:szCs w:val="18"/>
                      <w:vertAlign w:val="superscript"/>
                      <w14:textFill>
                        <w14:solidFill>
                          <w14:schemeClr w14:val="tx1"/>
                        </w14:solidFill>
                      </w14:textFill>
                    </w:rPr>
                    <w:t>3</w:t>
                  </w:r>
                  <w:r>
                    <w:rPr>
                      <w:color w:val="000000" w:themeColor="text1"/>
                      <w:sz w:val="18"/>
                      <w:szCs w:val="18"/>
                      <w14:textFill>
                        <w14:solidFill>
                          <w14:schemeClr w14:val="tx1"/>
                        </w14:solidFill>
                      </w14:textFill>
                    </w:rPr>
                    <w:t>/a</w:t>
                  </w:r>
                </w:p>
              </w:tc>
              <w:tc>
                <w:tcPr>
                  <w:tcW w:w="1669" w:type="pct"/>
                  <w:tcMar>
                    <w:top w:w="0" w:type="dxa"/>
                    <w:left w:w="57" w:type="dxa"/>
                    <w:bottom w:w="0" w:type="dxa"/>
                    <w:right w:w="57"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张店区市政自来水管网</w:t>
                  </w:r>
                </w:p>
              </w:tc>
            </w:tr>
          </w:tbl>
          <w:p>
            <w:pPr>
              <w:autoSpaceDE w:val="0"/>
              <w:autoSpaceDN w:val="0"/>
              <w:adjustRightInd w:val="0"/>
              <w:snapToGrid w:val="0"/>
              <w:spacing w:line="360" w:lineRule="auto"/>
              <w:jc w:val="left"/>
              <w:rPr>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84消毒液：</w:t>
            </w:r>
            <w:r>
              <w:rPr>
                <w:color w:val="000000" w:themeColor="text1"/>
                <w:kern w:val="0"/>
                <w:szCs w:val="21"/>
                <w14:textFill>
                  <w14:solidFill>
                    <w14:schemeClr w14:val="tx1"/>
                  </w14:solidFill>
                </w14:textFill>
              </w:rPr>
              <w:t>84消毒液是一种以次氯酸钠为主要成分的含氯消毒剂，主要用于物体表面和环境等的消毒。次氯酸钠具有强氧化性，可水解生成具有强氧化性的次氯酸，能够将具有还原性的物质氧化，使微生物最终丧失机能，无法繁殖或感染。84消毒液为无色或淡黄色液体，且具有刺激性气味，有效氯含量5.5%～6.5%，现被广泛用于宾馆、旅游、医院、食品加工行业、家庭等的卫生消毒。</w:t>
            </w:r>
          </w:p>
          <w:p>
            <w:pPr>
              <w:autoSpaceDE w:val="0"/>
              <w:autoSpaceDN w:val="0"/>
              <w:adjustRightInd w:val="0"/>
              <w:snapToGrid w:val="0"/>
              <w:spacing w:line="360" w:lineRule="auto"/>
              <w:jc w:val="left"/>
              <w:rPr>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酒精：</w:t>
            </w:r>
            <w:r>
              <w:rPr>
                <w:color w:val="000000" w:themeColor="text1"/>
                <w:kern w:val="0"/>
                <w:szCs w:val="21"/>
                <w14:textFill>
                  <w14:solidFill>
                    <w14:schemeClr w14:val="tx1"/>
                  </w14:solidFill>
                </w14:textFill>
              </w:rPr>
              <w:t>乙醇是一种有机化合物，结构简式为CH</w:t>
            </w:r>
            <w:r>
              <w:rPr>
                <w:color w:val="000000" w:themeColor="text1"/>
                <w:kern w:val="0"/>
                <w:szCs w:val="21"/>
                <w:vertAlign w:val="subscript"/>
                <w14:textFill>
                  <w14:solidFill>
                    <w14:schemeClr w14:val="tx1"/>
                  </w14:solidFill>
                </w14:textFill>
              </w:rPr>
              <w:t>3</w:t>
            </w:r>
            <w:r>
              <w:rPr>
                <w:color w:val="000000" w:themeColor="text1"/>
                <w:kern w:val="0"/>
                <w:szCs w:val="21"/>
                <w14:textFill>
                  <w14:solidFill>
                    <w14:schemeClr w14:val="tx1"/>
                  </w14:solidFill>
                </w14:textFill>
              </w:rPr>
              <w:t>CH</w:t>
            </w:r>
            <w:r>
              <w:rPr>
                <w:color w:val="000000" w:themeColor="text1"/>
                <w:kern w:val="0"/>
                <w:szCs w:val="21"/>
                <w:vertAlign w:val="subscript"/>
                <w14:textFill>
                  <w14:solidFill>
                    <w14:schemeClr w14:val="tx1"/>
                  </w14:solidFill>
                </w14:textFill>
              </w:rPr>
              <w:t>2</w:t>
            </w:r>
            <w:r>
              <w:rPr>
                <w:color w:val="000000" w:themeColor="text1"/>
                <w:kern w:val="0"/>
                <w:szCs w:val="21"/>
                <w14:textFill>
                  <w14:solidFill>
                    <w14:schemeClr w14:val="tx1"/>
                  </w14:solidFill>
                </w14:textFill>
              </w:rPr>
              <w:t>OH，俗称酒精。分子量46.07，熔点-114.1℃，沸点78.3℃，密度0.79g/cm³(20℃)，闪点14.0℃(闭杯)，蒸气压5.333kPa(19℃)，爆炸极限3.3%-19%。乙醇在常温常压下是一种易挥发的无色透明液体，有芳香气味。与水混溶，可混溶于乙醚、氯仿、甘油、甲醇等多数有机溶剂。乙醇可用于制造醋酸、饮料、香精、染料、燃料等，医疗上常用体积分数为70%~75%的乙醇作消毒剂。乙醇在化学工业、医疗卫生、食品工业、农业生产等领域都有广泛的用途。</w:t>
            </w:r>
          </w:p>
          <w:p>
            <w:pPr>
              <w:autoSpaceDE w:val="0"/>
              <w:autoSpaceDN w:val="0"/>
              <w:adjustRightInd w:val="0"/>
              <w:snapToGrid w:val="0"/>
              <w:spacing w:line="360" w:lineRule="auto"/>
              <w:rPr>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消毒粉：</w:t>
            </w:r>
            <w:r>
              <w:rPr>
                <w:color w:val="000000" w:themeColor="text1"/>
                <w:kern w:val="0"/>
                <w:szCs w:val="21"/>
                <w14:textFill>
                  <w14:solidFill>
                    <w14:schemeClr w14:val="tx1"/>
                  </w14:solidFill>
                </w14:textFill>
              </w:rPr>
              <w:t>消毒粉是一种活性氧消毒剂，其主要成分是单过硫酸氢钾复合粉，它是由单过硫酸氢钾与硫酸氢钾、硫酸钾结合成的复合盐，白色粉末状固体 无刺激性气体气味，易溶于水，强氧化性过氧化物，细胞壁、细胞质、细胞核三重破坏杀灭作用；有效活性成分浓度达7.0%~9.0%，与水体接触二十分钟就能有效杀菌，为非氯消毒消毒剂，通过活性新生态氧消毒最终代谢产物为对人体及环境无害的无机盐类，不产生三氯甲烷及其它有机卤代物，环保健康。</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项目使用消毒药剂明细如下表所示：</w:t>
            </w:r>
          </w:p>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表2-</w:t>
            </w:r>
            <w:r>
              <w:rPr>
                <w:rFonts w:hint="eastAsia"/>
                <w:b/>
                <w:bCs/>
                <w:color w:val="000000" w:themeColor="text1"/>
                <w:kern w:val="0"/>
                <w:szCs w:val="21"/>
                <w14:textFill>
                  <w14:solidFill>
                    <w14:schemeClr w14:val="tx1"/>
                  </w14:solidFill>
                </w14:textFill>
              </w:rPr>
              <w:t>3</w:t>
            </w:r>
            <w:r>
              <w:rPr>
                <w:b/>
                <w:bCs/>
                <w:color w:val="000000" w:themeColor="text1"/>
                <w:kern w:val="0"/>
                <w:szCs w:val="21"/>
                <w14:textFill>
                  <w14:solidFill>
                    <w14:schemeClr w14:val="tx1"/>
                  </w14:solidFill>
                </w14:textFill>
              </w:rPr>
              <w:t xml:space="preserve">  项目使用消毒剂明细</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4"/>
              <w:gridCol w:w="2082"/>
              <w:gridCol w:w="2350"/>
              <w:gridCol w:w="1224"/>
              <w:gridCol w:w="1145"/>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6"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序号</w:t>
                  </w:r>
                </w:p>
              </w:tc>
              <w:tc>
                <w:tcPr>
                  <w:tcW w:w="1238"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名称</w:t>
                  </w:r>
                </w:p>
              </w:tc>
              <w:tc>
                <w:tcPr>
                  <w:tcW w:w="1397"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类别及使用场所</w:t>
                  </w:r>
                </w:p>
              </w:tc>
              <w:tc>
                <w:tcPr>
                  <w:tcW w:w="728"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规格</w:t>
                  </w:r>
                </w:p>
              </w:tc>
              <w:tc>
                <w:tcPr>
                  <w:tcW w:w="681"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年消耗量</w:t>
                  </w:r>
                </w:p>
              </w:tc>
              <w:tc>
                <w:tcPr>
                  <w:tcW w:w="680"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最大</w:t>
                  </w:r>
                  <w:r>
                    <w:rPr>
                      <w:color w:val="000000" w:themeColor="text1"/>
                      <w:sz w:val="18"/>
                      <w:szCs w:val="18"/>
                      <w14:textFill>
                        <w14:solidFill>
                          <w14:schemeClr w14:val="tx1"/>
                        </w14:solidFill>
                      </w14:textFill>
                    </w:rPr>
                    <w:t>存储量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6"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238"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75%酒精</w:t>
                  </w:r>
                </w:p>
              </w:tc>
              <w:tc>
                <w:tcPr>
                  <w:tcW w:w="1397"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医疗消毒</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医院场所消毒</w:t>
                  </w:r>
                </w:p>
              </w:tc>
              <w:tc>
                <w:tcPr>
                  <w:tcW w:w="728"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500mL/瓶</w:t>
                  </w:r>
                </w:p>
              </w:tc>
              <w:tc>
                <w:tcPr>
                  <w:tcW w:w="681"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5600瓶</w:t>
                  </w:r>
                </w:p>
              </w:tc>
              <w:tc>
                <w:tcPr>
                  <w:tcW w:w="680"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500瓶</w:t>
                  </w:r>
                </w:p>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（约0.2t）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6"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238"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84消毒液</w:t>
                  </w:r>
                </w:p>
              </w:tc>
              <w:tc>
                <w:tcPr>
                  <w:tcW w:w="1397"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医院场所消毒</w:t>
                  </w:r>
                </w:p>
              </w:tc>
              <w:tc>
                <w:tcPr>
                  <w:tcW w:w="728"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r>
                    <w:rPr>
                      <w:color w:val="000000" w:themeColor="text1"/>
                      <w:sz w:val="18"/>
                      <w:szCs w:val="18"/>
                      <w14:textFill>
                        <w14:solidFill>
                          <w14:schemeClr w14:val="tx1"/>
                        </w14:solidFill>
                      </w14:textFill>
                    </w:rPr>
                    <w:t>00mL/瓶</w:t>
                  </w:r>
                </w:p>
              </w:tc>
              <w:tc>
                <w:tcPr>
                  <w:tcW w:w="681"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1100瓶</w:t>
                  </w:r>
                </w:p>
              </w:tc>
              <w:tc>
                <w:tcPr>
                  <w:tcW w:w="680"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100瓶</w:t>
                  </w:r>
                </w:p>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（约0.04t）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76"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238"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消毒粉</w:t>
                  </w:r>
                </w:p>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（单过硫酸氢钾复合粉）</w:t>
                  </w:r>
                </w:p>
              </w:tc>
              <w:tc>
                <w:tcPr>
                  <w:tcW w:w="1397"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污水处理排放口</w:t>
                  </w:r>
                  <w:r>
                    <w:rPr>
                      <w:color w:val="000000" w:themeColor="text1"/>
                      <w:sz w:val="18"/>
                      <w:szCs w:val="18"/>
                      <w14:textFill>
                        <w14:solidFill>
                          <w14:schemeClr w14:val="tx1"/>
                        </w14:solidFill>
                      </w14:textFill>
                    </w:rPr>
                    <w:t>消毒</w:t>
                  </w:r>
                </w:p>
              </w:tc>
              <w:tc>
                <w:tcPr>
                  <w:tcW w:w="728"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r>
                    <w:rPr>
                      <w:rFonts w:hint="eastAsia"/>
                      <w:color w:val="000000" w:themeColor="text1"/>
                      <w:sz w:val="18"/>
                      <w:szCs w:val="18"/>
                      <w14:textFill>
                        <w14:solidFill>
                          <w14:schemeClr w14:val="tx1"/>
                        </w14:solidFill>
                      </w14:textFill>
                    </w:rPr>
                    <w:t>0kg/袋</w:t>
                  </w:r>
                </w:p>
              </w:tc>
              <w:tc>
                <w:tcPr>
                  <w:tcW w:w="681"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0.15t</w:t>
                  </w:r>
                </w:p>
              </w:tc>
              <w:tc>
                <w:tcPr>
                  <w:tcW w:w="680"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0.03t</w:t>
                  </w:r>
                </w:p>
              </w:tc>
            </w:tr>
          </w:tbl>
          <w:p>
            <w:pPr>
              <w:autoSpaceDE w:val="0"/>
              <w:autoSpaceDN w:val="0"/>
              <w:adjustRightInd w:val="0"/>
              <w:snapToGrid w:val="0"/>
              <w:spacing w:line="360" w:lineRule="auto"/>
              <w:ind w:firstLine="422" w:firstLineChars="20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7、主要设备</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14:textFill>
                  <w14:solidFill>
                    <w14:schemeClr w14:val="tx1"/>
                  </w14:solidFill>
                </w14:textFill>
              </w:rPr>
              <w:t>项目主要医疗设备情况</w:t>
            </w:r>
            <w:r>
              <w:rPr>
                <w:color w:val="000000" w:themeColor="text1"/>
                <w:kern w:val="0"/>
                <w:szCs w:val="21"/>
                <w14:textFill>
                  <w14:solidFill>
                    <w14:schemeClr w14:val="tx1"/>
                  </w14:solidFill>
                </w14:textFill>
              </w:rPr>
              <w:t>见下表。</w:t>
            </w:r>
          </w:p>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表2-</w:t>
            </w:r>
            <w:r>
              <w:rPr>
                <w:rFonts w:hint="eastAsia"/>
                <w:b/>
                <w:bCs/>
                <w:color w:val="000000" w:themeColor="text1"/>
                <w:kern w:val="0"/>
                <w:szCs w:val="21"/>
                <w14:textFill>
                  <w14:solidFill>
                    <w14:schemeClr w14:val="tx1"/>
                  </w14:solidFill>
                </w14:textFill>
              </w:rPr>
              <w:t>4</w:t>
            </w:r>
            <w:r>
              <w:rPr>
                <w:b/>
                <w:bCs/>
                <w:color w:val="000000" w:themeColor="text1"/>
                <w:kern w:val="0"/>
                <w:szCs w:val="21"/>
                <w14:textFill>
                  <w14:solidFill>
                    <w14:schemeClr w14:val="tx1"/>
                  </w14:solidFill>
                </w14:textFill>
              </w:rPr>
              <w:t xml:space="preserve">  项目主要设备一览表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7"/>
              <w:gridCol w:w="2649"/>
              <w:gridCol w:w="2481"/>
              <w:gridCol w:w="1418"/>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序号</w:t>
                  </w:r>
                </w:p>
              </w:tc>
              <w:tc>
                <w:tcPr>
                  <w:tcW w:w="15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设备名称</w:t>
                  </w:r>
                </w:p>
              </w:tc>
              <w:tc>
                <w:tcPr>
                  <w:tcW w:w="14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型号</w:t>
                  </w:r>
                </w:p>
              </w:tc>
              <w:tc>
                <w:tcPr>
                  <w:tcW w:w="843"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数量（台）</w:t>
                  </w:r>
                </w:p>
              </w:tc>
              <w:tc>
                <w:tcPr>
                  <w:tcW w:w="788"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5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口腔牙椅</w:t>
                  </w:r>
                </w:p>
              </w:tc>
              <w:tc>
                <w:tcPr>
                  <w:tcW w:w="14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安乐398-hg</w:t>
                  </w:r>
                </w:p>
              </w:tc>
              <w:tc>
                <w:tcPr>
                  <w:tcW w:w="843"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w:t>
                  </w:r>
                </w:p>
              </w:tc>
              <w:tc>
                <w:tcPr>
                  <w:tcW w:w="788"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5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口腔三合一X光机</w:t>
                  </w:r>
                </w:p>
              </w:tc>
              <w:tc>
                <w:tcPr>
                  <w:tcW w:w="14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43"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788"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5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放射科摄影诊断X光机</w:t>
                  </w:r>
                </w:p>
              </w:tc>
              <w:tc>
                <w:tcPr>
                  <w:tcW w:w="14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43"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788"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5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GE16排CT</w:t>
                  </w:r>
                </w:p>
              </w:tc>
              <w:tc>
                <w:tcPr>
                  <w:tcW w:w="14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GE16排</w:t>
                  </w:r>
                </w:p>
              </w:tc>
              <w:tc>
                <w:tcPr>
                  <w:tcW w:w="843"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788"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5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全自动血细胞分析仪</w:t>
                  </w:r>
                </w:p>
              </w:tc>
              <w:tc>
                <w:tcPr>
                  <w:tcW w:w="14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迈瑞5380</w:t>
                  </w:r>
                </w:p>
              </w:tc>
              <w:tc>
                <w:tcPr>
                  <w:tcW w:w="843"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788"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5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全自动凝血分析仪</w:t>
                  </w:r>
                </w:p>
              </w:tc>
              <w:tc>
                <w:tcPr>
                  <w:tcW w:w="14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众驰1000e</w:t>
                  </w:r>
                </w:p>
              </w:tc>
              <w:tc>
                <w:tcPr>
                  <w:tcW w:w="843"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788"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15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全自动化学发光分析仪</w:t>
                  </w:r>
                </w:p>
              </w:tc>
              <w:tc>
                <w:tcPr>
                  <w:tcW w:w="14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新产业4000plus</w:t>
                  </w:r>
                </w:p>
              </w:tc>
              <w:tc>
                <w:tcPr>
                  <w:tcW w:w="843"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788"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15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全自动生化分析仪</w:t>
                  </w:r>
                </w:p>
              </w:tc>
              <w:tc>
                <w:tcPr>
                  <w:tcW w:w="14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迪瑞600B</w:t>
                  </w:r>
                </w:p>
              </w:tc>
              <w:tc>
                <w:tcPr>
                  <w:tcW w:w="843"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788"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15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12道心电图机</w:t>
                  </w:r>
                </w:p>
              </w:tc>
              <w:tc>
                <w:tcPr>
                  <w:tcW w:w="14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43"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788"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15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动态心电图</w:t>
                  </w:r>
                </w:p>
              </w:tc>
              <w:tc>
                <w:tcPr>
                  <w:tcW w:w="14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43"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788"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15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GE彩超</w:t>
                  </w:r>
                </w:p>
              </w:tc>
              <w:tc>
                <w:tcPr>
                  <w:tcW w:w="14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C9</w:t>
                  </w:r>
                </w:p>
              </w:tc>
              <w:tc>
                <w:tcPr>
                  <w:tcW w:w="843"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788"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9"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w:t>
                  </w:r>
                </w:p>
              </w:tc>
              <w:tc>
                <w:tcPr>
                  <w:tcW w:w="15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病床</w:t>
                  </w:r>
                </w:p>
              </w:tc>
              <w:tc>
                <w:tcPr>
                  <w:tcW w:w="1475"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43" w:type="pct"/>
                  <w:tcMar>
                    <w:top w:w="0" w:type="dxa"/>
                    <w:left w:w="28" w:type="dxa"/>
                    <w:bottom w:w="0" w:type="dxa"/>
                    <w:right w:w="28" w:type="dxa"/>
                  </w:tcMar>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55</w:t>
                  </w:r>
                </w:p>
              </w:tc>
              <w:tc>
                <w:tcPr>
                  <w:tcW w:w="788" w:type="pc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 w:type="pct"/>
                  <w:gridSpan w:val="5"/>
                  <w:tcMar>
                    <w:top w:w="0" w:type="dxa"/>
                    <w:left w:w="28" w:type="dxa"/>
                    <w:bottom w:w="0" w:type="dxa"/>
                    <w:right w:w="28" w:type="dxa"/>
                  </w:tcMar>
                  <w:vAlign w:val="center"/>
                </w:tcPr>
                <w:p>
                  <w:pPr>
                    <w:pStyle w:val="2"/>
                    <w:snapToGrid w:val="0"/>
                    <w:spacing w:before="24" w:after="24" w:line="240" w:lineRule="exact"/>
                    <w:ind w:left="0" w:leftChars="0" w:firstLine="0" w:firstLineChars="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备注：辐射设备需要单独进行辐射环评，不在本次环境影响评价范围内。</w:t>
                  </w:r>
                </w:p>
              </w:tc>
            </w:tr>
          </w:tbl>
          <w:p>
            <w:pPr>
              <w:autoSpaceDE w:val="0"/>
              <w:autoSpaceDN w:val="0"/>
              <w:adjustRightInd w:val="0"/>
              <w:snapToGrid w:val="0"/>
              <w:spacing w:line="360" w:lineRule="auto"/>
              <w:ind w:firstLine="422" w:firstLineChars="20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8、公用工程</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8.1给排水</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（1）给水</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项目手术室主要进行口腔种植、口腔正畸、口腔修复等口腔类专科手术，无相关用水环节；</w:t>
            </w:r>
            <w:r>
              <w:rPr>
                <w:color w:val="000000" w:themeColor="text1"/>
                <w:kern w:val="0"/>
                <w:szCs w:val="21"/>
                <w14:textFill>
                  <w14:solidFill>
                    <w14:schemeClr w14:val="tx1"/>
                  </w14:solidFill>
                </w14:textFill>
              </w:rPr>
              <w:t>项目用水环节主要为医务人员用水、病房用水、门诊用水、牙椅诊疗用水、洗衣房用水、绿化用水及</w:t>
            </w:r>
            <w:r>
              <w:rPr>
                <w:rFonts w:hint="eastAsia"/>
                <w:color w:val="000000" w:themeColor="text1"/>
                <w:kern w:val="0"/>
                <w:szCs w:val="21"/>
                <w14:textFill>
                  <w14:solidFill>
                    <w14:schemeClr w14:val="tx1"/>
                  </w14:solidFill>
                </w14:textFill>
              </w:rPr>
              <w:t>清洁消毒</w:t>
            </w:r>
            <w:r>
              <w:rPr>
                <w:color w:val="000000" w:themeColor="text1"/>
                <w:kern w:val="0"/>
                <w:szCs w:val="21"/>
                <w14:textFill>
                  <w14:solidFill>
                    <w14:schemeClr w14:val="tx1"/>
                  </w14:solidFill>
                </w14:textFill>
              </w:rPr>
              <w:t>用水等。</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1）医务人员用水</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医院内医务人员总数约156人</w:t>
            </w:r>
            <w:r>
              <w:rPr>
                <w:rFonts w:hint="eastAsia"/>
                <w:color w:val="000000" w:themeColor="text1"/>
                <w:kern w:val="0"/>
                <w:szCs w:val="21"/>
                <w14:textFill>
                  <w14:solidFill>
                    <w14:schemeClr w14:val="tx1"/>
                  </w14:solidFill>
                </w14:textFill>
              </w:rPr>
              <w:t>，其中住院部医护人员6人，门诊及诊疗部门医务人员150人。</w:t>
            </w:r>
            <w:r>
              <w:rPr>
                <w:color w:val="000000" w:themeColor="text1"/>
                <w:kern w:val="0"/>
                <w:szCs w:val="21"/>
                <w14:textFill>
                  <w14:solidFill>
                    <w14:schemeClr w14:val="tx1"/>
                  </w14:solidFill>
                </w14:textFill>
              </w:rPr>
              <w:t>参考《建筑给水排水设计标准》（GB50015-2019），住院部医务人员生活用水定额按照</w:t>
            </w:r>
            <w:r>
              <w:rPr>
                <w:rFonts w:hint="eastAsia"/>
                <w:color w:val="000000" w:themeColor="text1"/>
                <w:kern w:val="0"/>
                <w:szCs w:val="21"/>
                <w14:textFill>
                  <w14:solidFill>
                    <w14:schemeClr w14:val="tx1"/>
                  </w14:solidFill>
                </w14:textFill>
              </w:rPr>
              <w:t>200</w:t>
            </w:r>
            <w:r>
              <w:rPr>
                <w:color w:val="000000" w:themeColor="text1"/>
                <w:kern w:val="0"/>
                <w:szCs w:val="21"/>
                <w14:textFill>
                  <w14:solidFill>
                    <w14:schemeClr w14:val="tx1"/>
                  </w14:solidFill>
                </w14:textFill>
              </w:rPr>
              <w:t>L/人•d计算，</w:t>
            </w:r>
            <w:r>
              <w:rPr>
                <w:rFonts w:hint="eastAsia"/>
                <w:color w:val="000000" w:themeColor="text1"/>
                <w:kern w:val="0"/>
                <w:szCs w:val="21"/>
                <w14:textFill>
                  <w14:solidFill>
                    <w14:schemeClr w14:val="tx1"/>
                  </w14:solidFill>
                </w14:textFill>
              </w:rPr>
              <w:t>门诊及诊疗部门</w:t>
            </w:r>
            <w:r>
              <w:rPr>
                <w:color w:val="000000" w:themeColor="text1"/>
                <w:kern w:val="0"/>
                <w:szCs w:val="21"/>
                <w14:textFill>
                  <w14:solidFill>
                    <w14:schemeClr w14:val="tx1"/>
                  </w14:solidFill>
                </w14:textFill>
              </w:rPr>
              <w:t>员工生活用水定额按照80L/人•d计算，则用水量4</w:t>
            </w:r>
            <w:r>
              <w:rPr>
                <w:rFonts w:hint="eastAsia"/>
                <w:color w:val="000000" w:themeColor="text1"/>
                <w:kern w:val="0"/>
                <w:szCs w:val="21"/>
                <w14:textFill>
                  <w14:solidFill>
                    <w14:schemeClr w14:val="tx1"/>
                  </w14:solidFill>
                </w14:textFill>
              </w:rPr>
              <w:t>818</w:t>
            </w:r>
            <w:r>
              <w:rPr>
                <w:color w:val="000000" w:themeColor="text1"/>
                <w:kern w:val="0"/>
                <w:szCs w:val="21"/>
                <w14:textFill>
                  <w14:solidFill>
                    <w14:schemeClr w14:val="tx1"/>
                  </w14:solidFill>
                </w14:textFill>
              </w:rPr>
              <w:t>m</w:t>
            </w:r>
            <w:r>
              <w:rPr>
                <w:color w:val="000000" w:themeColor="text1"/>
                <w:kern w:val="0"/>
                <w:szCs w:val="21"/>
                <w:vertAlign w:val="superscript"/>
                <w14:textFill>
                  <w14:solidFill>
                    <w14:schemeClr w14:val="tx1"/>
                  </w14:solidFill>
                </w14:textFill>
              </w:rPr>
              <w:t>3</w:t>
            </w:r>
            <w:r>
              <w:rPr>
                <w:color w:val="000000" w:themeColor="text1"/>
                <w:kern w:val="0"/>
                <w:szCs w:val="21"/>
                <w14:textFill>
                  <w14:solidFill>
                    <w14:schemeClr w14:val="tx1"/>
                  </w14:solidFill>
                </w14:textFill>
              </w:rPr>
              <w:t>/a；</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2）病房用水</w:t>
            </w:r>
          </w:p>
          <w:p>
            <w:pPr>
              <w:pStyle w:val="20"/>
              <w:spacing w:after="0" w:line="360" w:lineRule="auto"/>
              <w:ind w:left="0" w:leftChars="0"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项目病床数量约55床，本项目已建成投运，根据企业提供统计资料及历年来实际情况，口腔医院患者多为市区及周边患者，定期复诊，无需住院治疗</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投运多年以来院区病房床位常年利用率</w:t>
            </w:r>
            <w:r>
              <w:rPr>
                <w:rFonts w:hint="eastAsia"/>
                <w:color w:val="000000" w:themeColor="text1"/>
                <w:sz w:val="21"/>
                <w:szCs w:val="21"/>
                <w14:textFill>
                  <w14:solidFill>
                    <w14:schemeClr w14:val="tx1"/>
                  </w14:solidFill>
                </w14:textFill>
              </w:rPr>
              <w:t>较低</w:t>
            </w:r>
            <w:r>
              <w:rPr>
                <w:color w:val="000000" w:themeColor="text1"/>
                <w:sz w:val="21"/>
                <w:szCs w:val="21"/>
                <w14:textFill>
                  <w14:solidFill>
                    <w14:schemeClr w14:val="tx1"/>
                  </w14:solidFill>
                </w14:textFill>
              </w:rPr>
              <w:t>，本次评价统计病房多年来实际用水情况</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根据院方提供实际用水量数据</w:t>
            </w:r>
            <w:r>
              <w:rPr>
                <w:rFonts w:hint="eastAsia"/>
                <w:color w:val="000000" w:themeColor="text1"/>
                <w:sz w:val="21"/>
                <w:szCs w:val="21"/>
                <w14:textFill>
                  <w14:solidFill>
                    <w14:schemeClr w14:val="tx1"/>
                  </w14:solidFill>
                </w14:textFill>
              </w:rPr>
              <w:t>，病房用水量最大为2.75m</w:t>
            </w:r>
            <w:r>
              <w:rPr>
                <w:rFonts w:hint="eastAsia"/>
                <w:color w:val="000000" w:themeColor="text1"/>
                <w:sz w:val="21"/>
                <w:szCs w:val="21"/>
                <w:vertAlign w:val="superscript"/>
                <w14:textFill>
                  <w14:solidFill>
                    <w14:schemeClr w14:val="tx1"/>
                  </w14:solidFill>
                </w14:textFill>
              </w:rPr>
              <w:t>3</w:t>
            </w:r>
            <w:r>
              <w:rPr>
                <w:rFonts w:hint="eastAsia"/>
                <w:color w:val="000000" w:themeColor="text1"/>
                <w:sz w:val="21"/>
                <w:szCs w:val="21"/>
                <w14:textFill>
                  <w14:solidFill>
                    <w14:schemeClr w14:val="tx1"/>
                  </w14:solidFill>
                </w14:textFill>
              </w:rPr>
              <w:t>/d，合计1003.75</w:t>
            </w:r>
            <w:r>
              <w:rPr>
                <w:color w:val="000000" w:themeColor="text1"/>
                <w:sz w:val="21"/>
                <w:szCs w:val="21"/>
                <w14:textFill>
                  <w14:solidFill>
                    <w14:schemeClr w14:val="tx1"/>
                  </w14:solidFill>
                </w14:textFill>
              </w:rPr>
              <w:t>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/a；</w:t>
            </w:r>
          </w:p>
          <w:p>
            <w:pPr>
              <w:pStyle w:val="20"/>
              <w:spacing w:after="0" w:line="360" w:lineRule="auto"/>
              <w:ind w:left="0" w:leftChars="0"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3）门诊用水</w:t>
            </w:r>
          </w:p>
          <w:p>
            <w:pPr>
              <w:pStyle w:val="55"/>
              <w:spacing w:line="360" w:lineRule="auto"/>
              <w:ind w:firstLine="420" w:firstLineChars="200"/>
              <w:jc w:val="both"/>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门诊病人的就诊量约300人次/d，参考</w:t>
            </w:r>
            <w:r>
              <w:rPr>
                <w:rFonts w:ascii="Times New Roman" w:cs="Times New Roman"/>
                <w:bCs/>
                <w:color w:val="000000" w:themeColor="text1"/>
                <w:sz w:val="21"/>
                <w:szCs w:val="21"/>
                <w14:textFill>
                  <w14:solidFill>
                    <w14:schemeClr w14:val="tx1"/>
                  </w14:solidFill>
                </w14:textFill>
              </w:rPr>
              <w:t>《建筑给水排水设计标准》（GB50015-2019），</w:t>
            </w:r>
            <w:r>
              <w:rPr>
                <w:rFonts w:ascii="Times New Roman" w:cs="Times New Roman"/>
                <w:color w:val="000000" w:themeColor="text1"/>
                <w:sz w:val="21"/>
                <w:szCs w:val="21"/>
                <w14:textFill>
                  <w14:solidFill>
                    <w14:schemeClr w14:val="tx1"/>
                  </w14:solidFill>
                </w14:textFill>
              </w:rPr>
              <w:t>门诊病人用水定额按照每人10L/人次计算，用水量为1095m</w:t>
            </w:r>
            <w:r>
              <w:rPr>
                <w:rFonts w:ascii="Times New Roman" w:cs="Times New Roman"/>
                <w:color w:val="000000" w:themeColor="text1"/>
                <w:sz w:val="21"/>
                <w:szCs w:val="21"/>
                <w:vertAlign w:val="superscript"/>
                <w14:textFill>
                  <w14:solidFill>
                    <w14:schemeClr w14:val="tx1"/>
                  </w14:solidFill>
                </w14:textFill>
              </w:rPr>
              <w:t>3</w:t>
            </w:r>
            <w:r>
              <w:rPr>
                <w:rFonts w:ascii="Times New Roman" w:cs="Times New Roman"/>
                <w:color w:val="000000" w:themeColor="text1"/>
                <w:sz w:val="21"/>
                <w:szCs w:val="21"/>
                <w14:textFill>
                  <w14:solidFill>
                    <w14:schemeClr w14:val="tx1"/>
                  </w14:solidFill>
                </w14:textFill>
              </w:rPr>
              <w:t>/a；</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4）牙椅诊疗用水</w:t>
            </w:r>
          </w:p>
          <w:p>
            <w:pPr>
              <w:pStyle w:val="20"/>
              <w:spacing w:after="0" w:line="360" w:lineRule="auto"/>
              <w:ind w:left="0" w:leftChars="0"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牙椅数量40把，牙椅诊疗用水量按100L/把•d计算，则牙椅诊疗用水量约4m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/d，即1460m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/a，该部分用水采用外购纯水；</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5）洗衣房用水</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医院定期更换的床单、被罩、病号服、医务人员无尘服等均外委清洗，不在本项目洗衣房内清洗；医院洗衣房设有1台洗衣机，清洗能力较小，只为方便值班医护人员的日常衣物换洗，每日清洗量约为5kg干衣物，参考《建筑给水排水设计标准》（GB50015-2019），洗衣房用水量取80L/kg干衣，则项目洗衣房用水量为0.4</w:t>
            </w:r>
            <w:r>
              <w:rPr>
                <w:color w:val="000000" w:themeColor="text1"/>
                <w:szCs w:val="21"/>
                <w14:textFill>
                  <w14:solidFill>
                    <w14:schemeClr w14:val="tx1"/>
                  </w14:solidFill>
                </w14:textFill>
              </w:rPr>
              <w:t xml:space="preserve"> 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/d，即146m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/a。</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6）绿化用水</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院内绿化面积约为200m</w:t>
            </w:r>
            <w:r>
              <w:rPr>
                <w:color w:val="000000" w:themeColor="text1"/>
                <w:kern w:val="0"/>
                <w:szCs w:val="21"/>
                <w:vertAlign w:val="superscript"/>
                <w14:textFill>
                  <w14:solidFill>
                    <w14:schemeClr w14:val="tx1"/>
                  </w14:solidFill>
                </w14:textFill>
              </w:rPr>
              <w:t>2</w:t>
            </w:r>
            <w:r>
              <w:rPr>
                <w:color w:val="000000" w:themeColor="text1"/>
                <w:kern w:val="0"/>
                <w:szCs w:val="21"/>
                <w14:textFill>
                  <w14:solidFill>
                    <w14:schemeClr w14:val="tx1"/>
                  </w14:solidFill>
                </w14:textFill>
              </w:rPr>
              <w:t>，绿化用水取2L/m</w:t>
            </w:r>
            <w:r>
              <w:rPr>
                <w:color w:val="000000" w:themeColor="text1"/>
                <w:kern w:val="0"/>
                <w:szCs w:val="21"/>
                <w:vertAlign w:val="superscript"/>
                <w14:textFill>
                  <w14:solidFill>
                    <w14:schemeClr w14:val="tx1"/>
                  </w14:solidFill>
                </w14:textFill>
              </w:rPr>
              <w:t>2</w:t>
            </w:r>
            <w:r>
              <w:rPr>
                <w:color w:val="000000" w:themeColor="text1"/>
                <w:szCs w:val="21"/>
                <w14:textFill>
                  <w14:solidFill>
                    <w14:schemeClr w14:val="tx1"/>
                  </w14:solidFill>
                </w14:textFill>
              </w:rPr>
              <w:t>•d；全年绿化天数取150天，则绿化用水量为60m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/a。</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7）清洁</w:t>
            </w:r>
            <w:r>
              <w:rPr>
                <w:rFonts w:hint="eastAsia"/>
                <w:color w:val="000000" w:themeColor="text1"/>
                <w:kern w:val="0"/>
                <w:szCs w:val="21"/>
                <w14:textFill>
                  <w14:solidFill>
                    <w14:schemeClr w14:val="tx1"/>
                  </w14:solidFill>
                </w14:textFill>
              </w:rPr>
              <w:t>消毒用水</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医院每天定期对病房及主要通道进行清洁消毒，主要使用84消毒液、75%酒精进行消毒</w:t>
            </w:r>
            <w:r>
              <w:rPr>
                <w:color w:val="000000" w:themeColor="text1"/>
                <w:kern w:val="0"/>
                <w:szCs w:val="21"/>
                <w14:textFill>
                  <w14:solidFill>
                    <w14:schemeClr w14:val="tx1"/>
                  </w14:solidFill>
                </w14:textFill>
              </w:rPr>
              <w:t>，其中</w:t>
            </w:r>
            <w:r>
              <w:rPr>
                <w:rFonts w:hint="eastAsia"/>
                <w:color w:val="000000" w:themeColor="text1"/>
                <w:kern w:val="0"/>
                <w:szCs w:val="21"/>
                <w14:textFill>
                  <w14:solidFill>
                    <w14:schemeClr w14:val="tx1"/>
                  </w14:solidFill>
                </w14:textFill>
              </w:rPr>
              <w:t>75%酒精消毒为直喷式消毒方式，不需要水配置消毒液；84消毒液</w:t>
            </w:r>
            <w:r>
              <w:rPr>
                <w:color w:val="000000" w:themeColor="text1"/>
                <w:kern w:val="0"/>
                <w:szCs w:val="21"/>
                <w14:textFill>
                  <w14:solidFill>
                    <w14:schemeClr w14:val="tx1"/>
                  </w14:solidFill>
                </w14:textFill>
              </w:rPr>
              <w:t>消毒分为喷雾</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湿拖两种方式</w:t>
            </w:r>
            <w:r>
              <w:rPr>
                <w:rFonts w:hint="eastAsia"/>
                <w:color w:val="000000" w:themeColor="text1"/>
                <w:kern w:val="0"/>
                <w:szCs w:val="21"/>
                <w14:textFill>
                  <w14:solidFill>
                    <w14:schemeClr w14:val="tx1"/>
                  </w14:solidFill>
                </w14:textFill>
              </w:rPr>
              <w:t>，其中湿拖方式产生消毒废水，消毒废水经洗涮池收集至管道。84消毒液需稀释使用，84</w:t>
            </w:r>
            <w:r>
              <w:rPr>
                <w:color w:val="000000" w:themeColor="text1"/>
                <w:kern w:val="0"/>
                <w:szCs w:val="21"/>
                <w14:textFill>
                  <w14:solidFill>
                    <w14:schemeClr w14:val="tx1"/>
                  </w14:solidFill>
                </w14:textFill>
              </w:rPr>
              <w:t>消毒液</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水配置比例为</w:t>
            </w:r>
            <w:r>
              <w:rPr>
                <w:rFonts w:hint="eastAsia"/>
                <w:color w:val="000000" w:themeColor="text1"/>
                <w:kern w:val="0"/>
                <w:szCs w:val="21"/>
                <w14:textFill>
                  <w14:solidFill>
                    <w14:schemeClr w14:val="tx1"/>
                  </w14:solidFill>
                </w14:textFill>
              </w:rPr>
              <w:t>1:100，项目84消毒液消耗量为1100瓶/400mL，则消毒用水量为44</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/a</w:t>
            </w:r>
            <w:r>
              <w:rPr>
                <w:rFonts w:hint="eastAsia"/>
                <w:color w:val="000000" w:themeColor="text1"/>
                <w:szCs w:val="21"/>
                <w14:textFill>
                  <w14:solidFill>
                    <w14:schemeClr w14:val="tx1"/>
                  </w14:solidFill>
                </w14:textFill>
              </w:rPr>
              <w:t>；日常清洁用水量按3m</w:t>
            </w:r>
            <w:r>
              <w:rPr>
                <w:rFonts w:hint="eastAsia"/>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/d计，则清洁消毒总用水量为1139m</w:t>
            </w:r>
            <w:r>
              <w:rPr>
                <w:rFonts w:hint="eastAsia"/>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/a。</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本项目</w:t>
            </w:r>
            <w:r>
              <w:rPr>
                <w:color w:val="000000" w:themeColor="text1"/>
                <w:kern w:val="0"/>
                <w:szCs w:val="21"/>
                <w14:textFill>
                  <w14:solidFill>
                    <w14:schemeClr w14:val="tx1"/>
                  </w14:solidFill>
                </w14:textFill>
              </w:rPr>
              <w:t>为专科口腔医院</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不设传染病房，医院使用的影像设备现状为电子打印，不涉及洗印工序，无洗印废水</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故不涉及重金属废水排放</w:t>
            </w:r>
            <w:r>
              <w:rPr>
                <w:rFonts w:hint="eastAsia"/>
                <w:color w:val="000000" w:themeColor="text1"/>
                <w:kern w:val="0"/>
                <w:szCs w:val="21"/>
                <w14:textFill>
                  <w14:solidFill>
                    <w14:schemeClr w14:val="tx1"/>
                  </w14:solidFill>
                </w14:textFill>
              </w:rPr>
              <w:t>；项目只进行牙科相关诊疗，无酸性废水、含氰废水、含汞废水、含铬废水等特殊废水产生</w:t>
            </w:r>
            <w:r>
              <w:rPr>
                <w:color w:val="000000" w:themeColor="text1"/>
                <w:kern w:val="0"/>
                <w:szCs w:val="21"/>
                <w14:textFill>
                  <w14:solidFill>
                    <w14:schemeClr w14:val="tx1"/>
                  </w14:solidFill>
                </w14:textFill>
              </w:rPr>
              <w:t>。</w:t>
            </w:r>
          </w:p>
          <w:p>
            <w:pPr>
              <w:widowControl/>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表2-</w:t>
            </w:r>
            <w:r>
              <w:rPr>
                <w:rFonts w:hint="eastAsia"/>
                <w:b/>
                <w:color w:val="000000" w:themeColor="text1"/>
                <w:szCs w:val="21"/>
                <w14:textFill>
                  <w14:solidFill>
                    <w14:schemeClr w14:val="tx1"/>
                  </w14:solidFill>
                </w14:textFill>
              </w:rPr>
              <w:t>5</w:t>
            </w:r>
            <w:r>
              <w:rPr>
                <w:b/>
                <w:color w:val="000000" w:themeColor="text1"/>
                <w:szCs w:val="21"/>
                <w14:textFill>
                  <w14:solidFill>
                    <w14:schemeClr w14:val="tx1"/>
                  </w14:solidFill>
                </w14:textFill>
              </w:rPr>
              <w:t xml:space="preserve">  项目用水标准及用水量一览表</w:t>
            </w:r>
          </w:p>
          <w:tbl>
            <w:tblPr>
              <w:tblStyle w:val="24"/>
              <w:tblW w:w="8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2045"/>
              <w:gridCol w:w="1714"/>
              <w:gridCol w:w="1199"/>
              <w:gridCol w:w="1443"/>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exact"/>
                <w:jc w:val="center"/>
              </w:trPr>
              <w:tc>
                <w:tcPr>
                  <w:tcW w:w="592"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序号</w:t>
                  </w:r>
                </w:p>
              </w:tc>
              <w:tc>
                <w:tcPr>
                  <w:tcW w:w="2045"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用水部门</w:t>
                  </w:r>
                </w:p>
              </w:tc>
              <w:tc>
                <w:tcPr>
                  <w:tcW w:w="1714"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用水量标准</w:t>
                  </w:r>
                </w:p>
              </w:tc>
              <w:tc>
                <w:tcPr>
                  <w:tcW w:w="1199"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用水单位数</w:t>
                  </w:r>
                </w:p>
              </w:tc>
              <w:tc>
                <w:tcPr>
                  <w:tcW w:w="1443"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日用水量（t/d）</w:t>
                  </w:r>
                </w:p>
              </w:tc>
              <w:tc>
                <w:tcPr>
                  <w:tcW w:w="1443"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年用水量（t/a）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592" w:type="dxa"/>
                  <w:vMerge w:val="restar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2045"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医务人员用水</w:t>
                  </w:r>
                </w:p>
              </w:tc>
              <w:tc>
                <w:tcPr>
                  <w:tcW w:w="1714"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80L/人•d</w:t>
                  </w:r>
                </w:p>
              </w:tc>
              <w:tc>
                <w:tcPr>
                  <w:tcW w:w="1199"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r>
                    <w:rPr>
                      <w:rFonts w:hint="eastAsia"/>
                      <w:color w:val="000000" w:themeColor="text1"/>
                      <w:sz w:val="18"/>
                      <w:szCs w:val="18"/>
                      <w14:textFill>
                        <w14:solidFill>
                          <w14:schemeClr w14:val="tx1"/>
                        </w14:solidFill>
                      </w14:textFill>
                    </w:rPr>
                    <w:t>0</w:t>
                  </w:r>
                  <w:r>
                    <w:rPr>
                      <w:color w:val="000000" w:themeColor="text1"/>
                      <w:sz w:val="18"/>
                      <w:szCs w:val="18"/>
                      <w14:textFill>
                        <w14:solidFill>
                          <w14:schemeClr w14:val="tx1"/>
                        </w14:solidFill>
                      </w14:textFill>
                    </w:rPr>
                    <w:t>人</w:t>
                  </w:r>
                </w:p>
              </w:tc>
              <w:tc>
                <w:tcPr>
                  <w:tcW w:w="1443" w:type="dxa"/>
                  <w:vMerge w:val="restar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13.2</w:t>
                  </w:r>
                </w:p>
              </w:tc>
              <w:tc>
                <w:tcPr>
                  <w:tcW w:w="1443" w:type="dxa"/>
                  <w:vMerge w:val="restar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exact"/>
                <w:jc w:val="center"/>
              </w:trPr>
              <w:tc>
                <w:tcPr>
                  <w:tcW w:w="592" w:type="dxa"/>
                  <w:vMerge w:val="continue"/>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2045"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医务人员用水</w:t>
                  </w:r>
                </w:p>
              </w:tc>
              <w:tc>
                <w:tcPr>
                  <w:tcW w:w="1714"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200</w:t>
                  </w:r>
                  <w:r>
                    <w:rPr>
                      <w:color w:val="000000" w:themeColor="text1"/>
                      <w:sz w:val="18"/>
                      <w:szCs w:val="18"/>
                      <w14:textFill>
                        <w14:solidFill>
                          <w14:schemeClr w14:val="tx1"/>
                        </w14:solidFill>
                      </w14:textFill>
                    </w:rPr>
                    <w:t>L/人•d</w:t>
                  </w:r>
                </w:p>
              </w:tc>
              <w:tc>
                <w:tcPr>
                  <w:tcW w:w="1199"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6人</w:t>
                  </w:r>
                </w:p>
              </w:tc>
              <w:tc>
                <w:tcPr>
                  <w:tcW w:w="1443" w:type="dxa"/>
                  <w:vMerge w:val="continue"/>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c>
                <w:tcPr>
                  <w:tcW w:w="1443" w:type="dxa"/>
                  <w:vMerge w:val="continue"/>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exact"/>
                <w:jc w:val="center"/>
              </w:trPr>
              <w:tc>
                <w:tcPr>
                  <w:tcW w:w="592"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2045"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病房用水</w:t>
                  </w:r>
                </w:p>
              </w:tc>
              <w:tc>
                <w:tcPr>
                  <w:tcW w:w="1714"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250L/床•d</w:t>
                  </w:r>
                </w:p>
              </w:tc>
              <w:tc>
                <w:tcPr>
                  <w:tcW w:w="1199"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11</w:t>
                  </w:r>
                  <w:r>
                    <w:rPr>
                      <w:color w:val="000000" w:themeColor="text1"/>
                      <w:sz w:val="18"/>
                      <w:szCs w:val="18"/>
                      <w14:textFill>
                        <w14:solidFill>
                          <w14:schemeClr w14:val="tx1"/>
                        </w14:solidFill>
                      </w14:textFill>
                    </w:rPr>
                    <w:t>床</w:t>
                  </w:r>
                </w:p>
              </w:tc>
              <w:tc>
                <w:tcPr>
                  <w:tcW w:w="1443"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2.75</w:t>
                  </w:r>
                </w:p>
              </w:tc>
              <w:tc>
                <w:tcPr>
                  <w:tcW w:w="1443"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1003.75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exact"/>
                <w:jc w:val="center"/>
              </w:trPr>
              <w:tc>
                <w:tcPr>
                  <w:tcW w:w="592"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2045"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门诊用水</w:t>
                  </w:r>
                </w:p>
              </w:tc>
              <w:tc>
                <w:tcPr>
                  <w:tcW w:w="1714"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10L/人次</w:t>
                  </w:r>
                </w:p>
              </w:tc>
              <w:tc>
                <w:tcPr>
                  <w:tcW w:w="1199"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300人次</w:t>
                  </w:r>
                </w:p>
              </w:tc>
              <w:tc>
                <w:tcPr>
                  <w:tcW w:w="1443"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443"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exact"/>
                <w:jc w:val="center"/>
              </w:trPr>
              <w:tc>
                <w:tcPr>
                  <w:tcW w:w="592"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2045"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牙椅用水</w:t>
                  </w:r>
                </w:p>
              </w:tc>
              <w:tc>
                <w:tcPr>
                  <w:tcW w:w="1714"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100L/把•d</w:t>
                  </w:r>
                </w:p>
              </w:tc>
              <w:tc>
                <w:tcPr>
                  <w:tcW w:w="1199"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40把</w:t>
                  </w:r>
                </w:p>
              </w:tc>
              <w:tc>
                <w:tcPr>
                  <w:tcW w:w="1443"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443"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exact"/>
                <w:jc w:val="center"/>
              </w:trPr>
              <w:tc>
                <w:tcPr>
                  <w:tcW w:w="592"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2045"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洗衣房用水</w:t>
                  </w:r>
                </w:p>
              </w:tc>
              <w:tc>
                <w:tcPr>
                  <w:tcW w:w="1714"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80L/kg干衣</w:t>
                  </w:r>
                </w:p>
              </w:tc>
              <w:tc>
                <w:tcPr>
                  <w:tcW w:w="1199"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5kg</w:t>
                  </w:r>
                </w:p>
              </w:tc>
              <w:tc>
                <w:tcPr>
                  <w:tcW w:w="1443"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0.4</w:t>
                  </w:r>
                </w:p>
              </w:tc>
              <w:tc>
                <w:tcPr>
                  <w:tcW w:w="1443"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exact"/>
                <w:jc w:val="center"/>
              </w:trPr>
              <w:tc>
                <w:tcPr>
                  <w:tcW w:w="592"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2045"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绿化用水</w:t>
                  </w:r>
                </w:p>
              </w:tc>
              <w:tc>
                <w:tcPr>
                  <w:tcW w:w="1714"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2L/m</w:t>
                  </w:r>
                  <w:r>
                    <w:rPr>
                      <w:color w:val="000000" w:themeColor="text1"/>
                      <w:sz w:val="18"/>
                      <w:szCs w:val="18"/>
                      <w:vertAlign w:val="superscript"/>
                      <w14:textFill>
                        <w14:solidFill>
                          <w14:schemeClr w14:val="tx1"/>
                        </w14:solidFill>
                      </w14:textFill>
                    </w:rPr>
                    <w:t>2</w:t>
                  </w:r>
                  <w:r>
                    <w:rPr>
                      <w:color w:val="000000" w:themeColor="text1"/>
                      <w:sz w:val="18"/>
                      <w:szCs w:val="18"/>
                      <w14:textFill>
                        <w14:solidFill>
                          <w14:schemeClr w14:val="tx1"/>
                        </w14:solidFill>
                      </w14:textFill>
                    </w:rPr>
                    <w:t>•d</w:t>
                  </w:r>
                </w:p>
              </w:tc>
              <w:tc>
                <w:tcPr>
                  <w:tcW w:w="1199"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200m</w:t>
                  </w:r>
                  <w:r>
                    <w:rPr>
                      <w:color w:val="000000" w:themeColor="text1"/>
                      <w:sz w:val="18"/>
                      <w:szCs w:val="18"/>
                      <w:vertAlign w:val="superscript"/>
                      <w14:textFill>
                        <w14:solidFill>
                          <w14:schemeClr w14:val="tx1"/>
                        </w14:solidFill>
                      </w14:textFill>
                    </w:rPr>
                    <w:t>2</w:t>
                  </w:r>
                </w:p>
              </w:tc>
              <w:tc>
                <w:tcPr>
                  <w:tcW w:w="1443"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0.4</w:t>
                  </w:r>
                </w:p>
              </w:tc>
              <w:tc>
                <w:tcPr>
                  <w:tcW w:w="1443"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exact"/>
                <w:jc w:val="center"/>
              </w:trPr>
              <w:tc>
                <w:tcPr>
                  <w:tcW w:w="592"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w:t>
                  </w:r>
                </w:p>
              </w:tc>
              <w:tc>
                <w:tcPr>
                  <w:tcW w:w="2045"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清洁消毒用水</w:t>
                  </w:r>
                </w:p>
              </w:tc>
              <w:tc>
                <w:tcPr>
                  <w:tcW w:w="1714"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1199"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1443"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1443"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5550" w:type="dxa"/>
                  <w:gridSpan w:val="4"/>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合计</w:t>
                  </w:r>
                </w:p>
              </w:tc>
              <w:tc>
                <w:tcPr>
                  <w:tcW w:w="1443"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1443"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9721.75</w:t>
                  </w:r>
                </w:p>
              </w:tc>
            </w:tr>
          </w:tbl>
          <w:p>
            <w:pPr>
              <w:snapToGrid w:val="0"/>
              <w:jc w:val="center"/>
              <w:rPr>
                <w:color w:val="000000" w:themeColor="text1"/>
                <w14:textFill>
                  <w14:solidFill>
                    <w14:schemeClr w14:val="tx1"/>
                  </w14:solidFill>
                </w14:textFill>
              </w:rPr>
            </w:pPr>
            <w:r>
              <w:rPr>
                <w:color w:val="000000" w:themeColor="text1"/>
                <w14:textFill>
                  <w14:solidFill>
                    <w14:schemeClr w14:val="tx1"/>
                  </w14:solidFill>
                </w14:textFill>
              </w:rPr>
              <w:object>
                <v:shape id="_x0000_i1025" o:spt="75" type="#_x0000_t75" style="height:262.65pt;width:419.05pt;" o:ole="t" filled="f" o:preferrelative="t" stroked="f" coordsize="21600,21600">
                  <v:path/>
                  <v:fill on="f" focussize="0,0"/>
                  <v:stroke on="f" joinstyle="miter"/>
                  <v:imagedata r:id="rId8" o:title=""/>
                  <o:lock v:ext="edit" aspectratio="t"/>
                  <w10:wrap type="none"/>
                  <w10:anchorlock/>
                </v:shape>
                <o:OLEObject Type="Embed" ProgID="Visio.Drawing.11" ShapeID="_x0000_i1025" DrawAspect="Content" ObjectID="_1468075725" r:id="rId7">
                  <o:LockedField>false</o:LockedField>
                </o:OLEObject>
              </w:object>
            </w:r>
          </w:p>
          <w:p>
            <w:pPr>
              <w:snapToGrid w:val="0"/>
              <w:jc w:val="center"/>
              <w:rPr>
                <w:b/>
                <w:color w:val="000000" w:themeColor="text1"/>
                <w:spacing w:val="-4"/>
                <w14:textFill>
                  <w14:solidFill>
                    <w14:schemeClr w14:val="tx1"/>
                  </w14:solidFill>
                </w14:textFill>
              </w:rPr>
            </w:pPr>
            <w:r>
              <w:rPr>
                <w:b/>
                <w:color w:val="000000" w:themeColor="text1"/>
                <w:spacing w:val="-4"/>
                <w14:textFill>
                  <w14:solidFill>
                    <w14:schemeClr w14:val="tx1"/>
                  </w14:solidFill>
                </w14:textFill>
              </w:rPr>
              <w:t>图2-1  水平衡示意图（m</w:t>
            </w:r>
            <w:r>
              <w:rPr>
                <w:b/>
                <w:color w:val="000000" w:themeColor="text1"/>
                <w:spacing w:val="-4"/>
                <w:vertAlign w:val="superscript"/>
                <w14:textFill>
                  <w14:solidFill>
                    <w14:schemeClr w14:val="tx1"/>
                  </w14:solidFill>
                </w14:textFill>
              </w:rPr>
              <w:t>3</w:t>
            </w:r>
            <w:r>
              <w:rPr>
                <w:b/>
                <w:color w:val="000000" w:themeColor="text1"/>
                <w:spacing w:val="-4"/>
                <w14:textFill>
                  <w14:solidFill>
                    <w14:schemeClr w14:val="tx1"/>
                  </w14:solidFill>
                </w14:textFill>
              </w:rPr>
              <w:t>/a）</w:t>
            </w:r>
          </w:p>
          <w:p>
            <w:pPr>
              <w:spacing w:line="36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（2）排水</w:t>
            </w:r>
          </w:p>
          <w:p>
            <w:pPr>
              <w:spacing w:line="36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项目采用雨污分流。项目废水产生量按用水环节用水量的80%计，则污水产生量为</w:t>
            </w:r>
            <w:r>
              <w:rPr>
                <w:rFonts w:hint="eastAsia"/>
                <w:color w:val="000000" w:themeColor="text1"/>
                <w:kern w:val="0"/>
                <w:szCs w:val="21"/>
                <w14:textFill>
                  <w14:solidFill>
                    <w14:schemeClr w14:val="tx1"/>
                  </w14:solidFill>
                </w14:textFill>
              </w:rPr>
              <w:t>7729.4</w:t>
            </w:r>
            <w:r>
              <w:rPr>
                <w:color w:val="000000" w:themeColor="text1"/>
                <w:kern w:val="0"/>
                <w:szCs w:val="21"/>
                <w14:textFill>
                  <w14:solidFill>
                    <w14:schemeClr w14:val="tx1"/>
                  </w14:solidFill>
                </w14:textFill>
              </w:rPr>
              <w:t>m</w:t>
            </w:r>
            <w:r>
              <w:rPr>
                <w:color w:val="000000" w:themeColor="text1"/>
                <w:kern w:val="0"/>
                <w:szCs w:val="21"/>
                <w:vertAlign w:val="superscript"/>
                <w14:textFill>
                  <w14:solidFill>
                    <w14:schemeClr w14:val="tx1"/>
                  </w14:solidFill>
                </w14:textFill>
              </w:rPr>
              <w:t>3</w:t>
            </w:r>
            <w:r>
              <w:rPr>
                <w:color w:val="000000" w:themeColor="text1"/>
                <w:kern w:val="0"/>
                <w:szCs w:val="21"/>
                <w14:textFill>
                  <w14:solidFill>
                    <w14:schemeClr w14:val="tx1"/>
                  </w14:solidFill>
                </w14:textFill>
              </w:rPr>
              <w:t>/a，污水收集方式为管道收集</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污水外排量为</w:t>
            </w:r>
            <w:r>
              <w:rPr>
                <w:rFonts w:hint="eastAsia"/>
                <w:color w:val="000000" w:themeColor="text1"/>
                <w:kern w:val="0"/>
                <w:szCs w:val="21"/>
                <w14:textFill>
                  <w14:solidFill>
                    <w14:schemeClr w14:val="tx1"/>
                  </w14:solidFill>
                </w14:textFill>
              </w:rPr>
              <w:t>7729.4</w:t>
            </w:r>
            <w:r>
              <w:rPr>
                <w:color w:val="000000" w:themeColor="text1"/>
                <w:kern w:val="0"/>
                <w:szCs w:val="21"/>
                <w14:textFill>
                  <w14:solidFill>
                    <w14:schemeClr w14:val="tx1"/>
                  </w14:solidFill>
                </w14:textFill>
              </w:rPr>
              <w:t>m</w:t>
            </w:r>
            <w:r>
              <w:rPr>
                <w:color w:val="000000" w:themeColor="text1"/>
                <w:kern w:val="0"/>
                <w:szCs w:val="21"/>
                <w:vertAlign w:val="superscript"/>
                <w14:textFill>
                  <w14:solidFill>
                    <w14:schemeClr w14:val="tx1"/>
                  </w14:solidFill>
                </w14:textFill>
              </w:rPr>
              <w:t>3</w:t>
            </w:r>
            <w:r>
              <w:rPr>
                <w:color w:val="000000" w:themeColor="text1"/>
                <w:kern w:val="0"/>
                <w:szCs w:val="21"/>
                <w14:textFill>
                  <w14:solidFill>
                    <w14:schemeClr w14:val="tx1"/>
                  </w14:solidFill>
                </w14:textFill>
              </w:rPr>
              <w:t>/a，经院内污水处理站处理后排入市政污水管网，经管网排入光大水务（淄博）有限公司三分厂深化处理。</w:t>
            </w:r>
          </w:p>
          <w:p>
            <w:pPr>
              <w:spacing w:line="360" w:lineRule="auto"/>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8.2供电</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医院用电量为10万kWh/a，由张店区供电电网提供。</w:t>
            </w:r>
          </w:p>
          <w:p>
            <w:pPr>
              <w:autoSpaceDE w:val="0"/>
              <w:autoSpaceDN w:val="0"/>
              <w:adjustRightInd w:val="0"/>
              <w:snapToGrid w:val="0"/>
              <w:spacing w:line="360" w:lineRule="auto"/>
              <w:ind w:firstLine="422" w:firstLineChars="20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9、总平面布置</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病房综合楼位于院区中部，为</w:t>
            </w:r>
            <w:r>
              <w:rPr>
                <w:rFonts w:hint="eastAsia"/>
                <w:color w:val="000000" w:themeColor="text1"/>
                <w:kern w:val="0"/>
                <w:szCs w:val="21"/>
                <w14:textFill>
                  <w14:solidFill>
                    <w14:schemeClr w14:val="tx1"/>
                  </w14:solidFill>
                </w14:textFill>
              </w:rPr>
              <w:t>5</w:t>
            </w:r>
            <w:r>
              <w:rPr>
                <w:color w:val="000000" w:themeColor="text1"/>
                <w:kern w:val="0"/>
                <w:szCs w:val="21"/>
                <w14:textFill>
                  <w14:solidFill>
                    <w14:schemeClr w14:val="tx1"/>
                  </w14:solidFill>
                </w14:textFill>
              </w:rPr>
              <w:t>层建筑；国医堂病位于房综合楼东侧，为二层建筑；仓库位于园区东北角，为二层建筑；配电室、一般固废间、杂物仓库位于院区西北角，为二层建筑；危废间位于国医堂东侧，为一层建筑；污水处理站位于院区西南角，为地下建筑；园区出入口位于南侧，与外部道路新村西路相连通。</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项目具体布置情况见附图2。</w:t>
            </w:r>
          </w:p>
          <w:p>
            <w:pPr>
              <w:autoSpaceDE w:val="0"/>
              <w:autoSpaceDN w:val="0"/>
              <w:adjustRightInd w:val="0"/>
              <w:snapToGrid w:val="0"/>
              <w:spacing w:line="360" w:lineRule="auto"/>
              <w:ind w:firstLine="422" w:firstLineChars="200"/>
              <w:jc w:val="left"/>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10、环保投资</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本项目总投资2769.06万，环保投资30万，占工程总投资的1.1%，环保建设内容见下表。</w:t>
            </w:r>
          </w:p>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表2-</w:t>
            </w:r>
            <w:r>
              <w:rPr>
                <w:rFonts w:hint="eastAsia"/>
                <w:b/>
                <w:bCs/>
                <w:color w:val="000000" w:themeColor="text1"/>
                <w:kern w:val="0"/>
                <w:szCs w:val="21"/>
                <w14:textFill>
                  <w14:solidFill>
                    <w14:schemeClr w14:val="tx1"/>
                  </w14:solidFill>
                </w14:textFill>
              </w:rPr>
              <w:t>6</w:t>
            </w:r>
            <w:r>
              <w:rPr>
                <w:b/>
                <w:bCs/>
                <w:color w:val="000000" w:themeColor="text1"/>
                <w:kern w:val="0"/>
                <w:szCs w:val="21"/>
                <w14:textFill>
                  <w14:solidFill>
                    <w14:schemeClr w14:val="tx1"/>
                  </w14:solidFill>
                </w14:textFill>
              </w:rPr>
              <w:t xml:space="preserve">  工程环保设施（措施）及投资估算一览表</w:t>
            </w:r>
          </w:p>
          <w:tbl>
            <w:tblPr>
              <w:tblStyle w:val="2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54"/>
              <w:gridCol w:w="1164"/>
              <w:gridCol w:w="4048"/>
              <w:gridCol w:w="1390"/>
              <w:gridCol w:w="11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53"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序号</w:t>
                  </w:r>
                </w:p>
              </w:tc>
              <w:tc>
                <w:tcPr>
                  <w:tcW w:w="1161"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项目名称</w:t>
                  </w:r>
                </w:p>
              </w:tc>
              <w:tc>
                <w:tcPr>
                  <w:tcW w:w="4037"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处理方式</w:t>
                  </w:r>
                </w:p>
              </w:tc>
              <w:tc>
                <w:tcPr>
                  <w:tcW w:w="1386"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投资（万元）</w:t>
                  </w:r>
                </w:p>
              </w:tc>
              <w:tc>
                <w:tcPr>
                  <w:tcW w:w="1151"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三同时进度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53"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161"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废气</w:t>
                  </w:r>
                </w:p>
              </w:tc>
              <w:tc>
                <w:tcPr>
                  <w:tcW w:w="4037"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采用地埋式污水站，加盖密闭，投放除臭剂</w:t>
                  </w:r>
                </w:p>
              </w:tc>
              <w:tc>
                <w:tcPr>
                  <w:tcW w:w="1386"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151" w:type="dxa"/>
                  <w:vMerge w:val="restart"/>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与建设项目同时设计、同时施工、同时投产使用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53"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161"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噪声</w:t>
                  </w:r>
                </w:p>
              </w:tc>
              <w:tc>
                <w:tcPr>
                  <w:tcW w:w="4037"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隔声、减振</w:t>
                  </w:r>
                </w:p>
              </w:tc>
              <w:tc>
                <w:tcPr>
                  <w:tcW w:w="1386"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151" w:type="dxa"/>
                  <w:vMerge w:val="continue"/>
                  <w:vAlign w:val="center"/>
                </w:tcPr>
                <w:p>
                  <w:pPr>
                    <w:jc w:val="center"/>
                    <w:textAlignment w:val="baseline"/>
                    <w:rPr>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53"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161"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固废</w:t>
                  </w:r>
                </w:p>
              </w:tc>
              <w:tc>
                <w:tcPr>
                  <w:tcW w:w="4037"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一般工业固体废物及医疗废物收集、贮存及处理；防渗处理</w:t>
                  </w:r>
                </w:p>
              </w:tc>
              <w:tc>
                <w:tcPr>
                  <w:tcW w:w="1386"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151" w:type="dxa"/>
                  <w:vMerge w:val="continue"/>
                  <w:vAlign w:val="center"/>
                </w:tcPr>
                <w:p>
                  <w:pPr>
                    <w:jc w:val="center"/>
                    <w:textAlignment w:val="baseline"/>
                    <w:rPr>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53"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161"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废水</w:t>
                  </w:r>
                </w:p>
              </w:tc>
              <w:tc>
                <w:tcPr>
                  <w:tcW w:w="4037"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污水管网</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污水处理站建设及防渗处理</w:t>
                  </w:r>
                </w:p>
              </w:tc>
              <w:tc>
                <w:tcPr>
                  <w:tcW w:w="1386"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1151" w:type="dxa"/>
                  <w:vMerge w:val="continue"/>
                  <w:vAlign w:val="center"/>
                </w:tcPr>
                <w:p>
                  <w:pPr>
                    <w:jc w:val="center"/>
                    <w:textAlignment w:val="baseline"/>
                    <w:rPr>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53"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161"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合计</w:t>
                  </w:r>
                </w:p>
              </w:tc>
              <w:tc>
                <w:tcPr>
                  <w:tcW w:w="4037"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1386" w:type="dxa"/>
                  <w:vAlign w:val="center"/>
                </w:tcPr>
                <w:p>
                  <w:pPr>
                    <w:pStyle w:val="2"/>
                    <w:snapToGrid w:val="0"/>
                    <w:spacing w:before="24" w:after="24" w:line="240" w:lineRule="exact"/>
                    <w:ind w:left="0" w:leftChars="0" w:firstLine="0" w:firstLineChars="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1151" w:type="dxa"/>
                  <w:vMerge w:val="continue"/>
                  <w:vAlign w:val="center"/>
                </w:tcPr>
                <w:p>
                  <w:pPr>
                    <w:jc w:val="center"/>
                    <w:textAlignment w:val="baseline"/>
                    <w:rPr>
                      <w:color w:val="000000" w:themeColor="text1"/>
                      <w:szCs w:val="21"/>
                      <w14:textFill>
                        <w14:solidFill>
                          <w14:schemeClr w14:val="tx1"/>
                        </w14:solidFill>
                      </w14:textFill>
                    </w:rPr>
                  </w:pPr>
                </w:p>
              </w:tc>
            </w:tr>
          </w:tbl>
          <w:p>
            <w:pPr>
              <w:adjustRightInd w:val="0"/>
              <w:snapToGrid w:val="0"/>
              <w:rPr>
                <w:bCs/>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5" w:hRule="atLeast"/>
          <w:jc w:val="center"/>
        </w:trPr>
        <w:tc>
          <w:tcPr>
            <w:tcW w:w="233" w:type="pct"/>
            <w:vAlign w:val="center"/>
          </w:tcPr>
          <w:p>
            <w:pPr>
              <w:pStyle w:val="21"/>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工艺流程和产物环节</w:t>
            </w:r>
          </w:p>
          <w:p>
            <w:pPr>
              <w:pStyle w:val="21"/>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tc>
        <w:tc>
          <w:tcPr>
            <w:tcW w:w="4766" w:type="pct"/>
          </w:tcPr>
          <w:p>
            <w:pPr>
              <w:adjustRightInd w:val="0"/>
              <w:snapToGrid w:val="0"/>
              <w:spacing w:line="360" w:lineRule="auto"/>
              <w:rPr>
                <w:color w:val="000000" w:themeColor="text1"/>
                <w:szCs w:val="21"/>
                <w14:textFill>
                  <w14:solidFill>
                    <w14:schemeClr w14:val="tx1"/>
                  </w14:solidFill>
                </w14:textFill>
              </w:rPr>
            </w:pPr>
            <w:r>
              <w:rPr>
                <w:color w:val="000000" w:themeColor="text1"/>
                <w14:textFill>
                  <w14:solidFill>
                    <w14:schemeClr w14:val="tx1"/>
                  </w14:solidFill>
                </w14:textFill>
              </w:rPr>
              <w:t>1、工</w:t>
            </w:r>
            <w:r>
              <w:rPr>
                <w:color w:val="000000" w:themeColor="text1"/>
                <w:szCs w:val="21"/>
                <w14:textFill>
                  <w14:solidFill>
                    <w14:schemeClr w14:val="tx1"/>
                  </w14:solidFill>
                </w14:textFill>
              </w:rPr>
              <w:t>艺流程</w:t>
            </w:r>
          </w:p>
          <w:p>
            <w:pPr>
              <w:autoSpaceDE w:val="0"/>
              <w:autoSpaceDN w:val="0"/>
              <w:adjustRightInd w:val="0"/>
              <w:snapToGrid w:val="0"/>
              <w:spacing w:line="360" w:lineRule="auto"/>
              <w:ind w:firstLine="422" w:firstLineChars="200"/>
              <w:jc w:val="left"/>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（1）就医流程</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项目运营期主要对病人进行医治，具体内容为：病人进入医院挂号后经医生诊断病情，并根据病情进行治疗，缴费取药后治疗，如有需要则住院治疗。具体工艺流程及主要产污情况见图4。</w:t>
            </w:r>
          </w:p>
          <w:p>
            <w:pPr>
              <w:adjustRightInd w:val="0"/>
              <w:snapToGrid w:val="0"/>
              <w:jc w:val="center"/>
              <w:rPr>
                <w:b/>
                <w:color w:val="000000" w:themeColor="text1"/>
                <w14:textFill>
                  <w14:solidFill>
                    <w14:schemeClr w14:val="tx1"/>
                  </w14:solidFill>
                </w14:textFill>
              </w:rPr>
            </w:pPr>
            <w:r>
              <w:rPr>
                <w:color w:val="000000" w:themeColor="text1"/>
                <w14:textFill>
                  <w14:solidFill>
                    <w14:schemeClr w14:val="tx1"/>
                  </w14:solidFill>
                </w14:textFill>
              </w:rPr>
              <w:object>
                <v:shape id="_x0000_i1026" o:spt="75" type="#_x0000_t75" style="height:284.3pt;width:424.1pt;" o:ole="t" filled="f" o:preferrelative="t" stroked="f" coordsize="21600,21600">
                  <v:path/>
                  <v:fill on="f" focussize="0,0"/>
                  <v:stroke on="f" joinstyle="miter"/>
                  <v:imagedata r:id="rId10" o:title=""/>
                  <o:lock v:ext="edit" aspectratio="t"/>
                  <w10:wrap type="none"/>
                  <w10:anchorlock/>
                </v:shape>
                <o:OLEObject Type="Embed" ProgID="Visio.Drawing.11" ShapeID="_x0000_i1026" DrawAspect="Content" ObjectID="_1468075726" r:id="rId9">
                  <o:LockedField>false</o:LockedField>
                </o:OLEObject>
              </w:object>
            </w:r>
            <w:r>
              <w:rPr>
                <w:b/>
                <w:color w:val="000000" w:themeColor="text1"/>
                <w14:textFill>
                  <w14:solidFill>
                    <w14:schemeClr w14:val="tx1"/>
                  </w14:solidFill>
                </w14:textFill>
              </w:rPr>
              <w:t>图2-2  项目运营期工艺流程及产污环节图</w:t>
            </w:r>
          </w:p>
          <w:p>
            <w:pPr>
              <w:autoSpaceDE w:val="0"/>
              <w:autoSpaceDN w:val="0"/>
              <w:adjustRightInd w:val="0"/>
              <w:snapToGrid w:val="0"/>
              <w:spacing w:line="360" w:lineRule="auto"/>
              <w:ind w:firstLine="422" w:firstLineChars="200"/>
              <w:jc w:val="left"/>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（1）工艺流程简述</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本项目为社会服务项目，非生产性项目，运营期为口腔科诊疗服务，主要流程入下：病患者来门诊部就医挂号咨询后接受检查和诊断，包括检查口唇、口腔黏膜、牙齿、牙周等相关情况，重点关注与病人陈述有关的口腔部位。不需要治疗的患者取药后即可离院；需要治疗的患者进行治疗、手术，主要包括根管治疗填充术、牙拔除术、牙种植术、固定矫治术等口腔治疗过程。患者完成治疗、手术后即可取药离院；如患者需要住院治疗，则安排住院登记手续，待康复即可取药离院。</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本项目所使用的补牙材料不含汞、铬等重金属元素，无重金属污染问题。</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本项目不开设传染病科，不设置动物及生物实验室、煎药室等。</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有关放射性医疗设备对环境的影响，需例行申报，不在本次评价范围内。</w:t>
            </w:r>
          </w:p>
          <w:p>
            <w:pPr>
              <w:autoSpaceDE w:val="0"/>
              <w:autoSpaceDN w:val="0"/>
              <w:adjustRightInd w:val="0"/>
              <w:snapToGrid w:val="0"/>
              <w:spacing w:line="360" w:lineRule="auto"/>
              <w:ind w:firstLine="422" w:firstLineChars="200"/>
              <w:jc w:val="left"/>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（3）产污环节</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产污环节见下表。</w:t>
            </w:r>
          </w:p>
          <w:p>
            <w:pPr>
              <w:jc w:val="center"/>
              <w:rPr>
                <w:rStyle w:val="68"/>
                <w:rFonts w:hint="default" w:ascii="Times New Roman" w:hAnsi="Times New Roman" w:eastAsia="宋体" w:cs="Times New Roman"/>
                <w:color w:val="000000" w:themeColor="text1"/>
                <w:sz w:val="21"/>
                <w:szCs w:val="21"/>
                <w:lang w:bidi="ar"/>
                <w14:textFill>
                  <w14:solidFill>
                    <w14:schemeClr w14:val="tx1"/>
                  </w14:solidFill>
                </w14:textFill>
              </w:rPr>
            </w:pPr>
            <w:r>
              <w:rPr>
                <w:rStyle w:val="68"/>
                <w:rFonts w:hint="default" w:ascii="Times New Roman" w:hAnsi="Times New Roman" w:eastAsia="宋体" w:cs="Times New Roman"/>
                <w:color w:val="000000" w:themeColor="text1"/>
                <w:sz w:val="21"/>
                <w:szCs w:val="21"/>
                <w:lang w:bidi="ar"/>
                <w14:textFill>
                  <w14:solidFill>
                    <w14:schemeClr w14:val="tx1"/>
                  </w14:solidFill>
                </w14:textFill>
              </w:rPr>
              <w:t>表2-7  产污环节一览表</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7"/>
              <w:gridCol w:w="1537"/>
              <w:gridCol w:w="1717"/>
              <w:gridCol w:w="1221"/>
              <w:gridCol w:w="1759"/>
              <w:gridCol w:w="788"/>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类别</w:t>
                  </w:r>
                </w:p>
              </w:tc>
              <w:tc>
                <w:tcPr>
                  <w:tcW w:w="1935" w:type="pct"/>
                  <w:gridSpan w:val="2"/>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产污环节</w:t>
                  </w:r>
                </w:p>
              </w:tc>
              <w:tc>
                <w:tcPr>
                  <w:tcW w:w="726"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污染物</w:t>
                  </w:r>
                </w:p>
              </w:tc>
              <w:tc>
                <w:tcPr>
                  <w:tcW w:w="1046"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治理措施</w:t>
                  </w:r>
                </w:p>
              </w:tc>
              <w:tc>
                <w:tcPr>
                  <w:tcW w:w="468"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排放口</w:t>
                  </w:r>
                </w:p>
              </w:tc>
              <w:tc>
                <w:tcPr>
                  <w:tcW w:w="587"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废气</w:t>
                  </w:r>
                </w:p>
              </w:tc>
              <w:tc>
                <w:tcPr>
                  <w:tcW w:w="914"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污水处理站</w:t>
                  </w:r>
                </w:p>
              </w:tc>
              <w:tc>
                <w:tcPr>
                  <w:tcW w:w="1021"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无组织</w:t>
                  </w:r>
                </w:p>
              </w:tc>
              <w:tc>
                <w:tcPr>
                  <w:tcW w:w="726"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NH</w:t>
                  </w:r>
                  <w:r>
                    <w:rPr>
                      <w:color w:val="000000" w:themeColor="text1"/>
                      <w:sz w:val="18"/>
                      <w:szCs w:val="18"/>
                      <w:vertAlign w:val="subscript"/>
                      <w14:textFill>
                        <w14:solidFill>
                          <w14:schemeClr w14:val="tx1"/>
                        </w14:solidFill>
                      </w14:textFill>
                    </w:rPr>
                    <w:t>3</w:t>
                  </w:r>
                  <w:r>
                    <w:rPr>
                      <w:color w:val="000000" w:themeColor="text1"/>
                      <w:sz w:val="18"/>
                      <w:szCs w:val="18"/>
                      <w14:textFill>
                        <w14:solidFill>
                          <w14:schemeClr w14:val="tx1"/>
                        </w14:solidFill>
                      </w14:textFill>
                    </w:rPr>
                    <w:t>、H</w:t>
                  </w:r>
                  <w:r>
                    <w:rPr>
                      <w:color w:val="000000" w:themeColor="text1"/>
                      <w:sz w:val="18"/>
                      <w:szCs w:val="18"/>
                      <w:vertAlign w:val="subscript"/>
                      <w14:textFill>
                        <w14:solidFill>
                          <w14:schemeClr w14:val="tx1"/>
                        </w14:solidFill>
                      </w14:textFill>
                    </w:rPr>
                    <w:t>2</w:t>
                  </w:r>
                  <w:r>
                    <w:rPr>
                      <w:color w:val="000000" w:themeColor="text1"/>
                      <w:sz w:val="18"/>
                      <w:szCs w:val="18"/>
                      <w14:textFill>
                        <w14:solidFill>
                          <w14:schemeClr w14:val="tx1"/>
                        </w14:solidFill>
                      </w14:textFill>
                    </w:rPr>
                    <w:t>S、臭气浓度等</w:t>
                  </w:r>
                </w:p>
              </w:tc>
              <w:tc>
                <w:tcPr>
                  <w:tcW w:w="1046"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地埋式污水站</w:t>
                  </w:r>
                </w:p>
              </w:tc>
              <w:tc>
                <w:tcPr>
                  <w:tcW w:w="468"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无组织排放</w:t>
                  </w:r>
                </w:p>
              </w:tc>
              <w:tc>
                <w:tcPr>
                  <w:tcW w:w="587"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 w:type="pct"/>
                  <w:vMerge w:val="restart"/>
                  <w:vAlign w:val="center"/>
                </w:tcPr>
                <w:p>
                  <w:pPr>
                    <w:adjustRightIn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废水</w:t>
                  </w:r>
                </w:p>
              </w:tc>
              <w:tc>
                <w:tcPr>
                  <w:tcW w:w="1935" w:type="pct"/>
                  <w:gridSpan w:val="2"/>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医务人员生活污水</w:t>
                  </w:r>
                </w:p>
              </w:tc>
              <w:tc>
                <w:tcPr>
                  <w:tcW w:w="726" w:type="pct"/>
                  <w:vMerge w:val="restar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CODcr、BOD</w:t>
                  </w:r>
                  <w:r>
                    <w:rPr>
                      <w:color w:val="000000" w:themeColor="text1"/>
                      <w:sz w:val="18"/>
                      <w:szCs w:val="18"/>
                      <w:vertAlign w:val="subscript"/>
                      <w14:textFill>
                        <w14:solidFill>
                          <w14:schemeClr w14:val="tx1"/>
                        </w14:solidFill>
                      </w14:textFill>
                    </w:rPr>
                    <w:t>5</w:t>
                  </w:r>
                  <w:r>
                    <w:rPr>
                      <w:color w:val="000000" w:themeColor="text1"/>
                      <w:sz w:val="18"/>
                      <w:szCs w:val="18"/>
                      <w14:textFill>
                        <w14:solidFill>
                          <w14:schemeClr w14:val="tx1"/>
                        </w14:solidFill>
                      </w14:textFill>
                    </w:rPr>
                    <w:t xml:space="preserve"> 、氨氮、SS</w:t>
                  </w:r>
                  <w:r>
                    <w:rPr>
                      <w:rFonts w:hint="eastAsia"/>
                      <w:color w:val="000000" w:themeColor="text1"/>
                      <w:sz w:val="18"/>
                      <w:szCs w:val="18"/>
                      <w14:textFill>
                        <w14:solidFill>
                          <w14:schemeClr w14:val="tx1"/>
                        </w14:solidFill>
                      </w14:textFill>
                    </w:rPr>
                    <w:t>、粪</w:t>
                  </w:r>
                  <w:r>
                    <w:rPr>
                      <w:color w:val="000000" w:themeColor="text1"/>
                      <w:sz w:val="18"/>
                      <w:szCs w:val="18"/>
                      <w14:textFill>
                        <w14:solidFill>
                          <w14:schemeClr w14:val="tx1"/>
                        </w14:solidFill>
                      </w14:textFill>
                    </w:rPr>
                    <w:t>大肠菌群</w:t>
                  </w:r>
                  <w:r>
                    <w:rPr>
                      <w:rFonts w:hint="eastAsia"/>
                      <w:color w:val="000000" w:themeColor="text1"/>
                      <w:sz w:val="18"/>
                      <w:szCs w:val="18"/>
                      <w14:textFill>
                        <w14:solidFill>
                          <w14:schemeClr w14:val="tx1"/>
                        </w14:solidFill>
                      </w14:textFill>
                    </w:rPr>
                    <w:t>、总磷、阴离子表面活性剂、余氯、氟化物等</w:t>
                  </w:r>
                </w:p>
              </w:tc>
              <w:tc>
                <w:tcPr>
                  <w:tcW w:w="1046" w:type="pct"/>
                  <w:vMerge w:val="restar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厂区内设置污水处理站，采用“格栅+调节池+水解酸化池+接触氧化池+沉淀池+消毒池”工艺</w:t>
                  </w:r>
                </w:p>
              </w:tc>
              <w:tc>
                <w:tcPr>
                  <w:tcW w:w="468" w:type="pct"/>
                  <w:vMerge w:val="restar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DW001</w:t>
                  </w:r>
                </w:p>
              </w:tc>
              <w:tc>
                <w:tcPr>
                  <w:tcW w:w="587" w:type="pct"/>
                  <w:vMerge w:val="restar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 w:type="pct"/>
                  <w:vMerge w:val="continue"/>
                  <w:vAlign w:val="center"/>
                </w:tcPr>
                <w:p>
                  <w:pPr>
                    <w:adjustRightInd w:val="0"/>
                    <w:rPr>
                      <w:color w:val="000000" w:themeColor="text1"/>
                      <w:sz w:val="18"/>
                      <w:szCs w:val="18"/>
                      <w14:textFill>
                        <w14:solidFill>
                          <w14:schemeClr w14:val="tx1"/>
                        </w14:solidFill>
                      </w14:textFill>
                    </w:rPr>
                  </w:pPr>
                </w:p>
              </w:tc>
              <w:tc>
                <w:tcPr>
                  <w:tcW w:w="1935" w:type="pct"/>
                  <w:gridSpan w:val="2"/>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病房医疗废水</w:t>
                  </w:r>
                </w:p>
              </w:tc>
              <w:tc>
                <w:tcPr>
                  <w:tcW w:w="726" w:type="pct"/>
                  <w:vMerge w:val="continue"/>
                  <w:vAlign w:val="center"/>
                </w:tcPr>
                <w:p>
                  <w:pPr>
                    <w:adjustRightInd w:val="0"/>
                    <w:jc w:val="center"/>
                    <w:rPr>
                      <w:color w:val="000000" w:themeColor="text1"/>
                      <w:sz w:val="18"/>
                      <w:szCs w:val="18"/>
                      <w14:textFill>
                        <w14:solidFill>
                          <w14:schemeClr w14:val="tx1"/>
                        </w14:solidFill>
                      </w14:textFill>
                    </w:rPr>
                  </w:pPr>
                </w:p>
              </w:tc>
              <w:tc>
                <w:tcPr>
                  <w:tcW w:w="1046" w:type="pct"/>
                  <w:vMerge w:val="continue"/>
                  <w:vAlign w:val="center"/>
                </w:tcPr>
                <w:p>
                  <w:pPr>
                    <w:adjustRightInd w:val="0"/>
                    <w:jc w:val="center"/>
                    <w:rPr>
                      <w:color w:val="000000" w:themeColor="text1"/>
                      <w:sz w:val="18"/>
                      <w:szCs w:val="18"/>
                      <w14:textFill>
                        <w14:solidFill>
                          <w14:schemeClr w14:val="tx1"/>
                        </w14:solidFill>
                      </w14:textFill>
                    </w:rPr>
                  </w:pPr>
                </w:p>
              </w:tc>
              <w:tc>
                <w:tcPr>
                  <w:tcW w:w="468" w:type="pct"/>
                  <w:vMerge w:val="continue"/>
                  <w:vAlign w:val="center"/>
                </w:tcPr>
                <w:p>
                  <w:pPr>
                    <w:adjustRightInd w:val="0"/>
                    <w:jc w:val="center"/>
                    <w:rPr>
                      <w:color w:val="000000" w:themeColor="text1"/>
                      <w:sz w:val="18"/>
                      <w:szCs w:val="18"/>
                      <w14:textFill>
                        <w14:solidFill>
                          <w14:schemeClr w14:val="tx1"/>
                        </w14:solidFill>
                      </w14:textFill>
                    </w:rPr>
                  </w:pPr>
                </w:p>
              </w:tc>
              <w:tc>
                <w:tcPr>
                  <w:tcW w:w="587" w:type="pct"/>
                  <w:vMerge w:val="continue"/>
                  <w:vAlign w:val="center"/>
                </w:tcPr>
                <w:p>
                  <w:pPr>
                    <w:adjustRightIn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 w:type="pct"/>
                  <w:vMerge w:val="continue"/>
                  <w:vAlign w:val="center"/>
                </w:tcPr>
                <w:p>
                  <w:pPr>
                    <w:adjustRightInd w:val="0"/>
                    <w:rPr>
                      <w:color w:val="000000" w:themeColor="text1"/>
                      <w:sz w:val="18"/>
                      <w:szCs w:val="18"/>
                      <w14:textFill>
                        <w14:solidFill>
                          <w14:schemeClr w14:val="tx1"/>
                        </w14:solidFill>
                      </w14:textFill>
                    </w:rPr>
                  </w:pPr>
                </w:p>
              </w:tc>
              <w:tc>
                <w:tcPr>
                  <w:tcW w:w="1935" w:type="pct"/>
                  <w:gridSpan w:val="2"/>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门诊医疗废水</w:t>
                  </w:r>
                </w:p>
              </w:tc>
              <w:tc>
                <w:tcPr>
                  <w:tcW w:w="726" w:type="pct"/>
                  <w:vMerge w:val="continue"/>
                  <w:vAlign w:val="center"/>
                </w:tcPr>
                <w:p>
                  <w:pPr>
                    <w:adjustRightInd w:val="0"/>
                    <w:jc w:val="center"/>
                    <w:rPr>
                      <w:color w:val="000000" w:themeColor="text1"/>
                      <w:sz w:val="18"/>
                      <w:szCs w:val="18"/>
                      <w14:textFill>
                        <w14:solidFill>
                          <w14:schemeClr w14:val="tx1"/>
                        </w14:solidFill>
                      </w14:textFill>
                    </w:rPr>
                  </w:pPr>
                </w:p>
              </w:tc>
              <w:tc>
                <w:tcPr>
                  <w:tcW w:w="1046" w:type="pct"/>
                  <w:vMerge w:val="continue"/>
                  <w:vAlign w:val="center"/>
                </w:tcPr>
                <w:p>
                  <w:pPr>
                    <w:adjustRightInd w:val="0"/>
                    <w:jc w:val="center"/>
                    <w:rPr>
                      <w:color w:val="000000" w:themeColor="text1"/>
                      <w:sz w:val="18"/>
                      <w:szCs w:val="18"/>
                      <w14:textFill>
                        <w14:solidFill>
                          <w14:schemeClr w14:val="tx1"/>
                        </w14:solidFill>
                      </w14:textFill>
                    </w:rPr>
                  </w:pPr>
                </w:p>
              </w:tc>
              <w:tc>
                <w:tcPr>
                  <w:tcW w:w="468" w:type="pct"/>
                  <w:vMerge w:val="continue"/>
                  <w:vAlign w:val="center"/>
                </w:tcPr>
                <w:p>
                  <w:pPr>
                    <w:adjustRightInd w:val="0"/>
                    <w:jc w:val="center"/>
                    <w:rPr>
                      <w:color w:val="000000" w:themeColor="text1"/>
                      <w:sz w:val="18"/>
                      <w:szCs w:val="18"/>
                      <w14:textFill>
                        <w14:solidFill>
                          <w14:schemeClr w14:val="tx1"/>
                        </w14:solidFill>
                      </w14:textFill>
                    </w:rPr>
                  </w:pPr>
                </w:p>
              </w:tc>
              <w:tc>
                <w:tcPr>
                  <w:tcW w:w="587" w:type="pct"/>
                  <w:vMerge w:val="continue"/>
                  <w:vAlign w:val="center"/>
                </w:tcPr>
                <w:p>
                  <w:pPr>
                    <w:adjustRightIn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 w:type="pct"/>
                  <w:vMerge w:val="continue"/>
                  <w:vAlign w:val="center"/>
                </w:tcPr>
                <w:p>
                  <w:pPr>
                    <w:adjustRightInd w:val="0"/>
                    <w:rPr>
                      <w:color w:val="000000" w:themeColor="text1"/>
                      <w:sz w:val="18"/>
                      <w:szCs w:val="18"/>
                      <w14:textFill>
                        <w14:solidFill>
                          <w14:schemeClr w14:val="tx1"/>
                        </w14:solidFill>
                      </w14:textFill>
                    </w:rPr>
                  </w:pPr>
                </w:p>
              </w:tc>
              <w:tc>
                <w:tcPr>
                  <w:tcW w:w="1935" w:type="pct"/>
                  <w:gridSpan w:val="2"/>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洗衣房废水</w:t>
                  </w:r>
                </w:p>
              </w:tc>
              <w:tc>
                <w:tcPr>
                  <w:tcW w:w="726" w:type="pct"/>
                  <w:vMerge w:val="continue"/>
                  <w:vAlign w:val="center"/>
                </w:tcPr>
                <w:p>
                  <w:pPr>
                    <w:adjustRightInd w:val="0"/>
                    <w:jc w:val="center"/>
                    <w:rPr>
                      <w:color w:val="000000" w:themeColor="text1"/>
                      <w:sz w:val="18"/>
                      <w:szCs w:val="18"/>
                      <w14:textFill>
                        <w14:solidFill>
                          <w14:schemeClr w14:val="tx1"/>
                        </w14:solidFill>
                      </w14:textFill>
                    </w:rPr>
                  </w:pPr>
                </w:p>
              </w:tc>
              <w:tc>
                <w:tcPr>
                  <w:tcW w:w="1046" w:type="pct"/>
                  <w:vMerge w:val="continue"/>
                  <w:vAlign w:val="center"/>
                </w:tcPr>
                <w:p>
                  <w:pPr>
                    <w:adjustRightInd w:val="0"/>
                    <w:jc w:val="center"/>
                    <w:rPr>
                      <w:color w:val="000000" w:themeColor="text1"/>
                      <w:sz w:val="18"/>
                      <w:szCs w:val="18"/>
                      <w14:textFill>
                        <w14:solidFill>
                          <w14:schemeClr w14:val="tx1"/>
                        </w14:solidFill>
                      </w14:textFill>
                    </w:rPr>
                  </w:pPr>
                </w:p>
              </w:tc>
              <w:tc>
                <w:tcPr>
                  <w:tcW w:w="468" w:type="pct"/>
                  <w:vMerge w:val="continue"/>
                  <w:vAlign w:val="center"/>
                </w:tcPr>
                <w:p>
                  <w:pPr>
                    <w:adjustRightInd w:val="0"/>
                    <w:jc w:val="center"/>
                    <w:rPr>
                      <w:color w:val="000000" w:themeColor="text1"/>
                      <w:sz w:val="18"/>
                      <w:szCs w:val="18"/>
                      <w14:textFill>
                        <w14:solidFill>
                          <w14:schemeClr w14:val="tx1"/>
                        </w14:solidFill>
                      </w14:textFill>
                    </w:rPr>
                  </w:pPr>
                </w:p>
              </w:tc>
              <w:tc>
                <w:tcPr>
                  <w:tcW w:w="587" w:type="pct"/>
                  <w:vMerge w:val="continue"/>
                  <w:vAlign w:val="center"/>
                </w:tcPr>
                <w:p>
                  <w:pPr>
                    <w:adjustRightIn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 w:type="pct"/>
                  <w:vMerge w:val="continue"/>
                  <w:vAlign w:val="center"/>
                </w:tcPr>
                <w:p>
                  <w:pPr>
                    <w:adjustRightInd w:val="0"/>
                    <w:rPr>
                      <w:color w:val="000000" w:themeColor="text1"/>
                      <w:sz w:val="18"/>
                      <w:szCs w:val="18"/>
                      <w14:textFill>
                        <w14:solidFill>
                          <w14:schemeClr w14:val="tx1"/>
                        </w14:solidFill>
                      </w14:textFill>
                    </w:rPr>
                  </w:pPr>
                </w:p>
              </w:tc>
              <w:tc>
                <w:tcPr>
                  <w:tcW w:w="1935" w:type="pct"/>
                  <w:gridSpan w:val="2"/>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牙椅医疗废水</w:t>
                  </w:r>
                </w:p>
              </w:tc>
              <w:tc>
                <w:tcPr>
                  <w:tcW w:w="726" w:type="pct"/>
                  <w:vMerge w:val="continue"/>
                  <w:vAlign w:val="center"/>
                </w:tcPr>
                <w:p>
                  <w:pPr>
                    <w:adjustRightInd w:val="0"/>
                    <w:jc w:val="center"/>
                    <w:rPr>
                      <w:color w:val="000000" w:themeColor="text1"/>
                      <w:sz w:val="18"/>
                      <w:szCs w:val="18"/>
                      <w14:textFill>
                        <w14:solidFill>
                          <w14:schemeClr w14:val="tx1"/>
                        </w14:solidFill>
                      </w14:textFill>
                    </w:rPr>
                  </w:pPr>
                </w:p>
              </w:tc>
              <w:tc>
                <w:tcPr>
                  <w:tcW w:w="1046" w:type="pct"/>
                  <w:vMerge w:val="continue"/>
                  <w:vAlign w:val="center"/>
                </w:tcPr>
                <w:p>
                  <w:pPr>
                    <w:adjustRightInd w:val="0"/>
                    <w:jc w:val="center"/>
                    <w:rPr>
                      <w:color w:val="000000" w:themeColor="text1"/>
                      <w:sz w:val="18"/>
                      <w:szCs w:val="18"/>
                      <w14:textFill>
                        <w14:solidFill>
                          <w14:schemeClr w14:val="tx1"/>
                        </w14:solidFill>
                      </w14:textFill>
                    </w:rPr>
                  </w:pPr>
                </w:p>
              </w:tc>
              <w:tc>
                <w:tcPr>
                  <w:tcW w:w="468" w:type="pct"/>
                  <w:vMerge w:val="continue"/>
                  <w:vAlign w:val="center"/>
                </w:tcPr>
                <w:p>
                  <w:pPr>
                    <w:adjustRightInd w:val="0"/>
                    <w:jc w:val="center"/>
                    <w:rPr>
                      <w:color w:val="000000" w:themeColor="text1"/>
                      <w:sz w:val="18"/>
                      <w:szCs w:val="18"/>
                      <w14:textFill>
                        <w14:solidFill>
                          <w14:schemeClr w14:val="tx1"/>
                        </w14:solidFill>
                      </w14:textFill>
                    </w:rPr>
                  </w:pPr>
                </w:p>
              </w:tc>
              <w:tc>
                <w:tcPr>
                  <w:tcW w:w="587" w:type="pct"/>
                  <w:vMerge w:val="continue"/>
                  <w:vAlign w:val="center"/>
                </w:tcPr>
                <w:p>
                  <w:pPr>
                    <w:adjustRightIn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 w:type="pct"/>
                  <w:vMerge w:val="continue"/>
                  <w:vAlign w:val="center"/>
                </w:tcPr>
                <w:p>
                  <w:pPr>
                    <w:adjustRightInd w:val="0"/>
                    <w:rPr>
                      <w:color w:val="000000" w:themeColor="text1"/>
                      <w:sz w:val="18"/>
                      <w:szCs w:val="18"/>
                      <w14:textFill>
                        <w14:solidFill>
                          <w14:schemeClr w14:val="tx1"/>
                        </w14:solidFill>
                      </w14:textFill>
                    </w:rPr>
                  </w:pPr>
                </w:p>
              </w:tc>
              <w:tc>
                <w:tcPr>
                  <w:tcW w:w="1935" w:type="pct"/>
                  <w:gridSpan w:val="2"/>
                  <w:vAlign w:val="center"/>
                </w:tcPr>
                <w:p>
                  <w:pPr>
                    <w:adjustRightIn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清洁消毒用水</w:t>
                  </w:r>
                </w:p>
              </w:tc>
              <w:tc>
                <w:tcPr>
                  <w:tcW w:w="726" w:type="pct"/>
                  <w:vMerge w:val="continue"/>
                  <w:vAlign w:val="center"/>
                </w:tcPr>
                <w:p>
                  <w:pPr>
                    <w:adjustRightInd w:val="0"/>
                    <w:jc w:val="center"/>
                    <w:rPr>
                      <w:color w:val="000000" w:themeColor="text1"/>
                      <w:sz w:val="18"/>
                      <w:szCs w:val="18"/>
                      <w14:textFill>
                        <w14:solidFill>
                          <w14:schemeClr w14:val="tx1"/>
                        </w14:solidFill>
                      </w14:textFill>
                    </w:rPr>
                  </w:pPr>
                </w:p>
              </w:tc>
              <w:tc>
                <w:tcPr>
                  <w:tcW w:w="1046" w:type="pct"/>
                  <w:vMerge w:val="continue"/>
                  <w:vAlign w:val="center"/>
                </w:tcPr>
                <w:p>
                  <w:pPr>
                    <w:adjustRightInd w:val="0"/>
                    <w:jc w:val="center"/>
                    <w:rPr>
                      <w:color w:val="000000" w:themeColor="text1"/>
                      <w:sz w:val="18"/>
                      <w:szCs w:val="18"/>
                      <w14:textFill>
                        <w14:solidFill>
                          <w14:schemeClr w14:val="tx1"/>
                        </w14:solidFill>
                      </w14:textFill>
                    </w:rPr>
                  </w:pPr>
                </w:p>
              </w:tc>
              <w:tc>
                <w:tcPr>
                  <w:tcW w:w="468" w:type="pct"/>
                  <w:vMerge w:val="continue"/>
                  <w:vAlign w:val="center"/>
                </w:tcPr>
                <w:p>
                  <w:pPr>
                    <w:adjustRightInd w:val="0"/>
                    <w:jc w:val="center"/>
                    <w:rPr>
                      <w:color w:val="000000" w:themeColor="text1"/>
                      <w:sz w:val="18"/>
                      <w:szCs w:val="18"/>
                      <w14:textFill>
                        <w14:solidFill>
                          <w14:schemeClr w14:val="tx1"/>
                        </w14:solidFill>
                      </w14:textFill>
                    </w:rPr>
                  </w:pPr>
                </w:p>
              </w:tc>
              <w:tc>
                <w:tcPr>
                  <w:tcW w:w="587" w:type="pct"/>
                  <w:vMerge w:val="continue"/>
                  <w:vAlign w:val="center"/>
                </w:tcPr>
                <w:p>
                  <w:pPr>
                    <w:adjustRightIn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 w:type="pct"/>
                  <w:vMerge w:val="restar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固废</w:t>
                  </w:r>
                </w:p>
              </w:tc>
              <w:tc>
                <w:tcPr>
                  <w:tcW w:w="1935" w:type="pct"/>
                  <w:gridSpan w:val="2"/>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医疗过程</w:t>
                  </w:r>
                </w:p>
              </w:tc>
              <w:tc>
                <w:tcPr>
                  <w:tcW w:w="726"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废包装材料</w:t>
                  </w:r>
                </w:p>
              </w:tc>
              <w:tc>
                <w:tcPr>
                  <w:tcW w:w="1514" w:type="pct"/>
                  <w:gridSpan w:val="2"/>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集中收集外售综合利用</w:t>
                  </w:r>
                </w:p>
              </w:tc>
              <w:tc>
                <w:tcPr>
                  <w:tcW w:w="587"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 w:type="pct"/>
                  <w:vMerge w:val="continue"/>
                  <w:vAlign w:val="center"/>
                </w:tcPr>
                <w:p>
                  <w:pPr>
                    <w:adjustRightInd w:val="0"/>
                    <w:jc w:val="center"/>
                    <w:rPr>
                      <w:color w:val="000000" w:themeColor="text1"/>
                      <w:sz w:val="18"/>
                      <w:szCs w:val="18"/>
                      <w14:textFill>
                        <w14:solidFill>
                          <w14:schemeClr w14:val="tx1"/>
                        </w14:solidFill>
                      </w14:textFill>
                    </w:rPr>
                  </w:pPr>
                </w:p>
              </w:tc>
              <w:tc>
                <w:tcPr>
                  <w:tcW w:w="1935" w:type="pct"/>
                  <w:gridSpan w:val="2"/>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医疗过程</w:t>
                  </w:r>
                </w:p>
              </w:tc>
              <w:tc>
                <w:tcPr>
                  <w:tcW w:w="726"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医疗废物</w:t>
                  </w:r>
                </w:p>
              </w:tc>
              <w:tc>
                <w:tcPr>
                  <w:tcW w:w="1514" w:type="pct"/>
                  <w:gridSpan w:val="2"/>
                  <w:vMerge w:val="restar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危废间暂存后，委托有资质单位处置</w:t>
                  </w:r>
                </w:p>
              </w:tc>
              <w:tc>
                <w:tcPr>
                  <w:tcW w:w="587"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 w:type="pct"/>
                  <w:vMerge w:val="continue"/>
                  <w:vAlign w:val="center"/>
                </w:tcPr>
                <w:p>
                  <w:pPr>
                    <w:adjustRightInd w:val="0"/>
                    <w:jc w:val="center"/>
                    <w:rPr>
                      <w:color w:val="000000" w:themeColor="text1"/>
                      <w:sz w:val="18"/>
                      <w:szCs w:val="18"/>
                      <w14:textFill>
                        <w14:solidFill>
                          <w14:schemeClr w14:val="tx1"/>
                        </w14:solidFill>
                      </w14:textFill>
                    </w:rPr>
                  </w:pPr>
                </w:p>
              </w:tc>
              <w:tc>
                <w:tcPr>
                  <w:tcW w:w="1935" w:type="pct"/>
                  <w:gridSpan w:val="2"/>
                  <w:vMerge w:val="restar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污水处理站</w:t>
                  </w:r>
                </w:p>
              </w:tc>
              <w:tc>
                <w:tcPr>
                  <w:tcW w:w="726"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栅渣</w:t>
                  </w:r>
                </w:p>
              </w:tc>
              <w:tc>
                <w:tcPr>
                  <w:tcW w:w="1514" w:type="pct"/>
                  <w:gridSpan w:val="2"/>
                  <w:vMerge w:val="continue"/>
                  <w:vAlign w:val="center"/>
                </w:tcPr>
                <w:p>
                  <w:pPr>
                    <w:adjustRightInd w:val="0"/>
                    <w:jc w:val="center"/>
                    <w:rPr>
                      <w:color w:val="000000" w:themeColor="text1"/>
                      <w:sz w:val="18"/>
                      <w:szCs w:val="18"/>
                      <w14:textFill>
                        <w14:solidFill>
                          <w14:schemeClr w14:val="tx1"/>
                        </w14:solidFill>
                      </w14:textFill>
                    </w:rPr>
                  </w:pPr>
                </w:p>
              </w:tc>
              <w:tc>
                <w:tcPr>
                  <w:tcW w:w="587"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 w:type="pct"/>
                  <w:vMerge w:val="continue"/>
                  <w:vAlign w:val="center"/>
                </w:tcPr>
                <w:p>
                  <w:pPr>
                    <w:adjustRightInd w:val="0"/>
                    <w:jc w:val="center"/>
                    <w:rPr>
                      <w:color w:val="000000" w:themeColor="text1"/>
                      <w:sz w:val="18"/>
                      <w:szCs w:val="18"/>
                      <w14:textFill>
                        <w14:solidFill>
                          <w14:schemeClr w14:val="tx1"/>
                        </w14:solidFill>
                      </w14:textFill>
                    </w:rPr>
                  </w:pPr>
                </w:p>
              </w:tc>
              <w:tc>
                <w:tcPr>
                  <w:tcW w:w="1935" w:type="pct"/>
                  <w:gridSpan w:val="2"/>
                  <w:vMerge w:val="continue"/>
                  <w:vAlign w:val="center"/>
                </w:tcPr>
                <w:p>
                  <w:pPr>
                    <w:adjustRightInd w:val="0"/>
                    <w:jc w:val="center"/>
                    <w:rPr>
                      <w:color w:val="000000" w:themeColor="text1"/>
                      <w:sz w:val="18"/>
                      <w:szCs w:val="18"/>
                      <w14:textFill>
                        <w14:solidFill>
                          <w14:schemeClr w14:val="tx1"/>
                        </w14:solidFill>
                      </w14:textFill>
                    </w:rPr>
                  </w:pPr>
                </w:p>
              </w:tc>
              <w:tc>
                <w:tcPr>
                  <w:tcW w:w="726"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污泥</w:t>
                  </w:r>
                </w:p>
              </w:tc>
              <w:tc>
                <w:tcPr>
                  <w:tcW w:w="1514" w:type="pct"/>
                  <w:gridSpan w:val="2"/>
                  <w:vMerge w:val="continue"/>
                  <w:vAlign w:val="center"/>
                </w:tcPr>
                <w:p>
                  <w:pPr>
                    <w:adjustRightInd w:val="0"/>
                    <w:jc w:val="center"/>
                    <w:rPr>
                      <w:color w:val="000000" w:themeColor="text1"/>
                      <w:sz w:val="18"/>
                      <w:szCs w:val="18"/>
                      <w14:textFill>
                        <w14:solidFill>
                          <w14:schemeClr w14:val="tx1"/>
                        </w14:solidFill>
                      </w14:textFill>
                    </w:rPr>
                  </w:pPr>
                </w:p>
              </w:tc>
              <w:tc>
                <w:tcPr>
                  <w:tcW w:w="587"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 w:type="pct"/>
                  <w:vMerge w:val="continue"/>
                  <w:vAlign w:val="center"/>
                </w:tcPr>
                <w:p>
                  <w:pPr>
                    <w:adjustRightInd w:val="0"/>
                    <w:jc w:val="center"/>
                    <w:rPr>
                      <w:color w:val="000000" w:themeColor="text1"/>
                      <w:sz w:val="18"/>
                      <w:szCs w:val="18"/>
                      <w14:textFill>
                        <w14:solidFill>
                          <w14:schemeClr w14:val="tx1"/>
                        </w14:solidFill>
                      </w14:textFill>
                    </w:rPr>
                  </w:pPr>
                </w:p>
              </w:tc>
              <w:tc>
                <w:tcPr>
                  <w:tcW w:w="1935" w:type="pct"/>
                  <w:gridSpan w:val="2"/>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人员生活</w:t>
                  </w:r>
                </w:p>
              </w:tc>
              <w:tc>
                <w:tcPr>
                  <w:tcW w:w="726"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生活垃圾</w:t>
                  </w:r>
                </w:p>
              </w:tc>
              <w:tc>
                <w:tcPr>
                  <w:tcW w:w="1514" w:type="pct"/>
                  <w:gridSpan w:val="2"/>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环卫部门定期清运</w:t>
                  </w:r>
                </w:p>
              </w:tc>
              <w:tc>
                <w:tcPr>
                  <w:tcW w:w="587"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36"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噪音</w:t>
                  </w:r>
                </w:p>
              </w:tc>
              <w:tc>
                <w:tcPr>
                  <w:tcW w:w="1935" w:type="pct"/>
                  <w:gridSpan w:val="2"/>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医疗设备</w:t>
                  </w:r>
                  <w:r>
                    <w:rPr>
                      <w:rStyle w:val="32"/>
                      <w:color w:val="000000" w:themeColor="text1"/>
                      <w:kern w:val="0"/>
                      <w:szCs w:val="20"/>
                      <w14:textFill>
                        <w14:solidFill>
                          <w14:schemeClr w14:val="tx1"/>
                        </w14:solidFill>
                      </w14:textFill>
                    </w:rPr>
                    <w:t>、泵类</w:t>
                  </w:r>
                </w:p>
              </w:tc>
              <w:tc>
                <w:tcPr>
                  <w:tcW w:w="726"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dB(A)</w:t>
                  </w:r>
                </w:p>
              </w:tc>
              <w:tc>
                <w:tcPr>
                  <w:tcW w:w="1514" w:type="pct"/>
                  <w:gridSpan w:val="2"/>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隔声、减振等常见措施</w:t>
                  </w:r>
                </w:p>
              </w:tc>
              <w:tc>
                <w:tcPr>
                  <w:tcW w:w="587" w:type="pct"/>
                  <w:vAlign w:val="center"/>
                </w:tcPr>
                <w:p>
                  <w:pPr>
                    <w:adjustRightIn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bl>
          <w:p>
            <w:pPr>
              <w:autoSpaceDE w:val="0"/>
              <w:autoSpaceDN w:val="0"/>
              <w:adjustRightInd w:val="0"/>
              <w:snapToGrid w:val="0"/>
              <w:spacing w:line="360" w:lineRule="auto"/>
              <w:jc w:val="left"/>
              <w:rPr>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9" w:hRule="atLeast"/>
          <w:jc w:val="center"/>
        </w:trPr>
        <w:tc>
          <w:tcPr>
            <w:tcW w:w="233" w:type="pct"/>
            <w:vAlign w:val="center"/>
          </w:tcPr>
          <w:p>
            <w:pPr>
              <w:pStyle w:val="21"/>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r>
              <w:rPr>
                <w:rFonts w:ascii="Times New Roman" w:hAnsi="Times New Roman"/>
                <w:bCs/>
                <w:color w:val="000000" w:themeColor="text1"/>
                <w:kern w:val="2"/>
                <w:sz w:val="21"/>
                <w:szCs w:val="21"/>
                <w14:textFill>
                  <w14:solidFill>
                    <w14:schemeClr w14:val="tx1"/>
                  </w14:solidFill>
                </w14:textFill>
              </w:rPr>
              <w:t>与项目有关的原有环境污染问题</w:t>
            </w:r>
          </w:p>
        </w:tc>
        <w:tc>
          <w:tcPr>
            <w:tcW w:w="4766" w:type="pct"/>
          </w:tcPr>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院区四周现状南侧为新村西路，东侧沿街商业建筑，西侧为沿街商业建筑，北侧为天府清华园。与项目有关的原有污染问题主要是本项目现有的污染排放情况，具体如下：</w:t>
            </w:r>
          </w:p>
          <w:p>
            <w:pPr>
              <w:spacing w:line="360" w:lineRule="auto"/>
              <w:ind w:firstLine="422" w:firstLineChars="200"/>
              <w:rPr>
                <w:b/>
                <w:color w:val="000000" w:themeColor="text1"/>
                <w14:textFill>
                  <w14:solidFill>
                    <w14:schemeClr w14:val="tx1"/>
                  </w14:solidFill>
                </w14:textFill>
              </w:rPr>
            </w:pPr>
            <w:r>
              <w:rPr>
                <w:b/>
                <w:color w:val="000000" w:themeColor="text1"/>
                <w14:textFill>
                  <w14:solidFill>
                    <w14:schemeClr w14:val="tx1"/>
                  </w14:solidFill>
                </w14:textFill>
              </w:rPr>
              <w:t>1、项目环保手续情况</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本项目已建成，未编制建设项目环境影响报告表，本次评价为补办环评。</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淄博市张店区第二人民医院（淄博口腔医院）已进行固定污染源排污登记，登记编号：1237030349322452X1001W，有效期：2020年12月7日至2025年12月6日。</w:t>
            </w:r>
          </w:p>
          <w:p>
            <w:pPr>
              <w:spacing w:line="360" w:lineRule="auto"/>
              <w:ind w:firstLine="422" w:firstLineChars="200"/>
              <w:rPr>
                <w:b/>
                <w:color w:val="000000" w:themeColor="text1"/>
                <w14:textFill>
                  <w14:solidFill>
                    <w14:schemeClr w14:val="tx1"/>
                  </w14:solidFill>
                </w14:textFill>
              </w:rPr>
            </w:pPr>
            <w:r>
              <w:rPr>
                <w:b/>
                <w:color w:val="000000" w:themeColor="text1"/>
                <w14:textFill>
                  <w14:solidFill>
                    <w14:schemeClr w14:val="tx1"/>
                  </w14:solidFill>
                </w14:textFill>
              </w:rPr>
              <w:t>2、污染物排放情况</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（1）废气</w:t>
            </w:r>
          </w:p>
          <w:p>
            <w:pPr>
              <w:pStyle w:val="2"/>
              <w:spacing w:after="0" w:line="360" w:lineRule="auto"/>
              <w:ind w:left="0" w:leftChars="0"/>
              <w:rPr>
                <w:color w:val="000000" w:themeColor="text1"/>
                <w:kern w:val="2"/>
                <w:sz w:val="21"/>
                <w:szCs w:val="24"/>
                <w14:textFill>
                  <w14:solidFill>
                    <w14:schemeClr w14:val="tx1"/>
                  </w14:solidFill>
                </w14:textFill>
              </w:rPr>
            </w:pPr>
            <w:r>
              <w:rPr>
                <w:color w:val="000000" w:themeColor="text1"/>
                <w:sz w:val="21"/>
                <w:szCs w:val="21"/>
                <w14:textFill>
                  <w14:solidFill>
                    <w14:schemeClr w14:val="tx1"/>
                  </w14:solidFill>
                </w14:textFill>
              </w:rPr>
              <w:t>本项目废气主要为污水处理站臭气，污水处理站为地埋式，产生恶臭气体无组织排放。</w:t>
            </w:r>
            <w:r>
              <w:rPr>
                <w:color w:val="000000" w:themeColor="text1"/>
                <w:kern w:val="2"/>
                <w:sz w:val="21"/>
                <w:szCs w:val="24"/>
                <w14:textFill>
                  <w14:solidFill>
                    <w14:schemeClr w14:val="tx1"/>
                  </w14:solidFill>
                </w14:textFill>
              </w:rPr>
              <w:t>山东众益源环境检测有限公司于2022年8月10日对院区无组织废气进行监测，监测数据见下表。</w:t>
            </w:r>
          </w:p>
          <w:p>
            <w:pPr>
              <w:jc w:val="center"/>
              <w:rPr>
                <w:color w:val="000000" w:themeColor="text1"/>
                <w:sz w:val="24"/>
                <w14:textFill>
                  <w14:solidFill>
                    <w14:schemeClr w14:val="tx1"/>
                  </w14:solidFill>
                </w14:textFill>
              </w:rPr>
            </w:pPr>
            <w:r>
              <w:rPr>
                <w:b/>
                <w:color w:val="000000" w:themeColor="text1"/>
                <w14:textFill>
                  <w14:solidFill>
                    <w14:schemeClr w14:val="tx1"/>
                  </w14:solidFill>
                </w14:textFill>
              </w:rPr>
              <w:t>表2-</w:t>
            </w:r>
            <w:r>
              <w:rPr>
                <w:rFonts w:hint="eastAsia"/>
                <w:b/>
                <w:color w:val="000000" w:themeColor="text1"/>
                <w14:textFill>
                  <w14:solidFill>
                    <w14:schemeClr w14:val="tx1"/>
                  </w14:solidFill>
                </w14:textFill>
              </w:rPr>
              <w:t>8</w:t>
            </w:r>
            <w:r>
              <w:rPr>
                <w:b/>
                <w:color w:val="000000" w:themeColor="text1"/>
                <w14:textFill>
                  <w14:solidFill>
                    <w14:schemeClr w14:val="tx1"/>
                  </w14:solidFill>
                </w14:textFill>
              </w:rPr>
              <w:t xml:space="preserve">  无组织废气监测结果</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7"/>
              <w:gridCol w:w="2120"/>
              <w:gridCol w:w="2121"/>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pStyle w:val="2"/>
                    <w:snapToGrid w:val="0"/>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监测日期</w:t>
                  </w:r>
                </w:p>
              </w:tc>
              <w:tc>
                <w:tcPr>
                  <w:tcW w:w="6362" w:type="dxa"/>
                  <w:gridSpan w:val="3"/>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2022.08.10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tcBorders>
                    <w:bottom w:val="single" w:color="auto" w:sz="4" w:space="0"/>
                  </w:tcBorders>
                  <w:vAlign w:val="center"/>
                </w:tcPr>
                <w:p>
                  <w:pPr>
                    <w:pStyle w:val="2"/>
                    <w:snapToGrid w:val="0"/>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监测项目</w:t>
                  </w:r>
                </w:p>
              </w:tc>
              <w:tc>
                <w:tcPr>
                  <w:tcW w:w="6362" w:type="dxa"/>
                  <w:gridSpan w:val="3"/>
                  <w:vAlign w:val="center"/>
                </w:tcPr>
                <w:p>
                  <w:pPr>
                    <w:jc w:val="center"/>
                    <w:rPr>
                      <w:bCs/>
                      <w:color w:val="000000" w:themeColor="text1"/>
                      <w:kern w:val="0"/>
                      <w:sz w:val="18"/>
                      <w:szCs w:val="18"/>
                      <w14:textFill>
                        <w14:solidFill>
                          <w14:schemeClr w14:val="tx1"/>
                        </w14:solidFill>
                      </w14:textFill>
                    </w:rPr>
                  </w:pPr>
                  <w:r>
                    <w:rPr>
                      <w:bCs/>
                      <w:color w:val="000000" w:themeColor="text1"/>
                      <w:kern w:val="0"/>
                      <w:sz w:val="18"/>
                      <w:szCs w:val="18"/>
                      <w14:textFill>
                        <w14:solidFill>
                          <w14:schemeClr w14:val="tx1"/>
                        </w14:solidFill>
                      </w14:textFill>
                    </w:rPr>
                    <w:t>氨(mg/m</w:t>
                  </w:r>
                  <w:r>
                    <w:rPr>
                      <w:bCs/>
                      <w:color w:val="000000" w:themeColor="text1"/>
                      <w:kern w:val="0"/>
                      <w:sz w:val="18"/>
                      <w:szCs w:val="18"/>
                      <w:vertAlign w:val="superscript"/>
                      <w14:textFill>
                        <w14:solidFill>
                          <w14:schemeClr w14:val="tx1"/>
                        </w14:solidFill>
                      </w14:textFill>
                    </w:rPr>
                    <w:t>3</w:t>
                  </w:r>
                  <w:r>
                    <w:rPr>
                      <w:bCs/>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tcBorders>
                    <w:tl2br w:val="single" w:color="auto" w:sz="4" w:space="0"/>
                  </w:tcBorders>
                  <w:vAlign w:val="center"/>
                </w:tcPr>
                <w:p>
                  <w:pPr>
                    <w:pStyle w:val="2"/>
                    <w:snapToGrid w:val="0"/>
                    <w:spacing w:after="0"/>
                    <w:ind w:left="0" w:leftChars="0" w:firstLine="0" w:firstLineChars="0"/>
                    <w:jc w:val="right"/>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  频次</w:t>
                  </w:r>
                </w:p>
                <w:p>
                  <w:pPr>
                    <w:pStyle w:val="2"/>
                    <w:snapToGrid w:val="0"/>
                    <w:spacing w:after="0"/>
                    <w:ind w:left="0" w:leftChars="0" w:firstLine="0" w:firstLineChars="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点位</w:t>
                  </w:r>
                </w:p>
              </w:tc>
              <w:tc>
                <w:tcPr>
                  <w:tcW w:w="2120" w:type="dxa"/>
                  <w:vAlign w:val="center"/>
                </w:tcPr>
                <w:p>
                  <w:pPr>
                    <w:pStyle w:val="2"/>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w:t>
                  </w:r>
                </w:p>
              </w:tc>
              <w:tc>
                <w:tcPr>
                  <w:tcW w:w="2121" w:type="dxa"/>
                  <w:vAlign w:val="center"/>
                </w:tcPr>
                <w:p>
                  <w:pPr>
                    <w:pStyle w:val="2"/>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2</w:t>
                  </w:r>
                </w:p>
              </w:tc>
              <w:tc>
                <w:tcPr>
                  <w:tcW w:w="2121" w:type="dxa"/>
                  <w:vAlign w:val="center"/>
                </w:tcPr>
                <w:p>
                  <w:pPr>
                    <w:pStyle w:val="2"/>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上风向1#</w:t>
                  </w:r>
                </w:p>
              </w:tc>
              <w:tc>
                <w:tcPr>
                  <w:tcW w:w="2120"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ND</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ND</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widowControl/>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下风向2#</w:t>
                  </w:r>
                </w:p>
              </w:tc>
              <w:tc>
                <w:tcPr>
                  <w:tcW w:w="2120"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0.07</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0.07</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widowControl/>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下风向3#</w:t>
                  </w:r>
                </w:p>
              </w:tc>
              <w:tc>
                <w:tcPr>
                  <w:tcW w:w="2120"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0.07</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0.05</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widowControl/>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下风向4#</w:t>
                  </w:r>
                </w:p>
              </w:tc>
              <w:tc>
                <w:tcPr>
                  <w:tcW w:w="2120"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0.06</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0.07</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pStyle w:val="2"/>
                    <w:snapToGrid w:val="0"/>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监测日期</w:t>
                  </w:r>
                </w:p>
              </w:tc>
              <w:tc>
                <w:tcPr>
                  <w:tcW w:w="6362" w:type="dxa"/>
                  <w:gridSpan w:val="3"/>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2022.08.10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pStyle w:val="2"/>
                    <w:snapToGrid w:val="0"/>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监测项目</w:t>
                  </w:r>
                </w:p>
              </w:tc>
              <w:tc>
                <w:tcPr>
                  <w:tcW w:w="6362" w:type="dxa"/>
                  <w:gridSpan w:val="3"/>
                  <w:tcBorders>
                    <w:bottom w:val="single" w:color="auto" w:sz="4" w:space="0"/>
                  </w:tcBorders>
                  <w:vAlign w:val="center"/>
                </w:tcPr>
                <w:p>
                  <w:pPr>
                    <w:jc w:val="center"/>
                    <w:rPr>
                      <w:bCs/>
                      <w:color w:val="000000" w:themeColor="text1"/>
                      <w:kern w:val="0"/>
                      <w:sz w:val="18"/>
                      <w:szCs w:val="18"/>
                      <w14:textFill>
                        <w14:solidFill>
                          <w14:schemeClr w14:val="tx1"/>
                        </w14:solidFill>
                      </w14:textFill>
                    </w:rPr>
                  </w:pPr>
                  <w:r>
                    <w:rPr>
                      <w:bCs/>
                      <w:color w:val="000000" w:themeColor="text1"/>
                      <w:kern w:val="0"/>
                      <w:sz w:val="18"/>
                      <w:szCs w:val="18"/>
                      <w14:textFill>
                        <w14:solidFill>
                          <w14:schemeClr w14:val="tx1"/>
                        </w14:solidFill>
                      </w14:textFill>
                    </w:rPr>
                    <w:t>硫化氢(mg/m</w:t>
                  </w:r>
                  <w:r>
                    <w:rPr>
                      <w:bCs/>
                      <w:color w:val="000000" w:themeColor="text1"/>
                      <w:kern w:val="0"/>
                      <w:sz w:val="18"/>
                      <w:szCs w:val="18"/>
                      <w:vertAlign w:val="superscript"/>
                      <w14:textFill>
                        <w14:solidFill>
                          <w14:schemeClr w14:val="tx1"/>
                        </w14:solidFill>
                      </w14:textFill>
                    </w:rPr>
                    <w:t>3</w:t>
                  </w:r>
                  <w:r>
                    <w:rPr>
                      <w:bCs/>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tcBorders>
                    <w:tl2br w:val="single" w:color="auto" w:sz="4" w:space="0"/>
                  </w:tcBorders>
                  <w:vAlign w:val="center"/>
                </w:tcPr>
                <w:p>
                  <w:pPr>
                    <w:pStyle w:val="2"/>
                    <w:snapToGrid w:val="0"/>
                    <w:spacing w:after="0"/>
                    <w:ind w:left="0" w:leftChars="0" w:firstLine="0" w:firstLineChars="0"/>
                    <w:jc w:val="right"/>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  频次</w:t>
                  </w:r>
                </w:p>
                <w:p>
                  <w:pPr>
                    <w:pStyle w:val="2"/>
                    <w:snapToGrid w:val="0"/>
                    <w:spacing w:after="0"/>
                    <w:ind w:left="0" w:leftChars="0" w:firstLine="0" w:firstLineChars="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点位</w:t>
                  </w:r>
                </w:p>
              </w:tc>
              <w:tc>
                <w:tcPr>
                  <w:tcW w:w="2120" w:type="dxa"/>
                  <w:tcBorders>
                    <w:tl2br w:val="nil"/>
                  </w:tcBorders>
                  <w:vAlign w:val="center"/>
                </w:tcPr>
                <w:p>
                  <w:pPr>
                    <w:pStyle w:val="2"/>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w:t>
                  </w:r>
                </w:p>
              </w:tc>
              <w:tc>
                <w:tcPr>
                  <w:tcW w:w="2121" w:type="dxa"/>
                  <w:tcBorders>
                    <w:tl2br w:val="nil"/>
                  </w:tcBorders>
                  <w:vAlign w:val="center"/>
                </w:tcPr>
                <w:p>
                  <w:pPr>
                    <w:pStyle w:val="2"/>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2</w:t>
                  </w:r>
                </w:p>
              </w:tc>
              <w:tc>
                <w:tcPr>
                  <w:tcW w:w="2121" w:type="dxa"/>
                  <w:vAlign w:val="center"/>
                </w:tcPr>
                <w:p>
                  <w:pPr>
                    <w:pStyle w:val="2"/>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上风向1#</w:t>
                  </w:r>
                </w:p>
              </w:tc>
              <w:tc>
                <w:tcPr>
                  <w:tcW w:w="2120"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ND</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ND</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widowControl/>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下风向2#</w:t>
                  </w:r>
                </w:p>
              </w:tc>
              <w:tc>
                <w:tcPr>
                  <w:tcW w:w="2120"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0.007</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0.008</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widowControl/>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下风向3#</w:t>
                  </w:r>
                </w:p>
              </w:tc>
              <w:tc>
                <w:tcPr>
                  <w:tcW w:w="2120"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0.005</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0.009</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widowControl/>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下风向4#</w:t>
                  </w:r>
                </w:p>
              </w:tc>
              <w:tc>
                <w:tcPr>
                  <w:tcW w:w="2120"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0.008</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0.006</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pStyle w:val="2"/>
                    <w:snapToGrid w:val="0"/>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监测日期</w:t>
                  </w:r>
                </w:p>
              </w:tc>
              <w:tc>
                <w:tcPr>
                  <w:tcW w:w="6362" w:type="dxa"/>
                  <w:gridSpan w:val="3"/>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2022.08.10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tcBorders>
                    <w:bottom w:val="single" w:color="auto" w:sz="4" w:space="0"/>
                  </w:tcBorders>
                  <w:vAlign w:val="center"/>
                </w:tcPr>
                <w:p>
                  <w:pPr>
                    <w:pStyle w:val="2"/>
                    <w:snapToGrid w:val="0"/>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监测项目</w:t>
                  </w:r>
                </w:p>
              </w:tc>
              <w:tc>
                <w:tcPr>
                  <w:tcW w:w="6362" w:type="dxa"/>
                  <w:gridSpan w:val="3"/>
                  <w:tcBorders>
                    <w:bottom w:val="single" w:color="auto" w:sz="4" w:space="0"/>
                  </w:tcBorders>
                  <w:vAlign w:val="center"/>
                </w:tcPr>
                <w:p>
                  <w:pPr>
                    <w:jc w:val="center"/>
                    <w:rPr>
                      <w:bCs/>
                      <w:color w:val="000000" w:themeColor="text1"/>
                      <w:kern w:val="0"/>
                      <w:sz w:val="18"/>
                      <w:szCs w:val="18"/>
                      <w14:textFill>
                        <w14:solidFill>
                          <w14:schemeClr w14:val="tx1"/>
                        </w14:solidFill>
                      </w14:textFill>
                    </w:rPr>
                  </w:pPr>
                  <w:r>
                    <w:rPr>
                      <w:bCs/>
                      <w:color w:val="000000" w:themeColor="text1"/>
                      <w:kern w:val="0"/>
                      <w:sz w:val="18"/>
                      <w:szCs w:val="18"/>
                      <w14:textFill>
                        <w14:solidFill>
                          <w14:schemeClr w14:val="tx1"/>
                        </w14:solidFill>
                      </w14:textFill>
                    </w:rPr>
                    <w:t>臭气浓度(无量纲)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tcBorders>
                    <w:tl2br w:val="single" w:color="auto" w:sz="4" w:space="0"/>
                  </w:tcBorders>
                  <w:vAlign w:val="center"/>
                </w:tcPr>
                <w:p>
                  <w:pPr>
                    <w:pStyle w:val="2"/>
                    <w:snapToGrid w:val="0"/>
                    <w:spacing w:after="0"/>
                    <w:ind w:left="0" w:leftChars="0" w:firstLine="0" w:firstLineChars="0"/>
                    <w:jc w:val="right"/>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  频次</w:t>
                  </w:r>
                </w:p>
                <w:p>
                  <w:pPr>
                    <w:pStyle w:val="2"/>
                    <w:snapToGrid w:val="0"/>
                    <w:spacing w:after="0"/>
                    <w:ind w:left="0" w:leftChars="0" w:firstLine="0" w:firstLineChars="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点位</w:t>
                  </w:r>
                </w:p>
              </w:tc>
              <w:tc>
                <w:tcPr>
                  <w:tcW w:w="2120" w:type="dxa"/>
                  <w:tcBorders>
                    <w:tl2br w:val="nil"/>
                  </w:tcBorders>
                  <w:vAlign w:val="center"/>
                </w:tcPr>
                <w:p>
                  <w:pPr>
                    <w:pStyle w:val="2"/>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w:t>
                  </w:r>
                </w:p>
              </w:tc>
              <w:tc>
                <w:tcPr>
                  <w:tcW w:w="2121" w:type="dxa"/>
                  <w:tcBorders>
                    <w:tl2br w:val="nil"/>
                  </w:tcBorders>
                  <w:vAlign w:val="center"/>
                </w:tcPr>
                <w:p>
                  <w:pPr>
                    <w:pStyle w:val="2"/>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2</w:t>
                  </w:r>
                </w:p>
              </w:tc>
              <w:tc>
                <w:tcPr>
                  <w:tcW w:w="2121" w:type="dxa"/>
                  <w:vAlign w:val="center"/>
                </w:tcPr>
                <w:p>
                  <w:pPr>
                    <w:pStyle w:val="2"/>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上风向1#</w:t>
                  </w:r>
                </w:p>
              </w:tc>
              <w:tc>
                <w:tcPr>
                  <w:tcW w:w="2120"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widowControl/>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下风向2#</w:t>
                  </w:r>
                </w:p>
              </w:tc>
              <w:tc>
                <w:tcPr>
                  <w:tcW w:w="2120"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widowControl/>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下风向3#</w:t>
                  </w:r>
                </w:p>
              </w:tc>
              <w:tc>
                <w:tcPr>
                  <w:tcW w:w="2120"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widowControl/>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下风向4#</w:t>
                  </w:r>
                </w:p>
              </w:tc>
              <w:tc>
                <w:tcPr>
                  <w:tcW w:w="2120"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r>
          </w:tbl>
          <w:p>
            <w:pPr>
              <w:spacing w:line="360" w:lineRule="auto"/>
              <w:ind w:firstLine="420" w:firstLineChars="200"/>
              <w:rPr>
                <w:b/>
                <w:bCs/>
                <w:color w:val="000000" w:themeColor="text1"/>
                <w14:textFill>
                  <w14:solidFill>
                    <w14:schemeClr w14:val="tx1"/>
                  </w14:solidFill>
                </w14:textFill>
              </w:rPr>
            </w:pPr>
            <w:r>
              <w:rPr>
                <w:color w:val="000000" w:themeColor="text1"/>
                <w:szCs w:val="21"/>
                <w14:textFill>
                  <w14:solidFill>
                    <w14:schemeClr w14:val="tx1"/>
                  </w14:solidFill>
                </w14:textFill>
              </w:rPr>
              <w:t>根据上表可知，本项目污染物排放浓度可以满足《山东省医疗机构污染物排放控制标准》（DB37/596-2020）中表2污水处理站周边大气污染物最高允许浓度限值（氨0.2mg/m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、硫化氢0.02mg/m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，臭气浓度10无量纲）。</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（2）废水</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淄博圆通环境检测有限公司于2021年3月28日对污水处理站废水排放口进行现状监测并出具监测报告（监测报告编号：YTHW字第（202203258）号），具体结果见表2-8。</w:t>
            </w:r>
          </w:p>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表2-</w:t>
            </w:r>
            <w:r>
              <w:rPr>
                <w:rFonts w:hint="eastAsia"/>
                <w:b/>
                <w:bCs/>
                <w:color w:val="000000" w:themeColor="text1"/>
                <w:kern w:val="0"/>
                <w:szCs w:val="21"/>
                <w14:textFill>
                  <w14:solidFill>
                    <w14:schemeClr w14:val="tx1"/>
                  </w14:solidFill>
                </w14:textFill>
              </w:rPr>
              <w:t>9</w:t>
            </w:r>
            <w:r>
              <w:rPr>
                <w:b/>
                <w:bCs/>
                <w:color w:val="000000" w:themeColor="text1"/>
                <w:kern w:val="0"/>
                <w:szCs w:val="21"/>
                <w14:textFill>
                  <w14:solidFill>
                    <w14:schemeClr w14:val="tx1"/>
                  </w14:solidFill>
                </w14:textFill>
              </w:rPr>
              <w:t xml:space="preserve">  污水处理站废水排放口监测结果一览表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7"/>
              <w:gridCol w:w="1610"/>
              <w:gridCol w:w="1778"/>
              <w:gridCol w:w="2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检测项目</w:t>
                  </w:r>
                </w:p>
              </w:tc>
              <w:tc>
                <w:tcPr>
                  <w:tcW w:w="95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单位</w:t>
                  </w:r>
                </w:p>
              </w:tc>
              <w:tc>
                <w:tcPr>
                  <w:tcW w:w="105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现状浓度</w:t>
                  </w:r>
                </w:p>
              </w:tc>
              <w:tc>
                <w:tcPr>
                  <w:tcW w:w="131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pH值</w:t>
                  </w:r>
                </w:p>
              </w:tc>
              <w:tc>
                <w:tcPr>
                  <w:tcW w:w="95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无量纲</w:t>
                  </w:r>
                </w:p>
              </w:tc>
              <w:tc>
                <w:tcPr>
                  <w:tcW w:w="105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7.9</w:t>
                  </w:r>
                </w:p>
              </w:tc>
              <w:tc>
                <w:tcPr>
                  <w:tcW w:w="131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五日生化需氧量</w:t>
                  </w:r>
                </w:p>
              </w:tc>
              <w:tc>
                <w:tcPr>
                  <w:tcW w:w="95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05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22.3</w:t>
                  </w:r>
                </w:p>
              </w:tc>
              <w:tc>
                <w:tcPr>
                  <w:tcW w:w="131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化学需氧量</w:t>
                  </w:r>
                </w:p>
              </w:tc>
              <w:tc>
                <w:tcPr>
                  <w:tcW w:w="95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05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57</w:t>
                  </w:r>
                </w:p>
              </w:tc>
              <w:tc>
                <w:tcPr>
                  <w:tcW w:w="131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总余氯</w:t>
                  </w:r>
                </w:p>
              </w:tc>
              <w:tc>
                <w:tcPr>
                  <w:tcW w:w="95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05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6.14</w:t>
                  </w:r>
                </w:p>
              </w:tc>
              <w:tc>
                <w:tcPr>
                  <w:tcW w:w="131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悬浮物</w:t>
                  </w:r>
                </w:p>
              </w:tc>
              <w:tc>
                <w:tcPr>
                  <w:tcW w:w="95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05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131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氨氮</w:t>
                  </w:r>
                </w:p>
              </w:tc>
              <w:tc>
                <w:tcPr>
                  <w:tcW w:w="95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05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0.868</w:t>
                  </w:r>
                </w:p>
              </w:tc>
              <w:tc>
                <w:tcPr>
                  <w:tcW w:w="131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色度</w:t>
                  </w:r>
                </w:p>
              </w:tc>
              <w:tc>
                <w:tcPr>
                  <w:tcW w:w="95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倍</w:t>
                  </w:r>
                </w:p>
              </w:tc>
              <w:tc>
                <w:tcPr>
                  <w:tcW w:w="105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131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阴离子表面活性剂</w:t>
                  </w:r>
                </w:p>
              </w:tc>
              <w:tc>
                <w:tcPr>
                  <w:tcW w:w="95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0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0.15</w:t>
                  </w:r>
                </w:p>
              </w:tc>
              <w:tc>
                <w:tcPr>
                  <w:tcW w:w="131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动植物油</w:t>
                  </w:r>
                </w:p>
              </w:tc>
              <w:tc>
                <w:tcPr>
                  <w:tcW w:w="9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0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0.8</w:t>
                  </w:r>
                </w:p>
              </w:tc>
              <w:tc>
                <w:tcPr>
                  <w:tcW w:w="131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挥发酚</w:t>
                  </w:r>
                </w:p>
              </w:tc>
              <w:tc>
                <w:tcPr>
                  <w:tcW w:w="9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0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&lt;0.01</w:t>
                  </w:r>
                </w:p>
              </w:tc>
              <w:tc>
                <w:tcPr>
                  <w:tcW w:w="131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志贺氏菌</w:t>
                  </w:r>
                </w:p>
              </w:tc>
              <w:tc>
                <w:tcPr>
                  <w:tcW w:w="9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10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未检出</w:t>
                  </w:r>
                </w:p>
              </w:tc>
              <w:tc>
                <w:tcPr>
                  <w:tcW w:w="131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沙门氏菌</w:t>
                  </w:r>
                </w:p>
              </w:tc>
              <w:tc>
                <w:tcPr>
                  <w:tcW w:w="9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10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未检出</w:t>
                  </w:r>
                </w:p>
              </w:tc>
              <w:tc>
                <w:tcPr>
                  <w:tcW w:w="131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粪大肠菌群数</w:t>
                  </w:r>
                </w:p>
              </w:tc>
              <w:tc>
                <w:tcPr>
                  <w:tcW w:w="9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MPN/L</w:t>
                  </w:r>
                </w:p>
              </w:tc>
              <w:tc>
                <w:tcPr>
                  <w:tcW w:w="10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70</w:t>
                  </w:r>
                </w:p>
              </w:tc>
              <w:tc>
                <w:tcPr>
                  <w:tcW w:w="131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二甲苯</w:t>
                  </w:r>
                </w:p>
              </w:tc>
              <w:tc>
                <w:tcPr>
                  <w:tcW w:w="9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0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&lt;0.002</w:t>
                  </w:r>
                </w:p>
              </w:tc>
              <w:tc>
                <w:tcPr>
                  <w:tcW w:w="131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总α放射性</w:t>
                  </w:r>
                </w:p>
              </w:tc>
              <w:tc>
                <w:tcPr>
                  <w:tcW w:w="9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Bq/L</w:t>
                  </w:r>
                </w:p>
              </w:tc>
              <w:tc>
                <w:tcPr>
                  <w:tcW w:w="10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&lt;4.3×10</w:t>
                  </w:r>
                  <w:r>
                    <w:rPr>
                      <w:color w:val="000000" w:themeColor="text1"/>
                      <w:sz w:val="18"/>
                      <w:szCs w:val="18"/>
                      <w:vertAlign w:val="superscript"/>
                      <w14:textFill>
                        <w14:solidFill>
                          <w14:schemeClr w14:val="tx1"/>
                        </w14:solidFill>
                      </w14:textFill>
                    </w:rPr>
                    <w:t>-2</w:t>
                  </w:r>
                </w:p>
              </w:tc>
              <w:tc>
                <w:tcPr>
                  <w:tcW w:w="131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总β放射性</w:t>
                  </w:r>
                </w:p>
              </w:tc>
              <w:tc>
                <w:tcPr>
                  <w:tcW w:w="9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Bq/L</w:t>
                  </w:r>
                </w:p>
              </w:tc>
              <w:tc>
                <w:tcPr>
                  <w:tcW w:w="10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&lt;1.5×10</w:t>
                  </w:r>
                  <w:r>
                    <w:rPr>
                      <w:color w:val="000000" w:themeColor="text1"/>
                      <w:sz w:val="18"/>
                      <w:szCs w:val="18"/>
                      <w:vertAlign w:val="superscript"/>
                      <w14:textFill>
                        <w14:solidFill>
                          <w14:schemeClr w14:val="tx1"/>
                        </w14:solidFill>
                      </w14:textFill>
                    </w:rPr>
                    <w:t>-2</w:t>
                  </w:r>
                </w:p>
              </w:tc>
              <w:tc>
                <w:tcPr>
                  <w:tcW w:w="131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总有机碳</w:t>
                  </w:r>
                </w:p>
              </w:tc>
              <w:tc>
                <w:tcPr>
                  <w:tcW w:w="9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0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17.8</w:t>
                  </w:r>
                </w:p>
              </w:tc>
              <w:tc>
                <w:tcPr>
                  <w:tcW w:w="131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总氰化物</w:t>
                  </w:r>
                </w:p>
              </w:tc>
              <w:tc>
                <w:tcPr>
                  <w:tcW w:w="9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0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&lt;0.001</w:t>
                  </w:r>
                </w:p>
              </w:tc>
              <w:tc>
                <w:tcPr>
                  <w:tcW w:w="131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总磷</w:t>
                  </w:r>
                </w:p>
              </w:tc>
              <w:tc>
                <w:tcPr>
                  <w:tcW w:w="9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0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0.02</w:t>
                  </w:r>
                </w:p>
              </w:tc>
              <w:tc>
                <w:tcPr>
                  <w:tcW w:w="131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氟化物</w:t>
                  </w:r>
                </w:p>
              </w:tc>
              <w:tc>
                <w:tcPr>
                  <w:tcW w:w="9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0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1.46</w:t>
                  </w:r>
                </w:p>
              </w:tc>
              <w:tc>
                <w:tcPr>
                  <w:tcW w:w="131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甲醛</w:t>
                  </w:r>
                </w:p>
              </w:tc>
              <w:tc>
                <w:tcPr>
                  <w:tcW w:w="9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0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&lt;0.05</w:t>
                  </w:r>
                </w:p>
              </w:tc>
              <w:tc>
                <w:tcPr>
                  <w:tcW w:w="131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石油类</w:t>
                  </w:r>
                </w:p>
              </w:tc>
              <w:tc>
                <w:tcPr>
                  <w:tcW w:w="9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05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0.59</w:t>
                  </w:r>
                </w:p>
              </w:tc>
              <w:tc>
                <w:tcPr>
                  <w:tcW w:w="131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r>
          </w:tbl>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由上表可知，项目废水经污水处理站处理后，外排废水水质满足</w:t>
            </w:r>
            <w:r>
              <w:rPr>
                <w:color w:val="000000" w:themeColor="text1"/>
                <w:szCs w:val="21"/>
                <w14:textFill>
                  <w14:solidFill>
                    <w14:schemeClr w14:val="tx1"/>
                  </w14:solidFill>
                </w14:textFill>
              </w:rPr>
              <w:t>《山东省医疗机构污染物排放控制标准》（DB37/596-2020）二级标准要求</w:t>
            </w:r>
            <w:r>
              <w:rPr>
                <w:color w:val="000000" w:themeColor="text1"/>
                <w14:textFill>
                  <w14:solidFill>
                    <w14:schemeClr w14:val="tx1"/>
                  </w14:solidFill>
                </w14:textFill>
              </w:rPr>
              <w:t>。</w:t>
            </w:r>
          </w:p>
          <w:p>
            <w:pPr>
              <w:adjustRightInd w:val="0"/>
              <w:snapToGrid w:val="0"/>
              <w:spacing w:line="360" w:lineRule="auto"/>
              <w:ind w:firstLine="420" w:firstLineChars="200"/>
              <w:rPr>
                <w:rFonts w:hint="eastAsia" w:eastAsia="宋体"/>
                <w:color w:val="000000" w:themeColor="text1"/>
                <w:szCs w:val="21"/>
                <w:lang w:eastAsia="zh-CN"/>
                <w14:textFill>
                  <w14:solidFill>
                    <w14:schemeClr w14:val="tx1"/>
                  </w14:solidFill>
                </w14:textFill>
              </w:rPr>
            </w:pPr>
            <w:r>
              <w:rPr>
                <w:color w:val="000000" w:themeColor="text1"/>
                <w:szCs w:val="21"/>
                <w14:textFill>
                  <w14:solidFill>
                    <w14:schemeClr w14:val="tx1"/>
                  </w14:solidFill>
                </w14:textFill>
              </w:rPr>
              <w:t>院区废水经污水处理站处理后通过DW001排放口进入市政污水管网后排入光大水务（淄博）有限公司三分厂。现有污水处理站处理工艺详见下图</w:t>
            </w:r>
            <w:r>
              <w:rPr>
                <w:rFonts w:hint="eastAsia"/>
                <w:color w:val="000000" w:themeColor="text1"/>
                <w:szCs w:val="21"/>
                <w:lang w:eastAsia="zh-CN"/>
                <w14:textFill>
                  <w14:solidFill>
                    <w14:schemeClr w14:val="tx1"/>
                  </w14:solidFill>
                </w14:textFill>
              </w:rPr>
              <w:t>。</w:t>
            </w:r>
          </w:p>
          <w:p>
            <w:pPr>
              <w:adjustRightInd w:val="0"/>
              <w:snapToGrid w:val="0"/>
              <w:spacing w:line="360" w:lineRule="auto"/>
              <w:ind w:firstLine="420" w:firstLineChars="200"/>
              <w:rPr>
                <w:color w:val="000000" w:themeColor="text1"/>
                <w:szCs w:val="21"/>
                <w14:textFill>
                  <w14:solidFill>
                    <w14:schemeClr w14:val="tx1"/>
                  </w14:solidFill>
                </w14:textFill>
              </w:rPr>
            </w:pPr>
          </w:p>
          <w:p>
            <w:pPr>
              <w:adjustRightInd w:val="0"/>
              <w:snapToGrid w:val="0"/>
              <w:spacing w:line="360" w:lineRule="auto"/>
              <w:ind w:firstLine="420" w:firstLineChars="200"/>
              <w:rPr>
                <w:color w:val="000000" w:themeColor="text1"/>
                <w:szCs w:val="21"/>
                <w14:textFill>
                  <w14:solidFill>
                    <w14:schemeClr w14:val="tx1"/>
                  </w14:solidFill>
                </w14:textFill>
              </w:rPr>
            </w:pPr>
          </w:p>
          <w:p>
            <w:pPr>
              <w:adjustRightInd w:val="0"/>
              <w:snapToGrid w:val="0"/>
              <w:spacing w:line="360" w:lineRule="auto"/>
              <w:ind w:firstLine="420" w:firstLineChars="200"/>
              <w:rPr>
                <w:color w:val="000000" w:themeColor="text1"/>
                <w:szCs w:val="21"/>
                <w14:textFill>
                  <w14:solidFill>
                    <w14:schemeClr w14:val="tx1"/>
                  </w14:solidFill>
                </w14:textFill>
              </w:rPr>
            </w:pPr>
          </w:p>
          <w:p>
            <w:pPr>
              <w:adjustRightInd w:val="0"/>
              <w:snapToGrid w:val="0"/>
              <w:spacing w:line="360" w:lineRule="auto"/>
              <w:ind w:firstLine="420" w:firstLineChars="200"/>
              <w:rPr>
                <w:color w:val="000000" w:themeColor="text1"/>
                <w:szCs w:val="21"/>
                <w14:textFill>
                  <w14:solidFill>
                    <w14:schemeClr w14:val="tx1"/>
                  </w14:solidFill>
                </w14:textFill>
              </w:rPr>
            </w:pPr>
          </w:p>
          <w:p>
            <w:pPr>
              <w:adjustRightInd w:val="0"/>
              <w:snapToGrid w:val="0"/>
              <w:spacing w:line="360" w:lineRule="auto"/>
              <w:ind w:firstLine="420" w:firstLineChars="200"/>
              <w:rPr>
                <w:color w:val="000000" w:themeColor="text1"/>
                <w:szCs w:val="21"/>
                <w14:textFill>
                  <w14:solidFill>
                    <w14:schemeClr w14:val="tx1"/>
                  </w14:solidFill>
                </w14:textFill>
              </w:rPr>
            </w:pPr>
          </w:p>
          <w:p>
            <w:pPr>
              <w:adjustRightInd w:val="0"/>
              <w:snapToGrid w:val="0"/>
              <w:spacing w:line="360" w:lineRule="auto"/>
              <w:ind w:firstLine="420" w:firstLineChars="200"/>
              <w:rPr>
                <w:color w:val="000000" w:themeColor="text1"/>
                <w:szCs w:val="21"/>
                <w14:textFill>
                  <w14:solidFill>
                    <w14:schemeClr w14:val="tx1"/>
                  </w14:solidFill>
                </w14:textFill>
              </w:rPr>
            </w:pPr>
          </w:p>
          <w:p>
            <w:pPr>
              <w:adjustRightInd w:val="0"/>
              <w:snapToGrid w:val="0"/>
              <w:spacing w:line="360" w:lineRule="auto"/>
              <w:ind w:firstLine="420" w:firstLineChars="200"/>
              <w:rPr>
                <w:color w:val="000000" w:themeColor="text1"/>
                <w:szCs w:val="21"/>
                <w14:textFill>
                  <w14:solidFill>
                    <w14:schemeClr w14:val="tx1"/>
                  </w14:solidFill>
                </w14:textFill>
              </w:rPr>
            </w:pPr>
          </w:p>
          <w:p>
            <w:pPr>
              <w:adjustRightInd w:val="0"/>
              <w:snapToGrid w:val="0"/>
              <w:spacing w:line="360" w:lineRule="auto"/>
              <w:ind w:firstLine="420" w:firstLineChars="200"/>
              <w:rPr>
                <w:color w:val="000000" w:themeColor="text1"/>
                <w:szCs w:val="21"/>
                <w14:textFill>
                  <w14:solidFill>
                    <w14:schemeClr w14:val="tx1"/>
                  </w14:solidFill>
                </w14:textFill>
              </w:rPr>
            </w:pPr>
          </w:p>
          <w:p>
            <w:pPr>
              <w:adjustRightInd w:val="0"/>
              <w:snapToGrid w:val="0"/>
              <w:spacing w:line="360" w:lineRule="auto"/>
              <w:ind w:firstLine="420" w:firstLineChars="200"/>
              <w:rPr>
                <w:color w:val="000000" w:themeColor="text1"/>
                <w:szCs w:val="21"/>
                <w14:textFill>
                  <w14:solidFill>
                    <w14:schemeClr w14:val="tx1"/>
                  </w14:solidFill>
                </w14:textFill>
              </w:rPr>
            </w:pPr>
          </w:p>
          <w:p>
            <w:pPr>
              <w:adjustRightInd w:val="0"/>
              <w:snapToGrid w:val="0"/>
              <w:spacing w:line="360" w:lineRule="auto"/>
              <w:ind w:firstLine="420" w:firstLineChars="200"/>
              <w:rPr>
                <w:color w:val="000000" w:themeColor="text1"/>
                <w:szCs w:val="21"/>
                <w14:textFill>
                  <w14:solidFill>
                    <w14:schemeClr w14:val="tx1"/>
                  </w14:solidFill>
                </w14:textFill>
              </w:rPr>
            </w:pPr>
          </w:p>
          <w:p>
            <w:pPr>
              <w:adjustRightInd w:val="0"/>
              <w:snapToGrid w:val="0"/>
              <w:spacing w:line="360" w:lineRule="auto"/>
              <w:ind w:firstLine="420" w:firstLineChars="200"/>
              <w:rPr>
                <w:color w:val="000000" w:themeColor="text1"/>
                <w:szCs w:val="21"/>
                <w14:textFill>
                  <w14:solidFill>
                    <w14:schemeClr w14:val="tx1"/>
                  </w14:solidFill>
                </w14:textFill>
              </w:rPr>
            </w:pPr>
          </w:p>
          <w:p>
            <w:pPr>
              <w:adjustRightInd w:val="0"/>
              <w:snapToGrid w:val="0"/>
              <w:spacing w:line="360" w:lineRule="auto"/>
              <w:ind w:firstLine="420" w:firstLineChars="200"/>
              <w:rPr>
                <w:color w:val="000000" w:themeColor="text1"/>
                <w:szCs w:val="21"/>
                <w14:textFill>
                  <w14:solidFill>
                    <w14:schemeClr w14:val="tx1"/>
                  </w14:solidFill>
                </w14:textFill>
              </w:rPr>
            </w:pPr>
          </w:p>
          <w:p>
            <w:pPr>
              <w:adjustRightInd w:val="0"/>
              <w:snapToGrid w:val="0"/>
              <w:spacing w:line="360" w:lineRule="auto"/>
              <w:ind w:firstLine="420" w:firstLineChars="200"/>
              <w:rPr>
                <w:color w:val="000000" w:themeColor="text1"/>
                <w:szCs w:val="21"/>
                <w14:textFill>
                  <w14:solidFill>
                    <w14:schemeClr w14:val="tx1"/>
                  </w14:solidFill>
                </w14:textFill>
              </w:rPr>
            </w:pPr>
          </w:p>
          <w:p>
            <w:pPr>
              <w:adjustRightInd w:val="0"/>
              <w:snapToGrid w:val="0"/>
              <w:spacing w:line="360" w:lineRule="auto"/>
              <w:ind w:firstLine="420" w:firstLineChars="200"/>
              <w:rPr>
                <w:color w:val="000000" w:themeColor="text1"/>
                <w:szCs w:val="21"/>
                <w14:textFill>
                  <w14:solidFill>
                    <w14:schemeClr w14:val="tx1"/>
                  </w14:solidFill>
                </w14:textFill>
              </w:rPr>
            </w:pPr>
          </w:p>
          <w:p>
            <w:pPr>
              <w:adjustRightInd w:val="0"/>
              <w:snapToGrid w:val="0"/>
              <w:spacing w:line="360" w:lineRule="auto"/>
              <w:jc w:val="center"/>
              <w:rPr>
                <w:color w:val="000000" w:themeColor="text1"/>
                <w:szCs w:val="21"/>
                <w14:textFill>
                  <w14:solidFill>
                    <w14:schemeClr w14:val="tx1"/>
                  </w14:solidFill>
                </w14:textFill>
              </w:rPr>
            </w:pPr>
            <w:r>
              <w:rPr>
                <w:color w:val="000000" w:themeColor="text1"/>
                <w14:textFill>
                  <w14:solidFill>
                    <w14:schemeClr w14:val="tx1"/>
                  </w14:solidFill>
                </w14:textFill>
              </w:rPr>
              <w:drawing>
                <wp:inline distT="0" distB="0" distL="0" distR="0">
                  <wp:extent cx="4213225" cy="4262755"/>
                  <wp:effectExtent l="0" t="0" r="0" b="444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1"/>
                          <a:stretch>
                            <a:fillRect/>
                          </a:stretch>
                        </pic:blipFill>
                        <pic:spPr>
                          <a:xfrm>
                            <a:off x="0" y="0"/>
                            <a:ext cx="4216626" cy="4265917"/>
                          </a:xfrm>
                          <a:prstGeom prst="rect">
                            <a:avLst/>
                          </a:prstGeom>
                        </pic:spPr>
                      </pic:pic>
                    </a:graphicData>
                  </a:graphic>
                </wp:inline>
              </w:drawing>
            </w:r>
          </w:p>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图2-3  污水处理工艺流程图</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（3）噪声</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山东众益源环境检测有限公司于2022年8月10日对院区厂界噪声进行了监测，项目厂界噪声监测结果见表2-</w:t>
            </w:r>
            <w:r>
              <w:rPr>
                <w:rFonts w:hint="eastAsia"/>
                <w:color w:val="000000" w:themeColor="text1"/>
                <w14:textFill>
                  <w14:solidFill>
                    <w14:schemeClr w14:val="tx1"/>
                  </w14:solidFill>
                </w14:textFill>
              </w:rPr>
              <w:t>10</w:t>
            </w:r>
            <w:r>
              <w:rPr>
                <w:color w:val="000000" w:themeColor="text1"/>
                <w14:textFill>
                  <w14:solidFill>
                    <w14:schemeClr w14:val="tx1"/>
                  </w14:solidFill>
                </w14:textFill>
              </w:rPr>
              <w:t>。</w:t>
            </w:r>
          </w:p>
          <w:p>
            <w:pPr>
              <w:pStyle w:val="69"/>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表2-</w:t>
            </w:r>
            <w:r>
              <w:rPr>
                <w:rFonts w:hint="eastAsia" w:cs="Times New Roman"/>
                <w:color w:val="000000" w:themeColor="text1"/>
                <w14:textFill>
                  <w14:solidFill>
                    <w14:schemeClr w14:val="tx1"/>
                  </w14:solidFill>
                </w14:textFill>
              </w:rPr>
              <w:t>10</w:t>
            </w:r>
            <w:r>
              <w:rPr>
                <w:rFonts w:cs="Times New Roman"/>
                <w:color w:val="000000" w:themeColor="text1"/>
                <w14:textFill>
                  <w14:solidFill>
                    <w14:schemeClr w14:val="tx1"/>
                  </w14:solidFill>
                </w14:textFill>
              </w:rPr>
              <w:t xml:space="preserve">  噪声现状监测结果一览表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1"/>
              <w:gridCol w:w="1046"/>
              <w:gridCol w:w="775"/>
              <w:gridCol w:w="775"/>
              <w:gridCol w:w="833"/>
              <w:gridCol w:w="1045"/>
              <w:gridCol w:w="775"/>
              <w:gridCol w:w="775"/>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8" w:type="pct"/>
                  <w:vMerge w:val="restar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监测位置</w:t>
                  </w:r>
                </w:p>
              </w:tc>
              <w:tc>
                <w:tcPr>
                  <w:tcW w:w="2039" w:type="pct"/>
                  <w:gridSpan w:val="4"/>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Ld （Leq dB(A)）</w:t>
                  </w:r>
                </w:p>
              </w:tc>
              <w:tc>
                <w:tcPr>
                  <w:tcW w:w="2003" w:type="pct"/>
                  <w:gridSpan w:val="4"/>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Ln（Leq 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8" w:type="pct"/>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622"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监测时间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监测值</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标准值</w:t>
                  </w:r>
                </w:p>
              </w:tc>
              <w:tc>
                <w:tcPr>
                  <w:tcW w:w="495"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超标值</w:t>
                  </w:r>
                </w:p>
              </w:tc>
              <w:tc>
                <w:tcPr>
                  <w:tcW w:w="62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监测时间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监测值</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标准值</w:t>
                  </w:r>
                </w:p>
              </w:tc>
              <w:tc>
                <w:tcPr>
                  <w:tcW w:w="460"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超标值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8"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项目东厂界</w:t>
                  </w:r>
                </w:p>
              </w:tc>
              <w:tc>
                <w:tcPr>
                  <w:tcW w:w="622"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昼间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53.6</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55</w:t>
                  </w:r>
                </w:p>
              </w:tc>
              <w:tc>
                <w:tcPr>
                  <w:tcW w:w="495"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w:t>
                  </w:r>
                </w:p>
              </w:tc>
              <w:tc>
                <w:tcPr>
                  <w:tcW w:w="62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夜间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43.2</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460"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8"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项目南厂界</w:t>
                  </w:r>
                </w:p>
              </w:tc>
              <w:tc>
                <w:tcPr>
                  <w:tcW w:w="622"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昼间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51.1</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55</w:t>
                  </w:r>
                </w:p>
              </w:tc>
              <w:tc>
                <w:tcPr>
                  <w:tcW w:w="495"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-3.9</w:t>
                  </w:r>
                </w:p>
              </w:tc>
              <w:tc>
                <w:tcPr>
                  <w:tcW w:w="62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夜间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41.3</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460"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8"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项目西厂界</w:t>
                  </w:r>
                </w:p>
              </w:tc>
              <w:tc>
                <w:tcPr>
                  <w:tcW w:w="622"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昼间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52.4</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55</w:t>
                  </w:r>
                </w:p>
              </w:tc>
              <w:tc>
                <w:tcPr>
                  <w:tcW w:w="495"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-2.6</w:t>
                  </w:r>
                </w:p>
              </w:tc>
              <w:tc>
                <w:tcPr>
                  <w:tcW w:w="62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夜间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43.5</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460"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8"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项目北厂界</w:t>
                  </w:r>
                </w:p>
              </w:tc>
              <w:tc>
                <w:tcPr>
                  <w:tcW w:w="622"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昼间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54.1</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55</w:t>
                  </w:r>
                </w:p>
              </w:tc>
              <w:tc>
                <w:tcPr>
                  <w:tcW w:w="495"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-0.9</w:t>
                  </w:r>
                </w:p>
              </w:tc>
              <w:tc>
                <w:tcPr>
                  <w:tcW w:w="62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夜间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44.3</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460"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-0.7</w:t>
                  </w:r>
                </w:p>
              </w:tc>
            </w:tr>
          </w:tbl>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由上表可知，项目厂界昼、夜声噪声均满足《工业企业厂界环境噪声排放标准》（GB12348-2008）中1类区标准要求。</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（4）固废</w:t>
            </w:r>
          </w:p>
          <w:p>
            <w:pPr>
              <w:adjustRightInd w:val="0"/>
              <w:snapToGrid w:val="0"/>
              <w:spacing w:line="360" w:lineRule="auto"/>
              <w:ind w:firstLine="420" w:firstLineChars="200"/>
              <w:rPr>
                <w:rFonts w:hint="eastAsia" w:eastAsia="宋体"/>
                <w:color w:val="000000" w:themeColor="text1"/>
                <w:lang w:eastAsia="zh-CN"/>
                <w14:textFill>
                  <w14:solidFill>
                    <w14:schemeClr w14:val="tx1"/>
                  </w14:solidFill>
                </w14:textFill>
              </w:rPr>
            </w:pPr>
            <w:r>
              <w:rPr>
                <w:color w:val="000000" w:themeColor="text1"/>
                <w14:textFill>
                  <w14:solidFill>
                    <w14:schemeClr w14:val="tx1"/>
                  </w14:solidFill>
                </w14:textFill>
              </w:rPr>
              <w:t>本项目现状固体废物情况，如下表所示</w:t>
            </w:r>
            <w:r>
              <w:rPr>
                <w:rFonts w:hint="eastAsia"/>
                <w:color w:val="000000" w:themeColor="text1"/>
                <w:lang w:eastAsia="zh-CN"/>
                <w14:textFill>
                  <w14:solidFill>
                    <w14:schemeClr w14:val="tx1"/>
                  </w14:solidFill>
                </w14:textFill>
              </w:rPr>
              <w:t>。</w:t>
            </w:r>
          </w:p>
          <w:p>
            <w:pPr>
              <w:autoSpaceDE w:val="0"/>
              <w:autoSpaceDN w:val="0"/>
              <w:adjustRightInd w:val="0"/>
              <w:snapToGrid w:val="0"/>
              <w:jc w:val="center"/>
              <w:rPr>
                <w:b/>
                <w:bCs/>
                <w:color w:val="000000" w:themeColor="text1"/>
                <w:kern w:val="0"/>
                <w:szCs w:val="21"/>
                <w14:textFill>
                  <w14:solidFill>
                    <w14:schemeClr w14:val="tx1"/>
                  </w14:solidFill>
                </w14:textFill>
              </w:rPr>
            </w:pPr>
          </w:p>
          <w:p>
            <w:pPr>
              <w:autoSpaceDE w:val="0"/>
              <w:autoSpaceDN w:val="0"/>
              <w:adjustRightInd w:val="0"/>
              <w:snapToGrid w:val="0"/>
              <w:jc w:val="center"/>
              <w:rPr>
                <w:b/>
                <w:bCs/>
                <w:color w:val="000000" w:themeColor="text1"/>
                <w:kern w:val="0"/>
                <w:szCs w:val="21"/>
                <w14:textFill>
                  <w14:solidFill>
                    <w14:schemeClr w14:val="tx1"/>
                  </w14:solidFill>
                </w14:textFill>
              </w:rPr>
            </w:pPr>
          </w:p>
          <w:p>
            <w:pPr>
              <w:autoSpaceDE w:val="0"/>
              <w:autoSpaceDN w:val="0"/>
              <w:adjustRightInd w:val="0"/>
              <w:snapToGrid w:val="0"/>
              <w:jc w:val="center"/>
              <w:rPr>
                <w:b/>
                <w:bCs/>
                <w:color w:val="000000" w:themeColor="text1"/>
                <w:kern w:val="0"/>
                <w:szCs w:val="21"/>
                <w14:textFill>
                  <w14:solidFill>
                    <w14:schemeClr w14:val="tx1"/>
                  </w14:solidFill>
                </w14:textFill>
              </w:rPr>
            </w:pPr>
          </w:p>
          <w:p>
            <w:pPr>
              <w:autoSpaceDE w:val="0"/>
              <w:autoSpaceDN w:val="0"/>
              <w:adjustRightInd w:val="0"/>
              <w:snapToGrid w:val="0"/>
              <w:jc w:val="center"/>
              <w:rPr>
                <w:b/>
                <w:bCs/>
                <w:color w:val="000000" w:themeColor="text1"/>
                <w:kern w:val="0"/>
                <w:szCs w:val="21"/>
                <w14:textFill>
                  <w14:solidFill>
                    <w14:schemeClr w14:val="tx1"/>
                  </w14:solidFill>
                </w14:textFill>
              </w:rPr>
            </w:pPr>
          </w:p>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表2-1</w:t>
            </w:r>
            <w:r>
              <w:rPr>
                <w:rFonts w:hint="eastAsia"/>
                <w:b/>
                <w:bCs/>
                <w:color w:val="000000" w:themeColor="text1"/>
                <w:kern w:val="0"/>
                <w:szCs w:val="21"/>
                <w14:textFill>
                  <w14:solidFill>
                    <w14:schemeClr w14:val="tx1"/>
                  </w14:solidFill>
                </w14:textFill>
              </w:rPr>
              <w:t>1</w:t>
            </w:r>
            <w:r>
              <w:rPr>
                <w:b/>
                <w:bCs/>
                <w:color w:val="000000" w:themeColor="text1"/>
                <w:kern w:val="0"/>
                <w:szCs w:val="21"/>
                <w14:textFill>
                  <w14:solidFill>
                    <w14:schemeClr w14:val="tx1"/>
                  </w14:solidFill>
                </w14:textFill>
              </w:rPr>
              <w:t xml:space="preserve">  固体废物情况汇总表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3"/>
              <w:gridCol w:w="869"/>
              <w:gridCol w:w="1416"/>
              <w:gridCol w:w="839"/>
              <w:gridCol w:w="1186"/>
              <w:gridCol w:w="630"/>
              <w:gridCol w:w="1130"/>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名称</w:t>
                  </w:r>
                </w:p>
              </w:tc>
              <w:tc>
                <w:tcPr>
                  <w:tcW w:w="86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废物</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类别</w:t>
                  </w:r>
                </w:p>
              </w:tc>
              <w:tc>
                <w:tcPr>
                  <w:tcW w:w="141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危险废物</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代码</w:t>
                  </w:r>
                </w:p>
              </w:tc>
              <w:tc>
                <w:tcPr>
                  <w:tcW w:w="83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产生量（t/a）</w:t>
                  </w:r>
                </w:p>
              </w:tc>
              <w:tc>
                <w:tcPr>
                  <w:tcW w:w="118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产生工序</w:t>
                  </w:r>
                </w:p>
              </w:tc>
              <w:tc>
                <w:tcPr>
                  <w:tcW w:w="630"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形态</w:t>
                  </w:r>
                </w:p>
              </w:tc>
              <w:tc>
                <w:tcPr>
                  <w:tcW w:w="1130"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主要成分</w:t>
                  </w:r>
                </w:p>
              </w:tc>
              <w:tc>
                <w:tcPr>
                  <w:tcW w:w="104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污染防治</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3" w:type="dxa"/>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医疗废物</w:t>
                  </w:r>
                </w:p>
              </w:tc>
              <w:tc>
                <w:tcPr>
                  <w:tcW w:w="869" w:type="dxa"/>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HW01</w:t>
                  </w:r>
                </w:p>
              </w:tc>
              <w:tc>
                <w:tcPr>
                  <w:tcW w:w="141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841-001-01</w:t>
                  </w:r>
                </w:p>
              </w:tc>
              <w:tc>
                <w:tcPr>
                  <w:tcW w:w="839" w:type="dxa"/>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10.09</w:t>
                  </w:r>
                </w:p>
              </w:tc>
              <w:tc>
                <w:tcPr>
                  <w:tcW w:w="1186" w:type="dxa"/>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医疗过程</w:t>
                  </w:r>
                </w:p>
              </w:tc>
              <w:tc>
                <w:tcPr>
                  <w:tcW w:w="630" w:type="dxa"/>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液、固态</w:t>
                  </w:r>
                </w:p>
              </w:tc>
              <w:tc>
                <w:tcPr>
                  <w:tcW w:w="1130" w:type="dxa"/>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门诊、治疗室、手术室、检验科室产生的医疗废物</w:t>
                  </w:r>
                </w:p>
              </w:tc>
              <w:tc>
                <w:tcPr>
                  <w:tcW w:w="1046" w:type="dxa"/>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委托资质单位处理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3" w:type="dxa"/>
                  <w:vMerge w:val="continue"/>
                  <w:vAlign w:val="center"/>
                </w:tcPr>
                <w:p>
                  <w:pPr>
                    <w:jc w:val="center"/>
                    <w:rPr>
                      <w:color w:val="000000" w:themeColor="text1"/>
                      <w:sz w:val="18"/>
                      <w:szCs w:val="18"/>
                      <w14:textFill>
                        <w14:solidFill>
                          <w14:schemeClr w14:val="tx1"/>
                        </w14:solidFill>
                      </w14:textFill>
                    </w:rPr>
                  </w:pPr>
                </w:p>
              </w:tc>
              <w:tc>
                <w:tcPr>
                  <w:tcW w:w="869" w:type="dxa"/>
                  <w:vMerge w:val="continue"/>
                  <w:vAlign w:val="center"/>
                </w:tcPr>
                <w:p>
                  <w:pPr>
                    <w:jc w:val="center"/>
                    <w:rPr>
                      <w:color w:val="000000" w:themeColor="text1"/>
                      <w:sz w:val="18"/>
                      <w:szCs w:val="18"/>
                      <w14:textFill>
                        <w14:solidFill>
                          <w14:schemeClr w14:val="tx1"/>
                        </w14:solidFill>
                      </w14:textFill>
                    </w:rPr>
                  </w:pPr>
                </w:p>
              </w:tc>
              <w:tc>
                <w:tcPr>
                  <w:tcW w:w="141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841-002-01</w:t>
                  </w:r>
                </w:p>
              </w:tc>
              <w:tc>
                <w:tcPr>
                  <w:tcW w:w="839" w:type="dxa"/>
                  <w:vMerge w:val="continue"/>
                  <w:vAlign w:val="center"/>
                </w:tcPr>
                <w:p>
                  <w:pPr>
                    <w:jc w:val="center"/>
                    <w:rPr>
                      <w:color w:val="000000" w:themeColor="text1"/>
                      <w:sz w:val="18"/>
                      <w:szCs w:val="18"/>
                      <w14:textFill>
                        <w14:solidFill>
                          <w14:schemeClr w14:val="tx1"/>
                        </w14:solidFill>
                      </w14:textFill>
                    </w:rPr>
                  </w:pPr>
                </w:p>
              </w:tc>
              <w:tc>
                <w:tcPr>
                  <w:tcW w:w="1186" w:type="dxa"/>
                  <w:vMerge w:val="continue"/>
                  <w:vAlign w:val="center"/>
                </w:tcPr>
                <w:p>
                  <w:pPr>
                    <w:jc w:val="center"/>
                    <w:rPr>
                      <w:color w:val="000000" w:themeColor="text1"/>
                      <w:sz w:val="18"/>
                      <w:szCs w:val="18"/>
                      <w14:textFill>
                        <w14:solidFill>
                          <w14:schemeClr w14:val="tx1"/>
                        </w14:solidFill>
                      </w14:textFill>
                    </w:rPr>
                  </w:pPr>
                </w:p>
              </w:tc>
              <w:tc>
                <w:tcPr>
                  <w:tcW w:w="630" w:type="dxa"/>
                  <w:vMerge w:val="continue"/>
                  <w:vAlign w:val="center"/>
                </w:tcPr>
                <w:p>
                  <w:pPr>
                    <w:jc w:val="center"/>
                    <w:rPr>
                      <w:color w:val="000000" w:themeColor="text1"/>
                      <w:sz w:val="18"/>
                      <w:szCs w:val="18"/>
                      <w14:textFill>
                        <w14:solidFill>
                          <w14:schemeClr w14:val="tx1"/>
                        </w14:solidFill>
                      </w14:textFill>
                    </w:rPr>
                  </w:pPr>
                </w:p>
              </w:tc>
              <w:tc>
                <w:tcPr>
                  <w:tcW w:w="1130" w:type="dxa"/>
                  <w:vMerge w:val="continue"/>
                  <w:vAlign w:val="center"/>
                </w:tcPr>
                <w:p>
                  <w:pPr>
                    <w:jc w:val="center"/>
                    <w:rPr>
                      <w:color w:val="000000" w:themeColor="text1"/>
                      <w:sz w:val="18"/>
                      <w:szCs w:val="18"/>
                      <w14:textFill>
                        <w14:solidFill>
                          <w14:schemeClr w14:val="tx1"/>
                        </w14:solidFill>
                      </w14:textFill>
                    </w:rPr>
                  </w:pPr>
                </w:p>
              </w:tc>
              <w:tc>
                <w:tcPr>
                  <w:tcW w:w="1046"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3" w:type="dxa"/>
                  <w:vMerge w:val="continue"/>
                  <w:vAlign w:val="center"/>
                </w:tcPr>
                <w:p>
                  <w:pPr>
                    <w:jc w:val="center"/>
                    <w:rPr>
                      <w:color w:val="000000" w:themeColor="text1"/>
                      <w:sz w:val="18"/>
                      <w:szCs w:val="18"/>
                      <w14:textFill>
                        <w14:solidFill>
                          <w14:schemeClr w14:val="tx1"/>
                        </w14:solidFill>
                      </w14:textFill>
                    </w:rPr>
                  </w:pPr>
                </w:p>
              </w:tc>
              <w:tc>
                <w:tcPr>
                  <w:tcW w:w="869" w:type="dxa"/>
                  <w:vMerge w:val="continue"/>
                  <w:vAlign w:val="center"/>
                </w:tcPr>
                <w:p>
                  <w:pPr>
                    <w:jc w:val="center"/>
                    <w:rPr>
                      <w:color w:val="000000" w:themeColor="text1"/>
                      <w:sz w:val="18"/>
                      <w:szCs w:val="18"/>
                      <w14:textFill>
                        <w14:solidFill>
                          <w14:schemeClr w14:val="tx1"/>
                        </w14:solidFill>
                      </w14:textFill>
                    </w:rPr>
                  </w:pPr>
                </w:p>
              </w:tc>
              <w:tc>
                <w:tcPr>
                  <w:tcW w:w="141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841-003-01</w:t>
                  </w:r>
                </w:p>
              </w:tc>
              <w:tc>
                <w:tcPr>
                  <w:tcW w:w="839" w:type="dxa"/>
                  <w:vMerge w:val="continue"/>
                  <w:vAlign w:val="center"/>
                </w:tcPr>
                <w:p>
                  <w:pPr>
                    <w:jc w:val="center"/>
                    <w:rPr>
                      <w:color w:val="000000" w:themeColor="text1"/>
                      <w:sz w:val="18"/>
                      <w:szCs w:val="18"/>
                      <w14:textFill>
                        <w14:solidFill>
                          <w14:schemeClr w14:val="tx1"/>
                        </w14:solidFill>
                      </w14:textFill>
                    </w:rPr>
                  </w:pPr>
                </w:p>
              </w:tc>
              <w:tc>
                <w:tcPr>
                  <w:tcW w:w="1186" w:type="dxa"/>
                  <w:vMerge w:val="continue"/>
                  <w:vAlign w:val="center"/>
                </w:tcPr>
                <w:p>
                  <w:pPr>
                    <w:jc w:val="center"/>
                    <w:rPr>
                      <w:color w:val="000000" w:themeColor="text1"/>
                      <w:sz w:val="18"/>
                      <w:szCs w:val="18"/>
                      <w14:textFill>
                        <w14:solidFill>
                          <w14:schemeClr w14:val="tx1"/>
                        </w14:solidFill>
                      </w14:textFill>
                    </w:rPr>
                  </w:pPr>
                </w:p>
              </w:tc>
              <w:tc>
                <w:tcPr>
                  <w:tcW w:w="630" w:type="dxa"/>
                  <w:vMerge w:val="continue"/>
                  <w:vAlign w:val="center"/>
                </w:tcPr>
                <w:p>
                  <w:pPr>
                    <w:jc w:val="center"/>
                    <w:rPr>
                      <w:color w:val="000000" w:themeColor="text1"/>
                      <w:sz w:val="18"/>
                      <w:szCs w:val="18"/>
                      <w14:textFill>
                        <w14:solidFill>
                          <w14:schemeClr w14:val="tx1"/>
                        </w14:solidFill>
                      </w14:textFill>
                    </w:rPr>
                  </w:pPr>
                </w:p>
              </w:tc>
              <w:tc>
                <w:tcPr>
                  <w:tcW w:w="1130" w:type="dxa"/>
                  <w:vMerge w:val="continue"/>
                  <w:vAlign w:val="center"/>
                </w:tcPr>
                <w:p>
                  <w:pPr>
                    <w:jc w:val="center"/>
                    <w:rPr>
                      <w:color w:val="000000" w:themeColor="text1"/>
                      <w:sz w:val="18"/>
                      <w:szCs w:val="18"/>
                      <w14:textFill>
                        <w14:solidFill>
                          <w14:schemeClr w14:val="tx1"/>
                        </w14:solidFill>
                      </w14:textFill>
                    </w:rPr>
                  </w:pPr>
                </w:p>
              </w:tc>
              <w:tc>
                <w:tcPr>
                  <w:tcW w:w="1046"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3" w:type="dxa"/>
                  <w:vMerge w:val="continue"/>
                  <w:vAlign w:val="center"/>
                </w:tcPr>
                <w:p>
                  <w:pPr>
                    <w:jc w:val="center"/>
                    <w:rPr>
                      <w:color w:val="000000" w:themeColor="text1"/>
                      <w:sz w:val="18"/>
                      <w:szCs w:val="18"/>
                      <w14:textFill>
                        <w14:solidFill>
                          <w14:schemeClr w14:val="tx1"/>
                        </w14:solidFill>
                      </w14:textFill>
                    </w:rPr>
                  </w:pPr>
                </w:p>
              </w:tc>
              <w:tc>
                <w:tcPr>
                  <w:tcW w:w="869" w:type="dxa"/>
                  <w:vMerge w:val="continue"/>
                  <w:vAlign w:val="center"/>
                </w:tcPr>
                <w:p>
                  <w:pPr>
                    <w:jc w:val="center"/>
                    <w:rPr>
                      <w:color w:val="000000" w:themeColor="text1"/>
                      <w:sz w:val="18"/>
                      <w:szCs w:val="18"/>
                      <w14:textFill>
                        <w14:solidFill>
                          <w14:schemeClr w14:val="tx1"/>
                        </w14:solidFill>
                      </w14:textFill>
                    </w:rPr>
                  </w:pPr>
                </w:p>
              </w:tc>
              <w:tc>
                <w:tcPr>
                  <w:tcW w:w="141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841-004-01</w:t>
                  </w:r>
                </w:p>
              </w:tc>
              <w:tc>
                <w:tcPr>
                  <w:tcW w:w="839" w:type="dxa"/>
                  <w:vMerge w:val="continue"/>
                  <w:vAlign w:val="center"/>
                </w:tcPr>
                <w:p>
                  <w:pPr>
                    <w:jc w:val="center"/>
                    <w:rPr>
                      <w:color w:val="000000" w:themeColor="text1"/>
                      <w:sz w:val="18"/>
                      <w:szCs w:val="18"/>
                      <w14:textFill>
                        <w14:solidFill>
                          <w14:schemeClr w14:val="tx1"/>
                        </w14:solidFill>
                      </w14:textFill>
                    </w:rPr>
                  </w:pPr>
                </w:p>
              </w:tc>
              <w:tc>
                <w:tcPr>
                  <w:tcW w:w="1186" w:type="dxa"/>
                  <w:vMerge w:val="continue"/>
                  <w:vAlign w:val="center"/>
                </w:tcPr>
                <w:p>
                  <w:pPr>
                    <w:jc w:val="center"/>
                    <w:rPr>
                      <w:color w:val="000000" w:themeColor="text1"/>
                      <w:sz w:val="18"/>
                      <w:szCs w:val="18"/>
                      <w14:textFill>
                        <w14:solidFill>
                          <w14:schemeClr w14:val="tx1"/>
                        </w14:solidFill>
                      </w14:textFill>
                    </w:rPr>
                  </w:pPr>
                </w:p>
              </w:tc>
              <w:tc>
                <w:tcPr>
                  <w:tcW w:w="630" w:type="dxa"/>
                  <w:vMerge w:val="continue"/>
                  <w:vAlign w:val="center"/>
                </w:tcPr>
                <w:p>
                  <w:pPr>
                    <w:jc w:val="center"/>
                    <w:rPr>
                      <w:color w:val="000000" w:themeColor="text1"/>
                      <w:sz w:val="18"/>
                      <w:szCs w:val="18"/>
                      <w14:textFill>
                        <w14:solidFill>
                          <w14:schemeClr w14:val="tx1"/>
                        </w14:solidFill>
                      </w14:textFill>
                    </w:rPr>
                  </w:pPr>
                </w:p>
              </w:tc>
              <w:tc>
                <w:tcPr>
                  <w:tcW w:w="1130" w:type="dxa"/>
                  <w:vMerge w:val="continue"/>
                  <w:vAlign w:val="center"/>
                </w:tcPr>
                <w:p>
                  <w:pPr>
                    <w:jc w:val="center"/>
                    <w:rPr>
                      <w:color w:val="000000" w:themeColor="text1"/>
                      <w:sz w:val="18"/>
                      <w:szCs w:val="18"/>
                      <w14:textFill>
                        <w14:solidFill>
                          <w14:schemeClr w14:val="tx1"/>
                        </w14:solidFill>
                      </w14:textFill>
                    </w:rPr>
                  </w:pPr>
                </w:p>
              </w:tc>
              <w:tc>
                <w:tcPr>
                  <w:tcW w:w="1046"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3" w:type="dxa"/>
                  <w:vMerge w:val="continue"/>
                  <w:vAlign w:val="center"/>
                </w:tcPr>
                <w:p>
                  <w:pPr>
                    <w:jc w:val="center"/>
                    <w:rPr>
                      <w:color w:val="000000" w:themeColor="text1"/>
                      <w:sz w:val="18"/>
                      <w:szCs w:val="18"/>
                      <w14:textFill>
                        <w14:solidFill>
                          <w14:schemeClr w14:val="tx1"/>
                        </w14:solidFill>
                      </w14:textFill>
                    </w:rPr>
                  </w:pPr>
                </w:p>
              </w:tc>
              <w:tc>
                <w:tcPr>
                  <w:tcW w:w="869" w:type="dxa"/>
                  <w:vMerge w:val="continue"/>
                  <w:vAlign w:val="center"/>
                </w:tcPr>
                <w:p>
                  <w:pPr>
                    <w:jc w:val="center"/>
                    <w:rPr>
                      <w:color w:val="000000" w:themeColor="text1"/>
                      <w:sz w:val="18"/>
                      <w:szCs w:val="18"/>
                      <w14:textFill>
                        <w14:solidFill>
                          <w14:schemeClr w14:val="tx1"/>
                        </w14:solidFill>
                      </w14:textFill>
                    </w:rPr>
                  </w:pPr>
                </w:p>
              </w:tc>
              <w:tc>
                <w:tcPr>
                  <w:tcW w:w="141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841-005-01</w:t>
                  </w:r>
                </w:p>
              </w:tc>
              <w:tc>
                <w:tcPr>
                  <w:tcW w:w="839" w:type="dxa"/>
                  <w:vMerge w:val="continue"/>
                  <w:vAlign w:val="center"/>
                </w:tcPr>
                <w:p>
                  <w:pPr>
                    <w:jc w:val="center"/>
                    <w:rPr>
                      <w:color w:val="000000" w:themeColor="text1"/>
                      <w:sz w:val="18"/>
                      <w:szCs w:val="18"/>
                      <w14:textFill>
                        <w14:solidFill>
                          <w14:schemeClr w14:val="tx1"/>
                        </w14:solidFill>
                      </w14:textFill>
                    </w:rPr>
                  </w:pPr>
                </w:p>
              </w:tc>
              <w:tc>
                <w:tcPr>
                  <w:tcW w:w="1186" w:type="dxa"/>
                  <w:vMerge w:val="continue"/>
                  <w:vAlign w:val="center"/>
                </w:tcPr>
                <w:p>
                  <w:pPr>
                    <w:jc w:val="center"/>
                    <w:rPr>
                      <w:color w:val="000000" w:themeColor="text1"/>
                      <w:sz w:val="18"/>
                      <w:szCs w:val="18"/>
                      <w14:textFill>
                        <w14:solidFill>
                          <w14:schemeClr w14:val="tx1"/>
                        </w14:solidFill>
                      </w14:textFill>
                    </w:rPr>
                  </w:pPr>
                </w:p>
              </w:tc>
              <w:tc>
                <w:tcPr>
                  <w:tcW w:w="630" w:type="dxa"/>
                  <w:vMerge w:val="continue"/>
                  <w:vAlign w:val="center"/>
                </w:tcPr>
                <w:p>
                  <w:pPr>
                    <w:jc w:val="center"/>
                    <w:rPr>
                      <w:color w:val="000000" w:themeColor="text1"/>
                      <w:sz w:val="18"/>
                      <w:szCs w:val="18"/>
                      <w14:textFill>
                        <w14:solidFill>
                          <w14:schemeClr w14:val="tx1"/>
                        </w14:solidFill>
                      </w14:textFill>
                    </w:rPr>
                  </w:pPr>
                </w:p>
              </w:tc>
              <w:tc>
                <w:tcPr>
                  <w:tcW w:w="1130" w:type="dxa"/>
                  <w:vMerge w:val="continue"/>
                  <w:vAlign w:val="center"/>
                </w:tcPr>
                <w:p>
                  <w:pPr>
                    <w:jc w:val="center"/>
                    <w:rPr>
                      <w:color w:val="000000" w:themeColor="text1"/>
                      <w:sz w:val="18"/>
                      <w:szCs w:val="18"/>
                      <w14:textFill>
                        <w14:solidFill>
                          <w14:schemeClr w14:val="tx1"/>
                        </w14:solidFill>
                      </w14:textFill>
                    </w:rPr>
                  </w:pPr>
                </w:p>
              </w:tc>
              <w:tc>
                <w:tcPr>
                  <w:tcW w:w="1046"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污水处理站污泥</w:t>
                  </w:r>
                </w:p>
              </w:tc>
              <w:tc>
                <w:tcPr>
                  <w:tcW w:w="86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HW01</w:t>
                  </w:r>
                </w:p>
              </w:tc>
              <w:tc>
                <w:tcPr>
                  <w:tcW w:w="141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841-001-01</w:t>
                  </w:r>
                </w:p>
              </w:tc>
              <w:tc>
                <w:tcPr>
                  <w:tcW w:w="83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0.3</w:t>
                  </w:r>
                </w:p>
              </w:tc>
              <w:tc>
                <w:tcPr>
                  <w:tcW w:w="118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污水处理</w:t>
                  </w:r>
                </w:p>
              </w:tc>
              <w:tc>
                <w:tcPr>
                  <w:tcW w:w="630"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固态</w:t>
                  </w:r>
                </w:p>
              </w:tc>
              <w:tc>
                <w:tcPr>
                  <w:tcW w:w="1130"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污泥</w:t>
                  </w:r>
                </w:p>
              </w:tc>
              <w:tc>
                <w:tcPr>
                  <w:tcW w:w="104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委托资质单位处理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栅渣</w:t>
                  </w:r>
                </w:p>
              </w:tc>
              <w:tc>
                <w:tcPr>
                  <w:tcW w:w="86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HW01</w:t>
                  </w:r>
                </w:p>
              </w:tc>
              <w:tc>
                <w:tcPr>
                  <w:tcW w:w="141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841-001-01</w:t>
                  </w:r>
                </w:p>
              </w:tc>
              <w:tc>
                <w:tcPr>
                  <w:tcW w:w="83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w:t>
                  </w:r>
                </w:p>
              </w:tc>
              <w:tc>
                <w:tcPr>
                  <w:tcW w:w="118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污水处理</w:t>
                  </w:r>
                </w:p>
              </w:tc>
              <w:tc>
                <w:tcPr>
                  <w:tcW w:w="630"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固态</w:t>
                  </w:r>
                </w:p>
              </w:tc>
              <w:tc>
                <w:tcPr>
                  <w:tcW w:w="1130"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栅渣</w:t>
                  </w:r>
                </w:p>
              </w:tc>
              <w:tc>
                <w:tcPr>
                  <w:tcW w:w="104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委托资质单位处理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废包装物</w:t>
                  </w:r>
                </w:p>
              </w:tc>
              <w:tc>
                <w:tcPr>
                  <w:tcW w:w="86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141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3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w:t>
                  </w:r>
                </w:p>
              </w:tc>
              <w:tc>
                <w:tcPr>
                  <w:tcW w:w="118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医疗过程</w:t>
                  </w:r>
                </w:p>
              </w:tc>
              <w:tc>
                <w:tcPr>
                  <w:tcW w:w="630"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固态</w:t>
                  </w:r>
                </w:p>
              </w:tc>
              <w:tc>
                <w:tcPr>
                  <w:tcW w:w="1130"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纸箱</w:t>
                  </w:r>
                </w:p>
              </w:tc>
              <w:tc>
                <w:tcPr>
                  <w:tcW w:w="104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外售综合利用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93"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生活垃圾</w:t>
                  </w:r>
                </w:p>
              </w:tc>
              <w:tc>
                <w:tcPr>
                  <w:tcW w:w="86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141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3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52.377</w:t>
                  </w:r>
                </w:p>
              </w:tc>
              <w:tc>
                <w:tcPr>
                  <w:tcW w:w="118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人员生活</w:t>
                  </w:r>
                </w:p>
              </w:tc>
              <w:tc>
                <w:tcPr>
                  <w:tcW w:w="630"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固态</w:t>
                  </w:r>
                </w:p>
              </w:tc>
              <w:tc>
                <w:tcPr>
                  <w:tcW w:w="1130"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果皮纸屑</w:t>
                  </w:r>
                </w:p>
              </w:tc>
              <w:tc>
                <w:tcPr>
                  <w:tcW w:w="104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环卫部门清运</w:t>
                  </w:r>
                </w:p>
              </w:tc>
            </w:tr>
          </w:tbl>
          <w:p>
            <w:pPr>
              <w:spacing w:line="360" w:lineRule="auto"/>
              <w:ind w:firstLine="422" w:firstLineChars="200"/>
              <w:rPr>
                <w:b/>
                <w:color w:val="000000" w:themeColor="text1"/>
                <w14:textFill>
                  <w14:solidFill>
                    <w14:schemeClr w14:val="tx1"/>
                  </w14:solidFill>
                </w14:textFill>
              </w:rPr>
            </w:pPr>
            <w:r>
              <w:rPr>
                <w:b/>
                <w:color w:val="000000" w:themeColor="text1"/>
                <w14:textFill>
                  <w14:solidFill>
                    <w14:schemeClr w14:val="tx1"/>
                  </w14:solidFill>
                </w14:textFill>
              </w:rPr>
              <w:t>3、现有工程主要环境问题及拟采取的整改措施</w:t>
            </w:r>
          </w:p>
          <w:p>
            <w:pPr>
              <w:spacing w:line="360" w:lineRule="auto"/>
              <w:ind w:firstLine="420" w:firstLineChars="20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①</w:t>
            </w:r>
            <w:r>
              <w:rPr>
                <w:color w:val="000000" w:themeColor="text1"/>
                <w14:textFill>
                  <w14:solidFill>
                    <w14:schemeClr w14:val="tx1"/>
                  </w14:solidFill>
                </w14:textFill>
              </w:rPr>
              <w:t>项目环境档案管理不细致，项目环保设备的维护没有记录，污水处理站没有设置明显的的警示标识。</w:t>
            </w:r>
          </w:p>
          <w:p>
            <w:pPr>
              <w:spacing w:line="360" w:lineRule="auto"/>
              <w:ind w:firstLine="482"/>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 2 \* GB3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②</w:t>
            </w:r>
            <w:r>
              <w:rPr>
                <w:color w:val="000000" w:themeColor="text1"/>
                <w14:textFill>
                  <w14:solidFill>
                    <w14:schemeClr w14:val="tx1"/>
                  </w14:solidFill>
                </w14:textFill>
              </w:rPr>
              <w:fldChar w:fldCharType="end"/>
            </w:r>
            <w:r>
              <w:rPr>
                <w:color w:val="000000" w:themeColor="text1"/>
                <w14:textFill>
                  <w14:solidFill>
                    <w14:schemeClr w14:val="tx1"/>
                  </w14:solidFill>
                </w14:textFill>
              </w:rPr>
              <w:t>厂区污水排放口未安装流量检测仪对废水排放口流量进行自动监测。</w:t>
            </w:r>
          </w:p>
          <w:p>
            <w:pPr>
              <w:spacing w:line="360" w:lineRule="auto"/>
              <w:ind w:firstLine="482"/>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3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③</w:t>
            </w:r>
            <w:r>
              <w:rPr>
                <w:color w:val="000000" w:themeColor="text1"/>
                <w14:textFill>
                  <w14:solidFill>
                    <w14:schemeClr w14:val="tx1"/>
                  </w14:solidFill>
                </w14:textFill>
              </w:rPr>
              <w:fldChar w:fldCharType="end"/>
            </w:r>
            <w:r>
              <w:rPr>
                <w:color w:val="000000" w:themeColor="text1"/>
                <w14:textFill>
                  <w14:solidFill>
                    <w14:schemeClr w14:val="tx1"/>
                  </w14:solidFill>
                </w14:textFill>
              </w:rPr>
              <w:t>企业与危废处置单位签订危废处理协议已过有效期</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未及时签订危废处置协议</w:t>
            </w:r>
            <w:r>
              <w:rPr>
                <w:rFonts w:hint="eastAsia"/>
                <w:color w:val="000000" w:themeColor="text1"/>
                <w14:textFill>
                  <w14:solidFill>
                    <w14:schemeClr w14:val="tx1"/>
                  </w14:solidFill>
                </w14:textFill>
              </w:rPr>
              <w:t>。</w:t>
            </w:r>
          </w:p>
          <w:p>
            <w:pPr>
              <w:spacing w:line="360" w:lineRule="auto"/>
              <w:ind w:firstLine="482"/>
              <w:rPr>
                <w:color w:val="000000" w:themeColor="text1"/>
                <w14:textFill>
                  <w14:solidFill>
                    <w14:schemeClr w14:val="tx1"/>
                  </w14:solidFill>
                </w14:textFill>
              </w:rPr>
            </w:pPr>
            <w:r>
              <w:rPr>
                <w:color w:val="000000" w:themeColor="text1"/>
                <w14:textFill>
                  <w14:solidFill>
                    <w14:schemeClr w14:val="tx1"/>
                  </w14:solidFill>
                </w14:textFill>
              </w:rPr>
              <w:t>2、整改措施：</w:t>
            </w:r>
          </w:p>
          <w:p>
            <w:pPr>
              <w:pStyle w:val="12"/>
              <w:spacing w:line="360" w:lineRule="auto"/>
              <w:ind w:firstLine="420" w:firstLineChars="200"/>
              <w:jc w:val="both"/>
              <w:rPr>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①</w:t>
            </w:r>
            <w:r>
              <w:rPr>
                <w:color w:val="000000" w:themeColor="text1"/>
                <w:sz w:val="21"/>
                <w:szCs w:val="21"/>
                <w14:textFill>
                  <w14:solidFill>
                    <w14:schemeClr w14:val="tx1"/>
                  </w14:solidFill>
                </w14:textFill>
              </w:rPr>
              <w:t>完善环境管理制度、落实环境管理档案。按照要求在污水处理站外的明显处同时设置警示标识；整改计划完成时间：2022年11月底。</w:t>
            </w:r>
          </w:p>
          <w:p>
            <w:pPr>
              <w:spacing w:line="360" w:lineRule="auto"/>
              <w:ind w:firstLine="482"/>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 2 \* GB3 </w:instrText>
            </w:r>
            <w:r>
              <w:rPr>
                <w:color w:val="000000" w:themeColor="text1"/>
                <w14:textFill>
                  <w14:solidFill>
                    <w14:schemeClr w14:val="tx1"/>
                  </w14:solidFill>
                </w14:textFill>
              </w:rPr>
              <w:fldChar w:fldCharType="separate"/>
            </w:r>
            <w:r>
              <w:rPr>
                <w:rFonts w:hint="eastAsia" w:ascii="宋体" w:hAnsi="宋体" w:cs="宋体"/>
                <w:color w:val="000000" w:themeColor="text1"/>
                <w14:textFill>
                  <w14:solidFill>
                    <w14:schemeClr w14:val="tx1"/>
                  </w14:solidFill>
                </w14:textFill>
              </w:rPr>
              <w:t>②</w:t>
            </w:r>
            <w:r>
              <w:rPr>
                <w:color w:val="000000" w:themeColor="text1"/>
                <w14:textFill>
                  <w14:solidFill>
                    <w14:schemeClr w14:val="tx1"/>
                  </w14:solidFill>
                </w14:textFill>
              </w:rPr>
              <w:fldChar w:fldCharType="end"/>
            </w:r>
            <w:r>
              <w:rPr>
                <w:color w:val="000000" w:themeColor="text1"/>
                <w14:textFill>
                  <w14:solidFill>
                    <w14:schemeClr w14:val="tx1"/>
                  </w14:solidFill>
                </w14:textFill>
              </w:rPr>
              <w:t>安装流量检测仪对废水排放口流量进行自动监测；</w:t>
            </w:r>
            <w:r>
              <w:rPr>
                <w:color w:val="000000" w:themeColor="text1"/>
                <w:szCs w:val="21"/>
                <w14:textFill>
                  <w14:solidFill>
                    <w14:schemeClr w14:val="tx1"/>
                  </w14:solidFill>
                </w14:textFill>
              </w:rPr>
              <w:t>整改计划完成时间：2022年11月底。</w:t>
            </w:r>
          </w:p>
          <w:p>
            <w:pPr>
              <w:spacing w:line="360" w:lineRule="auto"/>
              <w:ind w:firstLine="482"/>
              <w:rPr>
                <w:color w:val="000000" w:themeColor="text1"/>
                <w:szCs w:val="2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w:instrText>
            </w:r>
            <w:r>
              <w:rPr>
                <w:rFonts w:hint="eastAsia"/>
                <w:color w:val="000000" w:themeColor="text1"/>
                <w14:textFill>
                  <w14:solidFill>
                    <w14:schemeClr w14:val="tx1"/>
                  </w14:solidFill>
                </w14:textFill>
              </w:rPr>
              <w:instrText xml:space="preserve">= 3 \* GB3</w:instrText>
            </w:r>
            <w:r>
              <w:rPr>
                <w:color w:val="000000" w:themeColor="text1"/>
                <w14:textFill>
                  <w14:solidFill>
                    <w14:schemeClr w14:val="tx1"/>
                  </w14:solidFill>
                </w14:textFill>
              </w:rPr>
              <w:instrText xml:space="preserve"> </w:instrText>
            </w:r>
            <w:r>
              <w:rPr>
                <w:color w:val="000000" w:themeColor="text1"/>
                <w14:textFill>
                  <w14:solidFill>
                    <w14:schemeClr w14:val="tx1"/>
                  </w14:solidFill>
                </w14:textFill>
              </w:rPr>
              <w:fldChar w:fldCharType="separate"/>
            </w:r>
            <w:r>
              <w:rPr>
                <w:rFonts w:hint="eastAsia"/>
                <w:color w:val="000000" w:themeColor="text1"/>
                <w14:textFill>
                  <w14:solidFill>
                    <w14:schemeClr w14:val="tx1"/>
                  </w14:solidFill>
                </w14:textFill>
              </w:rPr>
              <w:t>③</w:t>
            </w:r>
            <w:r>
              <w:rPr>
                <w:color w:val="000000" w:themeColor="text1"/>
                <w14:textFill>
                  <w14:solidFill>
                    <w14:schemeClr w14:val="tx1"/>
                  </w14:solidFill>
                </w14:textFill>
              </w:rPr>
              <w:fldChar w:fldCharType="end"/>
            </w:r>
            <w:r>
              <w:rPr>
                <w:color w:val="000000" w:themeColor="text1"/>
                <w14:textFill>
                  <w14:solidFill>
                    <w14:schemeClr w14:val="tx1"/>
                  </w14:solidFill>
                </w14:textFill>
              </w:rPr>
              <w:t>及时与危废处置单位签订危废处置协议</w:t>
            </w:r>
            <w:r>
              <w:rPr>
                <w:rFonts w:hint="eastAsia"/>
                <w:color w:val="000000" w:themeColor="text1"/>
                <w14:textFill>
                  <w14:solidFill>
                    <w14:schemeClr w14:val="tx1"/>
                  </w14:solidFill>
                </w14:textFill>
              </w:rPr>
              <w:t>；</w:t>
            </w:r>
            <w:r>
              <w:rPr>
                <w:color w:val="000000" w:themeColor="text1"/>
                <w:szCs w:val="21"/>
                <w14:textFill>
                  <w14:solidFill>
                    <w14:schemeClr w14:val="tx1"/>
                  </w14:solidFill>
                </w14:textFill>
              </w:rPr>
              <w:t>整改计划完成时间：2022年11月底。</w:t>
            </w:r>
          </w:p>
          <w:p>
            <w:pPr>
              <w:pStyle w:val="2"/>
              <w:ind w:firstLine="48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ind w:firstLine="480"/>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c>
      </w:tr>
    </w:tbl>
    <w:p>
      <w:pPr>
        <w:pStyle w:val="21"/>
        <w:jc w:val="center"/>
        <w:rPr>
          <w:rFonts w:ascii="Times New Roman" w:hAnsi="Times New Roman" w:eastAsia="黑体"/>
          <w:snapToGrid w:val="0"/>
          <w:color w:val="000000" w:themeColor="text1"/>
          <w:sz w:val="36"/>
          <w:szCs w:val="36"/>
          <w14:textFill>
            <w14:solidFill>
              <w14:schemeClr w14:val="tx1"/>
            </w14:solidFill>
          </w14:textFill>
        </w:rPr>
        <w:sectPr>
          <w:pgSz w:w="11906" w:h="16838"/>
          <w:pgMar w:top="1701" w:right="1531" w:bottom="1701" w:left="1531" w:header="851" w:footer="851" w:gutter="0"/>
          <w:pgNumType w:fmt="numberInDash"/>
          <w:cols w:space="720" w:num="1"/>
          <w:docGrid w:linePitch="312" w:charSpace="0"/>
        </w:sectPr>
      </w:pPr>
    </w:p>
    <w:p>
      <w:pPr>
        <w:pStyle w:val="21"/>
        <w:jc w:val="center"/>
        <w:outlineLvl w:val="0"/>
        <w:rPr>
          <w:rFonts w:ascii="Times New Roman" w:hAnsi="Times New Roman" w:eastAsia="黑体"/>
          <w:snapToGrid w:val="0"/>
          <w:color w:val="000000" w:themeColor="text1"/>
          <w:sz w:val="30"/>
          <w:szCs w:val="30"/>
          <w14:textFill>
            <w14:solidFill>
              <w14:schemeClr w14:val="tx1"/>
            </w14:solidFill>
          </w14:textFill>
        </w:rPr>
      </w:pPr>
      <w:r>
        <w:rPr>
          <w:rFonts w:ascii="Times New Roman" w:hAnsi="Times New Roman" w:eastAsia="黑体"/>
          <w:snapToGrid w:val="0"/>
          <w:color w:val="000000" w:themeColor="text1"/>
          <w:sz w:val="30"/>
          <w:szCs w:val="30"/>
          <w14:textFill>
            <w14:solidFill>
              <w14:schemeClr w14:val="tx1"/>
            </w14:solidFill>
          </w14:textFill>
        </w:rPr>
        <w:t>三、区域环境质量现状、环境保护目标及评价标准</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8"/>
        <w:gridCol w:w="855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06" w:hRule="atLeast"/>
          <w:jc w:val="center"/>
        </w:trPr>
        <w:tc>
          <w:tcPr>
            <w:tcW w:w="438" w:type="dxa"/>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区域</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环境</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质量</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现状</w:t>
            </w:r>
          </w:p>
        </w:tc>
        <w:tc>
          <w:tcPr>
            <w:tcW w:w="8552" w:type="dxa"/>
            <w:vAlign w:val="center"/>
          </w:tcPr>
          <w:p>
            <w:pPr>
              <w:pStyle w:val="13"/>
              <w:spacing w:line="360" w:lineRule="auto"/>
              <w:ind w:firstLine="420" w:firstLineChars="200"/>
              <w:rPr>
                <w:rFonts w:ascii="Times New Roman" w:hAnsi="Times New Roman"/>
                <w:b/>
                <w:bCs/>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根据当地环境规划，该区域属于《环境空气质量标准》（GB3095-2012）二级标准适用区；区域地表水域为玉龙河，属于东猪龙河支流，水质执行《地表水环境质量标准》（GB3838-2002）中</w:t>
            </w:r>
            <w:r>
              <w:rPr>
                <w:rFonts w:ascii="Times New Roman" w:hAnsi="Times New Roman"/>
                <w:color w:val="000000" w:themeColor="text1"/>
                <w:szCs w:val="21"/>
                <w14:textFill>
                  <w14:solidFill>
                    <w14:schemeClr w14:val="tx1"/>
                  </w14:solidFill>
                </w14:textFill>
              </w:rPr>
              <w:fldChar w:fldCharType="begin"/>
            </w:r>
            <w:r>
              <w:rPr>
                <w:rFonts w:ascii="Times New Roman" w:hAnsi="Times New Roman"/>
                <w:color w:val="000000" w:themeColor="text1"/>
                <w:szCs w:val="21"/>
                <w14:textFill>
                  <w14:solidFill>
                    <w14:schemeClr w14:val="tx1"/>
                  </w14:solidFill>
                </w14:textFill>
              </w:rPr>
              <w:instrText xml:space="preserve"> = 4 \* ROMAN </w:instrText>
            </w:r>
            <w:r>
              <w:rPr>
                <w:rFonts w:ascii="Times New Roman" w:hAnsi="Times New Roman"/>
                <w:color w:val="000000" w:themeColor="text1"/>
                <w:szCs w:val="21"/>
                <w14:textFill>
                  <w14:solidFill>
                    <w14:schemeClr w14:val="tx1"/>
                  </w14:solidFill>
                </w14:textFill>
              </w:rPr>
              <w:fldChar w:fldCharType="separate"/>
            </w:r>
            <w:r>
              <w:rPr>
                <w:rFonts w:ascii="Times New Roman" w:hAnsi="Times New Roman"/>
                <w:color w:val="000000" w:themeColor="text1"/>
                <w:szCs w:val="21"/>
                <w14:textFill>
                  <w14:solidFill>
                    <w14:schemeClr w14:val="tx1"/>
                  </w14:solidFill>
                </w14:textFill>
              </w:rPr>
              <w:t>IV</w:t>
            </w:r>
            <w:r>
              <w:rPr>
                <w:rFonts w:ascii="Times New Roman" w:hAnsi="Times New Roman"/>
                <w:color w:val="000000" w:themeColor="text1"/>
                <w:szCs w:val="21"/>
                <w14:textFill>
                  <w14:solidFill>
                    <w14:schemeClr w14:val="tx1"/>
                  </w14:solidFill>
                </w14:textFill>
              </w:rPr>
              <w:fldChar w:fldCharType="end"/>
            </w:r>
            <w:r>
              <w:rPr>
                <w:rFonts w:ascii="Times New Roman" w:hAnsi="Times New Roman"/>
                <w:color w:val="000000" w:themeColor="text1"/>
                <w:szCs w:val="21"/>
                <w14:textFill>
                  <w14:solidFill>
                    <w14:schemeClr w14:val="tx1"/>
                  </w14:solidFill>
                </w14:textFill>
              </w:rPr>
              <w:t>类标准要求；地下水环境执行《地下水质量标准》（GB/T14848-2017）Ⅲ类标准；区域噪声执行《声环境质量标准》（GB3096-2008）1类标准要求</w:t>
            </w:r>
            <w:r>
              <w:rPr>
                <w:rFonts w:ascii="Times New Roman" w:hAnsi="Times New Roman"/>
                <w:bCs/>
                <w:color w:val="000000" w:themeColor="text1"/>
                <w:szCs w:val="21"/>
                <w14:textFill>
                  <w14:solidFill>
                    <w14:schemeClr w14:val="tx1"/>
                  </w14:solidFill>
                </w14:textFill>
              </w:rPr>
              <w:t>。</w:t>
            </w:r>
          </w:p>
          <w:p>
            <w:pPr>
              <w:snapToGrid w:val="0"/>
              <w:spacing w:line="360" w:lineRule="auto"/>
              <w:ind w:firstLine="422" w:firstLineChars="200"/>
              <w:rPr>
                <w:b/>
                <w:bCs/>
                <w:color w:val="000000" w:themeColor="text1"/>
                <w:szCs w:val="21"/>
                <w:lang w:val="zh-CN"/>
                <w14:textFill>
                  <w14:solidFill>
                    <w14:schemeClr w14:val="tx1"/>
                  </w14:solidFill>
                </w14:textFill>
              </w:rPr>
            </w:pPr>
            <w:r>
              <w:rPr>
                <w:b/>
                <w:bCs/>
                <w:color w:val="000000" w:themeColor="text1"/>
                <w:szCs w:val="21"/>
                <w:lang w:val="zh-CN"/>
                <w14:textFill>
                  <w14:solidFill>
                    <w14:schemeClr w14:val="tx1"/>
                  </w14:solidFill>
                </w14:textFill>
              </w:rPr>
              <w:t>1、环境空气质量现状</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根据淄博市生态环境局网站发布的《生态淄博建设工作简报》（2022年1月24日），2021年，全市良好天数222天（国控），同比增加4天。重污染天数13天，同比增加1天。其中，二氧化硫（SO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）14微克/立方米，同比改善17.6%；二氧化氮（NO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）35微克/立方米，同比改善7.9%；可吸入颗粒物（PM</w:t>
            </w:r>
            <w:r>
              <w:rPr>
                <w:color w:val="000000" w:themeColor="text1"/>
                <w:vertAlign w:val="subscript"/>
                <w14:textFill>
                  <w14:solidFill>
                    <w14:schemeClr w14:val="tx1"/>
                  </w14:solidFill>
                </w14:textFill>
              </w:rPr>
              <w:t>10</w:t>
            </w:r>
            <w:r>
              <w:rPr>
                <w:color w:val="000000" w:themeColor="text1"/>
                <w14:textFill>
                  <w14:solidFill>
                    <w14:schemeClr w14:val="tx1"/>
                  </w14:solidFill>
                </w14:textFill>
              </w:rPr>
              <w:t>）77微克/立方米，同比改善11.5%；细颗粒物（PM</w:t>
            </w:r>
            <w:r>
              <w:rPr>
                <w:color w:val="000000" w:themeColor="text1"/>
                <w:vertAlign w:val="subscript"/>
                <w14:textFill>
                  <w14:solidFill>
                    <w14:schemeClr w14:val="tx1"/>
                  </w14:solidFill>
                </w14:textFill>
              </w:rPr>
              <w:t>2.5</w:t>
            </w:r>
            <w:r>
              <w:rPr>
                <w:color w:val="000000" w:themeColor="text1"/>
                <w14:textFill>
                  <w14:solidFill>
                    <w14:schemeClr w14:val="tx1"/>
                  </w14:solidFill>
                </w14:textFill>
              </w:rPr>
              <w:t>）47微克/立方米，同比改善14.5%；一氧化碳（CO）1.6毫克/立方米，同比改善15.8%；臭氧（O</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）183微克/立方米，同比改善37%。全市综合指数为5.09，同比改善10.9%。其中，经济开发区2021年度环境空气中二氧化硫（SO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）、二氧化氮（NO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）、可吸入颗粒物（PM</w:t>
            </w:r>
            <w:r>
              <w:rPr>
                <w:color w:val="000000" w:themeColor="text1"/>
                <w:vertAlign w:val="subscript"/>
                <w14:textFill>
                  <w14:solidFill>
                    <w14:schemeClr w14:val="tx1"/>
                  </w14:solidFill>
                </w14:textFill>
              </w:rPr>
              <w:t>10</w:t>
            </w:r>
            <w:r>
              <w:rPr>
                <w:color w:val="000000" w:themeColor="text1"/>
                <w14:textFill>
                  <w14:solidFill>
                    <w14:schemeClr w14:val="tx1"/>
                  </w14:solidFill>
                </w14:textFill>
              </w:rPr>
              <w:t>）、细颗粒物（PM</w:t>
            </w:r>
            <w:r>
              <w:rPr>
                <w:color w:val="000000" w:themeColor="text1"/>
                <w:vertAlign w:val="subscript"/>
                <w14:textFill>
                  <w14:solidFill>
                    <w14:schemeClr w14:val="tx1"/>
                  </w14:solidFill>
                </w14:textFill>
              </w:rPr>
              <w:t>2.5</w:t>
            </w:r>
            <w:r>
              <w:rPr>
                <w:color w:val="000000" w:themeColor="text1"/>
                <w14:textFill>
                  <w14:solidFill>
                    <w14:schemeClr w14:val="tx1"/>
                  </w14:solidFill>
                </w14:textFill>
              </w:rPr>
              <w:t>）年平均浓度分别为20μg/m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、43μg/m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、77μg/m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、43μg/m</w:t>
            </w:r>
            <w:r>
              <w:rPr>
                <w:color w:val="000000" w:themeColor="text1"/>
                <w:vertAlign w:val="superscript"/>
                <w14:textFill>
                  <w14:solidFill>
                    <w14:schemeClr w14:val="tx1"/>
                  </w14:solidFill>
                </w14:textFill>
              </w:rPr>
              <w:t>3</w:t>
            </w:r>
            <w:r>
              <w:rPr>
                <w:color w:val="000000" w:themeColor="text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项目所在区域空气质量见下表</w:t>
            </w:r>
          </w:p>
          <w:p>
            <w:pPr>
              <w:spacing w:after="120"/>
              <w:ind w:left="420" w:leftChars="200" w:firstLine="422" w:firstLineChars="200"/>
              <w:jc w:val="center"/>
              <w:rPr>
                <w:b/>
                <w:bCs/>
                <w:color w:val="000000" w:themeColor="text1"/>
                <w14:textFill>
                  <w14:solidFill>
                    <w14:schemeClr w14:val="tx1"/>
                  </w14:solidFill>
                </w14:textFill>
              </w:rPr>
            </w:pPr>
            <w:r>
              <w:rPr>
                <w:b/>
                <w:bCs/>
                <w:color w:val="000000" w:themeColor="text1"/>
                <w14:textFill>
                  <w14:solidFill>
                    <w14:schemeClr w14:val="tx1"/>
                  </w14:solidFill>
                </w14:textFill>
              </w:rPr>
              <w:t>表3-1  张店区</w:t>
            </w:r>
            <w:r>
              <w:rPr>
                <w:b/>
                <w:bCs/>
                <w:color w:val="000000" w:themeColor="text1"/>
                <w:spacing w:val="-63"/>
                <w14:textFill>
                  <w14:solidFill>
                    <w14:schemeClr w14:val="tx1"/>
                  </w14:solidFill>
                </w14:textFill>
              </w:rPr>
              <w:t xml:space="preserve"> </w:t>
            </w:r>
            <w:r>
              <w:rPr>
                <w:rFonts w:eastAsia="Times New Roman"/>
                <w:b/>
                <w:bCs/>
                <w:color w:val="000000" w:themeColor="text1"/>
                <w14:textFill>
                  <w14:solidFill>
                    <w14:schemeClr w14:val="tx1"/>
                  </w14:solidFill>
                </w14:textFill>
              </w:rPr>
              <w:t>202</w:t>
            </w:r>
            <w:r>
              <w:rPr>
                <w:b/>
                <w:bCs/>
                <w:color w:val="000000" w:themeColor="text1"/>
                <w14:textFill>
                  <w14:solidFill>
                    <w14:schemeClr w14:val="tx1"/>
                  </w14:solidFill>
                </w14:textFill>
              </w:rPr>
              <w:t>1</w:t>
            </w:r>
            <w:r>
              <w:rPr>
                <w:rFonts w:eastAsia="Times New Roman"/>
                <w:b/>
                <w:bCs/>
                <w:color w:val="000000" w:themeColor="text1"/>
                <w:spacing w:val="-2"/>
                <w14:textFill>
                  <w14:solidFill>
                    <w14:schemeClr w14:val="tx1"/>
                  </w14:solidFill>
                </w14:textFill>
              </w:rPr>
              <w:t xml:space="preserve"> </w:t>
            </w:r>
            <w:r>
              <w:rPr>
                <w:b/>
                <w:bCs/>
                <w:color w:val="000000" w:themeColor="text1"/>
                <w14:textFill>
                  <w14:solidFill>
                    <w14:schemeClr w14:val="tx1"/>
                  </w14:solidFill>
                </w14:textFill>
              </w:rPr>
              <w:t>年度环境质量情况</w:t>
            </w:r>
          </w:p>
          <w:tbl>
            <w:tblPr>
              <w:tblStyle w:val="2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4"/>
              <w:gridCol w:w="758"/>
              <w:gridCol w:w="2935"/>
              <w:gridCol w:w="978"/>
              <w:gridCol w:w="978"/>
              <w:gridCol w:w="1029"/>
              <w:gridCol w:w="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00"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污染物</w:t>
                  </w:r>
                </w:p>
              </w:tc>
              <w:tc>
                <w:tcPr>
                  <w:tcW w:w="710"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单位</w:t>
                  </w:r>
                </w:p>
              </w:tc>
              <w:tc>
                <w:tcPr>
                  <w:tcW w:w="2747"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年评价指标</w:t>
                  </w:r>
                </w:p>
              </w:tc>
              <w:tc>
                <w:tcPr>
                  <w:tcW w:w="915"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现状浓度</w:t>
                  </w:r>
                </w:p>
              </w:tc>
              <w:tc>
                <w:tcPr>
                  <w:tcW w:w="915"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评价标准</w:t>
                  </w:r>
                </w:p>
              </w:tc>
              <w:tc>
                <w:tcPr>
                  <w:tcW w:w="963"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占标率</w:t>
                  </w:r>
                </w:p>
              </w:tc>
              <w:tc>
                <w:tcPr>
                  <w:tcW w:w="743"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达标</w:t>
                  </w:r>
                </w:p>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00"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SO</w:t>
                  </w:r>
                  <w:r>
                    <w:rPr>
                      <w:bCs/>
                      <w:color w:val="000000" w:themeColor="text1"/>
                      <w:sz w:val="18"/>
                      <w:szCs w:val="18"/>
                      <w:vertAlign w:val="subscript"/>
                      <w14:textFill>
                        <w14:solidFill>
                          <w14:schemeClr w14:val="tx1"/>
                        </w14:solidFill>
                      </w14:textFill>
                    </w:rPr>
                    <w:t>2</w:t>
                  </w:r>
                </w:p>
              </w:tc>
              <w:tc>
                <w:tcPr>
                  <w:tcW w:w="710"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μg/m</w:t>
                  </w:r>
                  <w:r>
                    <w:rPr>
                      <w:bCs/>
                      <w:color w:val="000000" w:themeColor="text1"/>
                      <w:sz w:val="18"/>
                      <w:szCs w:val="18"/>
                      <w:vertAlign w:val="superscript"/>
                      <w14:textFill>
                        <w14:solidFill>
                          <w14:schemeClr w14:val="tx1"/>
                        </w14:solidFill>
                      </w14:textFill>
                    </w:rPr>
                    <w:t>3</w:t>
                  </w:r>
                </w:p>
              </w:tc>
              <w:tc>
                <w:tcPr>
                  <w:tcW w:w="2747"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年平均质量浓度</w:t>
                  </w:r>
                </w:p>
              </w:tc>
              <w:tc>
                <w:tcPr>
                  <w:tcW w:w="915"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15</w:t>
                  </w:r>
                </w:p>
              </w:tc>
              <w:tc>
                <w:tcPr>
                  <w:tcW w:w="915"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60</w:t>
                  </w:r>
                </w:p>
              </w:tc>
              <w:tc>
                <w:tcPr>
                  <w:tcW w:w="963"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25%</w:t>
                  </w:r>
                </w:p>
              </w:tc>
              <w:tc>
                <w:tcPr>
                  <w:tcW w:w="743"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00"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NO</w:t>
                  </w:r>
                  <w:r>
                    <w:rPr>
                      <w:bCs/>
                      <w:color w:val="000000" w:themeColor="text1"/>
                      <w:sz w:val="18"/>
                      <w:szCs w:val="18"/>
                      <w:vertAlign w:val="subscript"/>
                      <w14:textFill>
                        <w14:solidFill>
                          <w14:schemeClr w14:val="tx1"/>
                        </w14:solidFill>
                      </w14:textFill>
                    </w:rPr>
                    <w:t>2</w:t>
                  </w:r>
                </w:p>
              </w:tc>
              <w:tc>
                <w:tcPr>
                  <w:tcW w:w="710"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μg/m</w:t>
                  </w:r>
                  <w:r>
                    <w:rPr>
                      <w:bCs/>
                      <w:color w:val="000000" w:themeColor="text1"/>
                      <w:sz w:val="18"/>
                      <w:szCs w:val="18"/>
                      <w:vertAlign w:val="superscript"/>
                      <w14:textFill>
                        <w14:solidFill>
                          <w14:schemeClr w14:val="tx1"/>
                        </w14:solidFill>
                      </w14:textFill>
                    </w:rPr>
                    <w:t>3</w:t>
                  </w:r>
                </w:p>
              </w:tc>
              <w:tc>
                <w:tcPr>
                  <w:tcW w:w="2747"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年平均质量浓度</w:t>
                  </w:r>
                </w:p>
              </w:tc>
              <w:tc>
                <w:tcPr>
                  <w:tcW w:w="915"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39</w:t>
                  </w:r>
                </w:p>
              </w:tc>
              <w:tc>
                <w:tcPr>
                  <w:tcW w:w="915"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40</w:t>
                  </w:r>
                </w:p>
              </w:tc>
              <w:tc>
                <w:tcPr>
                  <w:tcW w:w="963"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97.5%</w:t>
                  </w:r>
                </w:p>
              </w:tc>
              <w:tc>
                <w:tcPr>
                  <w:tcW w:w="743" w:type="dxa"/>
                  <w:vAlign w:val="center"/>
                </w:tcPr>
                <w:p>
                  <w:pPr>
                    <w:adjustRightInd w:val="0"/>
                    <w:snapToGrid w:val="0"/>
                    <w:jc w:val="center"/>
                    <w:rPr>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00"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PM</w:t>
                  </w:r>
                  <w:r>
                    <w:rPr>
                      <w:bCs/>
                      <w:color w:val="000000" w:themeColor="text1"/>
                      <w:sz w:val="18"/>
                      <w:szCs w:val="18"/>
                      <w:vertAlign w:val="subscript"/>
                      <w14:textFill>
                        <w14:solidFill>
                          <w14:schemeClr w14:val="tx1"/>
                        </w14:solidFill>
                      </w14:textFill>
                    </w:rPr>
                    <w:t>10</w:t>
                  </w:r>
                </w:p>
              </w:tc>
              <w:tc>
                <w:tcPr>
                  <w:tcW w:w="710"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μg/m</w:t>
                  </w:r>
                  <w:r>
                    <w:rPr>
                      <w:bCs/>
                      <w:color w:val="000000" w:themeColor="text1"/>
                      <w:sz w:val="18"/>
                      <w:szCs w:val="18"/>
                      <w:vertAlign w:val="superscript"/>
                      <w14:textFill>
                        <w14:solidFill>
                          <w14:schemeClr w14:val="tx1"/>
                        </w14:solidFill>
                      </w14:textFill>
                    </w:rPr>
                    <w:t>3</w:t>
                  </w:r>
                </w:p>
              </w:tc>
              <w:tc>
                <w:tcPr>
                  <w:tcW w:w="2747"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年平均质量浓度</w:t>
                  </w:r>
                </w:p>
              </w:tc>
              <w:tc>
                <w:tcPr>
                  <w:tcW w:w="915"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85</w:t>
                  </w:r>
                </w:p>
              </w:tc>
              <w:tc>
                <w:tcPr>
                  <w:tcW w:w="915"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70</w:t>
                  </w:r>
                </w:p>
              </w:tc>
              <w:tc>
                <w:tcPr>
                  <w:tcW w:w="963"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121.4%</w:t>
                  </w:r>
                </w:p>
              </w:tc>
              <w:tc>
                <w:tcPr>
                  <w:tcW w:w="743" w:type="dxa"/>
                  <w:vAlign w:val="center"/>
                </w:tcPr>
                <w:p>
                  <w:pPr>
                    <w:adjustRightInd w:val="0"/>
                    <w:snapToGrid w:val="0"/>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00"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PM</w:t>
                  </w:r>
                  <w:r>
                    <w:rPr>
                      <w:bCs/>
                      <w:color w:val="000000" w:themeColor="text1"/>
                      <w:sz w:val="18"/>
                      <w:szCs w:val="18"/>
                      <w:vertAlign w:val="subscript"/>
                      <w14:textFill>
                        <w14:solidFill>
                          <w14:schemeClr w14:val="tx1"/>
                        </w14:solidFill>
                      </w14:textFill>
                    </w:rPr>
                    <w:t>2.5</w:t>
                  </w:r>
                </w:p>
              </w:tc>
              <w:tc>
                <w:tcPr>
                  <w:tcW w:w="710"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μg/m</w:t>
                  </w:r>
                  <w:r>
                    <w:rPr>
                      <w:bCs/>
                      <w:color w:val="000000" w:themeColor="text1"/>
                      <w:sz w:val="18"/>
                      <w:szCs w:val="18"/>
                      <w:vertAlign w:val="superscript"/>
                      <w14:textFill>
                        <w14:solidFill>
                          <w14:schemeClr w14:val="tx1"/>
                        </w14:solidFill>
                      </w14:textFill>
                    </w:rPr>
                    <w:t>3</w:t>
                  </w:r>
                </w:p>
              </w:tc>
              <w:tc>
                <w:tcPr>
                  <w:tcW w:w="2747"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年平均质量浓度</w:t>
                  </w:r>
                </w:p>
              </w:tc>
              <w:tc>
                <w:tcPr>
                  <w:tcW w:w="915"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46</w:t>
                  </w:r>
                </w:p>
              </w:tc>
              <w:tc>
                <w:tcPr>
                  <w:tcW w:w="915"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35</w:t>
                  </w:r>
                </w:p>
              </w:tc>
              <w:tc>
                <w:tcPr>
                  <w:tcW w:w="963"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131.4%</w:t>
                  </w:r>
                </w:p>
              </w:tc>
              <w:tc>
                <w:tcPr>
                  <w:tcW w:w="743" w:type="dxa"/>
                  <w:vAlign w:val="center"/>
                </w:tcPr>
                <w:p>
                  <w:pPr>
                    <w:adjustRightInd w:val="0"/>
                    <w:snapToGrid w:val="0"/>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超标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00"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CO</w:t>
                  </w:r>
                </w:p>
              </w:tc>
              <w:tc>
                <w:tcPr>
                  <w:tcW w:w="710"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mg/m</w:t>
                  </w:r>
                  <w:r>
                    <w:rPr>
                      <w:bCs/>
                      <w:color w:val="000000" w:themeColor="text1"/>
                      <w:sz w:val="18"/>
                      <w:szCs w:val="18"/>
                      <w:vertAlign w:val="superscript"/>
                      <w14:textFill>
                        <w14:solidFill>
                          <w14:schemeClr w14:val="tx1"/>
                        </w14:solidFill>
                      </w14:textFill>
                    </w:rPr>
                    <w:t>3</w:t>
                  </w:r>
                </w:p>
              </w:tc>
              <w:tc>
                <w:tcPr>
                  <w:tcW w:w="2747"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95%保证率日平均浓度</w:t>
                  </w:r>
                </w:p>
              </w:tc>
              <w:tc>
                <w:tcPr>
                  <w:tcW w:w="915"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1.6</w:t>
                  </w:r>
                </w:p>
              </w:tc>
              <w:tc>
                <w:tcPr>
                  <w:tcW w:w="915"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w:t>
                  </w:r>
                </w:p>
              </w:tc>
              <w:tc>
                <w:tcPr>
                  <w:tcW w:w="963"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40.0%</w:t>
                  </w:r>
                </w:p>
              </w:tc>
              <w:tc>
                <w:tcPr>
                  <w:tcW w:w="743"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00"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O</w:t>
                  </w:r>
                  <w:r>
                    <w:rPr>
                      <w:bCs/>
                      <w:color w:val="000000" w:themeColor="text1"/>
                      <w:sz w:val="18"/>
                      <w:szCs w:val="18"/>
                      <w:vertAlign w:val="subscript"/>
                      <w14:textFill>
                        <w14:solidFill>
                          <w14:schemeClr w14:val="tx1"/>
                        </w14:solidFill>
                      </w14:textFill>
                    </w:rPr>
                    <w:t>3</w:t>
                  </w:r>
                </w:p>
              </w:tc>
              <w:tc>
                <w:tcPr>
                  <w:tcW w:w="710"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μg/m</w:t>
                  </w:r>
                  <w:r>
                    <w:rPr>
                      <w:bCs/>
                      <w:color w:val="000000" w:themeColor="text1"/>
                      <w:sz w:val="18"/>
                      <w:szCs w:val="18"/>
                      <w:vertAlign w:val="superscript"/>
                      <w14:textFill>
                        <w14:solidFill>
                          <w14:schemeClr w14:val="tx1"/>
                        </w14:solidFill>
                      </w14:textFill>
                    </w:rPr>
                    <w:t>3</w:t>
                  </w:r>
                </w:p>
              </w:tc>
              <w:tc>
                <w:tcPr>
                  <w:tcW w:w="2747"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90%保证率日最大8h滑动平均浓度</w:t>
                  </w:r>
                </w:p>
              </w:tc>
              <w:tc>
                <w:tcPr>
                  <w:tcW w:w="915"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183</w:t>
                  </w:r>
                </w:p>
              </w:tc>
              <w:tc>
                <w:tcPr>
                  <w:tcW w:w="915"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160</w:t>
                  </w:r>
                </w:p>
              </w:tc>
              <w:tc>
                <w:tcPr>
                  <w:tcW w:w="963" w:type="dxa"/>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144.4%</w:t>
                  </w:r>
                </w:p>
              </w:tc>
              <w:tc>
                <w:tcPr>
                  <w:tcW w:w="743" w:type="dxa"/>
                  <w:vAlign w:val="center"/>
                </w:tcPr>
                <w:p>
                  <w:pPr>
                    <w:adjustRightInd w:val="0"/>
                    <w:snapToGrid w:val="0"/>
                    <w:jc w:val="center"/>
                    <w:rPr>
                      <w:bCs/>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超标</w:t>
                  </w:r>
                </w:p>
              </w:tc>
            </w:tr>
          </w:tbl>
          <w:p>
            <w:pPr>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张店区2021年PM</w:t>
            </w:r>
            <w:r>
              <w:rPr>
                <w:color w:val="000000" w:themeColor="text1"/>
                <w:vertAlign w:val="subscript"/>
                <w14:textFill>
                  <w14:solidFill>
                    <w14:schemeClr w14:val="tx1"/>
                  </w14:solidFill>
                </w14:textFill>
              </w:rPr>
              <w:t>10</w:t>
            </w:r>
            <w:r>
              <w:rPr>
                <w:color w:val="000000" w:themeColor="text1"/>
                <w14:textFill>
                  <w14:solidFill>
                    <w14:schemeClr w14:val="tx1"/>
                  </w14:solidFill>
                </w14:textFill>
              </w:rPr>
              <w:t>、PM</w:t>
            </w:r>
            <w:r>
              <w:rPr>
                <w:color w:val="000000" w:themeColor="text1"/>
                <w:vertAlign w:val="subscript"/>
                <w14:textFill>
                  <w14:solidFill>
                    <w14:schemeClr w14:val="tx1"/>
                  </w14:solidFill>
                </w14:textFill>
              </w:rPr>
              <w:t>2.5</w:t>
            </w:r>
            <w:r>
              <w:rPr>
                <w:color w:val="000000" w:themeColor="text1"/>
                <w14:textFill>
                  <w14:solidFill>
                    <w14:schemeClr w14:val="tx1"/>
                  </w14:solidFill>
                </w14:textFill>
              </w:rPr>
              <w:t>、O</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的年均浓度不能满足《环境空气质量标准》（GB3095-2012）二级标准要求，存在超标现象，项目所在地处于不达标区。</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为改善区域大气环境治理，淄博市出台了《关于印发&lt;淄博市空气环境质量“退末位”工作方案&gt;的通知》（淄环委办[2022]20号），深入实施三个专项行动、打好七个污染攻坚战，全力改善环境空气质量。工作目标：2022 年，确保空气质量综合指数达到4.53 以下，比2021年下降11.0%，PM</w:t>
            </w:r>
            <w:r>
              <w:rPr>
                <w:color w:val="000000" w:themeColor="text1"/>
                <w:vertAlign w:val="subscript"/>
                <w14:textFill>
                  <w14:solidFill>
                    <w14:schemeClr w14:val="tx1"/>
                  </w14:solidFill>
                </w14:textFill>
              </w:rPr>
              <w:t>2.5</w:t>
            </w:r>
            <w:r>
              <w:rPr>
                <w:color w:val="000000" w:themeColor="text1"/>
                <w14:textFill>
                  <w14:solidFill>
                    <w14:schemeClr w14:val="tx1"/>
                  </w14:solidFill>
                </w14:textFill>
              </w:rPr>
              <w:t>浓度控制在42微克/立方米，PM</w:t>
            </w:r>
            <w:r>
              <w:rPr>
                <w:color w:val="000000" w:themeColor="text1"/>
                <w:vertAlign w:val="subscript"/>
                <w14:textFill>
                  <w14:solidFill>
                    <w14:schemeClr w14:val="tx1"/>
                  </w14:solidFill>
                </w14:textFill>
              </w:rPr>
              <w:t>10</w:t>
            </w:r>
            <w:r>
              <w:rPr>
                <w:color w:val="000000" w:themeColor="text1"/>
                <w14:textFill>
                  <w14:solidFill>
                    <w14:schemeClr w14:val="tx1"/>
                  </w14:solidFill>
                </w14:textFill>
              </w:rPr>
              <w:t>浓度控制在67 微克/立方米，SO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浓度控制在11 微克/立方米，NO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浓度控制在31微克/立方米，O</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浓度控制在175微克/立方米，CO浓度控制在1.3毫克/立方米，综合指数退出全省末位。</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通知中采取的具体措施有：</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三个专项行动：一是能源结构调整专项行动（1. 压减煤炭消费总量；2. 淘汰中小煤电机组；3. 加强燃煤锅炉整治；4. 严控燃煤项目；5. 加强煤质监管；6. 大力发展清洁能源）；二是产业结构调整专项行动（7. 整合提升一批企业和生产线；8. 坚定不移去“落后产能”；9. 深入推进“退城入园”；10. 严控“两高”行业项目）；三是交通结构调整专项行动（11.推进“公转铁”“公转水”工程建设；12. 优化车辆使用结构）。</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七个攻坚战：一是打好重点行业污染治理攻坚战；二是打好移动源污染治理攻坚战；三是打好扬尘污染治理攻坚战；四是打好面源污染治理攻坚战；五是打好夏季臭氧污染防治攻坚战；六是打好秋冬季重污染治理攻坚战；七是打好重点区域污染治理攻坚战。</w:t>
            </w:r>
          </w:p>
          <w:p>
            <w:pPr>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在严格落实文件精神并加强管控措施后，区域环境空气质量将得到有效提升。</w:t>
            </w:r>
          </w:p>
          <w:p>
            <w:pPr>
              <w:pStyle w:val="70"/>
              <w:snapToGrid w:val="0"/>
              <w:spacing w:line="360" w:lineRule="auto"/>
              <w:ind w:firstLine="422" w:firstLineChars="200"/>
              <w:textAlignment w:val="baseline"/>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2、地表水环境质量现状</w:t>
            </w:r>
          </w:p>
          <w:p>
            <w:pPr>
              <w:snapToGrid w:val="0"/>
              <w:spacing w:line="360" w:lineRule="auto"/>
              <w:ind w:firstLine="420" w:firstLineChars="200"/>
              <w:rPr>
                <w:b/>
                <w:color w:val="000000" w:themeColor="text1"/>
                <w:szCs w:val="21"/>
                <w14:textFill>
                  <w14:solidFill>
                    <w14:schemeClr w14:val="tx1"/>
                  </w14:solidFill>
                </w14:textFill>
              </w:rPr>
            </w:pPr>
            <w:r>
              <w:rPr>
                <w:color w:val="000000" w:themeColor="text1"/>
                <w14:textFill>
                  <w14:solidFill>
                    <w14:schemeClr w14:val="tx1"/>
                  </w14:solidFill>
                </w14:textFill>
              </w:rPr>
              <w:t>根据《生态淄博建设工作简报》（2022 年第1期，2022年1月24日），2021年，我市7个国控河流断面水环境质量指数位列全省第1，优良水体为6个（4个Ⅱ类，2个Ⅲ类），占比85.7%，达标率100%，圆满完成年度目标任务。我市8个省控河流断面优良水体为4 个，占比50.0%，除乌河东沙断面劣V 类外其余全部达到年度目标要求，稳定达到Ⅳ类及以上。距离本项目最近的地表水为西侧140m处的玉龙河，属于东猪龙河支流，水质能够满足《地表水环境质量标准》（GB3838-2002）</w:t>
            </w:r>
            <w:r>
              <w:rPr>
                <w:rFonts w:hint="eastAsia"/>
                <w:color w:val="000000" w:themeColor="text1"/>
                <w14:textFill>
                  <w14:solidFill>
                    <w14:schemeClr w14:val="tx1"/>
                  </w14:solidFill>
                </w14:textFill>
              </w:rPr>
              <w:t>Ⅴ</w:t>
            </w:r>
            <w:r>
              <w:rPr>
                <w:color w:val="000000" w:themeColor="text1"/>
                <w14:textFill>
                  <w14:solidFill>
                    <w14:schemeClr w14:val="tx1"/>
                  </w14:solidFill>
                </w14:textFill>
              </w:rPr>
              <w:t>类标准。</w:t>
            </w:r>
          </w:p>
          <w:p>
            <w:pPr>
              <w:pStyle w:val="13"/>
              <w:snapToGrid w:val="0"/>
              <w:spacing w:line="360" w:lineRule="auto"/>
              <w:ind w:firstLine="422" w:firstLineChars="200"/>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t>3、声环境质量现状</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淄博市张店区第二人民医院（淄博口腔医院）厂界外50m范围内存在恒基花苑、天府清华园、体坛小区3个居民区，山东众益源环境检测有限公司于2022年8月10日对3个居民区声环境现状进行了监测，监测结果详见下表：</w:t>
            </w:r>
          </w:p>
          <w:p>
            <w:pPr>
              <w:pStyle w:val="69"/>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表3-2  噪声现状监测结果一览表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032"/>
              <w:gridCol w:w="768"/>
              <w:gridCol w:w="768"/>
              <w:gridCol w:w="828"/>
              <w:gridCol w:w="1034"/>
              <w:gridCol w:w="768"/>
              <w:gridCol w:w="768"/>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8" w:type="pct"/>
                  <w:vMerge w:val="restar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监测位置</w:t>
                  </w:r>
                </w:p>
              </w:tc>
              <w:tc>
                <w:tcPr>
                  <w:tcW w:w="2039" w:type="pct"/>
                  <w:gridSpan w:val="4"/>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Ld （Leq dB(A)）</w:t>
                  </w:r>
                </w:p>
              </w:tc>
              <w:tc>
                <w:tcPr>
                  <w:tcW w:w="2003" w:type="pct"/>
                  <w:gridSpan w:val="4"/>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Ln（Leq 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8" w:type="pct"/>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620"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监测时间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监测值</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标准值</w:t>
                  </w:r>
                </w:p>
              </w:tc>
              <w:tc>
                <w:tcPr>
                  <w:tcW w:w="496"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超标值</w:t>
                  </w:r>
                </w:p>
              </w:tc>
              <w:tc>
                <w:tcPr>
                  <w:tcW w:w="62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监测时间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监测值</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标准值</w:t>
                  </w:r>
                </w:p>
              </w:tc>
              <w:tc>
                <w:tcPr>
                  <w:tcW w:w="460"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超标值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8"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天府清华园</w:t>
                  </w:r>
                </w:p>
              </w:tc>
              <w:tc>
                <w:tcPr>
                  <w:tcW w:w="620"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昼间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50.6</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55</w:t>
                  </w:r>
                </w:p>
              </w:tc>
              <w:tc>
                <w:tcPr>
                  <w:tcW w:w="496"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-4.4</w:t>
                  </w:r>
                </w:p>
              </w:tc>
              <w:tc>
                <w:tcPr>
                  <w:tcW w:w="62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夜间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41.2</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460"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8"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恒基花苑</w:t>
                  </w:r>
                </w:p>
              </w:tc>
              <w:tc>
                <w:tcPr>
                  <w:tcW w:w="620"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昼间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51.0</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55</w:t>
                  </w:r>
                </w:p>
              </w:tc>
              <w:tc>
                <w:tcPr>
                  <w:tcW w:w="496"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w:t>
                  </w:r>
                </w:p>
              </w:tc>
              <w:tc>
                <w:tcPr>
                  <w:tcW w:w="62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夜间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43.6</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460"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8"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体坛小区</w:t>
                  </w:r>
                </w:p>
              </w:tc>
              <w:tc>
                <w:tcPr>
                  <w:tcW w:w="620"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昼间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52.8</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55</w:t>
                  </w:r>
                </w:p>
              </w:tc>
              <w:tc>
                <w:tcPr>
                  <w:tcW w:w="496"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w:t>
                  </w:r>
                </w:p>
              </w:tc>
              <w:tc>
                <w:tcPr>
                  <w:tcW w:w="62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夜间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41.8</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460"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-3.2</w:t>
                  </w:r>
                </w:p>
              </w:tc>
            </w:tr>
          </w:tbl>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根据监测结果，恒基花苑、天府清华园、体坛小区声环境质量均满足《声环境质量标准》（GB 3096-2008）中1类标准要求。</w:t>
            </w:r>
          </w:p>
          <w:p>
            <w:pPr>
              <w:snapToGrid w:val="0"/>
              <w:spacing w:line="360" w:lineRule="auto"/>
              <w:ind w:firstLine="422" w:firstLineChars="200"/>
              <w:rPr>
                <w:b/>
                <w:color w:val="000000" w:themeColor="text1"/>
                <w:szCs w:val="21"/>
                <w14:textFill>
                  <w14:solidFill>
                    <w14:schemeClr w14:val="tx1"/>
                  </w14:solidFill>
                </w14:textFill>
              </w:rPr>
            </w:pPr>
            <w:r>
              <w:rPr>
                <w:b/>
                <w:color w:val="000000" w:themeColor="text1"/>
                <w:szCs w:val="21"/>
                <w14:textFill>
                  <w14:solidFill>
                    <w14:schemeClr w14:val="tx1"/>
                  </w14:solidFill>
                </w14:textFill>
              </w:rPr>
              <w:t>4、土壤、地下水环境现状</w:t>
            </w:r>
          </w:p>
          <w:p>
            <w:pPr>
              <w:autoSpaceDE w:val="0"/>
              <w:autoSpaceDN w:val="0"/>
              <w:adjustRightInd w:val="0"/>
              <w:snapToGrid w:val="0"/>
              <w:spacing w:line="360" w:lineRule="auto"/>
              <w:ind w:firstLine="420" w:firstLineChars="200"/>
              <w:jc w:val="lef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项目污水经厂区污水处理站处理后进入市政污水管网排入光大水务（淄博）有限公司三分厂</w:t>
            </w:r>
            <w:r>
              <w:rPr>
                <w:color w:val="000000" w:themeColor="text1"/>
                <w14:textFill>
                  <w14:solidFill>
                    <w14:schemeClr w14:val="tx1"/>
                  </w14:solidFill>
                </w14:textFill>
              </w:rPr>
              <w:t>深化</w:t>
            </w:r>
            <w:r>
              <w:rPr>
                <w:bCs/>
                <w:color w:val="000000" w:themeColor="text1"/>
                <w:szCs w:val="21"/>
                <w14:textFill>
                  <w14:solidFill>
                    <w14:schemeClr w14:val="tx1"/>
                  </w14:solidFill>
                </w14:textFill>
              </w:rPr>
              <w:t>处理；项目重点区域地面均进行了防渗防腐。项目正常运营情况下，不存在污染土壤及地下水环境的途径，故不开展地下水、土壤环境质量现状调查。</w:t>
            </w:r>
          </w:p>
          <w:p>
            <w:pPr>
              <w:autoSpaceDE w:val="0"/>
              <w:autoSpaceDN w:val="0"/>
              <w:adjustRightInd w:val="0"/>
              <w:snapToGrid w:val="0"/>
              <w:spacing w:line="360" w:lineRule="auto"/>
              <w:ind w:firstLine="422" w:firstLineChars="200"/>
              <w:jc w:val="left"/>
              <w:rPr>
                <w:b/>
                <w:bCs/>
                <w:color w:val="000000" w:themeColor="text1"/>
                <w14:textFill>
                  <w14:solidFill>
                    <w14:schemeClr w14:val="tx1"/>
                  </w14:solidFill>
                </w14:textFill>
              </w:rPr>
            </w:pPr>
            <w:r>
              <w:rPr>
                <w:b/>
                <w:bCs/>
                <w:color w:val="000000" w:themeColor="text1"/>
                <w14:textFill>
                  <w14:solidFill>
                    <w14:schemeClr w14:val="tx1"/>
                  </w14:solidFill>
                </w14:textFill>
              </w:rPr>
              <w:t>5、生态环境</w:t>
            </w:r>
          </w:p>
          <w:p>
            <w:pPr>
              <w:autoSpaceDE w:val="0"/>
              <w:autoSpaceDN w:val="0"/>
              <w:adjustRightInd w:val="0"/>
              <w:snapToGrid w:val="0"/>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项目位于淄博市张店区新村西路188号，属于城区，该区域的自然生态已为人工生态代替，属于典型的城市生态系统，该生态系统以人为主体，几乎全是人工生态系统，其能量和物质运转均在人的控制下进行，居民所处的生物和非生物环境都已经过人工改造，具有人口、能量和物质容量大，密度高，流量大，运转快等特点。</w:t>
            </w:r>
          </w:p>
          <w:p>
            <w:pPr>
              <w:snapToGrid w:val="0"/>
              <w:spacing w:line="360" w:lineRule="auto"/>
              <w:ind w:firstLine="422" w:firstLineChars="200"/>
              <w:rPr>
                <w:b/>
                <w:color w:val="000000" w:themeColor="text1"/>
                <w:szCs w:val="21"/>
                <w14:textFill>
                  <w14:solidFill>
                    <w14:schemeClr w14:val="tx1"/>
                  </w14:solidFill>
                </w14:textFill>
              </w:rPr>
            </w:pPr>
            <w:r>
              <w:rPr>
                <w:b/>
                <w:color w:val="000000" w:themeColor="text1"/>
                <w:szCs w:val="21"/>
                <w14:textFill>
                  <w14:solidFill>
                    <w14:schemeClr w14:val="tx1"/>
                  </w14:solidFill>
                </w14:textFill>
              </w:rPr>
              <w:t>6、电磁辐射</w:t>
            </w:r>
          </w:p>
          <w:p>
            <w:pPr>
              <w:pStyle w:val="2"/>
              <w:spacing w:after="0" w:line="360" w:lineRule="auto"/>
              <w:ind w:left="0" w:leftChars="0"/>
              <w:rPr>
                <w:color w:val="000000" w:themeColor="text1"/>
                <w14:textFill>
                  <w14:solidFill>
                    <w14:schemeClr w14:val="tx1"/>
                  </w14:solidFill>
                </w14:textFill>
              </w:rPr>
            </w:pPr>
            <w:r>
              <w:rPr>
                <w:color w:val="000000" w:themeColor="text1"/>
                <w:sz w:val="21"/>
                <w:szCs w:val="21"/>
                <w14:textFill>
                  <w14:solidFill>
                    <w14:schemeClr w14:val="tx1"/>
                  </w14:solidFill>
                </w14:textFill>
              </w:rPr>
              <w:t>本项目涉及的辐射设备，需要由建设单位另行委托有资质的单位进行环境影响评价， 故本项目不再单独对电磁辐射进行评价。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92" w:hRule="atLeast"/>
          <w:jc w:val="center"/>
        </w:trPr>
        <w:tc>
          <w:tcPr>
            <w:tcW w:w="438" w:type="dxa"/>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环境</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保护</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目标</w:t>
            </w:r>
          </w:p>
        </w:tc>
        <w:tc>
          <w:tcPr>
            <w:tcW w:w="8552" w:type="dxa"/>
            <w:vAlign w:val="center"/>
          </w:tcPr>
          <w:p>
            <w:pPr>
              <w:pStyle w:val="2"/>
              <w:spacing w:after="0" w:line="360" w:lineRule="auto"/>
              <w:ind w:left="0" w:left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本项目环境保护目标见表3-3及附图3。</w:t>
            </w:r>
          </w:p>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表3-3  主要环境保护目标一览表</w:t>
            </w:r>
          </w:p>
          <w:tbl>
            <w:tblPr>
              <w:tblStyle w:val="2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09"/>
              <w:gridCol w:w="1531"/>
              <w:gridCol w:w="1214"/>
              <w:gridCol w:w="1214"/>
              <w:gridCol w:w="30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影响要素</w:t>
                  </w:r>
                </w:p>
              </w:tc>
              <w:tc>
                <w:tcPr>
                  <w:tcW w:w="153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保护目标</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距厂界方位</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距离（m）</w:t>
                  </w:r>
                </w:p>
              </w:tc>
              <w:tc>
                <w:tcPr>
                  <w:tcW w:w="305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保护级别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大气</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环境</w:t>
                  </w:r>
                </w:p>
              </w:tc>
              <w:tc>
                <w:tcPr>
                  <w:tcW w:w="153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天府清华园</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紧邻</w:t>
                  </w:r>
                </w:p>
              </w:tc>
              <w:tc>
                <w:tcPr>
                  <w:tcW w:w="3055" w:type="dxa"/>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《环境空气质量标准》（GB3095-2012）中二级标准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Merge w:val="continue"/>
                  <w:vAlign w:val="center"/>
                </w:tcPr>
                <w:p>
                  <w:pPr>
                    <w:jc w:val="center"/>
                    <w:rPr>
                      <w:color w:val="000000" w:themeColor="text1"/>
                      <w:sz w:val="18"/>
                      <w:szCs w:val="18"/>
                      <w14:textFill>
                        <w14:solidFill>
                          <w14:schemeClr w14:val="tx1"/>
                        </w14:solidFill>
                      </w14:textFill>
                    </w:rPr>
                  </w:pPr>
                </w:p>
              </w:tc>
              <w:tc>
                <w:tcPr>
                  <w:tcW w:w="153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恒基花苑</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NE</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3055"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Merge w:val="continue"/>
                  <w:vAlign w:val="center"/>
                </w:tcPr>
                <w:p>
                  <w:pPr>
                    <w:jc w:val="center"/>
                    <w:rPr>
                      <w:color w:val="000000" w:themeColor="text1"/>
                      <w:sz w:val="18"/>
                      <w:szCs w:val="18"/>
                      <w14:textFill>
                        <w14:solidFill>
                          <w14:schemeClr w14:val="tx1"/>
                        </w14:solidFill>
                      </w14:textFill>
                    </w:rPr>
                  </w:pPr>
                </w:p>
              </w:tc>
              <w:tc>
                <w:tcPr>
                  <w:tcW w:w="153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恒大帝景</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NE</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375</w:t>
                  </w:r>
                </w:p>
              </w:tc>
              <w:tc>
                <w:tcPr>
                  <w:tcW w:w="3055"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Merge w:val="continue"/>
                  <w:vAlign w:val="center"/>
                </w:tcPr>
                <w:p>
                  <w:pPr>
                    <w:jc w:val="center"/>
                    <w:rPr>
                      <w:color w:val="000000" w:themeColor="text1"/>
                      <w:sz w:val="18"/>
                      <w:szCs w:val="18"/>
                      <w14:textFill>
                        <w14:solidFill>
                          <w14:schemeClr w14:val="tx1"/>
                        </w14:solidFill>
                      </w14:textFill>
                    </w:rPr>
                  </w:pPr>
                </w:p>
              </w:tc>
              <w:tc>
                <w:tcPr>
                  <w:tcW w:w="153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张店区人力资源和社会保障局</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NE</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385</w:t>
                  </w:r>
                </w:p>
              </w:tc>
              <w:tc>
                <w:tcPr>
                  <w:tcW w:w="3055"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Merge w:val="continue"/>
                  <w:vAlign w:val="center"/>
                </w:tcPr>
                <w:p>
                  <w:pPr>
                    <w:jc w:val="center"/>
                    <w:rPr>
                      <w:color w:val="000000" w:themeColor="text1"/>
                      <w:sz w:val="18"/>
                      <w:szCs w:val="18"/>
                      <w14:textFill>
                        <w14:solidFill>
                          <w14:schemeClr w14:val="tx1"/>
                        </w14:solidFill>
                      </w14:textFill>
                    </w:rPr>
                  </w:pPr>
                </w:p>
              </w:tc>
              <w:tc>
                <w:tcPr>
                  <w:tcW w:w="153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鸿泰嘉园</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WSW</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215</w:t>
                  </w:r>
                </w:p>
              </w:tc>
              <w:tc>
                <w:tcPr>
                  <w:tcW w:w="3055"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Merge w:val="continue"/>
                  <w:vAlign w:val="center"/>
                </w:tcPr>
                <w:p>
                  <w:pPr>
                    <w:jc w:val="center"/>
                    <w:rPr>
                      <w:color w:val="000000" w:themeColor="text1"/>
                      <w:sz w:val="18"/>
                      <w:szCs w:val="18"/>
                      <w14:textFill>
                        <w14:solidFill>
                          <w14:schemeClr w14:val="tx1"/>
                        </w14:solidFill>
                      </w14:textFill>
                    </w:rPr>
                  </w:pPr>
                </w:p>
              </w:tc>
              <w:tc>
                <w:tcPr>
                  <w:tcW w:w="153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体坛小区</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49</w:t>
                  </w:r>
                </w:p>
              </w:tc>
              <w:tc>
                <w:tcPr>
                  <w:tcW w:w="3055"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Merge w:val="continue"/>
                  <w:vAlign w:val="center"/>
                </w:tcPr>
                <w:p>
                  <w:pPr>
                    <w:jc w:val="center"/>
                    <w:rPr>
                      <w:color w:val="000000" w:themeColor="text1"/>
                      <w:sz w:val="18"/>
                      <w:szCs w:val="18"/>
                      <w14:textFill>
                        <w14:solidFill>
                          <w14:schemeClr w14:val="tx1"/>
                        </w14:solidFill>
                      </w14:textFill>
                    </w:rPr>
                  </w:pPr>
                </w:p>
              </w:tc>
              <w:tc>
                <w:tcPr>
                  <w:tcW w:w="153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张店区实验中学</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285</w:t>
                  </w:r>
                </w:p>
              </w:tc>
              <w:tc>
                <w:tcPr>
                  <w:tcW w:w="3055"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Merge w:val="continue"/>
                  <w:vAlign w:val="center"/>
                </w:tcPr>
                <w:p>
                  <w:pPr>
                    <w:jc w:val="center"/>
                    <w:rPr>
                      <w:color w:val="000000" w:themeColor="text1"/>
                      <w:sz w:val="18"/>
                      <w:szCs w:val="18"/>
                      <w14:textFill>
                        <w14:solidFill>
                          <w14:schemeClr w14:val="tx1"/>
                        </w14:solidFill>
                      </w14:textFill>
                    </w:rPr>
                  </w:pPr>
                </w:p>
              </w:tc>
              <w:tc>
                <w:tcPr>
                  <w:tcW w:w="153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尚德花园</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ESE</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445</w:t>
                  </w:r>
                </w:p>
              </w:tc>
              <w:tc>
                <w:tcPr>
                  <w:tcW w:w="3055"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Merge w:val="continue"/>
                  <w:vAlign w:val="center"/>
                </w:tcPr>
                <w:p>
                  <w:pPr>
                    <w:jc w:val="center"/>
                    <w:rPr>
                      <w:color w:val="000000" w:themeColor="text1"/>
                      <w:sz w:val="18"/>
                      <w:szCs w:val="18"/>
                      <w14:textFill>
                        <w14:solidFill>
                          <w14:schemeClr w14:val="tx1"/>
                        </w14:solidFill>
                      </w14:textFill>
                    </w:rPr>
                  </w:pPr>
                </w:p>
              </w:tc>
              <w:tc>
                <w:tcPr>
                  <w:tcW w:w="153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张店区疾病预防控制中心</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235</w:t>
                  </w:r>
                </w:p>
              </w:tc>
              <w:tc>
                <w:tcPr>
                  <w:tcW w:w="3055"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Merge w:val="continue"/>
                  <w:vAlign w:val="center"/>
                </w:tcPr>
                <w:p>
                  <w:pPr>
                    <w:jc w:val="center"/>
                    <w:rPr>
                      <w:color w:val="000000" w:themeColor="text1"/>
                      <w:sz w:val="18"/>
                      <w:szCs w:val="18"/>
                      <w14:textFill>
                        <w14:solidFill>
                          <w14:schemeClr w14:val="tx1"/>
                        </w14:solidFill>
                      </w14:textFill>
                    </w:rPr>
                  </w:pPr>
                </w:p>
              </w:tc>
              <w:tc>
                <w:tcPr>
                  <w:tcW w:w="153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张店区人民法院</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333</w:t>
                  </w:r>
                </w:p>
              </w:tc>
              <w:tc>
                <w:tcPr>
                  <w:tcW w:w="3055"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Merge w:val="continue"/>
                  <w:vAlign w:val="center"/>
                </w:tcPr>
                <w:p>
                  <w:pPr>
                    <w:jc w:val="center"/>
                    <w:rPr>
                      <w:color w:val="000000" w:themeColor="text1"/>
                      <w:sz w:val="18"/>
                      <w:szCs w:val="18"/>
                      <w14:textFill>
                        <w14:solidFill>
                          <w14:schemeClr w14:val="tx1"/>
                        </w14:solidFill>
                      </w14:textFill>
                    </w:rPr>
                  </w:pPr>
                </w:p>
              </w:tc>
              <w:tc>
                <w:tcPr>
                  <w:tcW w:w="153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常春藤花园</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440</w:t>
                  </w:r>
                </w:p>
              </w:tc>
              <w:tc>
                <w:tcPr>
                  <w:tcW w:w="3055"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Merge w:val="continue"/>
                  <w:vAlign w:val="center"/>
                </w:tcPr>
                <w:p>
                  <w:pPr>
                    <w:jc w:val="center"/>
                    <w:rPr>
                      <w:color w:val="000000" w:themeColor="text1"/>
                      <w:sz w:val="18"/>
                      <w:szCs w:val="18"/>
                      <w14:textFill>
                        <w14:solidFill>
                          <w14:schemeClr w14:val="tx1"/>
                        </w14:solidFill>
                      </w14:textFill>
                    </w:rPr>
                  </w:pPr>
                </w:p>
              </w:tc>
              <w:tc>
                <w:tcPr>
                  <w:tcW w:w="153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水利技术学院生活区</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ENE</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155</w:t>
                  </w:r>
                </w:p>
              </w:tc>
              <w:tc>
                <w:tcPr>
                  <w:tcW w:w="3055"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Merge w:val="continue"/>
                  <w:vAlign w:val="center"/>
                </w:tcPr>
                <w:p>
                  <w:pPr>
                    <w:jc w:val="center"/>
                    <w:rPr>
                      <w:color w:val="000000" w:themeColor="text1"/>
                      <w:sz w:val="18"/>
                      <w:szCs w:val="18"/>
                      <w14:textFill>
                        <w14:solidFill>
                          <w14:schemeClr w14:val="tx1"/>
                        </w14:solidFill>
                      </w14:textFill>
                    </w:rPr>
                  </w:pPr>
                </w:p>
              </w:tc>
              <w:tc>
                <w:tcPr>
                  <w:tcW w:w="153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山东药品食品技术学院</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NE</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260</w:t>
                  </w:r>
                </w:p>
              </w:tc>
              <w:tc>
                <w:tcPr>
                  <w:tcW w:w="3055"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Merge w:val="continue"/>
                  <w:vAlign w:val="center"/>
                </w:tcPr>
                <w:p>
                  <w:pPr>
                    <w:jc w:val="center"/>
                    <w:rPr>
                      <w:color w:val="000000" w:themeColor="text1"/>
                      <w:sz w:val="18"/>
                      <w:szCs w:val="18"/>
                      <w14:textFill>
                        <w14:solidFill>
                          <w14:schemeClr w14:val="tx1"/>
                        </w14:solidFill>
                      </w14:textFill>
                    </w:rPr>
                  </w:pPr>
                </w:p>
              </w:tc>
              <w:tc>
                <w:tcPr>
                  <w:tcW w:w="153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新东升福园</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210</w:t>
                  </w:r>
                </w:p>
              </w:tc>
              <w:tc>
                <w:tcPr>
                  <w:tcW w:w="3055"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声环境</w:t>
                  </w:r>
                </w:p>
              </w:tc>
              <w:tc>
                <w:tcPr>
                  <w:tcW w:w="153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天府清华园</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紧邻</w:t>
                  </w:r>
                </w:p>
              </w:tc>
              <w:tc>
                <w:tcPr>
                  <w:tcW w:w="3055" w:type="dxa"/>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《声环境质量标准》1类标准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Merge w:val="continue"/>
                  <w:vAlign w:val="center"/>
                </w:tcPr>
                <w:p>
                  <w:pPr>
                    <w:jc w:val="center"/>
                    <w:rPr>
                      <w:color w:val="000000" w:themeColor="text1"/>
                      <w:sz w:val="18"/>
                      <w:szCs w:val="18"/>
                      <w14:textFill>
                        <w14:solidFill>
                          <w14:schemeClr w14:val="tx1"/>
                        </w14:solidFill>
                      </w14:textFill>
                    </w:rPr>
                  </w:pPr>
                </w:p>
              </w:tc>
              <w:tc>
                <w:tcPr>
                  <w:tcW w:w="153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恒基花苑</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NE</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3055"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Merge w:val="continue"/>
                  <w:vAlign w:val="center"/>
                </w:tcPr>
                <w:p>
                  <w:pPr>
                    <w:jc w:val="center"/>
                    <w:rPr>
                      <w:color w:val="000000" w:themeColor="text1"/>
                      <w:sz w:val="18"/>
                      <w:szCs w:val="18"/>
                      <w14:textFill>
                        <w14:solidFill>
                          <w14:schemeClr w14:val="tx1"/>
                        </w14:solidFill>
                      </w14:textFill>
                    </w:rPr>
                  </w:pPr>
                </w:p>
              </w:tc>
              <w:tc>
                <w:tcPr>
                  <w:tcW w:w="153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体坛小区</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49</w:t>
                  </w:r>
                </w:p>
              </w:tc>
              <w:tc>
                <w:tcPr>
                  <w:tcW w:w="3055" w:type="dxa"/>
                  <w:vMerge w:val="continue"/>
                  <w:vAlign w:val="center"/>
                </w:tcPr>
                <w:p>
                  <w:pPr>
                    <w:jc w:val="center"/>
                    <w:rPr>
                      <w:color w:val="000000" w:themeColor="text1"/>
                      <w:sz w:val="18"/>
                      <w:szCs w:val="1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地表水</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环境</w:t>
                  </w:r>
                </w:p>
              </w:tc>
              <w:tc>
                <w:tcPr>
                  <w:tcW w:w="153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玉龙河</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w:t>
                  </w:r>
                </w:p>
              </w:tc>
              <w:tc>
                <w:tcPr>
                  <w:tcW w:w="121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140</w:t>
                  </w:r>
                </w:p>
              </w:tc>
              <w:tc>
                <w:tcPr>
                  <w:tcW w:w="305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《地表水环境质量标准》（GB3838-2002）</w:t>
                  </w:r>
                  <w:r>
                    <w:rPr>
                      <w:rFonts w:hint="eastAsia"/>
                      <w:color w:val="000000" w:themeColor="text1"/>
                      <w:sz w:val="18"/>
                      <w:szCs w:val="18"/>
                      <w14:textFill>
                        <w14:solidFill>
                          <w14:schemeClr w14:val="tx1"/>
                        </w14:solidFill>
                      </w14:textFill>
                    </w:rPr>
                    <w:t>Ⅴ</w:t>
                  </w:r>
                  <w:r>
                    <w:rPr>
                      <w:color w:val="000000" w:themeColor="text1"/>
                      <w:sz w:val="18"/>
                      <w:szCs w:val="18"/>
                      <w14:textFill>
                        <w14:solidFill>
                          <w14:schemeClr w14:val="tx1"/>
                        </w14:solidFill>
                      </w14:textFill>
                    </w:rPr>
                    <w:t>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地下水</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环境</w:t>
                  </w:r>
                </w:p>
              </w:tc>
              <w:tc>
                <w:tcPr>
                  <w:tcW w:w="153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地下水</w:t>
                  </w:r>
                </w:p>
              </w:tc>
              <w:tc>
                <w:tcPr>
                  <w:tcW w:w="2428" w:type="dxa"/>
                  <w:gridSpan w:val="2"/>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项目500米内无特殊地下水资源</w:t>
                  </w:r>
                </w:p>
              </w:tc>
              <w:tc>
                <w:tcPr>
                  <w:tcW w:w="305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《地下水质量标准》（GB/T14848-2017）Ⅲ类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130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生态环境</w:t>
                  </w:r>
                </w:p>
              </w:tc>
              <w:tc>
                <w:tcPr>
                  <w:tcW w:w="7014" w:type="dxa"/>
                  <w:gridSpan w:val="4"/>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项目不涉及</w:t>
                  </w:r>
                </w:p>
              </w:tc>
            </w:tr>
          </w:tbl>
          <w:p>
            <w:pPr>
              <w:rPr>
                <w:color w:val="000000" w:themeColor="text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438" w:type="dxa"/>
            <w:tcMar>
              <w:left w:w="28" w:type="dxa"/>
              <w:right w:w="28" w:type="dxa"/>
            </w:tcMar>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污染</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物排</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放控</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制标</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准</w:t>
            </w:r>
          </w:p>
        </w:tc>
        <w:tc>
          <w:tcPr>
            <w:tcW w:w="8552" w:type="dxa"/>
            <w:vAlign w:val="center"/>
          </w:tcPr>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1、废气</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污水处理站恶臭气体无组织排放参照执行《山东省医疗机构污染物排放控制标准》（DB37/596-2020）表2中的标准。</w:t>
            </w:r>
          </w:p>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表3-4  大气污染物排放标准</w:t>
            </w:r>
          </w:p>
          <w:tbl>
            <w:tblPr>
              <w:tblStyle w:val="24"/>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
              <w:gridCol w:w="1844"/>
              <w:gridCol w:w="1560"/>
              <w:gridCol w:w="1675"/>
              <w:gridCol w:w="23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563"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序号</w:t>
                  </w:r>
                </w:p>
              </w:tc>
              <w:tc>
                <w:tcPr>
                  <w:tcW w:w="1108"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污染物</w:t>
                  </w:r>
                </w:p>
              </w:tc>
              <w:tc>
                <w:tcPr>
                  <w:tcW w:w="93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排放形式</w:t>
                  </w:r>
                </w:p>
              </w:tc>
              <w:tc>
                <w:tcPr>
                  <w:tcW w:w="100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单位</w:t>
                  </w:r>
                </w:p>
              </w:tc>
              <w:tc>
                <w:tcPr>
                  <w:tcW w:w="138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排放浓度限值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563"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108" w:type="pct"/>
                  <w:vAlign w:val="center"/>
                </w:tcPr>
                <w:p>
                  <w:pPr>
                    <w:contextualSpacing/>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w:t>
                  </w:r>
                  <w:r>
                    <w:rPr>
                      <w:color w:val="000000" w:themeColor="text1"/>
                      <w:sz w:val="18"/>
                      <w:szCs w:val="18"/>
                      <w:vertAlign w:val="subscript"/>
                      <w14:textFill>
                        <w14:solidFill>
                          <w14:schemeClr w14:val="tx1"/>
                        </w14:solidFill>
                      </w14:textFill>
                    </w:rPr>
                    <w:t>2</w:t>
                  </w:r>
                  <w:r>
                    <w:rPr>
                      <w:color w:val="000000" w:themeColor="text1"/>
                      <w:sz w:val="18"/>
                      <w:szCs w:val="18"/>
                      <w14:textFill>
                        <w14:solidFill>
                          <w14:schemeClr w14:val="tx1"/>
                        </w14:solidFill>
                      </w14:textFill>
                    </w:rPr>
                    <w:t>S</w:t>
                  </w:r>
                </w:p>
              </w:tc>
              <w:tc>
                <w:tcPr>
                  <w:tcW w:w="937" w:type="pct"/>
                  <w:vAlign w:val="center"/>
                </w:tcPr>
                <w:p>
                  <w:pPr>
                    <w:contextualSpacing/>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无组织</w:t>
                  </w:r>
                </w:p>
              </w:tc>
              <w:tc>
                <w:tcPr>
                  <w:tcW w:w="1006" w:type="pct"/>
                  <w:vAlign w:val="center"/>
                </w:tcPr>
                <w:p>
                  <w:pPr>
                    <w:contextualSpacing/>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mg/m</w:t>
                  </w:r>
                  <w:r>
                    <w:rPr>
                      <w:color w:val="000000" w:themeColor="text1"/>
                      <w:sz w:val="18"/>
                      <w:szCs w:val="18"/>
                      <w:vertAlign w:val="superscript"/>
                      <w14:textFill>
                        <w14:solidFill>
                          <w14:schemeClr w14:val="tx1"/>
                        </w14:solidFill>
                      </w14:textFill>
                    </w:rPr>
                    <w:t>3</w:t>
                  </w:r>
                </w:p>
              </w:tc>
              <w:tc>
                <w:tcPr>
                  <w:tcW w:w="1386" w:type="pct"/>
                  <w:vAlign w:val="center"/>
                </w:tcPr>
                <w:p>
                  <w:pPr>
                    <w:contextualSpacing/>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 w:hRule="atLeast"/>
                <w:jc w:val="center"/>
              </w:trPr>
              <w:tc>
                <w:tcPr>
                  <w:tcW w:w="563"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108" w:type="pct"/>
                  <w:vAlign w:val="center"/>
                </w:tcPr>
                <w:p>
                  <w:pPr>
                    <w:contextualSpacing/>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NH</w:t>
                  </w:r>
                  <w:r>
                    <w:rPr>
                      <w:color w:val="000000" w:themeColor="text1"/>
                      <w:sz w:val="18"/>
                      <w:szCs w:val="18"/>
                      <w:vertAlign w:val="subscript"/>
                      <w14:textFill>
                        <w14:solidFill>
                          <w14:schemeClr w14:val="tx1"/>
                        </w14:solidFill>
                      </w14:textFill>
                    </w:rPr>
                    <w:t>3</w:t>
                  </w:r>
                </w:p>
              </w:tc>
              <w:tc>
                <w:tcPr>
                  <w:tcW w:w="937" w:type="pct"/>
                  <w:vAlign w:val="center"/>
                </w:tcPr>
                <w:p>
                  <w:pPr>
                    <w:contextualSpacing/>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无组织</w:t>
                  </w:r>
                </w:p>
              </w:tc>
              <w:tc>
                <w:tcPr>
                  <w:tcW w:w="1006" w:type="pct"/>
                  <w:vAlign w:val="center"/>
                </w:tcPr>
                <w:p>
                  <w:pPr>
                    <w:contextualSpacing/>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mg/m</w:t>
                  </w:r>
                  <w:r>
                    <w:rPr>
                      <w:color w:val="000000" w:themeColor="text1"/>
                      <w:sz w:val="18"/>
                      <w:szCs w:val="18"/>
                      <w:vertAlign w:val="superscript"/>
                      <w14:textFill>
                        <w14:solidFill>
                          <w14:schemeClr w14:val="tx1"/>
                        </w14:solidFill>
                      </w14:textFill>
                    </w:rPr>
                    <w:t>3</w:t>
                  </w:r>
                </w:p>
              </w:tc>
              <w:tc>
                <w:tcPr>
                  <w:tcW w:w="1386" w:type="pct"/>
                  <w:vAlign w:val="center"/>
                </w:tcPr>
                <w:p>
                  <w:pPr>
                    <w:contextualSpacing/>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3" w:hRule="atLeast"/>
                <w:jc w:val="center"/>
              </w:trPr>
              <w:tc>
                <w:tcPr>
                  <w:tcW w:w="563"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108" w:type="pct"/>
                  <w:vAlign w:val="center"/>
                </w:tcPr>
                <w:p>
                  <w:pPr>
                    <w:contextualSpacing/>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臭气浓度</w:t>
                  </w:r>
                </w:p>
              </w:tc>
              <w:tc>
                <w:tcPr>
                  <w:tcW w:w="937" w:type="pct"/>
                  <w:vAlign w:val="center"/>
                </w:tcPr>
                <w:p>
                  <w:pPr>
                    <w:contextualSpacing/>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无组织</w:t>
                  </w:r>
                </w:p>
              </w:tc>
              <w:tc>
                <w:tcPr>
                  <w:tcW w:w="1006" w:type="pct"/>
                  <w:vAlign w:val="center"/>
                </w:tcPr>
                <w:p>
                  <w:pPr>
                    <w:contextualSpacing/>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无量纲</w:t>
                  </w:r>
                </w:p>
              </w:tc>
              <w:tc>
                <w:tcPr>
                  <w:tcW w:w="1386" w:type="pct"/>
                  <w:vAlign w:val="center"/>
                </w:tcPr>
                <w:p>
                  <w:pPr>
                    <w:contextualSpacing/>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r>
          </w:tbl>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2、废水：</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营运期医疗废水排放标准执行《山东省医疗机构污染物排放控制标准》（DB37/596-2020）二级标准要求。</w:t>
            </w:r>
          </w:p>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表3-5  水污染物排放浓度限值</w:t>
            </w:r>
          </w:p>
          <w:tbl>
            <w:tblPr>
              <w:tblStyle w:val="2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0"/>
              <w:gridCol w:w="2551"/>
              <w:gridCol w:w="1843"/>
              <w:gridCol w:w="2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序号</w:t>
                  </w:r>
                </w:p>
              </w:tc>
              <w:tc>
                <w:tcPr>
                  <w:tcW w:w="153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污染物</w:t>
                  </w:r>
                </w:p>
              </w:tc>
              <w:tc>
                <w:tcPr>
                  <w:tcW w:w="110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单位</w:t>
                  </w:r>
                </w:p>
              </w:tc>
              <w:tc>
                <w:tcPr>
                  <w:tcW w:w="179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（DB37/596-2020）二级标准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53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粪大肠菌群</w:t>
                  </w:r>
                </w:p>
              </w:tc>
              <w:tc>
                <w:tcPr>
                  <w:tcW w:w="110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MPN/L</w:t>
                  </w:r>
                </w:p>
              </w:tc>
              <w:tc>
                <w:tcPr>
                  <w:tcW w:w="179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53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PH值</w:t>
                  </w:r>
                </w:p>
              </w:tc>
              <w:tc>
                <w:tcPr>
                  <w:tcW w:w="110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无量纲</w:t>
                  </w:r>
                </w:p>
              </w:tc>
              <w:tc>
                <w:tcPr>
                  <w:tcW w:w="179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53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色度</w:t>
                  </w:r>
                </w:p>
              </w:tc>
              <w:tc>
                <w:tcPr>
                  <w:tcW w:w="110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稀释倍数</w:t>
                  </w:r>
                </w:p>
              </w:tc>
              <w:tc>
                <w:tcPr>
                  <w:tcW w:w="179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w:t>
                  </w:r>
                </w:p>
              </w:tc>
              <w:tc>
                <w:tcPr>
                  <w:tcW w:w="153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化学需氧量</w:t>
                  </w:r>
                </w:p>
              </w:tc>
              <w:tc>
                <w:tcPr>
                  <w:tcW w:w="110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79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153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五日生化需氧量</w:t>
                  </w:r>
                </w:p>
              </w:tc>
              <w:tc>
                <w:tcPr>
                  <w:tcW w:w="110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79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53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悬浮物</w:t>
                  </w:r>
                </w:p>
              </w:tc>
              <w:tc>
                <w:tcPr>
                  <w:tcW w:w="110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79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w:t>
                  </w:r>
                </w:p>
              </w:tc>
              <w:tc>
                <w:tcPr>
                  <w:tcW w:w="153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动植物油</w:t>
                  </w:r>
                </w:p>
              </w:tc>
              <w:tc>
                <w:tcPr>
                  <w:tcW w:w="110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79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153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石油类</w:t>
                  </w:r>
                </w:p>
              </w:tc>
              <w:tc>
                <w:tcPr>
                  <w:tcW w:w="110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79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w:t>
                  </w:r>
                </w:p>
              </w:tc>
              <w:tc>
                <w:tcPr>
                  <w:tcW w:w="153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挥发酚</w:t>
                  </w:r>
                </w:p>
              </w:tc>
              <w:tc>
                <w:tcPr>
                  <w:tcW w:w="110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79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153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氨氮</w:t>
                  </w:r>
                </w:p>
              </w:tc>
              <w:tc>
                <w:tcPr>
                  <w:tcW w:w="110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79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153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总余氯</w:t>
                  </w:r>
                </w:p>
              </w:tc>
              <w:tc>
                <w:tcPr>
                  <w:tcW w:w="110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79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w:t>
                  </w:r>
                </w:p>
              </w:tc>
              <w:tc>
                <w:tcPr>
                  <w:tcW w:w="153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总氰化物</w:t>
                  </w:r>
                </w:p>
              </w:tc>
              <w:tc>
                <w:tcPr>
                  <w:tcW w:w="110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79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w:t>
                  </w:r>
                </w:p>
              </w:tc>
              <w:tc>
                <w:tcPr>
                  <w:tcW w:w="153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总磷</w:t>
                  </w:r>
                </w:p>
              </w:tc>
              <w:tc>
                <w:tcPr>
                  <w:tcW w:w="110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79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w:t>
                  </w:r>
                </w:p>
              </w:tc>
              <w:tc>
                <w:tcPr>
                  <w:tcW w:w="153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阴离子表面活性剂</w:t>
                  </w:r>
                </w:p>
              </w:tc>
              <w:tc>
                <w:tcPr>
                  <w:tcW w:w="110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79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153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二甲苯</w:t>
                  </w:r>
                </w:p>
              </w:tc>
              <w:tc>
                <w:tcPr>
                  <w:tcW w:w="110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79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w:t>
                  </w:r>
                </w:p>
              </w:tc>
              <w:tc>
                <w:tcPr>
                  <w:tcW w:w="153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总α放射性</w:t>
                  </w:r>
                </w:p>
              </w:tc>
              <w:tc>
                <w:tcPr>
                  <w:tcW w:w="110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Bq/L</w:t>
                  </w:r>
                </w:p>
              </w:tc>
              <w:tc>
                <w:tcPr>
                  <w:tcW w:w="179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17</w:t>
                  </w:r>
                </w:p>
              </w:tc>
              <w:tc>
                <w:tcPr>
                  <w:tcW w:w="153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总β放射性</w:t>
                  </w:r>
                </w:p>
              </w:tc>
              <w:tc>
                <w:tcPr>
                  <w:tcW w:w="110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Bq/L</w:t>
                  </w:r>
                </w:p>
              </w:tc>
              <w:tc>
                <w:tcPr>
                  <w:tcW w:w="179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18</w:t>
                  </w:r>
                </w:p>
              </w:tc>
              <w:tc>
                <w:tcPr>
                  <w:tcW w:w="153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总有机碳</w:t>
                  </w:r>
                </w:p>
              </w:tc>
              <w:tc>
                <w:tcPr>
                  <w:tcW w:w="110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79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19</w:t>
                  </w:r>
                </w:p>
              </w:tc>
              <w:tc>
                <w:tcPr>
                  <w:tcW w:w="153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氟化物</w:t>
                  </w:r>
                </w:p>
              </w:tc>
              <w:tc>
                <w:tcPr>
                  <w:tcW w:w="110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79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153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甲醛</w:t>
                  </w:r>
                </w:p>
              </w:tc>
              <w:tc>
                <w:tcPr>
                  <w:tcW w:w="110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79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6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21</w:t>
                  </w:r>
                </w:p>
              </w:tc>
              <w:tc>
                <w:tcPr>
                  <w:tcW w:w="153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石油类</w:t>
                  </w:r>
                </w:p>
              </w:tc>
              <w:tc>
                <w:tcPr>
                  <w:tcW w:w="110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79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r>
          </w:tbl>
          <w:p>
            <w:pPr>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3、噪声：</w:t>
            </w:r>
          </w:p>
          <w:p>
            <w:pPr>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厂界噪声执行《工业企业厂界环境噪声排放标准》（GB 2348-2008）中1类标准（昼间≤55dB（A）、夜间≤45dB（A））。</w:t>
            </w:r>
          </w:p>
          <w:p>
            <w:pPr>
              <w:spacing w:line="360" w:lineRule="auto"/>
              <w:ind w:firstLine="42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4、固废：</w:t>
            </w:r>
          </w:p>
          <w:p>
            <w:pPr>
              <w:pStyle w:val="12"/>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一般固废贮存执行《一般工业固体废物贮存和填埋污染控制标准》（GB18599-2020）标准要求；危险废物贮存执行《危险废物贮存污染控制标准》(GB18597-2001)及修改单的规定、《山东省医疗机构污染物排放控制标准》（DB37/596-2020）中表3医疗机构污泥控制标准，见表3-6。</w:t>
            </w:r>
          </w:p>
          <w:p>
            <w:pPr>
              <w:autoSpaceDE w:val="0"/>
              <w:autoSpaceDN w:val="0"/>
              <w:adjustRightInd w:val="0"/>
              <w:snapToGrid w:val="0"/>
              <w:jc w:val="center"/>
              <w:rPr>
                <w:b/>
                <w:bCs/>
                <w:color w:val="000000" w:themeColor="text1"/>
                <w:kern w:val="0"/>
                <w:szCs w:val="21"/>
                <w:lang w:val="zh-CN"/>
                <w14:textFill>
                  <w14:solidFill>
                    <w14:schemeClr w14:val="tx1"/>
                  </w14:solidFill>
                </w14:textFill>
              </w:rPr>
            </w:pPr>
            <w:r>
              <w:rPr>
                <w:b/>
                <w:bCs/>
                <w:color w:val="000000" w:themeColor="text1"/>
                <w:kern w:val="0"/>
                <w:szCs w:val="21"/>
                <w14:textFill>
                  <w14:solidFill>
                    <w14:schemeClr w14:val="tx1"/>
                  </w14:solidFill>
                </w14:textFill>
              </w:rPr>
              <w:t>表3-6  医疗机构污泥控制标准</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3"/>
              <w:gridCol w:w="2444"/>
              <w:gridCol w:w="2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医疗机构类别</w:t>
                  </w:r>
                </w:p>
              </w:tc>
              <w:tc>
                <w:tcPr>
                  <w:tcW w:w="164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粪大肠菌群数（MPN/g）</w:t>
                  </w:r>
                </w:p>
              </w:tc>
              <w:tc>
                <w:tcPr>
                  <w:tcW w:w="1950"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蛔虫卵死亡率（%）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0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综合医疗机构和其他医疗机构</w:t>
                  </w:r>
                </w:p>
              </w:tc>
              <w:tc>
                <w:tcPr>
                  <w:tcW w:w="1644"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≤100</w:t>
                  </w:r>
                </w:p>
              </w:tc>
              <w:tc>
                <w:tcPr>
                  <w:tcW w:w="1950"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＞95</w:t>
                  </w:r>
                </w:p>
              </w:tc>
            </w:tr>
          </w:tbl>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438" w:type="dxa"/>
            <w:vAlign w:val="center"/>
          </w:tcPr>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总量</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控制</w:t>
            </w:r>
          </w:p>
          <w:p>
            <w:pPr>
              <w:adjustRightInd w:val="0"/>
              <w:snapToGrid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指标</w:t>
            </w:r>
          </w:p>
        </w:tc>
        <w:tc>
          <w:tcPr>
            <w:tcW w:w="8552" w:type="dxa"/>
            <w:vAlign w:val="center"/>
          </w:tcPr>
          <w:p>
            <w:pPr>
              <w:spacing w:line="360" w:lineRule="auto"/>
              <w:ind w:firstLine="527" w:firstLineChars="25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1、与排污许可制度的衔接</w:t>
            </w:r>
          </w:p>
          <w:p>
            <w:pPr>
              <w:spacing w:line="360" w:lineRule="auto"/>
              <w:ind w:firstLine="525" w:firstLineChars="25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淄博市张店区第二人民医院（淄博口腔医院）已进行固定污染源排污登记，登记编号：1237030349322452X1001W，有效期：2020年12月7日至2025年12月6日。</w:t>
            </w:r>
          </w:p>
          <w:p>
            <w:pPr>
              <w:spacing w:line="360" w:lineRule="auto"/>
              <w:ind w:firstLine="527" w:firstLineChars="25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2、总量控制对象</w:t>
            </w:r>
          </w:p>
          <w:p>
            <w:pPr>
              <w:spacing w:line="360" w:lineRule="auto"/>
              <w:ind w:firstLine="525" w:firstLineChars="250"/>
              <w:rPr>
                <w:color w:val="000000" w:themeColor="text1"/>
                <w14:textFill>
                  <w14:solidFill>
                    <w14:schemeClr w14:val="tx1"/>
                  </w14:solidFill>
                </w14:textFill>
              </w:rPr>
            </w:pPr>
            <w:r>
              <w:rPr>
                <w:color w:val="000000" w:themeColor="text1"/>
                <w14:textFill>
                  <w14:solidFill>
                    <w14:schemeClr w14:val="tx1"/>
                  </w14:solidFill>
                </w14:textFill>
              </w:rPr>
              <w:t>根据《中华人民共和国国民经济和社会发展第十四个五年规划和2035年远景目标纲要)及《山东省国民经济和社会发展第十四个五年规划和2035年远景目标纲要》。另外根据淄博市人民政府要求，淄博市将SO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、烟（粉）尘、NOx、COD、氨氮和VOCs均列为总量控制项目。</w:t>
            </w:r>
          </w:p>
          <w:p>
            <w:pPr>
              <w:spacing w:line="360" w:lineRule="auto"/>
              <w:ind w:firstLine="525" w:firstLineChars="250"/>
              <w:rPr>
                <w:color w:val="000000" w:themeColor="text1"/>
                <w14:textFill>
                  <w14:solidFill>
                    <w14:schemeClr w14:val="tx1"/>
                  </w14:solidFill>
                </w14:textFill>
              </w:rPr>
            </w:pPr>
            <w:r>
              <w:rPr>
                <w:color w:val="000000" w:themeColor="text1"/>
                <w14:textFill>
                  <w14:solidFill>
                    <w14:schemeClr w14:val="tx1"/>
                  </w14:solidFill>
                </w14:textFill>
              </w:rPr>
              <w:t>与本项目有关的总量控制项目为COD、氨氮。</w:t>
            </w:r>
          </w:p>
          <w:p>
            <w:pPr>
              <w:spacing w:line="360" w:lineRule="auto"/>
              <w:ind w:firstLine="527" w:firstLineChars="250"/>
              <w:rPr>
                <w:b/>
                <w:color w:val="000000" w:themeColor="text1"/>
                <w:szCs w:val="21"/>
                <w14:textFill>
                  <w14:solidFill>
                    <w14:schemeClr w14:val="tx1"/>
                  </w14:solidFill>
                </w14:textFill>
              </w:rPr>
            </w:pPr>
            <w:r>
              <w:rPr>
                <w:b/>
                <w:color w:val="000000" w:themeColor="text1"/>
                <w:szCs w:val="21"/>
                <w14:textFill>
                  <w14:solidFill>
                    <w14:schemeClr w14:val="tx1"/>
                  </w14:solidFill>
                </w14:textFill>
              </w:rPr>
              <w:t>3、总量指标申请</w:t>
            </w:r>
          </w:p>
          <w:p>
            <w:pPr>
              <w:pStyle w:val="12"/>
              <w:spacing w:line="360" w:lineRule="auto"/>
              <w:ind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本项目外排废水量为</w:t>
            </w:r>
            <w:r>
              <w:rPr>
                <w:rFonts w:hint="eastAsia"/>
                <w:color w:val="000000" w:themeColor="text1"/>
                <w:sz w:val="21"/>
                <w:szCs w:val="21"/>
                <w14:textFill>
                  <w14:solidFill>
                    <w14:schemeClr w14:val="tx1"/>
                  </w14:solidFill>
                </w14:textFill>
              </w:rPr>
              <w:t>7729.4</w:t>
            </w:r>
            <w:r>
              <w:rPr>
                <w:color w:val="000000" w:themeColor="text1"/>
                <w:sz w:val="21"/>
                <w:szCs w:val="21"/>
                <w14:textFill>
                  <w14:solidFill>
                    <w14:schemeClr w14:val="tx1"/>
                  </w14:solidFill>
                </w14:textFill>
              </w:rPr>
              <w:t>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/a，项目废水经厂区污水处理站处理后，经</w:t>
            </w:r>
            <w:r>
              <w:rPr>
                <w:color w:val="000000" w:themeColor="text1"/>
                <w:sz w:val="21"/>
                <w:szCs w:val="21"/>
                <w14:textFill>
                  <w14:solidFill>
                    <w14:schemeClr w14:val="tx1"/>
                  </w14:solidFill>
                </w14:textFill>
              </w:rPr>
              <w:t>市政污</w:t>
            </w:r>
            <w:r>
              <w:rPr>
                <w:color w:val="000000" w:themeColor="text1"/>
                <w:sz w:val="21"/>
                <w:szCs w:val="21"/>
                <w14:textFill>
                  <w14:solidFill>
                    <w14:schemeClr w14:val="tx1"/>
                  </w14:solidFill>
                </w14:textFill>
              </w:rPr>
              <w:t>水管网排入光大水务（淄博）有限公司三分厂处理后达标排放，最终外排环境的COD、氨氮量（外排COD、氨氮浓度分别以40mg/L、2mg/L计）分别为COD 0.</w:t>
            </w:r>
            <w:r>
              <w:rPr>
                <w:rFonts w:hint="eastAsia"/>
                <w:color w:val="000000" w:themeColor="text1"/>
                <w:sz w:val="21"/>
                <w:szCs w:val="21"/>
                <w14:textFill>
                  <w14:solidFill>
                    <w14:schemeClr w14:val="tx1"/>
                  </w14:solidFill>
                </w14:textFill>
              </w:rPr>
              <w:t>309</w:t>
            </w:r>
            <w:r>
              <w:rPr>
                <w:color w:val="000000" w:themeColor="text1"/>
                <w:sz w:val="21"/>
                <w:szCs w:val="21"/>
                <w14:textFill>
                  <w14:solidFill>
                    <w14:schemeClr w14:val="tx1"/>
                  </w14:solidFill>
                </w14:textFill>
              </w:rPr>
              <w:t>t/a、氨氮0.01</w:t>
            </w:r>
            <w:r>
              <w:rPr>
                <w:rFonts w:hint="eastAsia"/>
                <w:color w:val="000000" w:themeColor="text1"/>
                <w:sz w:val="21"/>
                <w:szCs w:val="21"/>
                <w14:textFill>
                  <w14:solidFill>
                    <w14:schemeClr w14:val="tx1"/>
                  </w14:solidFill>
                </w14:textFill>
              </w:rPr>
              <w:t>6</w:t>
            </w:r>
            <w:r>
              <w:rPr>
                <w:color w:val="000000" w:themeColor="text1"/>
                <w:sz w:val="21"/>
                <w:szCs w:val="21"/>
                <w14:textFill>
                  <w14:solidFill>
                    <w14:schemeClr w14:val="tx1"/>
                  </w14:solidFill>
                </w14:textFill>
              </w:rPr>
              <w:t>t/a，该部分总量占用光大水务（淄博）有限公司三分厂内控指标，无需申请总量控制指标。</w:t>
            </w:r>
          </w:p>
          <w:p>
            <w:pPr>
              <w:spacing w:line="360" w:lineRule="auto"/>
              <w:rPr>
                <w:color w:val="000000" w:themeColor="text1"/>
                <w:szCs w:val="2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c>
      </w:tr>
    </w:tbl>
    <w:p>
      <w:pPr>
        <w:pStyle w:val="21"/>
        <w:numPr>
          <w:ilvl w:val="0"/>
          <w:numId w:val="2"/>
        </w:numPr>
        <w:jc w:val="center"/>
        <w:outlineLvl w:val="0"/>
        <w:rPr>
          <w:rFonts w:ascii="Times New Roman" w:hAnsi="Times New Roman" w:eastAsia="黑体"/>
          <w:snapToGrid w:val="0"/>
          <w:color w:val="000000" w:themeColor="text1"/>
          <w:sz w:val="30"/>
          <w:szCs w:val="30"/>
          <w14:textFill>
            <w14:solidFill>
              <w14:schemeClr w14:val="tx1"/>
            </w14:solidFill>
          </w14:textFill>
        </w:rPr>
        <w:sectPr>
          <w:pgSz w:w="11907" w:h="16840"/>
          <w:pgMar w:top="1701" w:right="1531" w:bottom="2127" w:left="1531" w:header="851" w:footer="851" w:gutter="0"/>
          <w:pgNumType w:fmt="numberInDash"/>
          <w:cols w:space="720" w:num="1"/>
          <w:docGrid w:linePitch="312" w:charSpace="0"/>
        </w:sectPr>
      </w:pPr>
    </w:p>
    <w:p>
      <w:pPr>
        <w:pStyle w:val="21"/>
        <w:numPr>
          <w:ilvl w:val="0"/>
          <w:numId w:val="2"/>
        </w:numPr>
        <w:jc w:val="center"/>
        <w:outlineLvl w:val="0"/>
        <w:rPr>
          <w:rFonts w:ascii="Times New Roman" w:hAnsi="Times New Roman" w:eastAsia="黑体"/>
          <w:snapToGrid w:val="0"/>
          <w:color w:val="000000" w:themeColor="text1"/>
          <w:sz w:val="30"/>
          <w:szCs w:val="30"/>
          <w14:textFill>
            <w14:solidFill>
              <w14:schemeClr w14:val="tx1"/>
            </w14:solidFill>
          </w14:textFill>
        </w:rPr>
      </w:pPr>
      <w:r>
        <w:rPr>
          <w:rFonts w:ascii="Times New Roman" w:hAnsi="Times New Roman" w:eastAsia="黑体"/>
          <w:snapToGrid w:val="0"/>
          <w:color w:val="000000" w:themeColor="text1"/>
          <w:sz w:val="30"/>
          <w:szCs w:val="30"/>
          <w14:textFill>
            <w14:solidFill>
              <w14:schemeClr w14:val="tx1"/>
            </w14:solidFill>
          </w14:textFill>
        </w:rPr>
        <w:t>主要环境影响和保护措施</w:t>
      </w:r>
    </w:p>
    <w:tbl>
      <w:tblPr>
        <w:tblStyle w:val="24"/>
        <w:tblW w:w="89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11" w:type="dxa"/>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施工</w:t>
            </w:r>
          </w:p>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期环</w:t>
            </w:r>
          </w:p>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境保</w:t>
            </w:r>
          </w:p>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护措</w:t>
            </w:r>
          </w:p>
          <w:p>
            <w:pPr>
              <w:adjustRightInd w:val="0"/>
              <w:snapToGrid w:val="0"/>
              <w:jc w:val="center"/>
              <w:rPr>
                <w:snapToGrid w:val="0"/>
                <w:color w:val="000000" w:themeColor="text1"/>
                <w:szCs w:val="21"/>
                <w14:textFill>
                  <w14:solidFill>
                    <w14:schemeClr w14:val="tx1"/>
                  </w14:solidFill>
                </w14:textFill>
              </w:rPr>
            </w:pPr>
            <w:r>
              <w:rPr>
                <w:bCs/>
                <w:color w:val="000000" w:themeColor="text1"/>
                <w:szCs w:val="21"/>
                <w14:textFill>
                  <w14:solidFill>
                    <w14:schemeClr w14:val="tx1"/>
                  </w14:solidFill>
                </w14:textFill>
              </w:rPr>
              <w:t>施</w:t>
            </w:r>
          </w:p>
        </w:tc>
        <w:tc>
          <w:tcPr>
            <w:tcW w:w="8497" w:type="dxa"/>
            <w:vAlign w:val="center"/>
          </w:tcPr>
          <w:p>
            <w:pPr>
              <w:widowControl/>
              <w:spacing w:line="360" w:lineRule="auto"/>
              <w:ind w:firstLine="420" w:firstLineChars="200"/>
              <w:jc w:val="left"/>
              <w:rPr>
                <w:rFonts w:eastAsia="黑体"/>
                <w:snapToGrid w:val="0"/>
                <w:color w:val="000000" w:themeColor="text1"/>
                <w:sz w:val="30"/>
                <w:szCs w:val="30"/>
                <w14:textFill>
                  <w14:solidFill>
                    <w14:schemeClr w14:val="tx1"/>
                  </w14:solidFill>
                </w14:textFill>
              </w:rPr>
            </w:pPr>
            <w:r>
              <w:rPr>
                <w:color w:val="000000" w:themeColor="text1"/>
                <w:szCs w:val="21"/>
                <w14:textFill>
                  <w14:solidFill>
                    <w14:schemeClr w14:val="tx1"/>
                  </w14:solidFill>
                </w14:textFill>
              </w:rPr>
              <w:t>本项目已建成投运，现为补办环评手续，不再对施工期环境影响进行分析。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49" w:hRule="atLeast"/>
          <w:jc w:val="center"/>
        </w:trPr>
        <w:tc>
          <w:tcPr>
            <w:tcW w:w="411" w:type="dxa"/>
            <w:tcMar>
              <w:left w:w="28" w:type="dxa"/>
              <w:right w:w="28" w:type="dxa"/>
            </w:tcMar>
            <w:vAlign w:val="center"/>
          </w:tcPr>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运</w:t>
            </w:r>
          </w:p>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营</w:t>
            </w:r>
          </w:p>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期</w:t>
            </w:r>
          </w:p>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环</w:t>
            </w:r>
          </w:p>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境</w:t>
            </w:r>
          </w:p>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影</w:t>
            </w:r>
          </w:p>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响</w:t>
            </w:r>
          </w:p>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和</w:t>
            </w:r>
          </w:p>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保</w:t>
            </w:r>
          </w:p>
          <w:p>
            <w:pPr>
              <w:adjustRightInd w:val="0"/>
              <w:snapToGrid w:val="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护</w:t>
            </w:r>
          </w:p>
          <w:p>
            <w:pPr>
              <w:pStyle w:val="21"/>
              <w:adjustRightInd w:val="0"/>
              <w:snapToGrid w:val="0"/>
              <w:spacing w:before="0" w:beforeAutospacing="0" w:after="0" w:afterAutospacing="0"/>
              <w:jc w:val="center"/>
              <w:rPr>
                <w:rFonts w:ascii="Times New Roman" w:hAnsi="Times New Roman"/>
                <w:bCs/>
                <w:color w:val="000000" w:themeColor="text1"/>
                <w:sz w:val="21"/>
                <w:szCs w:val="21"/>
                <w14:textFill>
                  <w14:solidFill>
                    <w14:schemeClr w14:val="tx1"/>
                  </w14:solidFill>
                </w14:textFill>
              </w:rPr>
            </w:pPr>
            <w:r>
              <w:rPr>
                <w:rFonts w:ascii="Times New Roman" w:hAnsi="Times New Roman"/>
                <w:bCs/>
                <w:color w:val="000000" w:themeColor="text1"/>
                <w:sz w:val="21"/>
                <w:szCs w:val="21"/>
                <w14:textFill>
                  <w14:solidFill>
                    <w14:schemeClr w14:val="tx1"/>
                  </w14:solidFill>
                </w14:textFill>
              </w:rPr>
              <w:t>措</w:t>
            </w:r>
          </w:p>
          <w:p>
            <w:pPr>
              <w:pStyle w:val="21"/>
              <w:adjustRightInd w:val="0"/>
              <w:snapToGrid w:val="0"/>
              <w:spacing w:before="0" w:beforeAutospacing="0" w:after="0" w:afterAutospacing="0"/>
              <w:jc w:val="center"/>
              <w:rPr>
                <w:rFonts w:ascii="Times New Roman" w:hAnsi="Times New Roman"/>
                <w:bCs/>
                <w:color w:val="000000" w:themeColor="text1"/>
                <w:kern w:val="2"/>
                <w:sz w:val="21"/>
                <w:szCs w:val="21"/>
                <w14:textFill>
                  <w14:solidFill>
                    <w14:schemeClr w14:val="tx1"/>
                  </w14:solidFill>
                </w14:textFill>
              </w:rPr>
            </w:pPr>
            <w:r>
              <w:rPr>
                <w:rFonts w:ascii="Times New Roman" w:hAnsi="Times New Roman"/>
                <w:bCs/>
                <w:color w:val="000000" w:themeColor="text1"/>
                <w:sz w:val="21"/>
                <w:szCs w:val="21"/>
                <w14:textFill>
                  <w14:solidFill>
                    <w14:schemeClr w14:val="tx1"/>
                  </w14:solidFill>
                </w14:textFill>
              </w:rPr>
              <w:t>施</w:t>
            </w:r>
          </w:p>
        </w:tc>
        <w:tc>
          <w:tcPr>
            <w:tcW w:w="8497" w:type="dxa"/>
            <w:vAlign w:val="center"/>
          </w:tcPr>
          <w:p>
            <w:pPr>
              <w:widowControl/>
              <w:spacing w:line="360" w:lineRule="auto"/>
              <w:ind w:firstLine="422" w:firstLineChars="200"/>
              <w:jc w:val="left"/>
              <w:rPr>
                <w:b/>
                <w:color w:val="000000" w:themeColor="text1"/>
                <w14:textFill>
                  <w14:solidFill>
                    <w14:schemeClr w14:val="tx1"/>
                  </w14:solidFill>
                </w14:textFill>
              </w:rPr>
            </w:pPr>
            <w:r>
              <w:rPr>
                <w:b/>
                <w:color w:val="000000" w:themeColor="text1"/>
                <w14:textFill>
                  <w14:solidFill>
                    <w14:schemeClr w14:val="tx1"/>
                  </w14:solidFill>
                </w14:textFill>
              </w:rPr>
              <w:t>一、废水</w:t>
            </w:r>
          </w:p>
          <w:p>
            <w:pPr>
              <w:pStyle w:val="2"/>
              <w:spacing w:after="0" w:line="360" w:lineRule="auto"/>
              <w:ind w:firstLine="0" w:firstLineChars="0"/>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1.1污染物产生情况</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本项目放射科室不涉及辐射性废水产生，项目废水主要为医务人员废水、病房废水、门诊废水、牙椅诊疗废水、洗衣房废水、清洁消毒废水，根据现状监测数据情况，本项目筛选</w:t>
            </w:r>
            <w:r>
              <w:rPr>
                <w:color w:val="000000" w:themeColor="text1"/>
                <w14:textFill>
                  <w14:solidFill>
                    <w14:schemeClr w14:val="tx1"/>
                  </w14:solidFill>
                </w14:textFill>
              </w:rPr>
              <w:t>CODcr、BOD</w:t>
            </w:r>
            <w:r>
              <w:rPr>
                <w:color w:val="000000" w:themeColor="text1"/>
                <w:vertAlign w:val="subscript"/>
                <w14:textFill>
                  <w14:solidFill>
                    <w14:schemeClr w14:val="tx1"/>
                  </w14:solidFill>
                </w14:textFill>
              </w:rPr>
              <w:t>5</w:t>
            </w:r>
            <w:r>
              <w:rPr>
                <w:color w:val="000000" w:themeColor="text1"/>
                <w14:textFill>
                  <w14:solidFill>
                    <w14:schemeClr w14:val="tx1"/>
                  </w14:solidFill>
                </w14:textFill>
              </w:rPr>
              <w:t xml:space="preserve"> 、氨氮、SS</w:t>
            </w:r>
            <w:r>
              <w:rPr>
                <w:rFonts w:hint="eastAsia"/>
                <w:color w:val="000000" w:themeColor="text1"/>
                <w14:textFill>
                  <w14:solidFill>
                    <w14:schemeClr w14:val="tx1"/>
                  </w14:solidFill>
                </w14:textFill>
              </w:rPr>
              <w:t>、</w:t>
            </w:r>
            <w:r>
              <w:rPr>
                <w:rFonts w:hint="eastAsia"/>
                <w:color w:val="000000" w:themeColor="text1"/>
                <w:szCs w:val="21"/>
                <w14:textFill>
                  <w14:solidFill>
                    <w14:schemeClr w14:val="tx1"/>
                  </w14:solidFill>
                </w14:textFill>
              </w:rPr>
              <w:t>粪</w:t>
            </w:r>
            <w:r>
              <w:rPr>
                <w:color w:val="000000" w:themeColor="text1"/>
                <w:szCs w:val="21"/>
                <w14:textFill>
                  <w14:solidFill>
                    <w14:schemeClr w14:val="tx1"/>
                  </w14:solidFill>
                </w14:textFill>
              </w:rPr>
              <w:t>大肠菌群</w:t>
            </w:r>
            <w:r>
              <w:rPr>
                <w:rFonts w:hint="eastAsia"/>
                <w:color w:val="000000" w:themeColor="text1"/>
                <w:szCs w:val="21"/>
                <w14:textFill>
                  <w14:solidFill>
                    <w14:schemeClr w14:val="tx1"/>
                  </w14:solidFill>
                </w14:textFill>
              </w:rPr>
              <w:t>、总磷、阴离子表面活性剂、余氯、氟化物作为污染物因子进行核算，</w:t>
            </w:r>
            <w:r>
              <w:rPr>
                <w:rFonts w:hint="eastAsia"/>
                <w:color w:val="000000" w:themeColor="text1"/>
                <w:kern w:val="0"/>
                <w:szCs w:val="21"/>
                <w14:textFill>
                  <w14:solidFill>
                    <w14:schemeClr w14:val="tx1"/>
                  </w14:solidFill>
                </w14:textFill>
              </w:rPr>
              <w:t>具体如下：</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1、医务人员废水</w:t>
            </w:r>
          </w:p>
          <w:p>
            <w:pPr>
              <w:autoSpaceDE w:val="0"/>
              <w:autoSpaceDN w:val="0"/>
              <w:adjustRightInd w:val="0"/>
              <w:snapToGrid w:val="0"/>
              <w:spacing w:line="360" w:lineRule="auto"/>
              <w:ind w:firstLine="420" w:firstLineChars="20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医院内医务人员总数约156人，其中住院部医护人员6人，门诊及诊疗部门医务人员150人。参考《建筑给水排水设计标准》（GB50015-2019），住院部医务人员生活用水定额按照200L/人•d计算，门诊及诊疗部门员工生活用水定额按照80L/人•d计算，则用水量4818m</w:t>
            </w:r>
            <w:r>
              <w:rPr>
                <w:rFonts w:hint="eastAsia"/>
                <w:color w:val="000000" w:themeColor="text1"/>
                <w:kern w:val="0"/>
                <w:szCs w:val="21"/>
                <w:vertAlign w:val="superscript"/>
                <w14:textFill>
                  <w14:solidFill>
                    <w14:schemeClr w14:val="tx1"/>
                  </w14:solidFill>
                </w14:textFill>
              </w:rPr>
              <w:t>3</w:t>
            </w:r>
            <w:r>
              <w:rPr>
                <w:rFonts w:hint="eastAsia"/>
                <w:color w:val="000000" w:themeColor="text1"/>
                <w:kern w:val="0"/>
                <w:szCs w:val="21"/>
                <w14:textFill>
                  <w14:solidFill>
                    <w14:schemeClr w14:val="tx1"/>
                  </w14:solidFill>
                </w14:textFill>
              </w:rPr>
              <w:t>/a；</w:t>
            </w:r>
            <w:r>
              <w:rPr>
                <w:color w:val="000000" w:themeColor="text1"/>
                <w:kern w:val="0"/>
                <w:szCs w:val="21"/>
                <w14:textFill>
                  <w14:solidFill>
                    <w14:schemeClr w14:val="tx1"/>
                  </w14:solidFill>
                </w14:textFill>
              </w:rPr>
              <w:t>废水产生量按80%计，产生量为3</w:t>
            </w:r>
            <w:r>
              <w:rPr>
                <w:rFonts w:hint="eastAsia"/>
                <w:color w:val="000000" w:themeColor="text1"/>
                <w:kern w:val="0"/>
                <w:szCs w:val="21"/>
                <w14:textFill>
                  <w14:solidFill>
                    <w14:schemeClr w14:val="tx1"/>
                  </w14:solidFill>
                </w14:textFill>
              </w:rPr>
              <w:t>854.4</w:t>
            </w:r>
            <w:r>
              <w:rPr>
                <w:color w:val="000000" w:themeColor="text1"/>
                <w:kern w:val="0"/>
                <w:szCs w:val="21"/>
                <w14:textFill>
                  <w14:solidFill>
                    <w14:schemeClr w14:val="tx1"/>
                  </w14:solidFill>
                </w14:textFill>
              </w:rPr>
              <w:t>m</w:t>
            </w:r>
            <w:r>
              <w:rPr>
                <w:color w:val="000000" w:themeColor="text1"/>
                <w:kern w:val="0"/>
                <w:szCs w:val="21"/>
                <w:vertAlign w:val="superscript"/>
                <w14:textFill>
                  <w14:solidFill>
                    <w14:schemeClr w14:val="tx1"/>
                  </w14:solidFill>
                </w14:textFill>
              </w:rPr>
              <w:t>3</w:t>
            </w:r>
            <w:r>
              <w:rPr>
                <w:color w:val="000000" w:themeColor="text1"/>
                <w:kern w:val="0"/>
                <w:szCs w:val="21"/>
                <w14:textFill>
                  <w14:solidFill>
                    <w14:schemeClr w14:val="tx1"/>
                  </w14:solidFill>
                </w14:textFill>
              </w:rPr>
              <w:t>/a，</w:t>
            </w:r>
            <w:r>
              <w:rPr>
                <w:color w:val="000000" w:themeColor="text1"/>
                <w14:textFill>
                  <w14:solidFill>
                    <w14:schemeClr w14:val="tx1"/>
                  </w14:solidFill>
                </w14:textFill>
              </w:rPr>
              <w:t>废水水质参照一般城市生活废水，污染物产生情况为CODcr 350mg/L、BOD</w:t>
            </w:r>
            <w:r>
              <w:rPr>
                <w:color w:val="000000" w:themeColor="text1"/>
                <w:vertAlign w:val="subscript"/>
                <w14:textFill>
                  <w14:solidFill>
                    <w14:schemeClr w14:val="tx1"/>
                  </w14:solidFill>
                </w14:textFill>
              </w:rPr>
              <w:t>5</w:t>
            </w:r>
            <w:r>
              <w:rPr>
                <w:color w:val="000000" w:themeColor="text1"/>
                <w14:textFill>
                  <w14:solidFill>
                    <w14:schemeClr w14:val="tx1"/>
                  </w14:solidFill>
                </w14:textFill>
              </w:rPr>
              <w:t xml:space="preserve"> 150mg/L、氨氮35mg/L、SS 300mg/L</w:t>
            </w:r>
            <w:r>
              <w:rPr>
                <w:rFonts w:hint="eastAsia"/>
                <w:color w:val="000000" w:themeColor="text1"/>
                <w14:textFill>
                  <w14:solidFill>
                    <w14:schemeClr w14:val="tx1"/>
                  </w14:solidFill>
                </w14:textFill>
              </w:rPr>
              <w:t>，总余氯产生浓度取值8</w:t>
            </w:r>
            <w:r>
              <w:rPr>
                <w:color w:val="000000" w:themeColor="text1"/>
                <w14:textFill>
                  <w14:solidFill>
                    <w14:schemeClr w14:val="tx1"/>
                  </w14:solidFill>
                </w14:textFill>
              </w:rPr>
              <w:t>mg/L。</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r>
              <w:rPr>
                <w:rFonts w:hint="eastAsia"/>
                <w:color w:val="000000" w:themeColor="text1"/>
                <w:kern w:val="0"/>
                <w:szCs w:val="21"/>
                <w14:textFill>
                  <w14:solidFill>
                    <w14:schemeClr w14:val="tx1"/>
                  </w14:solidFill>
                </w14:textFill>
              </w:rPr>
              <w:t>医疗废水</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w:t>
            </w:r>
            <w:r>
              <w:rPr>
                <w:color w:val="000000" w:themeColor="text1"/>
                <w:kern w:val="0"/>
                <w:szCs w:val="21"/>
                <w14:textFill>
                  <w14:solidFill>
                    <w14:schemeClr w14:val="tx1"/>
                  </w14:solidFill>
                </w14:textFill>
              </w:rPr>
              <w:t>病房废水</w:t>
            </w:r>
          </w:p>
          <w:p>
            <w:pPr>
              <w:pStyle w:val="20"/>
              <w:spacing w:after="0" w:line="360" w:lineRule="auto"/>
              <w:ind w:left="0" w:leftChars="0"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项目病床数量约55床，本项目已建成投运，根据企业提供统计资料及历年来实际情况，口腔医院患者多为市区及周边患者，定期复诊，无需住院治疗</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投运多年以来院区病房床位常年利用率</w:t>
            </w:r>
            <w:r>
              <w:rPr>
                <w:rFonts w:hint="eastAsia"/>
                <w:color w:val="000000" w:themeColor="text1"/>
                <w:sz w:val="21"/>
                <w:szCs w:val="21"/>
                <w14:textFill>
                  <w14:solidFill>
                    <w14:schemeClr w14:val="tx1"/>
                  </w14:solidFill>
                </w14:textFill>
              </w:rPr>
              <w:t>较低</w:t>
            </w:r>
            <w:r>
              <w:rPr>
                <w:color w:val="000000" w:themeColor="text1"/>
                <w:sz w:val="21"/>
                <w:szCs w:val="21"/>
                <w14:textFill>
                  <w14:solidFill>
                    <w14:schemeClr w14:val="tx1"/>
                  </w14:solidFill>
                </w14:textFill>
              </w:rPr>
              <w:t>，本次评价统计病房多年来实际用水情况</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根据院方提供实际用水量数据</w:t>
            </w:r>
            <w:r>
              <w:rPr>
                <w:rFonts w:hint="eastAsia"/>
                <w:color w:val="000000" w:themeColor="text1"/>
                <w:sz w:val="21"/>
                <w:szCs w:val="21"/>
                <w14:textFill>
                  <w14:solidFill>
                    <w14:schemeClr w14:val="tx1"/>
                  </w14:solidFill>
                </w14:textFill>
              </w:rPr>
              <w:t>，病房用水量最大为2.75m</w:t>
            </w:r>
            <w:r>
              <w:rPr>
                <w:rFonts w:hint="eastAsia"/>
                <w:color w:val="000000" w:themeColor="text1"/>
                <w:sz w:val="21"/>
                <w:szCs w:val="21"/>
                <w:vertAlign w:val="superscript"/>
                <w14:textFill>
                  <w14:solidFill>
                    <w14:schemeClr w14:val="tx1"/>
                  </w14:solidFill>
                </w14:textFill>
              </w:rPr>
              <w:t>3</w:t>
            </w:r>
            <w:r>
              <w:rPr>
                <w:rFonts w:hint="eastAsia"/>
                <w:color w:val="000000" w:themeColor="text1"/>
                <w:sz w:val="21"/>
                <w:szCs w:val="21"/>
                <w14:textFill>
                  <w14:solidFill>
                    <w14:schemeClr w14:val="tx1"/>
                  </w14:solidFill>
                </w14:textFill>
              </w:rPr>
              <w:t>/d，合计1003.75</w:t>
            </w:r>
            <w:r>
              <w:rPr>
                <w:color w:val="000000" w:themeColor="text1"/>
                <w:sz w:val="21"/>
                <w:szCs w:val="21"/>
                <w14:textFill>
                  <w14:solidFill>
                    <w14:schemeClr w14:val="tx1"/>
                  </w14:solidFill>
                </w14:textFill>
              </w:rPr>
              <w:t>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/a；废水产生量按80%计，产生量为803m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/a</w:t>
            </w:r>
            <w:r>
              <w:rPr>
                <w:rFonts w:hint="eastAsia"/>
                <w:color w:val="000000" w:themeColor="text1"/>
                <w:sz w:val="21"/>
                <w:szCs w:val="21"/>
                <w14:textFill>
                  <w14:solidFill>
                    <w14:schemeClr w14:val="tx1"/>
                  </w14:solidFill>
                </w14:textFill>
              </w:rPr>
              <w:t>。</w:t>
            </w:r>
          </w:p>
          <w:p>
            <w:pPr>
              <w:pStyle w:val="20"/>
              <w:spacing w:after="0" w:line="360" w:lineRule="auto"/>
              <w:ind w:left="0" w:leftChars="0"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（2）</w:t>
            </w:r>
            <w:r>
              <w:rPr>
                <w:color w:val="000000" w:themeColor="text1"/>
                <w:sz w:val="21"/>
                <w:szCs w:val="21"/>
                <w14:textFill>
                  <w14:solidFill>
                    <w14:schemeClr w14:val="tx1"/>
                  </w14:solidFill>
                </w14:textFill>
              </w:rPr>
              <w:t>门诊废水</w:t>
            </w:r>
          </w:p>
          <w:p>
            <w:pPr>
              <w:pStyle w:val="55"/>
              <w:spacing w:line="360" w:lineRule="auto"/>
              <w:ind w:firstLine="420" w:firstLineChars="200"/>
              <w:jc w:val="both"/>
              <w:rPr>
                <w:rFonts w:ascii="Times New Roman" w:cs="Times New Roman"/>
                <w:color w:val="000000" w:themeColor="text1"/>
                <w:sz w:val="21"/>
                <w:szCs w:val="21"/>
                <w14:textFill>
                  <w14:solidFill>
                    <w14:schemeClr w14:val="tx1"/>
                  </w14:solidFill>
                </w14:textFill>
              </w:rPr>
            </w:pPr>
            <w:r>
              <w:rPr>
                <w:rFonts w:ascii="Times New Roman" w:cs="Times New Roman"/>
                <w:color w:val="000000" w:themeColor="text1"/>
                <w:sz w:val="21"/>
                <w:szCs w:val="21"/>
                <w14:textFill>
                  <w14:solidFill>
                    <w14:schemeClr w14:val="tx1"/>
                  </w14:solidFill>
                </w14:textFill>
              </w:rPr>
              <w:t>门诊病人的就诊量约300人次/d，参考</w:t>
            </w:r>
            <w:r>
              <w:rPr>
                <w:rFonts w:ascii="Times New Roman" w:cs="Times New Roman"/>
                <w:bCs/>
                <w:color w:val="000000" w:themeColor="text1"/>
                <w:sz w:val="21"/>
                <w:szCs w:val="21"/>
                <w14:textFill>
                  <w14:solidFill>
                    <w14:schemeClr w14:val="tx1"/>
                  </w14:solidFill>
                </w14:textFill>
              </w:rPr>
              <w:t>《建筑给水排水设计标准》（GB50015-2019），</w:t>
            </w:r>
            <w:r>
              <w:rPr>
                <w:rFonts w:ascii="Times New Roman" w:cs="Times New Roman"/>
                <w:color w:val="000000" w:themeColor="text1"/>
                <w:sz w:val="21"/>
                <w:szCs w:val="21"/>
                <w14:textFill>
                  <w14:solidFill>
                    <w14:schemeClr w14:val="tx1"/>
                  </w14:solidFill>
                </w14:textFill>
              </w:rPr>
              <w:t>门诊病人用水定额按照每人10L/人次计算，用水量为1095m</w:t>
            </w:r>
            <w:r>
              <w:rPr>
                <w:rFonts w:ascii="Times New Roman" w:cs="Times New Roman"/>
                <w:color w:val="000000" w:themeColor="text1"/>
                <w:sz w:val="21"/>
                <w:szCs w:val="21"/>
                <w:vertAlign w:val="superscript"/>
                <w14:textFill>
                  <w14:solidFill>
                    <w14:schemeClr w14:val="tx1"/>
                  </w14:solidFill>
                </w14:textFill>
              </w:rPr>
              <w:t>3</w:t>
            </w:r>
            <w:r>
              <w:rPr>
                <w:rFonts w:ascii="Times New Roman" w:cs="Times New Roman"/>
                <w:color w:val="000000" w:themeColor="text1"/>
                <w:sz w:val="21"/>
                <w:szCs w:val="21"/>
                <w14:textFill>
                  <w14:solidFill>
                    <w14:schemeClr w14:val="tx1"/>
                  </w14:solidFill>
                </w14:textFill>
              </w:rPr>
              <w:t>/a；废水产生量按80%计，产生量为876m</w:t>
            </w:r>
            <w:r>
              <w:rPr>
                <w:rFonts w:ascii="Times New Roman" w:cs="Times New Roman"/>
                <w:color w:val="000000" w:themeColor="text1"/>
                <w:sz w:val="21"/>
                <w:szCs w:val="21"/>
                <w:vertAlign w:val="superscript"/>
                <w14:textFill>
                  <w14:solidFill>
                    <w14:schemeClr w14:val="tx1"/>
                  </w14:solidFill>
                </w14:textFill>
              </w:rPr>
              <w:t>3</w:t>
            </w:r>
            <w:r>
              <w:rPr>
                <w:rFonts w:ascii="Times New Roman" w:cs="Times New Roman"/>
                <w:color w:val="000000" w:themeColor="text1"/>
                <w:sz w:val="21"/>
                <w:szCs w:val="21"/>
                <w14:textFill>
                  <w14:solidFill>
                    <w14:schemeClr w14:val="tx1"/>
                  </w14:solidFill>
                </w14:textFill>
              </w:rPr>
              <w:t>/a</w:t>
            </w:r>
            <w:r>
              <w:rPr>
                <w:rFonts w:hint="eastAsia" w:ascii="Times New Roman" w:cs="Times New Roman"/>
                <w:color w:val="000000" w:themeColor="text1"/>
                <w:sz w:val="21"/>
                <w:szCs w:val="21"/>
                <w14:textFill>
                  <w14:solidFill>
                    <w14:schemeClr w14:val="tx1"/>
                  </w14:solidFill>
                </w14:textFill>
              </w:rPr>
              <w:t>。</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（3）</w:t>
            </w:r>
            <w:r>
              <w:rPr>
                <w:color w:val="000000" w:themeColor="text1"/>
                <w:kern w:val="0"/>
                <w:szCs w:val="21"/>
                <w14:textFill>
                  <w14:solidFill>
                    <w14:schemeClr w14:val="tx1"/>
                  </w14:solidFill>
                </w14:textFill>
              </w:rPr>
              <w:t>牙椅诊疗废水</w:t>
            </w:r>
          </w:p>
          <w:p>
            <w:pPr>
              <w:pStyle w:val="20"/>
              <w:spacing w:after="0" w:line="360" w:lineRule="auto"/>
              <w:ind w:left="0" w:leftChars="0" w:firstLine="420" w:firstLineChars="20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牙椅数量40把，利用率最高可达100%，牙椅用水量按100L/把•d计算，则牙椅用水量约4m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/d，即1460m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/a；废水产生量按80%计，产生量为1168m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/a。</w:t>
            </w:r>
          </w:p>
          <w:p>
            <w:pPr>
              <w:pStyle w:val="20"/>
              <w:spacing w:after="0" w:line="360" w:lineRule="auto"/>
              <w:ind w:left="0" w:leftChars="0" w:firstLine="420" w:firstLineChars="20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项目产生的病房废水、门诊废水、牙椅诊疗废水均属于医疗废水，该部分医疗废水水质</w:t>
            </w:r>
            <w:r>
              <w:rPr>
                <w:color w:val="000000" w:themeColor="text1"/>
                <w:sz w:val="21"/>
                <w:szCs w:val="21"/>
                <w14:textFill>
                  <w14:solidFill>
                    <w14:schemeClr w14:val="tx1"/>
                  </w14:solidFill>
                </w14:textFill>
              </w:rPr>
              <w:t>根据《医院污水处理工程技术规范》（HJ2029-2013）其水质指标</w:t>
            </w:r>
            <w:r>
              <w:rPr>
                <w:rFonts w:hint="eastAsia"/>
                <w:color w:val="000000" w:themeColor="text1"/>
                <w:sz w:val="21"/>
                <w:szCs w:val="21"/>
                <w14:textFill>
                  <w14:solidFill>
                    <w14:schemeClr w14:val="tx1"/>
                  </w14:solidFill>
                </w14:textFill>
              </w:rPr>
              <w:t>可知</w:t>
            </w:r>
            <w:r>
              <w:rPr>
                <w:color w:val="000000" w:themeColor="text1"/>
                <w:sz w:val="21"/>
                <w:szCs w:val="21"/>
                <w14:textFill>
                  <w14:solidFill>
                    <w14:schemeClr w14:val="tx1"/>
                  </w14:solidFill>
                </w14:textFill>
              </w:rPr>
              <w:t>，污水污染物产生情况为CODcr 250mg/L、BOD</w:t>
            </w:r>
            <w:r>
              <w:rPr>
                <w:color w:val="000000" w:themeColor="text1"/>
                <w:sz w:val="21"/>
                <w:szCs w:val="21"/>
                <w:vertAlign w:val="subscript"/>
                <w14:textFill>
                  <w14:solidFill>
                    <w14:schemeClr w14:val="tx1"/>
                  </w14:solidFill>
                </w14:textFill>
              </w:rPr>
              <w:t xml:space="preserve">5 </w:t>
            </w:r>
            <w:r>
              <w:rPr>
                <w:color w:val="000000" w:themeColor="text1"/>
                <w:sz w:val="21"/>
                <w:szCs w:val="21"/>
                <w14:textFill>
                  <w14:solidFill>
                    <w14:schemeClr w14:val="tx1"/>
                  </w14:solidFill>
                </w14:textFill>
              </w:rPr>
              <w:t>100mg/L、氨氮30mg/L、SS 80mg/L、类大肠菌群1.6×10</w:t>
            </w:r>
            <w:r>
              <w:rPr>
                <w:color w:val="000000" w:themeColor="text1"/>
                <w:sz w:val="21"/>
                <w:szCs w:val="21"/>
                <w:vertAlign w:val="superscript"/>
                <w14:textFill>
                  <w14:solidFill>
                    <w14:schemeClr w14:val="tx1"/>
                  </w14:solidFill>
                </w14:textFill>
              </w:rPr>
              <w:t>8</w:t>
            </w:r>
            <w:r>
              <w:rPr>
                <w:color w:val="000000" w:themeColor="text1"/>
                <w:sz w:val="21"/>
                <w:szCs w:val="21"/>
                <w14:textFill>
                  <w14:solidFill>
                    <w14:schemeClr w14:val="tx1"/>
                  </w14:solidFill>
                </w14:textFill>
              </w:rPr>
              <w:t>个/L</w:t>
            </w:r>
            <w:r>
              <w:rPr>
                <w:rFonts w:hint="eastAsia"/>
                <w:color w:val="000000" w:themeColor="text1"/>
                <w:sz w:val="21"/>
                <w:szCs w:val="21"/>
                <w14:textFill>
                  <w14:solidFill>
                    <w14:schemeClr w14:val="tx1"/>
                  </w14:solidFill>
                </w14:textFill>
              </w:rPr>
              <w:t>，氟化物产生量取20</w:t>
            </w:r>
            <w:r>
              <w:rPr>
                <w:color w:val="000000" w:themeColor="text1"/>
                <w:sz w:val="21"/>
                <w:szCs w:val="21"/>
                <w14:textFill>
                  <w14:solidFill>
                    <w14:schemeClr w14:val="tx1"/>
                  </w14:solidFill>
                </w14:textFill>
              </w:rPr>
              <w:t>mg/L。</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3</w:t>
            </w:r>
            <w:r>
              <w:rPr>
                <w:color w:val="000000" w:themeColor="text1"/>
                <w:kern w:val="0"/>
                <w:szCs w:val="21"/>
                <w14:textFill>
                  <w14:solidFill>
                    <w14:schemeClr w14:val="tx1"/>
                  </w14:solidFill>
                </w14:textFill>
              </w:rPr>
              <w:t>、洗衣房废水</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医院产生的床单、被罩、病号服、医务人员无尘服等均外委清洗，不在本项目洗衣房内清洗；医院洗衣房设有1台洗衣机，清洗能力较小，只为方便值班医护人员的日常衣物换洗，每日清洗量约为5kg干衣物，参考《建筑给水排水设计标准》（GB50015-2019），洗衣房用水量取80L/kg干衣，则项目洗衣房用水量为0.4 m</w:t>
            </w:r>
            <w:r>
              <w:rPr>
                <w:color w:val="000000" w:themeColor="text1"/>
                <w:kern w:val="0"/>
                <w:szCs w:val="21"/>
                <w:vertAlign w:val="superscript"/>
                <w14:textFill>
                  <w14:solidFill>
                    <w14:schemeClr w14:val="tx1"/>
                  </w14:solidFill>
                </w14:textFill>
              </w:rPr>
              <w:t>3</w:t>
            </w:r>
            <w:r>
              <w:rPr>
                <w:color w:val="000000" w:themeColor="text1"/>
                <w:kern w:val="0"/>
                <w:szCs w:val="21"/>
                <w14:textFill>
                  <w14:solidFill>
                    <w14:schemeClr w14:val="tx1"/>
                  </w14:solidFill>
                </w14:textFill>
              </w:rPr>
              <w:t>/d，即146m</w:t>
            </w:r>
            <w:r>
              <w:rPr>
                <w:color w:val="000000" w:themeColor="text1"/>
                <w:kern w:val="0"/>
                <w:szCs w:val="21"/>
                <w:vertAlign w:val="superscript"/>
                <w14:textFill>
                  <w14:solidFill>
                    <w14:schemeClr w14:val="tx1"/>
                  </w14:solidFill>
                </w14:textFill>
              </w:rPr>
              <w:t>3</w:t>
            </w:r>
            <w:r>
              <w:rPr>
                <w:color w:val="000000" w:themeColor="text1"/>
                <w:kern w:val="0"/>
                <w:szCs w:val="21"/>
                <w14:textFill>
                  <w14:solidFill>
                    <w14:schemeClr w14:val="tx1"/>
                  </w14:solidFill>
                </w14:textFill>
              </w:rPr>
              <w:t>/a；废水产生量按80%计，产生量为116.8m</w:t>
            </w:r>
            <w:r>
              <w:rPr>
                <w:color w:val="000000" w:themeColor="text1"/>
                <w:kern w:val="0"/>
                <w:szCs w:val="21"/>
                <w:vertAlign w:val="superscript"/>
                <w14:textFill>
                  <w14:solidFill>
                    <w14:schemeClr w14:val="tx1"/>
                  </w14:solidFill>
                </w14:textFill>
              </w:rPr>
              <w:t>3</w:t>
            </w:r>
            <w:r>
              <w:rPr>
                <w:color w:val="000000" w:themeColor="text1"/>
                <w:kern w:val="0"/>
                <w:szCs w:val="21"/>
                <w14:textFill>
                  <w14:solidFill>
                    <w14:schemeClr w14:val="tx1"/>
                  </w14:solidFill>
                </w14:textFill>
              </w:rPr>
              <w:t>/a，本项目洗衣房只针对值班医护人员的日常衣物，参考日常洗衣废水水质情况，洗衣房废水污染物产生情况为CODcr 600mg/L、BOD</w:t>
            </w:r>
            <w:r>
              <w:rPr>
                <w:color w:val="000000" w:themeColor="text1"/>
                <w:kern w:val="0"/>
                <w:szCs w:val="21"/>
                <w:vertAlign w:val="subscript"/>
                <w14:textFill>
                  <w14:solidFill>
                    <w14:schemeClr w14:val="tx1"/>
                  </w14:solidFill>
                </w14:textFill>
              </w:rPr>
              <w:t xml:space="preserve">5 </w:t>
            </w:r>
            <w:r>
              <w:rPr>
                <w:color w:val="000000" w:themeColor="text1"/>
                <w:kern w:val="0"/>
                <w:szCs w:val="21"/>
                <w14:textFill>
                  <w14:solidFill>
                    <w14:schemeClr w14:val="tx1"/>
                  </w14:solidFill>
                </w14:textFill>
              </w:rPr>
              <w:t>300mg/L、SS 400mg/L、总磷15mg/L、阴离子表面活性剂20mg/L。</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4</w:t>
            </w:r>
            <w:r>
              <w:rPr>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清洁消毒</w:t>
            </w:r>
            <w:r>
              <w:rPr>
                <w:color w:val="000000" w:themeColor="text1"/>
                <w:kern w:val="0"/>
                <w:szCs w:val="21"/>
                <w14:textFill>
                  <w14:solidFill>
                    <w14:schemeClr w14:val="tx1"/>
                  </w14:solidFill>
                </w14:textFill>
              </w:rPr>
              <w:t>废水</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项目定期对病房及主要通道进行清洁并使用84消毒液进行消毒</w:t>
            </w:r>
            <w:r>
              <w:rPr>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清洁消毒总用水量为1139m</w:t>
            </w:r>
            <w:r>
              <w:rPr>
                <w:rFonts w:hint="eastAsia"/>
                <w:color w:val="000000" w:themeColor="text1"/>
                <w:kern w:val="0"/>
                <w:szCs w:val="21"/>
                <w:vertAlign w:val="superscript"/>
                <w14:textFill>
                  <w14:solidFill>
                    <w14:schemeClr w14:val="tx1"/>
                  </w14:solidFill>
                </w14:textFill>
              </w:rPr>
              <w:t>3</w:t>
            </w:r>
            <w:r>
              <w:rPr>
                <w:rFonts w:hint="eastAsia"/>
                <w:color w:val="000000" w:themeColor="text1"/>
                <w:kern w:val="0"/>
                <w:szCs w:val="21"/>
                <w14:textFill>
                  <w14:solidFill>
                    <w14:schemeClr w14:val="tx1"/>
                  </w14:solidFill>
                </w14:textFill>
              </w:rPr>
              <w:t>/a</w:t>
            </w:r>
            <w:r>
              <w:rPr>
                <w:color w:val="000000" w:themeColor="text1"/>
                <w:kern w:val="0"/>
                <w:szCs w:val="21"/>
                <w14:textFill>
                  <w14:solidFill>
                    <w14:schemeClr w14:val="tx1"/>
                  </w14:solidFill>
                </w14:textFill>
              </w:rPr>
              <w:t>；废水产生量按80%计，产生量为</w:t>
            </w:r>
            <w:r>
              <w:rPr>
                <w:rFonts w:hint="eastAsia"/>
                <w:color w:val="000000" w:themeColor="text1"/>
                <w:kern w:val="0"/>
                <w:szCs w:val="21"/>
                <w14:textFill>
                  <w14:solidFill>
                    <w14:schemeClr w14:val="tx1"/>
                  </w14:solidFill>
                </w14:textFill>
              </w:rPr>
              <w:t>911.2</w:t>
            </w:r>
            <w:r>
              <w:rPr>
                <w:color w:val="000000" w:themeColor="text1"/>
                <w:kern w:val="0"/>
                <w:szCs w:val="21"/>
                <w14:textFill>
                  <w14:solidFill>
                    <w14:schemeClr w14:val="tx1"/>
                  </w14:solidFill>
                </w14:textFill>
              </w:rPr>
              <w:t>m</w:t>
            </w:r>
            <w:r>
              <w:rPr>
                <w:color w:val="000000" w:themeColor="text1"/>
                <w:kern w:val="0"/>
                <w:szCs w:val="21"/>
                <w:vertAlign w:val="superscript"/>
                <w14:textFill>
                  <w14:solidFill>
                    <w14:schemeClr w14:val="tx1"/>
                  </w14:solidFill>
                </w14:textFill>
              </w:rPr>
              <w:t>3</w:t>
            </w:r>
            <w:r>
              <w:rPr>
                <w:color w:val="000000" w:themeColor="text1"/>
                <w:kern w:val="0"/>
                <w:szCs w:val="21"/>
                <w14:textFill>
                  <w14:solidFill>
                    <w14:schemeClr w14:val="tx1"/>
                  </w14:solidFill>
                </w14:textFill>
              </w:rPr>
              <w:t>/a，参考日常</w:t>
            </w:r>
            <w:r>
              <w:rPr>
                <w:rFonts w:hint="eastAsia"/>
                <w:color w:val="000000" w:themeColor="text1"/>
                <w:kern w:val="0"/>
                <w:szCs w:val="21"/>
                <w14:textFill>
                  <w14:solidFill>
                    <w14:schemeClr w14:val="tx1"/>
                  </w14:solidFill>
                </w14:textFill>
              </w:rPr>
              <w:t>清洁</w:t>
            </w:r>
            <w:r>
              <w:rPr>
                <w:color w:val="000000" w:themeColor="text1"/>
                <w:kern w:val="0"/>
                <w:szCs w:val="21"/>
                <w14:textFill>
                  <w14:solidFill>
                    <w14:schemeClr w14:val="tx1"/>
                  </w14:solidFill>
                </w14:textFill>
              </w:rPr>
              <w:t>废水水质情况，</w:t>
            </w:r>
            <w:r>
              <w:rPr>
                <w:rFonts w:hint="eastAsia"/>
                <w:color w:val="000000" w:themeColor="text1"/>
                <w:kern w:val="0"/>
                <w:szCs w:val="21"/>
                <w14:textFill>
                  <w14:solidFill>
                    <w14:schemeClr w14:val="tx1"/>
                  </w14:solidFill>
                </w14:textFill>
              </w:rPr>
              <w:t>清洁消毒</w:t>
            </w:r>
            <w:r>
              <w:rPr>
                <w:color w:val="000000" w:themeColor="text1"/>
                <w:kern w:val="0"/>
                <w:szCs w:val="21"/>
                <w14:textFill>
                  <w14:solidFill>
                    <w14:schemeClr w14:val="tx1"/>
                  </w14:solidFill>
                </w14:textFill>
              </w:rPr>
              <w:t xml:space="preserve">废水污染物产生情况为CODcr </w:t>
            </w:r>
            <w:r>
              <w:rPr>
                <w:rFonts w:hint="eastAsia"/>
                <w:color w:val="000000" w:themeColor="text1"/>
                <w:kern w:val="0"/>
                <w:szCs w:val="21"/>
                <w14:textFill>
                  <w14:solidFill>
                    <w14:schemeClr w14:val="tx1"/>
                  </w14:solidFill>
                </w14:textFill>
              </w:rPr>
              <w:t>5</w:t>
            </w:r>
            <w:r>
              <w:rPr>
                <w:color w:val="000000" w:themeColor="text1"/>
                <w:kern w:val="0"/>
                <w:szCs w:val="21"/>
                <w14:textFill>
                  <w14:solidFill>
                    <w14:schemeClr w14:val="tx1"/>
                  </w14:solidFill>
                </w14:textFill>
              </w:rPr>
              <w:t>00mg/L、BOD</w:t>
            </w:r>
            <w:r>
              <w:rPr>
                <w:color w:val="000000" w:themeColor="text1"/>
                <w:kern w:val="0"/>
                <w:szCs w:val="21"/>
                <w:vertAlign w:val="subscript"/>
                <w14:textFill>
                  <w14:solidFill>
                    <w14:schemeClr w14:val="tx1"/>
                  </w14:solidFill>
                </w14:textFill>
              </w:rPr>
              <w:t xml:space="preserve">5 </w:t>
            </w:r>
            <w:r>
              <w:rPr>
                <w:color w:val="000000" w:themeColor="text1"/>
                <w:kern w:val="0"/>
                <w:szCs w:val="21"/>
                <w14:textFill>
                  <w14:solidFill>
                    <w14:schemeClr w14:val="tx1"/>
                  </w14:solidFill>
                </w14:textFill>
              </w:rPr>
              <w:t xml:space="preserve">300mg/L、SS </w:t>
            </w:r>
            <w:r>
              <w:rPr>
                <w:rFonts w:hint="eastAsia"/>
                <w:color w:val="000000" w:themeColor="text1"/>
                <w:kern w:val="0"/>
                <w:szCs w:val="21"/>
                <w14:textFill>
                  <w14:solidFill>
                    <w14:schemeClr w14:val="tx1"/>
                  </w14:solidFill>
                </w14:textFill>
              </w:rPr>
              <w:t>4</w:t>
            </w:r>
            <w:r>
              <w:rPr>
                <w:color w:val="000000" w:themeColor="text1"/>
                <w:kern w:val="0"/>
                <w:szCs w:val="21"/>
                <w14:textFill>
                  <w14:solidFill>
                    <w14:schemeClr w14:val="tx1"/>
                  </w14:solidFill>
                </w14:textFill>
              </w:rPr>
              <w:t>00mg/L、</w:t>
            </w:r>
            <w:r>
              <w:rPr>
                <w:rFonts w:hint="eastAsia"/>
                <w:color w:val="000000" w:themeColor="text1"/>
                <w:kern w:val="0"/>
                <w:szCs w:val="21"/>
                <w14:textFill>
                  <w14:solidFill>
                    <w14:schemeClr w14:val="tx1"/>
                  </w14:solidFill>
                </w14:textFill>
              </w:rPr>
              <w:t>总余氯4</w:t>
            </w:r>
            <w:r>
              <w:rPr>
                <w:color w:val="000000" w:themeColor="text1"/>
                <w:kern w:val="0"/>
                <w:szCs w:val="21"/>
                <w14:textFill>
                  <w14:solidFill>
                    <w14:schemeClr w14:val="tx1"/>
                  </w14:solidFill>
                </w14:textFill>
              </w:rPr>
              <w:t>0mg/L。</w:t>
            </w:r>
          </w:p>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表4-1  院区废水污染产生情况一览表</w:t>
            </w:r>
          </w:p>
          <w:tbl>
            <w:tblPr>
              <w:tblStyle w:val="24"/>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11"/>
              <w:gridCol w:w="616"/>
              <w:gridCol w:w="819"/>
              <w:gridCol w:w="819"/>
              <w:gridCol w:w="819"/>
              <w:gridCol w:w="819"/>
              <w:gridCol w:w="819"/>
              <w:gridCol w:w="819"/>
              <w:gridCol w:w="819"/>
              <w:gridCol w:w="820"/>
              <w:gridCol w:w="8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44" w:type="pct"/>
                  <w:vMerge w:val="restar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废水类别</w:t>
                  </w:r>
                </w:p>
              </w:tc>
              <w:tc>
                <w:tcPr>
                  <w:tcW w:w="365" w:type="pct"/>
                  <w:vMerge w:val="restar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废水量m</w:t>
                  </w:r>
                  <w:r>
                    <w:rPr>
                      <w:rFonts w:ascii="Times New Roman" w:hAnsi="Times New Roman"/>
                      <w:color w:val="000000" w:themeColor="text1"/>
                      <w:sz w:val="18"/>
                      <w:szCs w:val="18"/>
                      <w:vertAlign w:val="superscript"/>
                      <w14:textFill>
                        <w14:solidFill>
                          <w14:schemeClr w14:val="tx1"/>
                        </w14:solidFill>
                      </w14:textFill>
                    </w:rPr>
                    <w:t>3</w:t>
                  </w:r>
                  <w:r>
                    <w:rPr>
                      <w:rFonts w:ascii="Times New Roman" w:hAnsi="Times New Roman"/>
                      <w:color w:val="000000" w:themeColor="text1"/>
                      <w:sz w:val="18"/>
                      <w:szCs w:val="18"/>
                      <w14:textFill>
                        <w14:solidFill>
                          <w14:schemeClr w14:val="tx1"/>
                        </w14:solidFill>
                      </w14:textFill>
                    </w:rPr>
                    <w:t>/a</w:t>
                  </w:r>
                </w:p>
              </w:tc>
              <w:tc>
                <w:tcPr>
                  <w:tcW w:w="4389" w:type="pct"/>
                  <w:gridSpan w:val="9"/>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水质组成(单位：mg/L)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44" w:type="pct"/>
                  <w:vMerge w:val="continue"/>
                  <w:vAlign w:val="center"/>
                </w:tcPr>
                <w:p>
                  <w:pPr>
                    <w:jc w:val="center"/>
                    <w:rPr>
                      <w:color w:val="000000" w:themeColor="text1"/>
                      <w:sz w:val="18"/>
                      <w:szCs w:val="18"/>
                      <w14:textFill>
                        <w14:solidFill>
                          <w14:schemeClr w14:val="tx1"/>
                        </w14:solidFill>
                      </w14:textFill>
                    </w:rPr>
                  </w:pPr>
                </w:p>
              </w:tc>
              <w:tc>
                <w:tcPr>
                  <w:tcW w:w="365" w:type="pct"/>
                  <w:vMerge w:val="continue"/>
                  <w:vAlign w:val="center"/>
                </w:tcPr>
                <w:p>
                  <w:pPr>
                    <w:jc w:val="center"/>
                    <w:rPr>
                      <w:color w:val="000000" w:themeColor="text1"/>
                      <w:sz w:val="18"/>
                      <w:szCs w:val="18"/>
                      <w14:textFill>
                        <w14:solidFill>
                          <w14:schemeClr w14:val="tx1"/>
                        </w14:solidFill>
                      </w14:textFill>
                    </w:rPr>
                  </w:pP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CODcr</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BOD</w:t>
                  </w:r>
                  <w:r>
                    <w:rPr>
                      <w:rFonts w:ascii="Times New Roman" w:hAnsi="Times New Roman"/>
                      <w:color w:val="000000" w:themeColor="text1"/>
                      <w:sz w:val="18"/>
                      <w:szCs w:val="18"/>
                      <w:vertAlign w:val="subscript"/>
                      <w14:textFill>
                        <w14:solidFill>
                          <w14:schemeClr w14:val="tx1"/>
                        </w14:solidFill>
                      </w14:textFill>
                    </w:rPr>
                    <w:t>5</w:t>
                  </w:r>
                  <w:r>
                    <w:rPr>
                      <w:rFonts w:ascii="Times New Roman" w:hAnsi="Times New Roman"/>
                      <w:color w:val="000000" w:themeColor="text1"/>
                      <w:sz w:val="18"/>
                      <w:szCs w:val="18"/>
                      <w14:textFill>
                        <w14:solidFill>
                          <w14:schemeClr w14:val="tx1"/>
                        </w14:solidFill>
                      </w14:textFill>
                    </w:rPr>
                    <w:t xml:space="preserve"> </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氨氮</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SS</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总磷</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LAS</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粪</w:t>
                  </w:r>
                  <w:r>
                    <w:rPr>
                      <w:rFonts w:ascii="Times New Roman" w:hAnsi="Times New Roman"/>
                      <w:color w:val="000000" w:themeColor="text1"/>
                      <w:sz w:val="18"/>
                      <w:szCs w:val="18"/>
                      <w14:textFill>
                        <w14:solidFill>
                          <w14:schemeClr w14:val="tx1"/>
                        </w14:solidFill>
                      </w14:textFill>
                    </w:rPr>
                    <w:t>大肠菌群</w:t>
                  </w:r>
                  <w:r>
                    <w:rPr>
                      <w:rFonts w:hint="eastAsia" w:ascii="Times New Roman" w:hAnsi="Times New Roman"/>
                      <w:color w:val="000000" w:themeColor="text1"/>
                      <w:sz w:val="18"/>
                      <w:szCs w:val="18"/>
                      <w14:textFill>
                        <w14:solidFill>
                          <w14:schemeClr w14:val="tx1"/>
                        </w14:solidFill>
                      </w14:textFill>
                    </w:rPr>
                    <w:t>（个/L）</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余氯</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氟化物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44"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职工生活污水</w:t>
                  </w:r>
                </w:p>
              </w:tc>
              <w:tc>
                <w:tcPr>
                  <w:tcW w:w="365"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3854.4</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350</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150</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w:t>
                  </w:r>
                </w:p>
              </w:tc>
              <w:tc>
                <w:tcPr>
                  <w:tcW w:w="48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300</w:t>
                  </w:r>
                </w:p>
              </w:tc>
              <w:tc>
                <w:tcPr>
                  <w:tcW w:w="48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48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48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487" w:type="pc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48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0" w:hRule="atLeast"/>
                <w:jc w:val="center"/>
              </w:trPr>
              <w:tc>
                <w:tcPr>
                  <w:tcW w:w="244"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医疗废水</w:t>
                  </w:r>
                </w:p>
              </w:tc>
              <w:tc>
                <w:tcPr>
                  <w:tcW w:w="365"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2847</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250</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100</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w:t>
                  </w:r>
                </w:p>
              </w:tc>
              <w:tc>
                <w:tcPr>
                  <w:tcW w:w="48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80</w:t>
                  </w:r>
                </w:p>
              </w:tc>
              <w:tc>
                <w:tcPr>
                  <w:tcW w:w="48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48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48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1.6×10</w:t>
                  </w:r>
                  <w:r>
                    <w:rPr>
                      <w:color w:val="000000" w:themeColor="text1"/>
                      <w:sz w:val="18"/>
                      <w:szCs w:val="18"/>
                      <w:vertAlign w:val="superscript"/>
                      <w14:textFill>
                        <w14:solidFill>
                          <w14:schemeClr w14:val="tx1"/>
                        </w14:solidFill>
                      </w14:textFill>
                    </w:rPr>
                    <w:t>8</w:t>
                  </w:r>
                </w:p>
              </w:tc>
              <w:tc>
                <w:tcPr>
                  <w:tcW w:w="487" w:type="pc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487" w:type="pc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44"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洗衣房废水</w:t>
                  </w:r>
                </w:p>
              </w:tc>
              <w:tc>
                <w:tcPr>
                  <w:tcW w:w="365"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116.8</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600</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300</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48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400</w:t>
                  </w:r>
                </w:p>
              </w:tc>
              <w:tc>
                <w:tcPr>
                  <w:tcW w:w="48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c>
                <w:tcPr>
                  <w:tcW w:w="48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48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48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48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44"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清洁消毒</w:t>
                  </w:r>
                  <w:r>
                    <w:rPr>
                      <w:rFonts w:ascii="Times New Roman" w:hAnsi="Times New Roman"/>
                      <w:color w:val="000000" w:themeColor="text1"/>
                      <w:sz w:val="18"/>
                      <w:szCs w:val="18"/>
                      <w14:textFill>
                        <w14:solidFill>
                          <w14:schemeClr w14:val="tx1"/>
                        </w14:solidFill>
                      </w14:textFill>
                    </w:rPr>
                    <w:t>废水</w:t>
                  </w:r>
                </w:p>
              </w:tc>
              <w:tc>
                <w:tcPr>
                  <w:tcW w:w="365"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911.2</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500</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300</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w:t>
                  </w:r>
                </w:p>
              </w:tc>
              <w:tc>
                <w:tcPr>
                  <w:tcW w:w="487" w:type="pc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400</w:t>
                  </w:r>
                </w:p>
              </w:tc>
              <w:tc>
                <w:tcPr>
                  <w:tcW w:w="487" w:type="pc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487" w:type="pc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487" w:type="pc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487" w:type="pc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40</w:t>
                  </w:r>
                </w:p>
              </w:tc>
              <w:tc>
                <w:tcPr>
                  <w:tcW w:w="487" w:type="pc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244"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综合废水</w:t>
                  </w:r>
                </w:p>
              </w:tc>
              <w:tc>
                <w:tcPr>
                  <w:tcW w:w="365"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7729.4</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335</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151.5</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28.5</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232</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w:t>
                  </w:r>
                  <w:r>
                    <w:rPr>
                      <w:rFonts w:hint="eastAsia" w:ascii="Times New Roman" w:hAnsi="Times New Roman"/>
                      <w:color w:val="000000" w:themeColor="text1"/>
                      <w:sz w:val="18"/>
                      <w:szCs w:val="18"/>
                      <w14:textFill>
                        <w14:solidFill>
                          <w14:schemeClr w14:val="tx1"/>
                        </w14:solidFill>
                      </w14:textFill>
                    </w:rPr>
                    <w:t>26</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0.26</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5.9</w:t>
                  </w:r>
                  <w:r>
                    <w:rPr>
                      <w:rFonts w:ascii="Times New Roman" w:hAnsi="Times New Roman"/>
                      <w:color w:val="000000" w:themeColor="text1"/>
                      <w:sz w:val="18"/>
                      <w:szCs w:val="18"/>
                      <w14:textFill>
                        <w14:solidFill>
                          <w14:schemeClr w14:val="tx1"/>
                        </w14:solidFill>
                      </w14:textFill>
                    </w:rPr>
                    <w:t>×10</w:t>
                  </w:r>
                  <w:r>
                    <w:rPr>
                      <w:rFonts w:hint="eastAsia" w:ascii="Times New Roman" w:hAnsi="Times New Roman"/>
                      <w:color w:val="000000" w:themeColor="text1"/>
                      <w:sz w:val="18"/>
                      <w:szCs w:val="18"/>
                      <w:vertAlign w:val="superscript"/>
                      <w14:textFill>
                        <w14:solidFill>
                          <w14:schemeClr w14:val="tx1"/>
                        </w14:solidFill>
                      </w14:textFill>
                    </w:rPr>
                    <w:t>7</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8.7</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610" w:type="pct"/>
                  <w:gridSpan w:val="2"/>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污染物产生量（t/a）</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2.587</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1.171</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0.2</w:t>
                  </w:r>
                  <w:r>
                    <w:rPr>
                      <w:rFonts w:hint="eastAsia" w:ascii="Times New Roman" w:hAnsi="Times New Roman"/>
                      <w:color w:val="000000" w:themeColor="text1"/>
                      <w:sz w:val="18"/>
                      <w:szCs w:val="18"/>
                      <w14:textFill>
                        <w14:solidFill>
                          <w14:schemeClr w14:val="tx1"/>
                        </w14:solidFill>
                      </w14:textFill>
                    </w:rPr>
                    <w:t>2</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1.795</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 xml:space="preserve">0.002 </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 xml:space="preserve">0.002 </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4.56</w:t>
                  </w:r>
                  <w:r>
                    <w:rPr>
                      <w:rFonts w:ascii="Times New Roman" w:hAnsi="Times New Roman"/>
                      <w:color w:val="000000" w:themeColor="text1"/>
                      <w:sz w:val="18"/>
                      <w:szCs w:val="18"/>
                      <w14:textFill>
                        <w14:solidFill>
                          <w14:schemeClr w14:val="tx1"/>
                        </w14:solidFill>
                      </w14:textFill>
                    </w:rPr>
                    <w:t>×10</w:t>
                  </w:r>
                  <w:r>
                    <w:rPr>
                      <w:rFonts w:hint="eastAsia" w:ascii="Times New Roman" w:hAnsi="Times New Roman"/>
                      <w:color w:val="000000" w:themeColor="text1"/>
                      <w:sz w:val="18"/>
                      <w:szCs w:val="18"/>
                      <w:vertAlign w:val="superscript"/>
                      <w14:textFill>
                        <w14:solidFill>
                          <w14:schemeClr w14:val="tx1"/>
                        </w14:solidFill>
                      </w14:textFill>
                    </w:rPr>
                    <w:t>14</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0.067</w:t>
                  </w:r>
                </w:p>
              </w:tc>
              <w:tc>
                <w:tcPr>
                  <w:tcW w:w="487"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0.057</w:t>
                  </w:r>
                </w:p>
              </w:tc>
            </w:tr>
          </w:tbl>
          <w:p>
            <w:pPr>
              <w:pStyle w:val="2"/>
              <w:spacing w:after="0" w:line="360" w:lineRule="auto"/>
              <w:ind w:firstLine="0" w:firstLineChars="0"/>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1.2废水治理措施</w:t>
            </w:r>
          </w:p>
          <w:p>
            <w:pPr>
              <w:autoSpaceDE w:val="0"/>
              <w:autoSpaceDN w:val="0"/>
              <w:adjustRightInd w:val="0"/>
              <w:snapToGrid w:val="0"/>
              <w:spacing w:line="360" w:lineRule="auto"/>
              <w:ind w:firstLine="422" w:firstLineChars="200"/>
              <w:jc w:val="left"/>
              <w:rPr>
                <w:b/>
                <w:color w:val="000000" w:themeColor="text1"/>
                <w:kern w:val="0"/>
                <w:szCs w:val="21"/>
                <w:lang w:val="zh-CN"/>
                <w14:textFill>
                  <w14:solidFill>
                    <w14:schemeClr w14:val="tx1"/>
                  </w14:solidFill>
                </w14:textFill>
              </w:rPr>
            </w:pPr>
            <w:r>
              <w:rPr>
                <w:b/>
                <w:color w:val="000000" w:themeColor="text1"/>
                <w:kern w:val="0"/>
                <w:szCs w:val="21"/>
                <w:lang w:val="zh-CN"/>
                <w14:textFill>
                  <w14:solidFill>
                    <w14:schemeClr w14:val="tx1"/>
                  </w14:solidFill>
                </w14:textFill>
              </w:rPr>
              <w:t>1、污水处理站简介</w:t>
            </w:r>
          </w:p>
          <w:p>
            <w:pPr>
              <w:autoSpaceDE w:val="0"/>
              <w:autoSpaceDN w:val="0"/>
              <w:adjustRightInd w:val="0"/>
              <w:snapToGrid w:val="0"/>
              <w:spacing w:line="360" w:lineRule="auto"/>
              <w:ind w:firstLine="420" w:firstLineChars="200"/>
              <w:jc w:val="left"/>
              <w:rPr>
                <w:color w:val="000000" w:themeColor="text1"/>
                <w:kern w:val="0"/>
                <w:szCs w:val="21"/>
                <w:lang w:val="zh-CN"/>
                <w14:textFill>
                  <w14:solidFill>
                    <w14:schemeClr w14:val="tx1"/>
                  </w14:solidFill>
                </w14:textFill>
              </w:rPr>
            </w:pPr>
            <w:r>
              <w:rPr>
                <w:rFonts w:hint="eastAsia"/>
                <w:color w:val="000000" w:themeColor="text1"/>
                <w:kern w:val="0"/>
                <w:szCs w:val="21"/>
                <w:lang w:val="zh-CN"/>
                <w14:textFill>
                  <w14:solidFill>
                    <w14:schemeClr w14:val="tx1"/>
                  </w14:solidFill>
                </w14:textFill>
              </w:rPr>
              <w:t>院区</w:t>
            </w:r>
            <w:r>
              <w:rPr>
                <w:color w:val="000000" w:themeColor="text1"/>
                <w:kern w:val="0"/>
                <w:szCs w:val="21"/>
                <w:lang w:val="zh-CN"/>
                <w14:textFill>
                  <w14:solidFill>
                    <w14:schemeClr w14:val="tx1"/>
                  </w14:solidFill>
                </w14:textFill>
              </w:rPr>
              <w:t>内建有污水处理站一座，设计处理能力</w:t>
            </w:r>
            <w:r>
              <w:rPr>
                <w:rFonts w:hint="eastAsia"/>
                <w:color w:val="000000" w:themeColor="text1"/>
                <w:kern w:val="0"/>
                <w:szCs w:val="21"/>
                <w:lang w:val="zh-CN"/>
                <w14:textFill>
                  <w14:solidFill>
                    <w14:schemeClr w14:val="tx1"/>
                  </w14:solidFill>
                </w14:textFill>
              </w:rPr>
              <w:t>3</w:t>
            </w:r>
            <w:r>
              <w:rPr>
                <w:color w:val="000000" w:themeColor="text1"/>
                <w:kern w:val="0"/>
                <w:szCs w:val="21"/>
                <w:lang w:val="zh-CN"/>
                <w14:textFill>
                  <w14:solidFill>
                    <w14:schemeClr w14:val="tx1"/>
                  </w14:solidFill>
                </w14:textFill>
              </w:rPr>
              <w:t>0m</w:t>
            </w:r>
            <w:r>
              <w:rPr>
                <w:color w:val="000000" w:themeColor="text1"/>
                <w:kern w:val="0"/>
                <w:szCs w:val="21"/>
                <w:vertAlign w:val="superscript"/>
                <w:lang w:val="zh-CN"/>
                <w14:textFill>
                  <w14:solidFill>
                    <w14:schemeClr w14:val="tx1"/>
                  </w14:solidFill>
                </w14:textFill>
              </w:rPr>
              <w:t>3</w:t>
            </w:r>
            <w:r>
              <w:rPr>
                <w:color w:val="000000" w:themeColor="text1"/>
                <w:kern w:val="0"/>
                <w:szCs w:val="21"/>
                <w:lang w:val="zh-CN"/>
                <w14:textFill>
                  <w14:solidFill>
                    <w14:schemeClr w14:val="tx1"/>
                  </w14:solidFill>
                </w14:textFill>
              </w:rPr>
              <w:t>/d，废水处理工艺采用“格栅+调节池+水解酸化池+接触氧化池+沉淀池+消毒池”，院区内废水经污水处理站处理后经市政污水管网排入光大水务（淄博）有限公司三分厂进一步深度处理后达标排放。</w:t>
            </w:r>
          </w:p>
          <w:p>
            <w:pPr>
              <w:autoSpaceDE w:val="0"/>
              <w:autoSpaceDN w:val="0"/>
              <w:adjustRightInd w:val="0"/>
              <w:snapToGrid w:val="0"/>
              <w:spacing w:line="360" w:lineRule="auto"/>
              <w:ind w:firstLine="420" w:firstLineChars="200"/>
              <w:jc w:val="left"/>
              <w:rPr>
                <w:color w:val="000000" w:themeColor="text1"/>
                <w:kern w:val="0"/>
                <w:szCs w:val="21"/>
                <w:lang w:val="zh-CN"/>
                <w14:textFill>
                  <w14:solidFill>
                    <w14:schemeClr w14:val="tx1"/>
                  </w14:solidFill>
                </w14:textFill>
              </w:rPr>
            </w:pPr>
            <w:r>
              <w:rPr>
                <w:color w:val="000000" w:themeColor="text1"/>
                <w:kern w:val="0"/>
                <w:szCs w:val="21"/>
                <w:lang w:val="zh-CN"/>
                <w14:textFill>
                  <w14:solidFill>
                    <w14:schemeClr w14:val="tx1"/>
                  </w14:solidFill>
                </w14:textFill>
              </w:rPr>
              <w:t>根据企业污水处理站设计资料，污水处理站进出水水质要求见下表：</w:t>
            </w:r>
          </w:p>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表4-2  设计院区污水处理站进出水水质一览表</w:t>
            </w:r>
          </w:p>
          <w:tbl>
            <w:tblPr>
              <w:tblStyle w:val="24"/>
              <w:tblW w:w="82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38"/>
              <w:gridCol w:w="774"/>
              <w:gridCol w:w="698"/>
              <w:gridCol w:w="700"/>
              <w:gridCol w:w="700"/>
              <w:gridCol w:w="700"/>
              <w:gridCol w:w="701"/>
              <w:gridCol w:w="706"/>
              <w:gridCol w:w="922"/>
              <w:gridCol w:w="706"/>
              <w:gridCol w:w="7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80"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w:t>
                  </w:r>
                </w:p>
              </w:tc>
              <w:tc>
                <w:tcPr>
                  <w:tcW w:w="481"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单位</w:t>
                  </w:r>
                </w:p>
              </w:tc>
              <w:tc>
                <w:tcPr>
                  <w:tcW w:w="435"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CODcr</w:t>
                  </w:r>
                </w:p>
              </w:tc>
              <w:tc>
                <w:tcPr>
                  <w:tcW w:w="436"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BOD</w:t>
                  </w:r>
                  <w:r>
                    <w:rPr>
                      <w:rFonts w:ascii="Times New Roman" w:hAnsi="Times New Roman"/>
                      <w:color w:val="000000" w:themeColor="text1"/>
                      <w:sz w:val="18"/>
                      <w:szCs w:val="18"/>
                      <w:vertAlign w:val="subscript"/>
                      <w14:textFill>
                        <w14:solidFill>
                          <w14:schemeClr w14:val="tx1"/>
                        </w14:solidFill>
                      </w14:textFill>
                    </w:rPr>
                    <w:t>5</w:t>
                  </w:r>
                  <w:r>
                    <w:rPr>
                      <w:rFonts w:ascii="Times New Roman" w:hAnsi="Times New Roman"/>
                      <w:color w:val="000000" w:themeColor="text1"/>
                      <w:sz w:val="18"/>
                      <w:szCs w:val="18"/>
                      <w14:textFill>
                        <w14:solidFill>
                          <w14:schemeClr w14:val="tx1"/>
                        </w14:solidFill>
                      </w14:textFill>
                    </w:rPr>
                    <w:t xml:space="preserve"> </w:t>
                  </w:r>
                </w:p>
              </w:tc>
              <w:tc>
                <w:tcPr>
                  <w:tcW w:w="436"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氨氮</w:t>
                  </w:r>
                </w:p>
              </w:tc>
              <w:tc>
                <w:tcPr>
                  <w:tcW w:w="436"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SS</w:t>
                  </w:r>
                </w:p>
              </w:tc>
              <w:tc>
                <w:tcPr>
                  <w:tcW w:w="436"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总磷</w:t>
                  </w:r>
                </w:p>
              </w:tc>
              <w:tc>
                <w:tcPr>
                  <w:tcW w:w="439"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LAS</w:t>
                  </w:r>
                </w:p>
              </w:tc>
              <w:tc>
                <w:tcPr>
                  <w:tcW w:w="725" w:type="dxa"/>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粪</w:t>
                  </w:r>
                  <w:r>
                    <w:rPr>
                      <w:rFonts w:ascii="Times New Roman" w:hAnsi="Times New Roman"/>
                      <w:color w:val="000000" w:themeColor="text1"/>
                      <w:sz w:val="18"/>
                      <w:szCs w:val="18"/>
                      <w14:textFill>
                        <w14:solidFill>
                          <w14:schemeClr w14:val="tx1"/>
                        </w14:solidFill>
                      </w14:textFill>
                    </w:rPr>
                    <w:t>大肠菌群</w:t>
                  </w:r>
                  <w:r>
                    <w:rPr>
                      <w:rFonts w:hint="eastAsia" w:ascii="Times New Roman" w:hAnsi="Times New Roman"/>
                      <w:color w:val="000000" w:themeColor="text1"/>
                      <w:sz w:val="18"/>
                      <w:szCs w:val="18"/>
                      <w14:textFill>
                        <w14:solidFill>
                          <w14:schemeClr w14:val="tx1"/>
                        </w14:solidFill>
                      </w14:textFill>
                    </w:rPr>
                    <w:t>（MPN/L）</w:t>
                  </w:r>
                </w:p>
              </w:tc>
              <w:tc>
                <w:tcPr>
                  <w:tcW w:w="725" w:type="dxa"/>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余氯</w:t>
                  </w:r>
                </w:p>
              </w:tc>
              <w:tc>
                <w:tcPr>
                  <w:tcW w:w="726" w:type="dxa"/>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氟化物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80"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进水水质要求</w:t>
                  </w:r>
                </w:p>
              </w:tc>
              <w:tc>
                <w:tcPr>
                  <w:tcW w:w="481"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mg/L</w:t>
                  </w:r>
                </w:p>
              </w:tc>
              <w:tc>
                <w:tcPr>
                  <w:tcW w:w="435"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500</w:t>
                  </w:r>
                </w:p>
              </w:tc>
              <w:tc>
                <w:tcPr>
                  <w:tcW w:w="436"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350</w:t>
                  </w:r>
                </w:p>
              </w:tc>
              <w:tc>
                <w:tcPr>
                  <w:tcW w:w="436"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45</w:t>
                  </w:r>
                </w:p>
              </w:tc>
              <w:tc>
                <w:tcPr>
                  <w:tcW w:w="43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400</w:t>
                  </w:r>
                </w:p>
              </w:tc>
              <w:tc>
                <w:tcPr>
                  <w:tcW w:w="43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43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43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1.6×10</w:t>
                  </w:r>
                  <w:r>
                    <w:rPr>
                      <w:color w:val="000000" w:themeColor="text1"/>
                      <w:sz w:val="18"/>
                      <w:szCs w:val="18"/>
                      <w:vertAlign w:val="superscript"/>
                      <w14:textFill>
                        <w14:solidFill>
                          <w14:schemeClr w14:val="tx1"/>
                        </w14:solidFill>
                      </w14:textFill>
                    </w:rPr>
                    <w:t>8</w:t>
                  </w:r>
                </w:p>
              </w:tc>
              <w:tc>
                <w:tcPr>
                  <w:tcW w:w="439" w:type="pc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c>
                <w:tcPr>
                  <w:tcW w:w="439" w:type="pc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580"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出水水质要求</w:t>
                  </w:r>
                </w:p>
              </w:tc>
              <w:tc>
                <w:tcPr>
                  <w:tcW w:w="481"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mg/L</w:t>
                  </w:r>
                </w:p>
              </w:tc>
              <w:tc>
                <w:tcPr>
                  <w:tcW w:w="435"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120</w:t>
                  </w:r>
                </w:p>
              </w:tc>
              <w:tc>
                <w:tcPr>
                  <w:tcW w:w="436"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30</w:t>
                  </w:r>
                </w:p>
              </w:tc>
              <w:tc>
                <w:tcPr>
                  <w:tcW w:w="436" w:type="pct"/>
                  <w:vAlign w:val="center"/>
                </w:tcPr>
                <w:p>
                  <w:pPr>
                    <w:pStyle w:val="6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25</w:t>
                  </w:r>
                </w:p>
              </w:tc>
              <w:tc>
                <w:tcPr>
                  <w:tcW w:w="43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60</w:t>
                  </w:r>
                </w:p>
              </w:tc>
              <w:tc>
                <w:tcPr>
                  <w:tcW w:w="43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43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439" w:type="pc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500</w:t>
                  </w:r>
                </w:p>
              </w:tc>
              <w:tc>
                <w:tcPr>
                  <w:tcW w:w="439" w:type="pc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w:t>
                  </w:r>
                </w:p>
              </w:tc>
              <w:tc>
                <w:tcPr>
                  <w:tcW w:w="439" w:type="pc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20</w:t>
                  </w:r>
                </w:p>
              </w:tc>
            </w:tr>
          </w:tbl>
          <w:p>
            <w:pPr>
              <w:autoSpaceDE w:val="0"/>
              <w:autoSpaceDN w:val="0"/>
              <w:adjustRightInd w:val="0"/>
              <w:snapToGrid w:val="0"/>
              <w:spacing w:line="360" w:lineRule="auto"/>
              <w:ind w:firstLine="420" w:firstLineChars="200"/>
              <w:jc w:val="left"/>
              <w:rPr>
                <w:color w:val="000000" w:themeColor="text1"/>
                <w:kern w:val="0"/>
                <w:szCs w:val="21"/>
                <w:lang w:val="zh-CN"/>
                <w14:textFill>
                  <w14:solidFill>
                    <w14:schemeClr w14:val="tx1"/>
                  </w14:solidFill>
                </w14:textFill>
              </w:rPr>
            </w:pPr>
            <w:r>
              <w:rPr>
                <w:color w:val="000000" w:themeColor="text1"/>
                <w:kern w:val="0"/>
                <w:szCs w:val="21"/>
                <w:lang w:val="zh-CN"/>
                <w14:textFill>
                  <w14:solidFill>
                    <w14:schemeClr w14:val="tx1"/>
                  </w14:solidFill>
                </w14:textFill>
              </w:rPr>
              <w:t>污水处理站处理工艺详见下图。</w:t>
            </w:r>
          </w:p>
          <w:p>
            <w:pPr>
              <w:spacing w:line="360" w:lineRule="auto"/>
              <w:jc w:val="center"/>
              <w:rPr>
                <w:color w:val="000000" w:themeColor="text1"/>
                <w:szCs w:val="21"/>
                <w14:textFill>
                  <w14:solidFill>
                    <w14:schemeClr w14:val="tx1"/>
                  </w14:solidFill>
                </w14:textFill>
              </w:rPr>
            </w:pPr>
            <w:r>
              <w:rPr>
                <w:color w:val="000000" w:themeColor="text1"/>
                <w14:textFill>
                  <w14:solidFill>
                    <w14:schemeClr w14:val="tx1"/>
                  </w14:solidFill>
                </w14:textFill>
              </w:rPr>
              <w:drawing>
                <wp:inline distT="0" distB="0" distL="0" distR="0">
                  <wp:extent cx="4974590" cy="503301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1"/>
                          <a:stretch>
                            <a:fillRect/>
                          </a:stretch>
                        </pic:blipFill>
                        <pic:spPr>
                          <a:xfrm>
                            <a:off x="0" y="0"/>
                            <a:ext cx="4975490" cy="5033652"/>
                          </a:xfrm>
                          <a:prstGeom prst="rect">
                            <a:avLst/>
                          </a:prstGeom>
                        </pic:spPr>
                      </pic:pic>
                    </a:graphicData>
                  </a:graphic>
                </wp:inline>
              </w:drawing>
            </w:r>
          </w:p>
          <w:p>
            <w:pPr>
              <w:adjustRightInd w:val="0"/>
              <w:snapToGrid w:val="0"/>
              <w:spacing w:line="360" w:lineRule="auto"/>
              <w:ind w:firstLine="422" w:firstLineChars="200"/>
              <w:jc w:val="center"/>
              <w:rPr>
                <w:color w:val="000000" w:themeColor="text1"/>
                <w:szCs w:val="21"/>
                <w14:textFill>
                  <w14:solidFill>
                    <w14:schemeClr w14:val="tx1"/>
                  </w14:solidFill>
                </w14:textFill>
              </w:rPr>
            </w:pPr>
            <w:r>
              <w:rPr>
                <w:b/>
                <w:bCs/>
                <w:color w:val="000000" w:themeColor="text1"/>
                <w:kern w:val="0"/>
                <w:szCs w:val="21"/>
                <w14:textFill>
                  <w14:solidFill>
                    <w14:schemeClr w14:val="tx1"/>
                  </w14:solidFill>
                </w14:textFill>
              </w:rPr>
              <w:t>图4-1  污水处理站工艺流程图</w:t>
            </w:r>
          </w:p>
          <w:p>
            <w:pPr>
              <w:autoSpaceDE w:val="0"/>
              <w:autoSpaceDN w:val="0"/>
              <w:adjustRightInd w:val="0"/>
              <w:snapToGrid w:val="0"/>
              <w:spacing w:line="360" w:lineRule="auto"/>
              <w:ind w:firstLine="422" w:firstLineChars="200"/>
              <w:rPr>
                <w:b/>
                <w:color w:val="000000" w:themeColor="text1"/>
                <w:kern w:val="0"/>
                <w:szCs w:val="21"/>
                <w:lang w:val="zh-CN"/>
                <w14:textFill>
                  <w14:solidFill>
                    <w14:schemeClr w14:val="tx1"/>
                  </w14:solidFill>
                </w14:textFill>
              </w:rPr>
            </w:pPr>
            <w:r>
              <w:rPr>
                <w:b/>
                <w:color w:val="000000" w:themeColor="text1"/>
                <w:kern w:val="0"/>
                <w:szCs w:val="21"/>
                <w:lang w:val="zh-CN"/>
                <w14:textFill>
                  <w14:solidFill>
                    <w14:schemeClr w14:val="tx1"/>
                  </w14:solidFill>
                </w14:textFill>
              </w:rPr>
              <w:t>污水处理工艺简述：</w:t>
            </w:r>
          </w:p>
          <w:p>
            <w:pPr>
              <w:autoSpaceDE w:val="0"/>
              <w:autoSpaceDN w:val="0"/>
              <w:adjustRightInd w:val="0"/>
              <w:snapToGrid w:val="0"/>
              <w:spacing w:line="360" w:lineRule="auto"/>
              <w:ind w:firstLine="420" w:firstLineChars="200"/>
              <w:rPr>
                <w:color w:val="000000" w:themeColor="text1"/>
                <w:kern w:val="0"/>
                <w:szCs w:val="21"/>
                <w:lang w:val="zh-CN"/>
                <w14:textFill>
                  <w14:solidFill>
                    <w14:schemeClr w14:val="tx1"/>
                  </w14:solidFill>
                </w14:textFill>
              </w:rPr>
            </w:pPr>
            <w:r>
              <w:rPr>
                <w:color w:val="000000" w:themeColor="text1"/>
                <w:kern w:val="0"/>
                <w:szCs w:val="21"/>
                <w:lang w:val="zh-CN"/>
                <w14:textFill>
                  <w14:solidFill>
                    <w14:schemeClr w14:val="tx1"/>
                  </w14:solidFill>
                </w14:textFill>
              </w:rPr>
              <w:t>1、格栅、调节池：污水经格栅去除粒径较大废物，进入调节池内。</w:t>
            </w:r>
          </w:p>
          <w:p>
            <w:pPr>
              <w:autoSpaceDE w:val="0"/>
              <w:autoSpaceDN w:val="0"/>
              <w:adjustRightInd w:val="0"/>
              <w:snapToGrid w:val="0"/>
              <w:spacing w:line="360" w:lineRule="auto"/>
              <w:ind w:firstLine="420" w:firstLineChars="200"/>
              <w:rPr>
                <w:color w:val="000000" w:themeColor="text1"/>
                <w:kern w:val="0"/>
                <w:szCs w:val="21"/>
                <w:lang w:val="zh-CN"/>
                <w14:textFill>
                  <w14:solidFill>
                    <w14:schemeClr w14:val="tx1"/>
                  </w14:solidFill>
                </w14:textFill>
              </w:rPr>
            </w:pPr>
            <w:r>
              <w:rPr>
                <w:color w:val="000000" w:themeColor="text1"/>
                <w:kern w:val="0"/>
                <w:szCs w:val="21"/>
                <w:lang w:val="zh-CN"/>
                <w14:textFill>
                  <w14:solidFill>
                    <w14:schemeClr w14:val="tx1"/>
                  </w14:solidFill>
                </w14:textFill>
              </w:rPr>
              <w:t>2、水解酸化、接触氧化：调节池中的污水由泵抽入水解酸化池、接触氧化池内，污水中的有机污染物在好氧菌的新陈代谢作用下被充分的分解去除，同时亚硝化细菌和硝化细菌将污水中的NH</w:t>
            </w:r>
            <w:r>
              <w:rPr>
                <w:color w:val="000000" w:themeColor="text1"/>
                <w:kern w:val="0"/>
                <w:szCs w:val="21"/>
                <w:vertAlign w:val="subscript"/>
                <w:lang w:val="zh-CN"/>
                <w14:textFill>
                  <w14:solidFill>
                    <w14:schemeClr w14:val="tx1"/>
                  </w14:solidFill>
                </w14:textFill>
              </w:rPr>
              <w:t>3</w:t>
            </w:r>
            <w:r>
              <w:rPr>
                <w:color w:val="000000" w:themeColor="text1"/>
                <w:kern w:val="0"/>
                <w:szCs w:val="21"/>
                <w:lang w:val="zh-CN"/>
                <w14:textFill>
                  <w14:solidFill>
                    <w14:schemeClr w14:val="tx1"/>
                  </w14:solidFill>
                </w14:textFill>
              </w:rPr>
              <w:t>-N转化为NO</w:t>
            </w:r>
            <w:r>
              <w:rPr>
                <w:color w:val="000000" w:themeColor="text1"/>
                <w:kern w:val="0"/>
                <w:szCs w:val="21"/>
                <w:vertAlign w:val="subscript"/>
                <w:lang w:val="zh-CN"/>
                <w14:textFill>
                  <w14:solidFill>
                    <w14:schemeClr w14:val="tx1"/>
                  </w14:solidFill>
                </w14:textFill>
              </w:rPr>
              <w:t>2</w:t>
            </w:r>
            <w:r>
              <w:rPr>
                <w:color w:val="000000" w:themeColor="text1"/>
                <w:kern w:val="0"/>
                <w:szCs w:val="21"/>
                <w:vertAlign w:val="superscript"/>
                <w:lang w:val="zh-CN"/>
                <w14:textFill>
                  <w14:solidFill>
                    <w14:schemeClr w14:val="tx1"/>
                  </w14:solidFill>
                </w14:textFill>
              </w:rPr>
              <w:t>-</w:t>
            </w:r>
            <w:r>
              <w:rPr>
                <w:color w:val="000000" w:themeColor="text1"/>
                <w:kern w:val="0"/>
                <w:szCs w:val="21"/>
                <w:lang w:val="zh-CN"/>
                <w14:textFill>
                  <w14:solidFill>
                    <w14:schemeClr w14:val="tx1"/>
                  </w14:solidFill>
                </w14:textFill>
              </w:rPr>
              <w:t>N或NO</w:t>
            </w:r>
            <w:r>
              <w:rPr>
                <w:color w:val="000000" w:themeColor="text1"/>
                <w:kern w:val="0"/>
                <w:szCs w:val="21"/>
                <w:vertAlign w:val="subscript"/>
                <w:lang w:val="zh-CN"/>
                <w14:textFill>
                  <w14:solidFill>
                    <w14:schemeClr w14:val="tx1"/>
                  </w14:solidFill>
                </w14:textFill>
              </w:rPr>
              <w:t>3</w:t>
            </w:r>
            <w:r>
              <w:rPr>
                <w:color w:val="000000" w:themeColor="text1"/>
                <w:kern w:val="0"/>
                <w:szCs w:val="21"/>
                <w:vertAlign w:val="superscript"/>
                <w:lang w:val="zh-CN"/>
                <w14:textFill>
                  <w14:solidFill>
                    <w14:schemeClr w14:val="tx1"/>
                  </w14:solidFill>
                </w14:textFill>
              </w:rPr>
              <w:t>-</w:t>
            </w:r>
            <w:r>
              <w:rPr>
                <w:color w:val="000000" w:themeColor="text1"/>
                <w:kern w:val="0"/>
                <w:szCs w:val="21"/>
                <w:lang w:val="zh-CN"/>
                <w14:textFill>
                  <w14:solidFill>
                    <w14:schemeClr w14:val="tx1"/>
                  </w14:solidFill>
                </w14:textFill>
              </w:rPr>
              <w:t>N。接触氧化池内悬挂生物组合填料，使活性污泥生长在填料上呈悬浮状态，与污水充分接触。污水中的悬浮固体和胶状物质被活性污泥吸附，可溶性有机物被活性污泥中的微生物用作自身繁殖的营养，代谢转化为生物细胞，并氧化成为最终产物。非溶解性有机物需先转化成溶解性有机物，而后才被代谢和利用，污水由此得到净化。净化后的污水与活性污泥在二次沉淀池内进行分离，上层出水进入下一环节进一步处理，沉淀污泥一部分返回接触氧化池，以保证池内有一定浓度的活性污泥，其余为剩余污泥，由系统排入污泥池。</w:t>
            </w:r>
          </w:p>
          <w:p>
            <w:pPr>
              <w:autoSpaceDE w:val="0"/>
              <w:autoSpaceDN w:val="0"/>
              <w:adjustRightInd w:val="0"/>
              <w:snapToGrid w:val="0"/>
              <w:spacing w:line="360" w:lineRule="auto"/>
              <w:ind w:firstLine="420" w:firstLineChars="200"/>
              <w:rPr>
                <w:color w:val="000000" w:themeColor="text1"/>
                <w:kern w:val="0"/>
                <w:szCs w:val="21"/>
                <w:lang w:val="zh-CN"/>
                <w14:textFill>
                  <w14:solidFill>
                    <w14:schemeClr w14:val="tx1"/>
                  </w14:solidFill>
                </w14:textFill>
              </w:rPr>
            </w:pPr>
            <w:bookmarkStart w:id="3" w:name="_Toc107479627"/>
            <w:bookmarkStart w:id="4" w:name="_Toc32670"/>
            <w:bookmarkStart w:id="5" w:name="_Toc11943"/>
            <w:r>
              <w:rPr>
                <w:color w:val="000000" w:themeColor="text1"/>
                <w:kern w:val="0"/>
                <w:szCs w:val="21"/>
                <w:lang w:val="zh-CN"/>
                <w14:textFill>
                  <w14:solidFill>
                    <w14:schemeClr w14:val="tx1"/>
                  </w14:solidFill>
                </w14:textFill>
              </w:rPr>
              <w:t>3、沉淀池</w:t>
            </w:r>
            <w:bookmarkEnd w:id="3"/>
            <w:bookmarkEnd w:id="4"/>
            <w:r>
              <w:rPr>
                <w:color w:val="000000" w:themeColor="text1"/>
                <w:kern w:val="0"/>
                <w:szCs w:val="21"/>
                <w:lang w:val="zh-CN"/>
                <w14:textFill>
                  <w14:solidFill>
                    <w14:schemeClr w14:val="tx1"/>
                  </w14:solidFill>
                </w14:textFill>
              </w:rPr>
              <w:t>：沉淀池将好氧后的泥水进行分离，上清液自流到中间水池；沉淀污泥通过污泥回流泵连续将活性污泥补充回流到生化系统的前端，保持生化系统的污泥量。剩余污泥定期排入污泥池。</w:t>
            </w:r>
          </w:p>
          <w:p>
            <w:pPr>
              <w:autoSpaceDE w:val="0"/>
              <w:autoSpaceDN w:val="0"/>
              <w:adjustRightInd w:val="0"/>
              <w:snapToGrid w:val="0"/>
              <w:spacing w:line="360" w:lineRule="auto"/>
              <w:ind w:firstLine="420" w:firstLineChars="200"/>
              <w:rPr>
                <w:b/>
                <w:bCs/>
                <w:color w:val="000000" w:themeColor="text1"/>
                <w:kern w:val="0"/>
                <w:szCs w:val="21"/>
                <w14:textFill>
                  <w14:solidFill>
                    <w14:schemeClr w14:val="tx1"/>
                  </w14:solidFill>
                </w14:textFill>
              </w:rPr>
            </w:pPr>
            <w:bookmarkStart w:id="6" w:name="_Toc107479628"/>
            <w:bookmarkStart w:id="7" w:name="_Toc31581"/>
            <w:r>
              <w:rPr>
                <w:color w:val="000000" w:themeColor="text1"/>
                <w:kern w:val="0"/>
                <w:szCs w:val="21"/>
                <w:lang w:val="zh-CN"/>
                <w14:textFill>
                  <w14:solidFill>
                    <w14:schemeClr w14:val="tx1"/>
                  </w14:solidFill>
                </w14:textFill>
              </w:rPr>
              <w:t>4、消毒</w:t>
            </w:r>
            <w:bookmarkEnd w:id="6"/>
            <w:bookmarkEnd w:id="7"/>
            <w:r>
              <w:rPr>
                <w:color w:val="000000" w:themeColor="text1"/>
                <w:kern w:val="0"/>
                <w:szCs w:val="21"/>
                <w:lang w:val="zh-CN"/>
                <w14:textFill>
                  <w14:solidFill>
                    <w14:schemeClr w14:val="tx1"/>
                  </w14:solidFill>
                </w14:textFill>
              </w:rPr>
              <w:t>：消毒是医疗污水处理的重要工艺过程，其目的是杀灭污水中的各种致病菌。医疗污水消毒常用的消毒工艺有外加氯消毒(如氯气、二氧化氯、次氯酸钠)、氧化剂消毒(如臭氧、过氧乙酸)、辐射消毒(如紫外线、γ射线)。本污水处理工程消毒方式采用的单过硫酸氢钾复合粉是一种新型活性氧类绿色环保消毒剂，具有高效杀菌；不含氯、无氯化消毒副产物产生；使用安全、方便等特点，在国外已经获得广泛使用。</w:t>
            </w:r>
            <w:bookmarkEnd w:id="5"/>
          </w:p>
          <w:p>
            <w:pPr>
              <w:autoSpaceDE w:val="0"/>
              <w:autoSpaceDN w:val="0"/>
              <w:adjustRightInd w:val="0"/>
              <w:snapToGrid w:val="0"/>
              <w:jc w:val="center"/>
              <w:rPr>
                <w:b/>
                <w:color w:val="000000" w:themeColor="text1"/>
                <w:kern w:val="0"/>
                <w:szCs w:val="21"/>
                <w:lang w:val="zh-CN"/>
                <w14:textFill>
                  <w14:solidFill>
                    <w14:schemeClr w14:val="tx1"/>
                  </w14:solidFill>
                </w14:textFill>
              </w:rPr>
            </w:pPr>
            <w:r>
              <w:rPr>
                <w:b/>
                <w:bCs/>
                <w:color w:val="000000" w:themeColor="text1"/>
                <w:kern w:val="0"/>
                <w:szCs w:val="21"/>
                <w14:textFill>
                  <w14:solidFill>
                    <w14:schemeClr w14:val="tx1"/>
                  </w14:solidFill>
                </w14:textFill>
              </w:rPr>
              <w:t>表4-3  废水治理设施基本情况表</w:t>
            </w:r>
          </w:p>
          <w:tbl>
            <w:tblPr>
              <w:tblStyle w:val="2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539"/>
              <w:gridCol w:w="1355"/>
              <w:gridCol w:w="1348"/>
              <w:gridCol w:w="1348"/>
              <w:gridCol w:w="1111"/>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51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治理措施</w:t>
                  </w:r>
                </w:p>
              </w:tc>
              <w:tc>
                <w:tcPr>
                  <w:tcW w:w="133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处理能力</w:t>
                  </w:r>
                </w:p>
              </w:tc>
              <w:tc>
                <w:tcPr>
                  <w:tcW w:w="1323"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治理工艺</w:t>
                  </w:r>
                </w:p>
              </w:tc>
              <w:tc>
                <w:tcPr>
                  <w:tcW w:w="1323"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治理效率</w:t>
                  </w:r>
                </w:p>
              </w:tc>
              <w:tc>
                <w:tcPr>
                  <w:tcW w:w="109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是否为可行技术</w:t>
                  </w:r>
                </w:p>
              </w:tc>
              <w:tc>
                <w:tcPr>
                  <w:tcW w:w="168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可行技术依据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151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污水处理站</w:t>
                  </w:r>
                </w:p>
              </w:tc>
              <w:tc>
                <w:tcPr>
                  <w:tcW w:w="133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30m</w:t>
                  </w:r>
                  <w:r>
                    <w:rPr>
                      <w:color w:val="000000" w:themeColor="text1"/>
                      <w:sz w:val="18"/>
                      <w:szCs w:val="18"/>
                      <w:vertAlign w:val="superscript"/>
                      <w14:textFill>
                        <w14:solidFill>
                          <w14:schemeClr w14:val="tx1"/>
                        </w14:solidFill>
                      </w14:textFill>
                    </w:rPr>
                    <w:t>3</w:t>
                  </w:r>
                  <w:r>
                    <w:rPr>
                      <w:color w:val="000000" w:themeColor="text1"/>
                      <w:sz w:val="18"/>
                      <w:szCs w:val="18"/>
                      <w14:textFill>
                        <w14:solidFill>
                          <w14:schemeClr w14:val="tx1"/>
                        </w14:solidFill>
                      </w14:textFill>
                    </w:rPr>
                    <w:t>/d</w:t>
                  </w:r>
                </w:p>
              </w:tc>
              <w:tc>
                <w:tcPr>
                  <w:tcW w:w="1323"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格栅+调节池+水解酸化池+接触氧化池+沉淀池+消毒池</w:t>
                  </w:r>
                </w:p>
              </w:tc>
              <w:tc>
                <w:tcPr>
                  <w:tcW w:w="1323"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109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是</w:t>
                  </w:r>
                </w:p>
              </w:tc>
              <w:tc>
                <w:tcPr>
                  <w:tcW w:w="1680" w:type="dxa"/>
                  <w:vAlign w:val="center"/>
                </w:tcPr>
                <w:p>
                  <w:pPr>
                    <w:pStyle w:val="84"/>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《排污许可证申请与核发技术规范 医疗机构》（HJ1105-2020）</w:t>
                  </w:r>
                </w:p>
              </w:tc>
            </w:tr>
          </w:tbl>
          <w:p>
            <w:pPr>
              <w:autoSpaceDE w:val="0"/>
              <w:autoSpaceDN w:val="0"/>
              <w:adjustRightInd w:val="0"/>
              <w:snapToGrid w:val="0"/>
              <w:spacing w:line="360" w:lineRule="auto"/>
              <w:ind w:firstLine="422" w:firstLineChars="200"/>
              <w:jc w:val="left"/>
              <w:rPr>
                <w:b/>
                <w:color w:val="000000" w:themeColor="text1"/>
                <w:kern w:val="0"/>
                <w:szCs w:val="21"/>
                <w:lang w:val="zh-CN"/>
                <w14:textFill>
                  <w14:solidFill>
                    <w14:schemeClr w14:val="tx1"/>
                  </w14:solidFill>
                </w14:textFill>
              </w:rPr>
            </w:pPr>
            <w:r>
              <w:rPr>
                <w:b/>
                <w:color w:val="000000" w:themeColor="text1"/>
                <w:kern w:val="0"/>
                <w:szCs w:val="21"/>
                <w:lang w:val="zh-CN"/>
                <w14:textFill>
                  <w14:solidFill>
                    <w14:schemeClr w14:val="tx1"/>
                  </w14:solidFill>
                </w14:textFill>
              </w:rPr>
              <w:t>2、污水处理站可行性分析</w:t>
            </w:r>
          </w:p>
          <w:p>
            <w:pPr>
              <w:autoSpaceDE w:val="0"/>
              <w:autoSpaceDN w:val="0"/>
              <w:adjustRightInd w:val="0"/>
              <w:snapToGrid w:val="0"/>
              <w:spacing w:line="360" w:lineRule="auto"/>
              <w:ind w:firstLine="420" w:firstLineChars="200"/>
              <w:jc w:val="left"/>
              <w:rPr>
                <w:color w:val="000000" w:themeColor="text1"/>
                <w:kern w:val="0"/>
                <w:szCs w:val="21"/>
                <w:lang w:val="zh-CN"/>
                <w14:textFill>
                  <w14:solidFill>
                    <w14:schemeClr w14:val="tx1"/>
                  </w14:solidFill>
                </w14:textFill>
              </w:rPr>
            </w:pPr>
            <w:r>
              <w:rPr>
                <w:color w:val="000000" w:themeColor="text1"/>
                <w:kern w:val="0"/>
                <w:szCs w:val="21"/>
                <w:lang w:val="zh-CN"/>
                <w14:textFill>
                  <w14:solidFill>
                    <w14:schemeClr w14:val="tx1"/>
                  </w14:solidFill>
                </w14:textFill>
              </w:rPr>
              <w:t>（1）水量：本项目污水处理站设计处理能力30m</w:t>
            </w:r>
            <w:r>
              <w:rPr>
                <w:color w:val="000000" w:themeColor="text1"/>
                <w:kern w:val="0"/>
                <w:szCs w:val="21"/>
                <w:vertAlign w:val="superscript"/>
                <w:lang w:val="zh-CN"/>
                <w14:textFill>
                  <w14:solidFill>
                    <w14:schemeClr w14:val="tx1"/>
                  </w14:solidFill>
                </w14:textFill>
              </w:rPr>
              <w:t>3</w:t>
            </w:r>
            <w:r>
              <w:rPr>
                <w:color w:val="000000" w:themeColor="text1"/>
                <w:kern w:val="0"/>
                <w:szCs w:val="21"/>
                <w:lang w:val="zh-CN"/>
                <w14:textFill>
                  <w14:solidFill>
                    <w14:schemeClr w14:val="tx1"/>
                  </w14:solidFill>
                </w14:textFill>
              </w:rPr>
              <w:t>/d，本项目废水量为</w:t>
            </w:r>
            <w:r>
              <w:rPr>
                <w:rFonts w:hint="eastAsia"/>
                <w:color w:val="000000" w:themeColor="text1"/>
                <w:kern w:val="0"/>
                <w:szCs w:val="21"/>
                <w:lang w:val="zh-CN"/>
                <w14:textFill>
                  <w14:solidFill>
                    <w14:schemeClr w14:val="tx1"/>
                  </w14:solidFill>
                </w14:textFill>
              </w:rPr>
              <w:t>7729.4</w:t>
            </w:r>
            <w:r>
              <w:rPr>
                <w:color w:val="000000" w:themeColor="text1"/>
                <w:kern w:val="0"/>
                <w:szCs w:val="21"/>
                <w:lang w:val="zh-CN"/>
                <w14:textFill>
                  <w14:solidFill>
                    <w14:schemeClr w14:val="tx1"/>
                  </w14:solidFill>
                </w14:textFill>
              </w:rPr>
              <w:t>m</w:t>
            </w:r>
            <w:r>
              <w:rPr>
                <w:color w:val="000000" w:themeColor="text1"/>
                <w:kern w:val="0"/>
                <w:szCs w:val="21"/>
                <w:vertAlign w:val="superscript"/>
                <w:lang w:val="zh-CN"/>
                <w14:textFill>
                  <w14:solidFill>
                    <w14:schemeClr w14:val="tx1"/>
                  </w14:solidFill>
                </w14:textFill>
              </w:rPr>
              <w:t>3</w:t>
            </w:r>
            <w:r>
              <w:rPr>
                <w:color w:val="000000" w:themeColor="text1"/>
                <w:kern w:val="0"/>
                <w:szCs w:val="21"/>
                <w:lang w:val="zh-CN"/>
                <w14:textFill>
                  <w14:solidFill>
                    <w14:schemeClr w14:val="tx1"/>
                  </w14:solidFill>
                </w14:textFill>
              </w:rPr>
              <w:t>/a，折合</w:t>
            </w:r>
            <w:r>
              <w:rPr>
                <w:rFonts w:hint="eastAsia"/>
                <w:color w:val="000000" w:themeColor="text1"/>
                <w:kern w:val="0"/>
                <w:szCs w:val="21"/>
                <w:lang w:val="zh-CN"/>
                <w14:textFill>
                  <w14:solidFill>
                    <w14:schemeClr w14:val="tx1"/>
                  </w14:solidFill>
                </w14:textFill>
              </w:rPr>
              <w:t>21.2</w:t>
            </w:r>
            <w:r>
              <w:rPr>
                <w:color w:val="000000" w:themeColor="text1"/>
                <w:kern w:val="0"/>
                <w:szCs w:val="21"/>
                <w:lang w:val="zh-CN"/>
                <w14:textFill>
                  <w14:solidFill>
                    <w14:schemeClr w14:val="tx1"/>
                  </w14:solidFill>
                </w14:textFill>
              </w:rPr>
              <w:t>m</w:t>
            </w:r>
            <w:r>
              <w:rPr>
                <w:color w:val="000000" w:themeColor="text1"/>
                <w:kern w:val="0"/>
                <w:szCs w:val="21"/>
                <w:vertAlign w:val="superscript"/>
                <w:lang w:val="zh-CN"/>
                <w14:textFill>
                  <w14:solidFill>
                    <w14:schemeClr w14:val="tx1"/>
                  </w14:solidFill>
                </w14:textFill>
              </w:rPr>
              <w:t>3</w:t>
            </w:r>
            <w:r>
              <w:rPr>
                <w:color w:val="000000" w:themeColor="text1"/>
                <w:kern w:val="0"/>
                <w:szCs w:val="21"/>
                <w:lang w:val="zh-CN"/>
                <w14:textFill>
                  <w14:solidFill>
                    <w14:schemeClr w14:val="tx1"/>
                  </w14:solidFill>
                </w14:textFill>
              </w:rPr>
              <w:t>/d，占用污水站负荷</w:t>
            </w:r>
            <w:r>
              <w:rPr>
                <w:rFonts w:hint="eastAsia"/>
                <w:color w:val="000000" w:themeColor="text1"/>
                <w:kern w:val="0"/>
                <w:szCs w:val="21"/>
                <w:lang w:val="zh-CN"/>
                <w14:textFill>
                  <w14:solidFill>
                    <w14:schemeClr w14:val="tx1"/>
                  </w14:solidFill>
                </w14:textFill>
              </w:rPr>
              <w:t>70.6</w:t>
            </w:r>
            <w:r>
              <w:rPr>
                <w:color w:val="000000" w:themeColor="text1"/>
                <w:kern w:val="0"/>
                <w:szCs w:val="21"/>
                <w:lang w:val="zh-CN"/>
                <w14:textFill>
                  <w14:solidFill>
                    <w14:schemeClr w14:val="tx1"/>
                  </w14:solidFill>
                </w14:textFill>
              </w:rPr>
              <w:t>%，从水量分析，污水处理站完全有能力处理项目废水。</w:t>
            </w:r>
          </w:p>
          <w:p>
            <w:pPr>
              <w:autoSpaceDE w:val="0"/>
              <w:autoSpaceDN w:val="0"/>
              <w:adjustRightInd w:val="0"/>
              <w:snapToGrid w:val="0"/>
              <w:spacing w:line="360" w:lineRule="auto"/>
              <w:ind w:firstLine="420" w:firstLineChars="200"/>
              <w:jc w:val="left"/>
              <w:rPr>
                <w:color w:val="000000" w:themeColor="text1"/>
                <w:kern w:val="0"/>
                <w:szCs w:val="21"/>
                <w:lang w:val="zh-CN"/>
                <w14:textFill>
                  <w14:solidFill>
                    <w14:schemeClr w14:val="tx1"/>
                  </w14:solidFill>
                </w14:textFill>
              </w:rPr>
            </w:pPr>
            <w:r>
              <w:rPr>
                <w:color w:val="000000" w:themeColor="text1"/>
                <w:kern w:val="0"/>
                <w:szCs w:val="21"/>
                <w:lang w:val="zh-CN"/>
                <w14:textFill>
                  <w14:solidFill>
                    <w14:schemeClr w14:val="tx1"/>
                  </w14:solidFill>
                </w14:textFill>
              </w:rPr>
              <w:t>（2）水质：结合表4-1及表4-2可以看出，本项目废水水质较为简单，满足院区污水处理站进水水质要求，污水处理站处理工艺对废水具有很好的处理效果。</w:t>
            </w:r>
          </w:p>
          <w:p>
            <w:pPr>
              <w:autoSpaceDE w:val="0"/>
              <w:autoSpaceDN w:val="0"/>
              <w:adjustRightInd w:val="0"/>
              <w:snapToGrid w:val="0"/>
              <w:spacing w:line="360" w:lineRule="auto"/>
              <w:ind w:firstLine="420" w:firstLineChars="200"/>
              <w:rPr>
                <w:color w:val="000000" w:themeColor="text1"/>
                <w:kern w:val="0"/>
                <w:szCs w:val="21"/>
                <w:lang w:val="zh-CN"/>
                <w14:textFill>
                  <w14:solidFill>
                    <w14:schemeClr w14:val="tx1"/>
                  </w14:solidFill>
                </w14:textFill>
              </w:rPr>
            </w:pPr>
            <w:r>
              <w:rPr>
                <w:color w:val="000000" w:themeColor="text1"/>
                <w:kern w:val="0"/>
                <w:szCs w:val="21"/>
                <w:lang w:val="zh-CN"/>
                <w14:textFill>
                  <w14:solidFill>
                    <w14:schemeClr w14:val="tx1"/>
                  </w14:solidFill>
                </w14:textFill>
              </w:rPr>
              <w:t>（3）处理效果：项目污水处理站已投运，根据厂区污水排放口例行监测数据可知，项目废水经处理后外排水质能够满足《山东省医疗机构污染物排放控制标准》（DB37/596-2020）二级标准要求。</w:t>
            </w:r>
          </w:p>
          <w:p>
            <w:pPr>
              <w:autoSpaceDE w:val="0"/>
              <w:autoSpaceDN w:val="0"/>
              <w:adjustRightInd w:val="0"/>
              <w:snapToGrid w:val="0"/>
              <w:spacing w:line="360" w:lineRule="auto"/>
              <w:ind w:firstLine="420" w:firstLineChars="200"/>
              <w:rPr>
                <w:color w:val="000000" w:themeColor="text1"/>
                <w:kern w:val="0"/>
                <w:szCs w:val="21"/>
                <w:lang w:val="zh-CN"/>
                <w14:textFill>
                  <w14:solidFill>
                    <w14:schemeClr w14:val="tx1"/>
                  </w14:solidFill>
                </w14:textFill>
              </w:rPr>
            </w:pPr>
            <w:r>
              <w:rPr>
                <w:color w:val="000000" w:themeColor="text1"/>
                <w:kern w:val="0"/>
                <w:szCs w:val="21"/>
                <w:lang w:val="zh-CN"/>
                <w14:textFill>
                  <w14:solidFill>
                    <w14:schemeClr w14:val="tx1"/>
                  </w14:solidFill>
                </w14:textFill>
              </w:rPr>
              <w:t>综上，本项目废水进入园区污水处理站处理是可行的。</w:t>
            </w:r>
          </w:p>
          <w:p>
            <w:pPr>
              <w:autoSpaceDE w:val="0"/>
              <w:autoSpaceDN w:val="0"/>
              <w:adjustRightInd w:val="0"/>
              <w:snapToGrid w:val="0"/>
              <w:spacing w:line="360" w:lineRule="auto"/>
              <w:ind w:firstLine="422" w:firstLineChars="200"/>
              <w:jc w:val="left"/>
              <w:rPr>
                <w:b/>
                <w:color w:val="000000" w:themeColor="text1"/>
                <w:kern w:val="0"/>
                <w:szCs w:val="21"/>
                <w:lang w:val="zh-CN"/>
                <w14:textFill>
                  <w14:solidFill>
                    <w14:schemeClr w14:val="tx1"/>
                  </w14:solidFill>
                </w14:textFill>
              </w:rPr>
            </w:pPr>
            <w:r>
              <w:rPr>
                <w:b/>
                <w:color w:val="000000" w:themeColor="text1"/>
                <w:kern w:val="0"/>
                <w:szCs w:val="21"/>
                <w:lang w:val="zh-CN"/>
                <w14:textFill>
                  <w14:solidFill>
                    <w14:schemeClr w14:val="tx1"/>
                  </w14:solidFill>
                </w14:textFill>
              </w:rPr>
              <w:t>1.3废水排放情况</w:t>
            </w:r>
          </w:p>
          <w:p>
            <w:pPr>
              <w:autoSpaceDE w:val="0"/>
              <w:autoSpaceDN w:val="0"/>
              <w:adjustRightInd w:val="0"/>
              <w:snapToGrid w:val="0"/>
              <w:spacing w:line="360" w:lineRule="auto"/>
              <w:ind w:firstLine="420" w:firstLineChars="200"/>
              <w:jc w:val="left"/>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项目污水处理设备未产生变化，根据</w:t>
            </w:r>
            <w:r>
              <w:rPr>
                <w:color w:val="000000" w:themeColor="text1"/>
                <w:kern w:val="0"/>
                <w:szCs w:val="21"/>
                <w14:textFill>
                  <w14:solidFill>
                    <w14:schemeClr w14:val="tx1"/>
                  </w14:solidFill>
                </w14:textFill>
              </w:rPr>
              <w:t>淄博圆通环境检测有限公司于2021年3月28日对污水处理站废水排放口进行现状监测并出具监测报告（监测报告编号：YTHW字第（202203258）号）</w:t>
            </w:r>
            <w:r>
              <w:rPr>
                <w:rFonts w:hint="eastAsia"/>
                <w:color w:val="000000" w:themeColor="text1"/>
                <w:kern w:val="0"/>
                <w:szCs w:val="21"/>
                <w14:textFill>
                  <w14:solidFill>
                    <w14:schemeClr w14:val="tx1"/>
                  </w14:solidFill>
                </w14:textFill>
              </w:rPr>
              <w:t>中的监测数据进行污染物排放量核算</w:t>
            </w:r>
            <w:r>
              <w:rPr>
                <w:color w:val="000000" w:themeColor="text1"/>
                <w:kern w:val="0"/>
                <w:szCs w:val="21"/>
                <w14:textFill>
                  <w14:solidFill>
                    <w14:schemeClr w14:val="tx1"/>
                  </w14:solidFill>
                </w14:textFill>
              </w:rPr>
              <w:t>，监测结果具体详见下表。</w:t>
            </w:r>
          </w:p>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表4-4  污水处理站废水排放口监测结果一览表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0"/>
              <w:gridCol w:w="1609"/>
              <w:gridCol w:w="1778"/>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检测项目</w:t>
                  </w:r>
                </w:p>
              </w:tc>
              <w:tc>
                <w:tcPr>
                  <w:tcW w:w="95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单位</w:t>
                  </w:r>
                </w:p>
              </w:tc>
              <w:tc>
                <w:tcPr>
                  <w:tcW w:w="105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现状浓度</w:t>
                  </w:r>
                </w:p>
              </w:tc>
              <w:tc>
                <w:tcPr>
                  <w:tcW w:w="131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五日生化需氧量</w:t>
                  </w:r>
                </w:p>
              </w:tc>
              <w:tc>
                <w:tcPr>
                  <w:tcW w:w="95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05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22.3</w:t>
                  </w:r>
                </w:p>
              </w:tc>
              <w:tc>
                <w:tcPr>
                  <w:tcW w:w="131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化学需氧量</w:t>
                  </w:r>
                </w:p>
              </w:tc>
              <w:tc>
                <w:tcPr>
                  <w:tcW w:w="95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05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57</w:t>
                  </w:r>
                </w:p>
              </w:tc>
              <w:tc>
                <w:tcPr>
                  <w:tcW w:w="131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总余氯</w:t>
                  </w:r>
                </w:p>
              </w:tc>
              <w:tc>
                <w:tcPr>
                  <w:tcW w:w="95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05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6.14</w:t>
                  </w:r>
                </w:p>
              </w:tc>
              <w:tc>
                <w:tcPr>
                  <w:tcW w:w="131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悬浮物</w:t>
                  </w:r>
                </w:p>
              </w:tc>
              <w:tc>
                <w:tcPr>
                  <w:tcW w:w="95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05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131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氨氮</w:t>
                  </w:r>
                </w:p>
              </w:tc>
              <w:tc>
                <w:tcPr>
                  <w:tcW w:w="95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05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0.868</w:t>
                  </w:r>
                </w:p>
              </w:tc>
              <w:tc>
                <w:tcPr>
                  <w:tcW w:w="131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阴离子表面活性剂</w:t>
                  </w:r>
                </w:p>
              </w:tc>
              <w:tc>
                <w:tcPr>
                  <w:tcW w:w="95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056"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0.15</w:t>
                  </w:r>
                </w:p>
              </w:tc>
              <w:tc>
                <w:tcPr>
                  <w:tcW w:w="131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粪大肠菌群数</w:t>
                  </w:r>
                </w:p>
              </w:tc>
              <w:tc>
                <w:tcPr>
                  <w:tcW w:w="956"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MPN/L</w:t>
                  </w:r>
                </w:p>
              </w:tc>
              <w:tc>
                <w:tcPr>
                  <w:tcW w:w="1056"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70</w:t>
                  </w:r>
                </w:p>
              </w:tc>
              <w:tc>
                <w:tcPr>
                  <w:tcW w:w="131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总磷</w:t>
                  </w:r>
                </w:p>
              </w:tc>
              <w:tc>
                <w:tcPr>
                  <w:tcW w:w="956"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056"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0.02</w:t>
                  </w:r>
                </w:p>
              </w:tc>
              <w:tc>
                <w:tcPr>
                  <w:tcW w:w="131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6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氟化物</w:t>
                  </w:r>
                </w:p>
              </w:tc>
              <w:tc>
                <w:tcPr>
                  <w:tcW w:w="956"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1056"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1.46</w:t>
                  </w:r>
                </w:p>
              </w:tc>
              <w:tc>
                <w:tcPr>
                  <w:tcW w:w="1317" w:type="pct"/>
                  <w:noWrap/>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r>
          </w:tbl>
          <w:p>
            <w:pPr>
              <w:autoSpaceDE w:val="0"/>
              <w:autoSpaceDN w:val="0"/>
              <w:adjustRightInd w:val="0"/>
              <w:snapToGrid w:val="0"/>
              <w:spacing w:line="360" w:lineRule="auto"/>
              <w:ind w:firstLine="420" w:firstLineChars="200"/>
              <w:jc w:val="left"/>
              <w:rPr>
                <w:color w:val="000000" w:themeColor="text1"/>
                <w:kern w:val="0"/>
                <w:szCs w:val="21"/>
                <w:lang w:val="zh-CN"/>
                <w14:textFill>
                  <w14:solidFill>
                    <w14:schemeClr w14:val="tx1"/>
                  </w14:solidFill>
                </w14:textFill>
              </w:rPr>
            </w:pPr>
            <w:r>
              <w:rPr>
                <w:color w:val="000000" w:themeColor="text1"/>
                <w14:textFill>
                  <w14:solidFill>
                    <w14:schemeClr w14:val="tx1"/>
                  </w14:solidFill>
                </w14:textFill>
              </w:rPr>
              <w:t>由上表可知，项目废水经污水处理站处理后外排废水水质满足</w:t>
            </w:r>
            <w:r>
              <w:rPr>
                <w:color w:val="000000" w:themeColor="text1"/>
                <w:szCs w:val="21"/>
                <w14:textFill>
                  <w14:solidFill>
                    <w14:schemeClr w14:val="tx1"/>
                  </w14:solidFill>
                </w14:textFill>
              </w:rPr>
              <w:t>《山东省医疗机构污染物排放控制标准》（DB37/596-2020）二级标准要求</w:t>
            </w:r>
            <w:r>
              <w:rPr>
                <w:color w:val="000000" w:themeColor="text1"/>
                <w14:textFill>
                  <w14:solidFill>
                    <w14:schemeClr w14:val="tx1"/>
                  </w14:solidFill>
                </w14:textFill>
              </w:rPr>
              <w:t>。</w:t>
            </w:r>
          </w:p>
          <w:p>
            <w:pPr>
              <w:spacing w:line="360" w:lineRule="auto"/>
              <w:ind w:firstLine="420"/>
              <w:rPr>
                <w:color w:val="000000" w:themeColor="text1"/>
                <w14:textFill>
                  <w14:solidFill>
                    <w14:schemeClr w14:val="tx1"/>
                  </w14:solidFill>
                </w14:textFill>
              </w:rPr>
            </w:pPr>
            <w:r>
              <w:rPr>
                <w:color w:val="000000" w:themeColor="text1"/>
                <w:szCs w:val="21"/>
                <w14:textFill>
                  <w14:solidFill>
                    <w14:schemeClr w14:val="tx1"/>
                  </w14:solidFill>
                </w14:textFill>
              </w:rPr>
              <w:t>本项目废水经处理后排放情况具体如下：</w:t>
            </w:r>
            <w:r>
              <w:rPr>
                <w:color w:val="000000" w:themeColor="text1"/>
                <w14:textFill>
                  <w14:solidFill>
                    <w14:schemeClr w14:val="tx1"/>
                  </w14:solidFill>
                </w14:textFill>
              </w:rPr>
              <w:t xml:space="preserve"> </w:t>
            </w:r>
          </w:p>
          <w:p>
            <w:pPr>
              <w:jc w:val="center"/>
              <w:rPr>
                <w:color w:val="000000" w:themeColor="text1"/>
                <w14:textFill>
                  <w14:solidFill>
                    <w14:schemeClr w14:val="tx1"/>
                  </w14:solidFill>
                </w14:textFill>
              </w:rPr>
            </w:pPr>
            <w:r>
              <w:rPr>
                <w:b/>
                <w:bCs/>
                <w:color w:val="000000" w:themeColor="text1"/>
                <w:kern w:val="0"/>
                <w:szCs w:val="21"/>
                <w14:textFill>
                  <w14:solidFill>
                    <w14:schemeClr w14:val="tx1"/>
                  </w14:solidFill>
                </w14:textFill>
              </w:rPr>
              <w:t>表4-5  废水排放情况一览表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44"/>
              <w:gridCol w:w="1196"/>
              <w:gridCol w:w="1064"/>
              <w:gridCol w:w="1083"/>
              <w:gridCol w:w="1083"/>
              <w:gridCol w:w="1083"/>
              <w:gridCol w:w="1083"/>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42"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排放废水量(m</w:t>
                  </w:r>
                  <w:r>
                    <w:rPr>
                      <w:color w:val="000000" w:themeColor="text1"/>
                      <w:sz w:val="18"/>
                      <w:szCs w:val="18"/>
                      <w:vertAlign w:val="superscript"/>
                      <w14:textFill>
                        <w14:solidFill>
                          <w14:schemeClr w14:val="tx1"/>
                        </w14:solidFill>
                      </w14:textFill>
                    </w:rPr>
                    <w:t>3</w:t>
                  </w:r>
                  <w:r>
                    <w:rPr>
                      <w:color w:val="000000" w:themeColor="text1"/>
                      <w:sz w:val="18"/>
                      <w:szCs w:val="18"/>
                      <w14:textFill>
                        <w14:solidFill>
                          <w14:schemeClr w14:val="tx1"/>
                        </w14:solidFill>
                      </w14:textFill>
                    </w:rPr>
                    <w:t>/a)</w:t>
                  </w:r>
                </w:p>
              </w:tc>
              <w:tc>
                <w:tcPr>
                  <w:tcW w:w="710"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污染物种类</w:t>
                  </w:r>
                </w:p>
              </w:tc>
              <w:tc>
                <w:tcPr>
                  <w:tcW w:w="632"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排放浓度</w:t>
                  </w:r>
                </w:p>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(mg/L)</w:t>
                  </w:r>
                </w:p>
              </w:tc>
              <w:tc>
                <w:tcPr>
                  <w:tcW w:w="643"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排放量(t/a)</w:t>
                  </w:r>
                </w:p>
              </w:tc>
              <w:tc>
                <w:tcPr>
                  <w:tcW w:w="643"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排放标准限值(mg/L)</w:t>
                  </w:r>
                </w:p>
              </w:tc>
              <w:tc>
                <w:tcPr>
                  <w:tcW w:w="643"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排放方式</w:t>
                  </w:r>
                </w:p>
              </w:tc>
              <w:tc>
                <w:tcPr>
                  <w:tcW w:w="643"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排放去向</w:t>
                  </w:r>
                </w:p>
              </w:tc>
              <w:tc>
                <w:tcPr>
                  <w:tcW w:w="640"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排放规律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42" w:type="pct"/>
                  <w:vMerge w:val="restart"/>
                  <w:vAlign w:val="center"/>
                </w:tcPr>
                <w:p>
                  <w:pPr>
                    <w:spacing w:line="28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7729.4</w:t>
                  </w:r>
                </w:p>
              </w:tc>
              <w:tc>
                <w:tcPr>
                  <w:tcW w:w="710"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五日生化需氧量</w:t>
                  </w:r>
                </w:p>
              </w:tc>
              <w:tc>
                <w:tcPr>
                  <w:tcW w:w="632"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22.3</w:t>
                  </w:r>
                </w:p>
              </w:tc>
              <w:tc>
                <w:tcPr>
                  <w:tcW w:w="643" w:type="pct"/>
                  <w:vAlign w:val="center"/>
                </w:tcPr>
                <w:p>
                  <w:pPr>
                    <w:pStyle w:val="63"/>
                    <w:spacing w:line="28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0.172</w:t>
                  </w:r>
                </w:p>
              </w:tc>
              <w:tc>
                <w:tcPr>
                  <w:tcW w:w="643"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w:t>
                  </w:r>
                </w:p>
              </w:tc>
              <w:tc>
                <w:tcPr>
                  <w:tcW w:w="643" w:type="pct"/>
                  <w:vMerge w:val="restar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间接排放</w:t>
                  </w:r>
                </w:p>
              </w:tc>
              <w:tc>
                <w:tcPr>
                  <w:tcW w:w="643" w:type="pct"/>
                  <w:vMerge w:val="restar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光大水务（淄博）有限公司三分厂</w:t>
                  </w:r>
                </w:p>
              </w:tc>
              <w:tc>
                <w:tcPr>
                  <w:tcW w:w="640" w:type="pct"/>
                  <w:vMerge w:val="restar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间断排放，排放期间流量不稳定且无规律，但不属于冲击型排放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42" w:type="pct"/>
                  <w:vMerge w:val="continue"/>
                  <w:vAlign w:val="center"/>
                </w:tcPr>
                <w:p>
                  <w:pPr>
                    <w:spacing w:line="280" w:lineRule="exact"/>
                    <w:jc w:val="center"/>
                    <w:rPr>
                      <w:color w:val="000000" w:themeColor="text1"/>
                      <w:sz w:val="18"/>
                      <w:szCs w:val="18"/>
                      <w:vertAlign w:val="subscript"/>
                      <w14:textFill>
                        <w14:solidFill>
                          <w14:schemeClr w14:val="tx1"/>
                        </w14:solidFill>
                      </w14:textFill>
                    </w:rPr>
                  </w:pPr>
                </w:p>
              </w:tc>
              <w:tc>
                <w:tcPr>
                  <w:tcW w:w="710"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化学需氧量</w:t>
                  </w:r>
                </w:p>
              </w:tc>
              <w:tc>
                <w:tcPr>
                  <w:tcW w:w="632"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57</w:t>
                  </w:r>
                </w:p>
              </w:tc>
              <w:tc>
                <w:tcPr>
                  <w:tcW w:w="643" w:type="pct"/>
                  <w:vAlign w:val="center"/>
                </w:tcPr>
                <w:p>
                  <w:pPr>
                    <w:pStyle w:val="63"/>
                    <w:spacing w:line="28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0.440</w:t>
                  </w:r>
                </w:p>
              </w:tc>
              <w:tc>
                <w:tcPr>
                  <w:tcW w:w="643"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w:t>
                  </w:r>
                </w:p>
              </w:tc>
              <w:tc>
                <w:tcPr>
                  <w:tcW w:w="643" w:type="pct"/>
                  <w:vMerge w:val="continue"/>
                  <w:vAlign w:val="center"/>
                </w:tcPr>
                <w:p>
                  <w:pPr>
                    <w:pStyle w:val="63"/>
                    <w:spacing w:line="280" w:lineRule="exact"/>
                    <w:rPr>
                      <w:color w:val="000000" w:themeColor="text1"/>
                      <w:sz w:val="18"/>
                      <w:szCs w:val="18"/>
                      <w14:textFill>
                        <w14:solidFill>
                          <w14:schemeClr w14:val="tx1"/>
                        </w14:solidFill>
                      </w14:textFill>
                    </w:rPr>
                  </w:pPr>
                </w:p>
              </w:tc>
              <w:tc>
                <w:tcPr>
                  <w:tcW w:w="643" w:type="pct"/>
                  <w:vMerge w:val="continue"/>
                  <w:vAlign w:val="center"/>
                </w:tcPr>
                <w:p>
                  <w:pPr>
                    <w:pStyle w:val="63"/>
                    <w:spacing w:line="280" w:lineRule="exact"/>
                    <w:rPr>
                      <w:color w:val="000000" w:themeColor="text1"/>
                      <w:sz w:val="18"/>
                      <w:szCs w:val="18"/>
                      <w14:textFill>
                        <w14:solidFill>
                          <w14:schemeClr w14:val="tx1"/>
                        </w14:solidFill>
                      </w14:textFill>
                    </w:rPr>
                  </w:pPr>
                </w:p>
              </w:tc>
              <w:tc>
                <w:tcPr>
                  <w:tcW w:w="640" w:type="pct"/>
                  <w:vMerge w:val="continue"/>
                  <w:vAlign w:val="center"/>
                </w:tcPr>
                <w:p>
                  <w:pPr>
                    <w:pStyle w:val="63"/>
                    <w:spacing w:line="280" w:lineRule="exact"/>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42" w:type="pct"/>
                  <w:vMerge w:val="continue"/>
                  <w:vAlign w:val="center"/>
                </w:tcPr>
                <w:p>
                  <w:pPr>
                    <w:spacing w:line="280" w:lineRule="exact"/>
                    <w:jc w:val="center"/>
                    <w:rPr>
                      <w:color w:val="000000" w:themeColor="text1"/>
                      <w:sz w:val="18"/>
                      <w:szCs w:val="18"/>
                      <w14:textFill>
                        <w14:solidFill>
                          <w14:schemeClr w14:val="tx1"/>
                        </w14:solidFill>
                      </w14:textFill>
                    </w:rPr>
                  </w:pPr>
                </w:p>
              </w:tc>
              <w:tc>
                <w:tcPr>
                  <w:tcW w:w="710"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总余氯</w:t>
                  </w:r>
                </w:p>
              </w:tc>
              <w:tc>
                <w:tcPr>
                  <w:tcW w:w="632"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6.14</w:t>
                  </w:r>
                </w:p>
              </w:tc>
              <w:tc>
                <w:tcPr>
                  <w:tcW w:w="643"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0.04</w:t>
                  </w:r>
                  <w:r>
                    <w:rPr>
                      <w:rFonts w:hint="eastAsia"/>
                      <w:color w:val="000000" w:themeColor="text1"/>
                      <w:sz w:val="18"/>
                      <w:szCs w:val="18"/>
                      <w14:textFill>
                        <w14:solidFill>
                          <w14:schemeClr w14:val="tx1"/>
                        </w14:solidFill>
                      </w14:textFill>
                    </w:rPr>
                    <w:t>7</w:t>
                  </w:r>
                </w:p>
              </w:tc>
              <w:tc>
                <w:tcPr>
                  <w:tcW w:w="643"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w:t>
                  </w:r>
                </w:p>
              </w:tc>
              <w:tc>
                <w:tcPr>
                  <w:tcW w:w="643" w:type="pct"/>
                  <w:vMerge w:val="continue"/>
                  <w:vAlign w:val="center"/>
                </w:tcPr>
                <w:p>
                  <w:pPr>
                    <w:pStyle w:val="63"/>
                    <w:spacing w:line="280" w:lineRule="exact"/>
                    <w:rPr>
                      <w:color w:val="000000" w:themeColor="text1"/>
                      <w:sz w:val="18"/>
                      <w:szCs w:val="18"/>
                      <w14:textFill>
                        <w14:solidFill>
                          <w14:schemeClr w14:val="tx1"/>
                        </w14:solidFill>
                      </w14:textFill>
                    </w:rPr>
                  </w:pPr>
                </w:p>
              </w:tc>
              <w:tc>
                <w:tcPr>
                  <w:tcW w:w="643" w:type="pct"/>
                  <w:vMerge w:val="continue"/>
                  <w:vAlign w:val="center"/>
                </w:tcPr>
                <w:p>
                  <w:pPr>
                    <w:pStyle w:val="63"/>
                    <w:spacing w:line="280" w:lineRule="exact"/>
                    <w:rPr>
                      <w:color w:val="000000" w:themeColor="text1"/>
                      <w:sz w:val="18"/>
                      <w:szCs w:val="18"/>
                      <w14:textFill>
                        <w14:solidFill>
                          <w14:schemeClr w14:val="tx1"/>
                        </w14:solidFill>
                      </w14:textFill>
                    </w:rPr>
                  </w:pPr>
                </w:p>
              </w:tc>
              <w:tc>
                <w:tcPr>
                  <w:tcW w:w="640" w:type="pct"/>
                  <w:vMerge w:val="continue"/>
                  <w:vAlign w:val="center"/>
                </w:tcPr>
                <w:p>
                  <w:pPr>
                    <w:pStyle w:val="63"/>
                    <w:spacing w:line="280" w:lineRule="exact"/>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42" w:type="pct"/>
                  <w:vMerge w:val="continue"/>
                  <w:vAlign w:val="center"/>
                </w:tcPr>
                <w:p>
                  <w:pPr>
                    <w:spacing w:line="280" w:lineRule="exact"/>
                    <w:jc w:val="center"/>
                    <w:rPr>
                      <w:color w:val="000000" w:themeColor="text1"/>
                      <w:sz w:val="18"/>
                      <w:szCs w:val="18"/>
                      <w14:textFill>
                        <w14:solidFill>
                          <w14:schemeClr w14:val="tx1"/>
                        </w14:solidFill>
                      </w14:textFill>
                    </w:rPr>
                  </w:pPr>
                </w:p>
              </w:tc>
              <w:tc>
                <w:tcPr>
                  <w:tcW w:w="710"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悬浮物</w:t>
                  </w:r>
                </w:p>
              </w:tc>
              <w:tc>
                <w:tcPr>
                  <w:tcW w:w="632"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w:t>
                  </w:r>
                </w:p>
              </w:tc>
              <w:tc>
                <w:tcPr>
                  <w:tcW w:w="643"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w:t>
                  </w:r>
                  <w:r>
                    <w:rPr>
                      <w:rFonts w:hint="eastAsia"/>
                      <w:color w:val="000000" w:themeColor="text1"/>
                      <w:sz w:val="18"/>
                      <w:szCs w:val="18"/>
                      <w14:textFill>
                        <w14:solidFill>
                          <w14:schemeClr w14:val="tx1"/>
                        </w14:solidFill>
                      </w14:textFill>
                    </w:rPr>
                    <w:t>85</w:t>
                  </w:r>
                </w:p>
              </w:tc>
              <w:tc>
                <w:tcPr>
                  <w:tcW w:w="643"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60</w:t>
                  </w:r>
                </w:p>
              </w:tc>
              <w:tc>
                <w:tcPr>
                  <w:tcW w:w="643" w:type="pct"/>
                  <w:vMerge w:val="continue"/>
                  <w:vAlign w:val="center"/>
                </w:tcPr>
                <w:p>
                  <w:pPr>
                    <w:pStyle w:val="63"/>
                    <w:spacing w:line="280" w:lineRule="exact"/>
                    <w:rPr>
                      <w:color w:val="000000" w:themeColor="text1"/>
                      <w:sz w:val="18"/>
                      <w:szCs w:val="18"/>
                      <w14:textFill>
                        <w14:solidFill>
                          <w14:schemeClr w14:val="tx1"/>
                        </w14:solidFill>
                      </w14:textFill>
                    </w:rPr>
                  </w:pPr>
                </w:p>
              </w:tc>
              <w:tc>
                <w:tcPr>
                  <w:tcW w:w="643" w:type="pct"/>
                  <w:vMerge w:val="continue"/>
                  <w:vAlign w:val="center"/>
                </w:tcPr>
                <w:p>
                  <w:pPr>
                    <w:pStyle w:val="63"/>
                    <w:spacing w:line="280" w:lineRule="exact"/>
                    <w:rPr>
                      <w:color w:val="000000" w:themeColor="text1"/>
                      <w:sz w:val="18"/>
                      <w:szCs w:val="18"/>
                      <w14:textFill>
                        <w14:solidFill>
                          <w14:schemeClr w14:val="tx1"/>
                        </w14:solidFill>
                      </w14:textFill>
                    </w:rPr>
                  </w:pPr>
                </w:p>
              </w:tc>
              <w:tc>
                <w:tcPr>
                  <w:tcW w:w="640" w:type="pct"/>
                  <w:vMerge w:val="continue"/>
                  <w:vAlign w:val="center"/>
                </w:tcPr>
                <w:p>
                  <w:pPr>
                    <w:pStyle w:val="63"/>
                    <w:spacing w:line="280" w:lineRule="exact"/>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42" w:type="pct"/>
                  <w:vMerge w:val="continue"/>
                  <w:vAlign w:val="center"/>
                </w:tcPr>
                <w:p>
                  <w:pPr>
                    <w:spacing w:line="280" w:lineRule="exact"/>
                    <w:jc w:val="center"/>
                    <w:rPr>
                      <w:color w:val="000000" w:themeColor="text1"/>
                      <w:sz w:val="18"/>
                      <w:szCs w:val="18"/>
                      <w14:textFill>
                        <w14:solidFill>
                          <w14:schemeClr w14:val="tx1"/>
                        </w14:solidFill>
                      </w14:textFill>
                    </w:rPr>
                  </w:pPr>
                </w:p>
              </w:tc>
              <w:tc>
                <w:tcPr>
                  <w:tcW w:w="710"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氨氮</w:t>
                  </w:r>
                </w:p>
              </w:tc>
              <w:tc>
                <w:tcPr>
                  <w:tcW w:w="632"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0.868</w:t>
                  </w:r>
                </w:p>
              </w:tc>
              <w:tc>
                <w:tcPr>
                  <w:tcW w:w="643"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w:t>
                  </w:r>
                  <w:r>
                    <w:rPr>
                      <w:rFonts w:hint="eastAsia"/>
                      <w:color w:val="000000" w:themeColor="text1"/>
                      <w:sz w:val="18"/>
                      <w:szCs w:val="18"/>
                      <w14:textFill>
                        <w14:solidFill>
                          <w14:schemeClr w14:val="tx1"/>
                        </w14:solidFill>
                      </w14:textFill>
                    </w:rPr>
                    <w:t>7</w:t>
                  </w:r>
                </w:p>
              </w:tc>
              <w:tc>
                <w:tcPr>
                  <w:tcW w:w="643"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25</w:t>
                  </w:r>
                </w:p>
              </w:tc>
              <w:tc>
                <w:tcPr>
                  <w:tcW w:w="643" w:type="pct"/>
                  <w:vMerge w:val="continue"/>
                  <w:vAlign w:val="center"/>
                </w:tcPr>
                <w:p>
                  <w:pPr>
                    <w:pStyle w:val="63"/>
                    <w:spacing w:line="280" w:lineRule="exact"/>
                    <w:rPr>
                      <w:color w:val="000000" w:themeColor="text1"/>
                      <w:sz w:val="18"/>
                      <w:szCs w:val="18"/>
                      <w14:textFill>
                        <w14:solidFill>
                          <w14:schemeClr w14:val="tx1"/>
                        </w14:solidFill>
                      </w14:textFill>
                    </w:rPr>
                  </w:pPr>
                </w:p>
              </w:tc>
              <w:tc>
                <w:tcPr>
                  <w:tcW w:w="643" w:type="pct"/>
                  <w:vMerge w:val="continue"/>
                  <w:vAlign w:val="center"/>
                </w:tcPr>
                <w:p>
                  <w:pPr>
                    <w:pStyle w:val="63"/>
                    <w:spacing w:line="280" w:lineRule="exact"/>
                    <w:rPr>
                      <w:color w:val="000000" w:themeColor="text1"/>
                      <w:sz w:val="18"/>
                      <w:szCs w:val="18"/>
                      <w14:textFill>
                        <w14:solidFill>
                          <w14:schemeClr w14:val="tx1"/>
                        </w14:solidFill>
                      </w14:textFill>
                    </w:rPr>
                  </w:pPr>
                </w:p>
              </w:tc>
              <w:tc>
                <w:tcPr>
                  <w:tcW w:w="640" w:type="pct"/>
                  <w:vMerge w:val="continue"/>
                  <w:vAlign w:val="center"/>
                </w:tcPr>
                <w:p>
                  <w:pPr>
                    <w:pStyle w:val="63"/>
                    <w:spacing w:line="280" w:lineRule="exact"/>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42" w:type="pct"/>
                  <w:vMerge w:val="continue"/>
                  <w:vAlign w:val="center"/>
                </w:tcPr>
                <w:p>
                  <w:pPr>
                    <w:spacing w:line="280" w:lineRule="exact"/>
                    <w:jc w:val="center"/>
                    <w:rPr>
                      <w:color w:val="000000" w:themeColor="text1"/>
                      <w:sz w:val="18"/>
                      <w:szCs w:val="18"/>
                      <w14:textFill>
                        <w14:solidFill>
                          <w14:schemeClr w14:val="tx1"/>
                        </w14:solidFill>
                      </w14:textFill>
                    </w:rPr>
                  </w:pPr>
                </w:p>
              </w:tc>
              <w:tc>
                <w:tcPr>
                  <w:tcW w:w="710"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阴离子表面活性剂</w:t>
                  </w:r>
                </w:p>
              </w:tc>
              <w:tc>
                <w:tcPr>
                  <w:tcW w:w="632"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0.15</w:t>
                  </w:r>
                </w:p>
              </w:tc>
              <w:tc>
                <w:tcPr>
                  <w:tcW w:w="643"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0.001</w:t>
                  </w:r>
                </w:p>
              </w:tc>
              <w:tc>
                <w:tcPr>
                  <w:tcW w:w="643"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643" w:type="pct"/>
                  <w:vMerge w:val="continue"/>
                  <w:vAlign w:val="center"/>
                </w:tcPr>
                <w:p>
                  <w:pPr>
                    <w:pStyle w:val="63"/>
                    <w:spacing w:line="280" w:lineRule="exact"/>
                    <w:rPr>
                      <w:color w:val="000000" w:themeColor="text1"/>
                      <w:sz w:val="18"/>
                      <w:szCs w:val="18"/>
                      <w14:textFill>
                        <w14:solidFill>
                          <w14:schemeClr w14:val="tx1"/>
                        </w14:solidFill>
                      </w14:textFill>
                    </w:rPr>
                  </w:pPr>
                </w:p>
              </w:tc>
              <w:tc>
                <w:tcPr>
                  <w:tcW w:w="643" w:type="pct"/>
                  <w:vMerge w:val="continue"/>
                  <w:vAlign w:val="center"/>
                </w:tcPr>
                <w:p>
                  <w:pPr>
                    <w:pStyle w:val="63"/>
                    <w:spacing w:line="280" w:lineRule="exact"/>
                    <w:rPr>
                      <w:color w:val="000000" w:themeColor="text1"/>
                      <w:sz w:val="18"/>
                      <w:szCs w:val="18"/>
                      <w14:textFill>
                        <w14:solidFill>
                          <w14:schemeClr w14:val="tx1"/>
                        </w14:solidFill>
                      </w14:textFill>
                    </w:rPr>
                  </w:pPr>
                </w:p>
              </w:tc>
              <w:tc>
                <w:tcPr>
                  <w:tcW w:w="640" w:type="pct"/>
                  <w:vMerge w:val="continue"/>
                  <w:vAlign w:val="center"/>
                </w:tcPr>
                <w:p>
                  <w:pPr>
                    <w:pStyle w:val="63"/>
                    <w:spacing w:line="280" w:lineRule="exact"/>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42" w:type="pct"/>
                  <w:vMerge w:val="continue"/>
                  <w:vAlign w:val="center"/>
                </w:tcPr>
                <w:p>
                  <w:pPr>
                    <w:spacing w:line="280" w:lineRule="exact"/>
                    <w:jc w:val="center"/>
                    <w:rPr>
                      <w:color w:val="000000" w:themeColor="text1"/>
                      <w:sz w:val="18"/>
                      <w:szCs w:val="18"/>
                      <w14:textFill>
                        <w14:solidFill>
                          <w14:schemeClr w14:val="tx1"/>
                        </w14:solidFill>
                      </w14:textFill>
                    </w:rPr>
                  </w:pPr>
                </w:p>
              </w:tc>
              <w:tc>
                <w:tcPr>
                  <w:tcW w:w="710"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总磷</w:t>
                  </w:r>
                </w:p>
              </w:tc>
              <w:tc>
                <w:tcPr>
                  <w:tcW w:w="632"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0.02</w:t>
                  </w:r>
                </w:p>
              </w:tc>
              <w:tc>
                <w:tcPr>
                  <w:tcW w:w="643"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0.0001</w:t>
                  </w:r>
                </w:p>
              </w:tc>
              <w:tc>
                <w:tcPr>
                  <w:tcW w:w="643"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w:t>
                  </w:r>
                </w:p>
              </w:tc>
              <w:tc>
                <w:tcPr>
                  <w:tcW w:w="643" w:type="pct"/>
                  <w:vMerge w:val="continue"/>
                  <w:vAlign w:val="center"/>
                </w:tcPr>
                <w:p>
                  <w:pPr>
                    <w:pStyle w:val="63"/>
                    <w:spacing w:line="280" w:lineRule="exact"/>
                    <w:rPr>
                      <w:color w:val="000000" w:themeColor="text1"/>
                      <w:sz w:val="18"/>
                      <w:szCs w:val="18"/>
                      <w14:textFill>
                        <w14:solidFill>
                          <w14:schemeClr w14:val="tx1"/>
                        </w14:solidFill>
                      </w14:textFill>
                    </w:rPr>
                  </w:pPr>
                </w:p>
              </w:tc>
              <w:tc>
                <w:tcPr>
                  <w:tcW w:w="643" w:type="pct"/>
                  <w:vMerge w:val="continue"/>
                  <w:vAlign w:val="center"/>
                </w:tcPr>
                <w:p>
                  <w:pPr>
                    <w:pStyle w:val="63"/>
                    <w:spacing w:line="280" w:lineRule="exact"/>
                    <w:rPr>
                      <w:color w:val="000000" w:themeColor="text1"/>
                      <w:sz w:val="18"/>
                      <w:szCs w:val="18"/>
                      <w14:textFill>
                        <w14:solidFill>
                          <w14:schemeClr w14:val="tx1"/>
                        </w14:solidFill>
                      </w14:textFill>
                    </w:rPr>
                  </w:pPr>
                </w:p>
              </w:tc>
              <w:tc>
                <w:tcPr>
                  <w:tcW w:w="640" w:type="pct"/>
                  <w:vMerge w:val="continue"/>
                  <w:vAlign w:val="center"/>
                </w:tcPr>
                <w:p>
                  <w:pPr>
                    <w:pStyle w:val="63"/>
                    <w:spacing w:line="280" w:lineRule="exact"/>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42" w:type="pct"/>
                  <w:vMerge w:val="continue"/>
                  <w:vAlign w:val="center"/>
                </w:tcPr>
                <w:p>
                  <w:pPr>
                    <w:spacing w:line="280" w:lineRule="exact"/>
                    <w:jc w:val="center"/>
                    <w:rPr>
                      <w:color w:val="000000" w:themeColor="text1"/>
                      <w:sz w:val="18"/>
                      <w:szCs w:val="18"/>
                      <w14:textFill>
                        <w14:solidFill>
                          <w14:schemeClr w14:val="tx1"/>
                        </w14:solidFill>
                      </w14:textFill>
                    </w:rPr>
                  </w:pPr>
                </w:p>
              </w:tc>
              <w:tc>
                <w:tcPr>
                  <w:tcW w:w="710"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氟化物</w:t>
                  </w:r>
                </w:p>
              </w:tc>
              <w:tc>
                <w:tcPr>
                  <w:tcW w:w="632"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1.46</w:t>
                  </w:r>
                </w:p>
              </w:tc>
              <w:tc>
                <w:tcPr>
                  <w:tcW w:w="643"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w:t>
                  </w:r>
                  <w:r>
                    <w:rPr>
                      <w:rFonts w:hint="eastAsia"/>
                      <w:color w:val="000000" w:themeColor="text1"/>
                      <w:sz w:val="18"/>
                      <w:szCs w:val="18"/>
                      <w14:textFill>
                        <w14:solidFill>
                          <w14:schemeClr w14:val="tx1"/>
                        </w14:solidFill>
                      </w14:textFill>
                    </w:rPr>
                    <w:t>11</w:t>
                  </w:r>
                </w:p>
              </w:tc>
              <w:tc>
                <w:tcPr>
                  <w:tcW w:w="643"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w:t>
                  </w:r>
                </w:p>
              </w:tc>
              <w:tc>
                <w:tcPr>
                  <w:tcW w:w="643" w:type="pct"/>
                  <w:vMerge w:val="continue"/>
                  <w:vAlign w:val="center"/>
                </w:tcPr>
                <w:p>
                  <w:pPr>
                    <w:pStyle w:val="63"/>
                    <w:spacing w:line="280" w:lineRule="exact"/>
                    <w:rPr>
                      <w:color w:val="000000" w:themeColor="text1"/>
                      <w:sz w:val="18"/>
                      <w:szCs w:val="18"/>
                      <w14:textFill>
                        <w14:solidFill>
                          <w14:schemeClr w14:val="tx1"/>
                        </w14:solidFill>
                      </w14:textFill>
                    </w:rPr>
                  </w:pPr>
                </w:p>
              </w:tc>
              <w:tc>
                <w:tcPr>
                  <w:tcW w:w="643" w:type="pct"/>
                  <w:vMerge w:val="continue"/>
                  <w:vAlign w:val="center"/>
                </w:tcPr>
                <w:p>
                  <w:pPr>
                    <w:pStyle w:val="63"/>
                    <w:spacing w:line="280" w:lineRule="exact"/>
                    <w:rPr>
                      <w:color w:val="000000" w:themeColor="text1"/>
                      <w:sz w:val="18"/>
                      <w:szCs w:val="18"/>
                      <w14:textFill>
                        <w14:solidFill>
                          <w14:schemeClr w14:val="tx1"/>
                        </w14:solidFill>
                      </w14:textFill>
                    </w:rPr>
                  </w:pPr>
                </w:p>
              </w:tc>
              <w:tc>
                <w:tcPr>
                  <w:tcW w:w="640" w:type="pct"/>
                  <w:vMerge w:val="continue"/>
                  <w:vAlign w:val="center"/>
                </w:tcPr>
                <w:p>
                  <w:pPr>
                    <w:pStyle w:val="63"/>
                    <w:spacing w:line="280" w:lineRule="exact"/>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42" w:type="pct"/>
                  <w:vMerge w:val="continue"/>
                  <w:vAlign w:val="center"/>
                </w:tcPr>
                <w:p>
                  <w:pPr>
                    <w:spacing w:line="280" w:lineRule="exact"/>
                    <w:jc w:val="center"/>
                    <w:rPr>
                      <w:color w:val="000000" w:themeColor="text1"/>
                      <w:sz w:val="18"/>
                      <w:szCs w:val="18"/>
                      <w14:textFill>
                        <w14:solidFill>
                          <w14:schemeClr w14:val="tx1"/>
                        </w14:solidFill>
                      </w14:textFill>
                    </w:rPr>
                  </w:pPr>
                </w:p>
              </w:tc>
              <w:tc>
                <w:tcPr>
                  <w:tcW w:w="710"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粪大肠菌群数</w:t>
                  </w:r>
                </w:p>
              </w:tc>
              <w:tc>
                <w:tcPr>
                  <w:tcW w:w="632"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70</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MPN/L</w:t>
                  </w:r>
                  <w:r>
                    <w:rPr>
                      <w:rFonts w:hint="eastAsia"/>
                      <w:color w:val="000000" w:themeColor="text1"/>
                      <w:sz w:val="18"/>
                      <w:szCs w:val="18"/>
                      <w14:textFill>
                        <w14:solidFill>
                          <w14:schemeClr w14:val="tx1"/>
                        </w14:solidFill>
                      </w14:textFill>
                    </w:rPr>
                    <w:t>）</w:t>
                  </w:r>
                </w:p>
              </w:tc>
              <w:tc>
                <w:tcPr>
                  <w:tcW w:w="643" w:type="pct"/>
                  <w:vAlign w:val="center"/>
                </w:tcPr>
                <w:p>
                  <w:pPr>
                    <w:pStyle w:val="63"/>
                    <w:spacing w:line="28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5.41</w:t>
                  </w:r>
                  <w:r>
                    <w:rPr>
                      <w:color w:val="000000" w:themeColor="text1"/>
                      <w:sz w:val="18"/>
                      <w:szCs w:val="18"/>
                      <w14:textFill>
                        <w14:solidFill>
                          <w14:schemeClr w14:val="tx1"/>
                        </w14:solidFill>
                      </w14:textFill>
                    </w:rPr>
                    <w:t>×10</w:t>
                  </w:r>
                  <w:r>
                    <w:rPr>
                      <w:rFonts w:hint="eastAsia"/>
                      <w:color w:val="000000" w:themeColor="text1"/>
                      <w:sz w:val="18"/>
                      <w:szCs w:val="18"/>
                      <w:vertAlign w:val="superscript"/>
                      <w14:textFill>
                        <w14:solidFill>
                          <w14:schemeClr w14:val="tx1"/>
                        </w14:solidFill>
                      </w14:textFill>
                    </w:rPr>
                    <w:t>8</w:t>
                  </w:r>
                  <w:r>
                    <w:rPr>
                      <w:color w:val="000000" w:themeColor="text1"/>
                      <w:sz w:val="18"/>
                      <w:szCs w:val="18"/>
                      <w14:textFill>
                        <w14:solidFill>
                          <w14:schemeClr w14:val="tx1"/>
                        </w14:solidFill>
                      </w14:textFill>
                    </w:rPr>
                    <w:t>MPN</w:t>
                  </w:r>
                </w:p>
              </w:tc>
              <w:tc>
                <w:tcPr>
                  <w:tcW w:w="643" w:type="pct"/>
                  <w:vAlign w:val="center"/>
                </w:tcPr>
                <w:p>
                  <w:pPr>
                    <w:pStyle w:val="63"/>
                    <w:spacing w:line="280" w:lineRule="exac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500</w:t>
                  </w:r>
                  <w:r>
                    <w:rPr>
                      <w:color w:val="000000" w:themeColor="text1"/>
                      <w:sz w:val="18"/>
                      <w:szCs w:val="18"/>
                      <w14:textFill>
                        <w14:solidFill>
                          <w14:schemeClr w14:val="tx1"/>
                        </w14:solidFill>
                      </w14:textFill>
                    </w:rPr>
                    <w:t>MPN/L</w:t>
                  </w:r>
                </w:p>
              </w:tc>
              <w:tc>
                <w:tcPr>
                  <w:tcW w:w="643" w:type="pct"/>
                  <w:vMerge w:val="continue"/>
                  <w:vAlign w:val="center"/>
                </w:tcPr>
                <w:p>
                  <w:pPr>
                    <w:pStyle w:val="63"/>
                    <w:spacing w:line="280" w:lineRule="exact"/>
                    <w:rPr>
                      <w:color w:val="000000" w:themeColor="text1"/>
                      <w:sz w:val="18"/>
                      <w:szCs w:val="18"/>
                      <w14:textFill>
                        <w14:solidFill>
                          <w14:schemeClr w14:val="tx1"/>
                        </w14:solidFill>
                      </w14:textFill>
                    </w:rPr>
                  </w:pPr>
                </w:p>
              </w:tc>
              <w:tc>
                <w:tcPr>
                  <w:tcW w:w="643" w:type="pct"/>
                  <w:vMerge w:val="continue"/>
                  <w:vAlign w:val="center"/>
                </w:tcPr>
                <w:p>
                  <w:pPr>
                    <w:pStyle w:val="63"/>
                    <w:spacing w:line="280" w:lineRule="exact"/>
                    <w:rPr>
                      <w:color w:val="000000" w:themeColor="text1"/>
                      <w:sz w:val="18"/>
                      <w:szCs w:val="18"/>
                      <w14:textFill>
                        <w14:solidFill>
                          <w14:schemeClr w14:val="tx1"/>
                        </w14:solidFill>
                      </w14:textFill>
                    </w:rPr>
                  </w:pPr>
                </w:p>
              </w:tc>
              <w:tc>
                <w:tcPr>
                  <w:tcW w:w="640" w:type="pct"/>
                  <w:vMerge w:val="continue"/>
                  <w:vAlign w:val="center"/>
                </w:tcPr>
                <w:p>
                  <w:pPr>
                    <w:pStyle w:val="63"/>
                    <w:spacing w:line="280" w:lineRule="exact"/>
                    <w:rPr>
                      <w:color w:val="000000" w:themeColor="text1"/>
                      <w:sz w:val="18"/>
                      <w:szCs w:val="18"/>
                      <w14:textFill>
                        <w14:solidFill>
                          <w14:schemeClr w14:val="tx1"/>
                        </w14:solidFill>
                      </w14:textFill>
                    </w:rPr>
                  </w:pPr>
                </w:p>
              </w:tc>
            </w:tr>
          </w:tbl>
          <w:p>
            <w:pPr>
              <w:jc w:val="center"/>
              <w:rPr>
                <w:color w:val="000000" w:themeColor="text1"/>
                <w14:textFill>
                  <w14:solidFill>
                    <w14:schemeClr w14:val="tx1"/>
                  </w14:solidFill>
                </w14:textFill>
              </w:rPr>
            </w:pPr>
            <w:r>
              <w:rPr>
                <w:b/>
                <w:bCs/>
                <w:color w:val="000000" w:themeColor="text1"/>
                <w:kern w:val="0"/>
                <w:szCs w:val="21"/>
                <w14:textFill>
                  <w14:solidFill>
                    <w14:schemeClr w14:val="tx1"/>
                  </w14:solidFill>
                </w14:textFill>
              </w:rPr>
              <w:t>表4-6  废水排放口基本情况一览表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09"/>
              <w:gridCol w:w="1587"/>
              <w:gridCol w:w="1444"/>
              <w:gridCol w:w="3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97"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排放口编号</w:t>
                  </w:r>
                </w:p>
              </w:tc>
              <w:tc>
                <w:tcPr>
                  <w:tcW w:w="943"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排放口名称</w:t>
                  </w:r>
                </w:p>
              </w:tc>
              <w:tc>
                <w:tcPr>
                  <w:tcW w:w="858"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排放口类型</w:t>
                  </w:r>
                </w:p>
              </w:tc>
              <w:tc>
                <w:tcPr>
                  <w:tcW w:w="2303"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地理位置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97"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DW001</w:t>
                  </w:r>
                </w:p>
              </w:tc>
              <w:tc>
                <w:tcPr>
                  <w:tcW w:w="943"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废水总排口</w:t>
                  </w:r>
                </w:p>
              </w:tc>
              <w:tc>
                <w:tcPr>
                  <w:tcW w:w="858"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一般排放口</w:t>
                  </w:r>
                </w:p>
              </w:tc>
              <w:tc>
                <w:tcPr>
                  <w:tcW w:w="2303" w:type="pct"/>
                  <w:vAlign w:val="center"/>
                </w:tcPr>
                <w:p>
                  <w:pPr>
                    <w:pStyle w:val="63"/>
                    <w:spacing w:line="28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118.020297°E；36.802781°N</w:t>
                  </w:r>
                </w:p>
              </w:tc>
            </w:tr>
          </w:tbl>
          <w:p>
            <w:pPr>
              <w:pStyle w:val="2"/>
              <w:spacing w:after="0" w:line="360" w:lineRule="auto"/>
              <w:ind w:firstLine="0" w:firstLineChars="0"/>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1.4</w:t>
            </w:r>
            <w:r>
              <w:rPr>
                <w:color w:val="000000" w:themeColor="text1"/>
                <w14:textFill>
                  <w14:solidFill>
                    <w14:schemeClr w14:val="tx1"/>
                  </w14:solidFill>
                </w14:textFill>
              </w:rPr>
              <w:t xml:space="preserve"> </w:t>
            </w:r>
            <w:r>
              <w:rPr>
                <w:b/>
                <w:bCs/>
                <w:color w:val="000000" w:themeColor="text1"/>
                <w:sz w:val="21"/>
                <w:szCs w:val="21"/>
                <w14:textFill>
                  <w14:solidFill>
                    <w14:schemeClr w14:val="tx1"/>
                  </w14:solidFill>
                </w14:textFill>
              </w:rPr>
              <w:t>依托污水处理厂可行性分析</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光大水务（淄博）有限公司水质净化三分厂位于淄博市高新技术产业开发区北侧，果里镇陈斜村西约160m处，西侧靠近猪龙河，是光大国际采用“BOT”模式全资拥有的首个水务项目，项目总规模为日处理污水30万吨，分两期建设。一期工程总投资人民币1.5亿元，总占地面积150亩，日处理污水为10万吨，总变化系数1.3，用“改良A2O+V型”滤池工艺，于2006年10月动工建设，2007年9月正式运营，出水能够稳定达到《城镇污水处理厂污染物排放标准》（GB18918-2002）中一级A排放标准、《流域水污染物综合排放标准 第3部分：小清河流域》（DB37/3416.3-2018）以及淄博市人民政府关于印发淄博市落实《水污染防治行动计划》实施方案的通知（淄政发〔2016〕12号）要求（COD≤40mg/L，NH</w:t>
            </w:r>
            <w:r>
              <w:rPr>
                <w:color w:val="000000" w:themeColor="text1"/>
                <w:szCs w:val="21"/>
                <w:vertAlign w:val="subscript"/>
                <w14:textFill>
                  <w14:solidFill>
                    <w14:schemeClr w14:val="tx1"/>
                  </w14:solidFill>
                </w14:textFill>
              </w:rPr>
              <w:t>3</w:t>
            </w:r>
            <w:r>
              <w:rPr>
                <w:color w:val="000000" w:themeColor="text1"/>
                <w:szCs w:val="21"/>
                <w14:textFill>
                  <w14:solidFill>
                    <w14:schemeClr w14:val="tx1"/>
                  </w14:solidFill>
                </w14:textFill>
              </w:rPr>
              <w:t>-N≤2mg/L）要求。</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污水处理工艺流程见下图：</w:t>
            </w:r>
          </w:p>
          <w:p>
            <w:pPr>
              <w:adjustRightInd w:val="0"/>
              <w:snapToGrid w:val="0"/>
              <w:spacing w:line="36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drawing>
                <wp:inline distT="0" distB="0" distL="0" distR="0">
                  <wp:extent cx="4619625" cy="46196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619856" cy="4619856"/>
                          </a:xfrm>
                          <a:prstGeom prst="rect">
                            <a:avLst/>
                          </a:prstGeom>
                          <a:noFill/>
                          <a:ln>
                            <a:noFill/>
                          </a:ln>
                        </pic:spPr>
                      </pic:pic>
                    </a:graphicData>
                  </a:graphic>
                </wp:inline>
              </w:drawing>
            </w:r>
          </w:p>
          <w:p>
            <w:pPr>
              <w:adjustRightInd w:val="0"/>
              <w:snapToGrid w:val="0"/>
              <w:spacing w:line="360" w:lineRule="auto"/>
              <w:ind w:firstLine="422" w:firstLineChars="20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图4-2  光大水务（淄博）有限公司水质净化三分厂污水处理工艺流程图</w:t>
            </w:r>
          </w:p>
          <w:p>
            <w:pPr>
              <w:adjustRightInd w:val="0"/>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1、处理能力</w:t>
            </w:r>
          </w:p>
          <w:p>
            <w:pPr>
              <w:pStyle w:val="2"/>
              <w:spacing w:after="0" w:line="360" w:lineRule="auto"/>
              <w:ind w:left="0" w:left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本项目院区总的排放水量约为</w:t>
            </w:r>
            <w:r>
              <w:rPr>
                <w:rFonts w:hint="eastAsia"/>
                <w:color w:val="000000" w:themeColor="text1"/>
                <w:sz w:val="21"/>
                <w:szCs w:val="21"/>
                <w14:textFill>
                  <w14:solidFill>
                    <w14:schemeClr w14:val="tx1"/>
                  </w14:solidFill>
                </w14:textFill>
              </w:rPr>
              <w:t>7729.4</w:t>
            </w:r>
            <w:r>
              <w:rPr>
                <w:color w:val="000000" w:themeColor="text1"/>
                <w:sz w:val="21"/>
                <w:szCs w:val="21"/>
                <w14:textFill>
                  <w14:solidFill>
                    <w14:schemeClr w14:val="tx1"/>
                  </w14:solidFill>
                </w14:textFill>
              </w:rPr>
              <w:t>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/a，折合</w:t>
            </w:r>
            <w:r>
              <w:rPr>
                <w:rFonts w:hint="eastAsia"/>
                <w:color w:val="000000" w:themeColor="text1"/>
                <w:sz w:val="21"/>
                <w:szCs w:val="21"/>
                <w14:textFill>
                  <w14:solidFill>
                    <w14:schemeClr w14:val="tx1"/>
                  </w14:solidFill>
                </w14:textFill>
              </w:rPr>
              <w:t>21.2</w:t>
            </w:r>
            <w:r>
              <w:rPr>
                <w:color w:val="000000" w:themeColor="text1"/>
                <w:sz w:val="21"/>
                <w:szCs w:val="21"/>
                <w14:textFill>
                  <w14:solidFill>
                    <w14:schemeClr w14:val="tx1"/>
                  </w14:solidFill>
                </w14:textFill>
              </w:rPr>
              <w:t>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/d，占污水处理厂现有富余处理能力（约13522m</w:t>
            </w:r>
            <w:r>
              <w:rPr>
                <w:color w:val="000000" w:themeColor="text1"/>
                <w:sz w:val="21"/>
                <w:szCs w:val="21"/>
                <w:vertAlign w:val="superscript"/>
                <w14:textFill>
                  <w14:solidFill>
                    <w14:schemeClr w14:val="tx1"/>
                  </w14:solidFill>
                </w14:textFill>
              </w:rPr>
              <w:t>3</w:t>
            </w:r>
            <w:r>
              <w:rPr>
                <w:color w:val="000000" w:themeColor="text1"/>
                <w:sz w:val="21"/>
                <w:szCs w:val="21"/>
                <w14:textFill>
                  <w14:solidFill>
                    <w14:schemeClr w14:val="tx1"/>
                  </w14:solidFill>
                </w14:textFill>
              </w:rPr>
              <w:t>/d）的0.1</w:t>
            </w:r>
            <w:r>
              <w:rPr>
                <w:rFonts w:hint="eastAsia"/>
                <w:color w:val="000000" w:themeColor="text1"/>
                <w:sz w:val="21"/>
                <w:szCs w:val="21"/>
                <w14:textFill>
                  <w14:solidFill>
                    <w14:schemeClr w14:val="tx1"/>
                  </w14:solidFill>
                </w14:textFill>
              </w:rPr>
              <w:t>57</w:t>
            </w:r>
            <w:r>
              <w:rPr>
                <w:color w:val="000000" w:themeColor="text1"/>
                <w:sz w:val="21"/>
                <w:szCs w:val="21"/>
                <w14:textFill>
                  <w14:solidFill>
                    <w14:schemeClr w14:val="tx1"/>
                  </w14:solidFill>
                </w14:textFill>
              </w:rPr>
              <w:t>%，占用比例较小，对污水处理厂水量冲击较小。</w:t>
            </w:r>
          </w:p>
          <w:p>
            <w:pPr>
              <w:pStyle w:val="2"/>
              <w:spacing w:after="0" w:line="360" w:lineRule="auto"/>
              <w:ind w:left="0" w:left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2、接纳范围</w:t>
            </w:r>
          </w:p>
          <w:p>
            <w:pPr>
              <w:pStyle w:val="2"/>
              <w:spacing w:after="0" w:line="360" w:lineRule="auto"/>
              <w:ind w:left="0" w:left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本项目所在区域市政污水管网敷设完善，光大水务（淄博）有限公司水质净化三分厂污水管网已覆盖本项目所在区域，项目污水可以纳管排放。</w:t>
            </w:r>
          </w:p>
          <w:p>
            <w:pPr>
              <w:pStyle w:val="2"/>
              <w:spacing w:after="0" w:line="360" w:lineRule="auto"/>
              <w:ind w:left="0" w:left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3、处理工艺</w:t>
            </w:r>
          </w:p>
          <w:p>
            <w:pPr>
              <w:pStyle w:val="2"/>
              <w:spacing w:after="0" w:line="360" w:lineRule="auto"/>
              <w:ind w:left="0" w:left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光大水务（淄博）有限公司水质净化三分厂污水处理工艺见前文图4-2，本项目废水污染物主要为COD、氨氮、BOD</w:t>
            </w:r>
            <w:r>
              <w:rPr>
                <w:color w:val="000000" w:themeColor="text1"/>
                <w:sz w:val="21"/>
                <w:szCs w:val="21"/>
                <w:vertAlign w:val="subscript"/>
                <w14:textFill>
                  <w14:solidFill>
                    <w14:schemeClr w14:val="tx1"/>
                  </w14:solidFill>
                </w14:textFill>
              </w:rPr>
              <w:t>5</w:t>
            </w:r>
            <w:r>
              <w:rPr>
                <w:color w:val="000000" w:themeColor="text1"/>
                <w:sz w:val="21"/>
                <w:szCs w:val="21"/>
                <w14:textFill>
                  <w14:solidFill>
                    <w14:schemeClr w14:val="tx1"/>
                  </w14:solidFill>
                </w14:textFill>
              </w:rPr>
              <w:t>、SS、总余氯、阴离子表面活性剂、总磷、石油类等，废水经污水处理站处理后外排废水水质满足《山东省医疗机构污染物排放控制标准》（DB37/596-2020）二级标准要求，外排污染物量较小，污水处理厂处理工艺能够处理本项目排入污染物。</w:t>
            </w:r>
          </w:p>
          <w:p>
            <w:pPr>
              <w:pStyle w:val="2"/>
              <w:spacing w:after="0" w:line="360" w:lineRule="auto"/>
              <w:ind w:left="0" w:left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4、进出水水质</w:t>
            </w:r>
          </w:p>
          <w:p>
            <w:pPr>
              <w:pStyle w:val="2"/>
              <w:spacing w:after="0" w:line="360" w:lineRule="auto"/>
              <w:ind w:left="0" w:left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进水水质：本项目外排废水水质满足《山东省医疗机构污染物排放控制标准》（DB37/596-2020）二级标准要求，满足光大水务（淄博）有限公司水质净化三分厂进水水质要求。</w:t>
            </w:r>
          </w:p>
          <w:p>
            <w:pPr>
              <w:pStyle w:val="2"/>
              <w:spacing w:after="0" w:line="360" w:lineRule="auto"/>
              <w:ind w:left="0" w:leftChars="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出水水质：本次评价收集了光大水务（淄博）有限公司水质净化三分厂近12个月的在线数据，见下图：</w:t>
            </w:r>
          </w:p>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5342890" cy="1950085"/>
                  <wp:effectExtent l="0" t="0" r="10160" b="1206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5343276" cy="1950543"/>
                          </a:xfrm>
                          <a:prstGeom prst="rect">
                            <a:avLst/>
                          </a:prstGeom>
                        </pic:spPr>
                      </pic:pic>
                    </a:graphicData>
                  </a:graphic>
                </wp:inline>
              </w:drawing>
            </w:r>
          </w:p>
          <w:p>
            <w:pPr>
              <w:jc w:val="center"/>
              <w:rPr>
                <w:color w:val="000000" w:themeColor="text1"/>
                <w14:textFill>
                  <w14:solidFill>
                    <w14:schemeClr w14:val="tx1"/>
                  </w14:solidFill>
                </w14:textFill>
              </w:rPr>
            </w:pPr>
            <w:r>
              <w:rPr>
                <w:color w:val="000000" w:themeColor="text1"/>
                <w14:textFill>
                  <w14:solidFill>
                    <w14:schemeClr w14:val="tx1"/>
                  </w14:solidFill>
                </w14:textFill>
              </w:rPr>
              <w:drawing>
                <wp:inline distT="0" distB="0" distL="0" distR="0">
                  <wp:extent cx="5486400" cy="20193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5486400" cy="2019300"/>
                          </a:xfrm>
                          <a:prstGeom prst="rect">
                            <a:avLst/>
                          </a:prstGeom>
                        </pic:spPr>
                      </pic:pic>
                    </a:graphicData>
                  </a:graphic>
                </wp:inline>
              </w:drawing>
            </w:r>
          </w:p>
          <w:tbl>
            <w:tblPr>
              <w:tblStyle w:val="24"/>
              <w:tblW w:w="0" w:type="auto"/>
              <w:tblInd w:w="0" w:type="dxa"/>
              <w:tblLayout w:type="autofit"/>
              <w:tblCellMar>
                <w:top w:w="0" w:type="dxa"/>
                <w:left w:w="108" w:type="dxa"/>
                <w:bottom w:w="0" w:type="dxa"/>
                <w:right w:w="108" w:type="dxa"/>
              </w:tblCellMar>
            </w:tblPr>
            <w:tblGrid>
              <w:gridCol w:w="8424"/>
            </w:tblGrid>
            <w:tr>
              <w:tblPrEx>
                <w:tblCellMar>
                  <w:top w:w="0" w:type="dxa"/>
                  <w:left w:w="108" w:type="dxa"/>
                  <w:bottom w:w="0" w:type="dxa"/>
                  <w:right w:w="108" w:type="dxa"/>
                </w:tblCellMar>
              </w:tblPrEx>
              <w:trPr>
                <w:trHeight w:val="836" w:hRule="atLeast"/>
              </w:trPr>
              <w:tc>
                <w:tcPr>
                  <w:tcW w:w="0" w:type="auto"/>
                </w:tcPr>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根据监测结果可以看出，光大水务（淄博）有限公司水质净化三分厂出水水质满足《城镇污水处理厂污染物排放标准》（GB18918-2002）中一级A排放标准、《流域水污染物综合排放标准 第3部分：小清河流域》（DB37/3416.3-2018）以及淄博市人民政府关于印发淄博市落实《水污染防治行动计划》实施方案的通知（淄政发〔2016〕12号）要求（COD≤40mg/L，NH</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 xml:space="preserve">-N≤2mg/L）。 </w:t>
                  </w:r>
                </w:p>
              </w:tc>
            </w:tr>
          </w:tbl>
          <w:p>
            <w:pPr>
              <w:spacing w:line="360" w:lineRule="auto"/>
              <w:ind w:firstLine="420"/>
              <w:rPr>
                <w:color w:val="000000" w:themeColor="text1"/>
                <w:szCs w:val="21"/>
                <w14:textFill>
                  <w14:solidFill>
                    <w14:schemeClr w14:val="tx1"/>
                  </w14:solidFill>
                </w14:textFill>
              </w:rPr>
            </w:pPr>
            <w:r>
              <w:rPr>
                <w:color w:val="000000" w:themeColor="text1"/>
                <w14:textFill>
                  <w14:solidFill>
                    <w14:schemeClr w14:val="tx1"/>
                  </w14:solidFill>
                </w14:textFill>
              </w:rPr>
              <w:t>综上，从处理能力、接纳范围、处理工艺、进出水水质等方面分析，项目外排废水进入光大水务（淄博）有限公司水质净化三分厂进一步深度处理是可行的。</w:t>
            </w:r>
          </w:p>
          <w:p>
            <w:pPr>
              <w:spacing w:line="360" w:lineRule="auto"/>
              <w:ind w:firstLine="420"/>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1.5污水处理站管理整改要求</w:t>
            </w:r>
          </w:p>
          <w:p>
            <w:pPr>
              <w:spacing w:line="360" w:lineRule="auto"/>
              <w:ind w:firstLine="42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根据现场调查发现企业污水处理站现场存在问题及整改要求如下：</w:t>
            </w:r>
          </w:p>
          <w:p>
            <w:pPr>
              <w:spacing w:line="360" w:lineRule="auto"/>
              <w:ind w:firstLine="42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1、污水处理站没有设置明显的的警示标识；整改要求：按照要求在污水处理站外的明显处同时设置警示标识；整改计划完成时间：2022年11月底。</w:t>
            </w:r>
          </w:p>
          <w:p>
            <w:pPr>
              <w:spacing w:line="360" w:lineRule="auto"/>
              <w:ind w:firstLine="420"/>
              <w:rPr>
                <w:bCs/>
                <w:color w:val="000000" w:themeColor="text1"/>
                <w14:textFill>
                  <w14:solidFill>
                    <w14:schemeClr w14:val="tx1"/>
                  </w14:solidFill>
                </w14:textFill>
              </w:rPr>
            </w:pPr>
            <w:r>
              <w:rPr>
                <w:rFonts w:hint="eastAsia"/>
                <w:bCs/>
                <w:color w:val="000000" w:themeColor="text1"/>
                <w14:textFill>
                  <w14:solidFill>
                    <w14:schemeClr w14:val="tx1"/>
                  </w14:solidFill>
                </w14:textFill>
              </w:rPr>
              <w:t>2、厂区污水排放口未安装流量检测仪对废水排放口流量进行自动监测；整改要求：安装流量检测仪对废水排放口流量进行自动监测；整改计划完成时间：2022年11月底。</w:t>
            </w:r>
          </w:p>
          <w:p>
            <w:pPr>
              <w:spacing w:line="360" w:lineRule="auto"/>
              <w:ind w:firstLine="420"/>
              <w:rPr>
                <w:b/>
                <w:bCs/>
                <w:color w:val="000000" w:themeColor="text1"/>
                <w:szCs w:val="21"/>
                <w14:textFill>
                  <w14:solidFill>
                    <w14:schemeClr w14:val="tx1"/>
                  </w14:solidFill>
                </w14:textFill>
              </w:rPr>
            </w:pPr>
            <w:r>
              <w:rPr>
                <w:b/>
                <w:bCs/>
                <w:color w:val="000000" w:themeColor="text1"/>
                <w14:textFill>
                  <w14:solidFill>
                    <w14:schemeClr w14:val="tx1"/>
                  </w14:solidFill>
                </w14:textFill>
              </w:rPr>
              <w:t>1.</w:t>
            </w:r>
            <w:r>
              <w:rPr>
                <w:rFonts w:hint="eastAsia"/>
                <w:b/>
                <w:bCs/>
                <w:color w:val="000000" w:themeColor="text1"/>
                <w14:textFill>
                  <w14:solidFill>
                    <w14:schemeClr w14:val="tx1"/>
                  </w14:solidFill>
                </w14:textFill>
              </w:rPr>
              <w:t>6</w:t>
            </w:r>
            <w:r>
              <w:rPr>
                <w:b/>
                <w:bCs/>
                <w:color w:val="000000" w:themeColor="text1"/>
                <w:szCs w:val="21"/>
                <w14:textFill>
                  <w14:solidFill>
                    <w14:schemeClr w14:val="tx1"/>
                  </w14:solidFill>
                </w14:textFill>
              </w:rPr>
              <w:t>地表水环境影响分析</w:t>
            </w:r>
          </w:p>
          <w:p>
            <w:pPr>
              <w:pStyle w:val="2"/>
              <w:spacing w:after="0" w:line="360" w:lineRule="auto"/>
              <w:ind w:left="0" w:leftChars="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(1)本项目外排废水水量小，水质简单、无难降解的有毒有害物质</w:t>
            </w:r>
          </w:p>
          <w:p>
            <w:pPr>
              <w:pStyle w:val="2"/>
              <w:spacing w:after="0" w:line="360" w:lineRule="auto"/>
              <w:ind w:left="0" w:leftChars="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(2)采取措施有效：经院区污水处理站和光大水务（淄博）有限公司水质净化三分厂处理后大幅降低了废水中污染物含量。</w:t>
            </w:r>
          </w:p>
          <w:p>
            <w:pPr>
              <w:pStyle w:val="2"/>
              <w:spacing w:after="0" w:line="360" w:lineRule="auto"/>
              <w:ind w:left="0" w:leftChars="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(3)依托污水处理设施的环境可行性：项目外排废水进入光大水务（淄博）有限公司水质净化三分厂进一步深度处理是可行的。</w:t>
            </w:r>
          </w:p>
          <w:p>
            <w:pPr>
              <w:pStyle w:val="2"/>
              <w:spacing w:after="0" w:line="360" w:lineRule="auto"/>
              <w:ind w:left="0" w:leftChars="0"/>
              <w:jc w:val="left"/>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因此，本项目产生的废水对地表水环境的影响较小。</w:t>
            </w:r>
          </w:p>
          <w:p>
            <w:pPr>
              <w:spacing w:line="360" w:lineRule="auto"/>
              <w:ind w:firstLine="420"/>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1.</w:t>
            </w:r>
            <w:r>
              <w:rPr>
                <w:rFonts w:hint="eastAsia"/>
                <w:b/>
                <w:bCs/>
                <w:color w:val="000000" w:themeColor="text1"/>
                <w:kern w:val="0"/>
                <w:szCs w:val="21"/>
                <w14:textFill>
                  <w14:solidFill>
                    <w14:schemeClr w14:val="tx1"/>
                  </w14:solidFill>
                </w14:textFill>
              </w:rPr>
              <w:t>7</w:t>
            </w:r>
            <w:r>
              <w:rPr>
                <w:b/>
                <w:bCs/>
                <w:color w:val="000000" w:themeColor="text1"/>
                <w:kern w:val="0"/>
                <w:szCs w:val="21"/>
                <w14:textFill>
                  <w14:solidFill>
                    <w14:schemeClr w14:val="tx1"/>
                  </w14:solidFill>
                </w14:textFill>
              </w:rPr>
              <w:t>监测计划</w:t>
            </w:r>
          </w:p>
          <w:p>
            <w:pPr>
              <w:spacing w:line="360" w:lineRule="auto"/>
              <w:ind w:firstLine="420"/>
              <w:rPr>
                <w:color w:val="000000" w:themeColor="text1"/>
                <w14:textFill>
                  <w14:solidFill>
                    <w14:schemeClr w14:val="tx1"/>
                  </w14:solidFill>
                </w14:textFill>
              </w:rPr>
            </w:pPr>
            <w:r>
              <w:rPr>
                <w:color w:val="000000" w:themeColor="text1"/>
                <w:szCs w:val="21"/>
                <w14:textFill>
                  <w14:solidFill>
                    <w14:schemeClr w14:val="tx1"/>
                  </w14:solidFill>
                </w14:textFill>
              </w:rPr>
              <w:t>根据《排污单位自行监测技术指南 总则》（HJ819-2017）、《排污许可证申请与核发技术规范 医疗机构》(HJ1105-2020)，制定本企业自行监测方案。</w:t>
            </w:r>
          </w:p>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表4-7  废水排放监测点位、监测指标及最低监测频次</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4"/>
              <w:gridCol w:w="1524"/>
              <w:gridCol w:w="1440"/>
              <w:gridCol w:w="2791"/>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7" w:type="pc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监测点位</w:t>
                  </w:r>
                </w:p>
              </w:tc>
              <w:tc>
                <w:tcPr>
                  <w:tcW w:w="906" w:type="pc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监测项目</w:t>
                  </w:r>
                </w:p>
              </w:tc>
              <w:tc>
                <w:tcPr>
                  <w:tcW w:w="856" w:type="pc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监测频次</w:t>
                  </w:r>
                </w:p>
              </w:tc>
              <w:tc>
                <w:tcPr>
                  <w:tcW w:w="1659" w:type="pc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执行标准</w:t>
                  </w:r>
                </w:p>
              </w:tc>
              <w:tc>
                <w:tcPr>
                  <w:tcW w:w="792" w:type="pct"/>
                  <w:vAlign w:val="center"/>
                </w:tcPr>
                <w:p>
                  <w:pPr>
                    <w:jc w:val="center"/>
                    <w:rPr>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7" w:type="pct"/>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厂区污水排放口</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（DW001）</w:t>
                  </w:r>
                </w:p>
              </w:tc>
              <w:tc>
                <w:tcPr>
                  <w:tcW w:w="90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流量</w:t>
                  </w:r>
                </w:p>
              </w:tc>
              <w:tc>
                <w:tcPr>
                  <w:tcW w:w="85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自动监测</w:t>
                  </w:r>
                </w:p>
              </w:tc>
              <w:tc>
                <w:tcPr>
                  <w:tcW w:w="1659" w:type="pct"/>
                  <w:vAlign w:val="center"/>
                </w:tcPr>
                <w:p>
                  <w:pPr>
                    <w:pStyle w:val="73"/>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79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7" w:type="pct"/>
                  <w:vMerge w:val="continue"/>
                  <w:vAlign w:val="center"/>
                </w:tcPr>
                <w:p>
                  <w:pPr>
                    <w:jc w:val="center"/>
                    <w:rPr>
                      <w:color w:val="000000" w:themeColor="text1"/>
                      <w:sz w:val="18"/>
                      <w:szCs w:val="18"/>
                      <w14:textFill>
                        <w14:solidFill>
                          <w14:schemeClr w14:val="tx1"/>
                        </w14:solidFill>
                      </w14:textFill>
                    </w:rPr>
                  </w:pPr>
                </w:p>
              </w:tc>
              <w:tc>
                <w:tcPr>
                  <w:tcW w:w="90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pH值</w:t>
                  </w:r>
                </w:p>
              </w:tc>
              <w:tc>
                <w:tcPr>
                  <w:tcW w:w="85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12小时</w:t>
                  </w:r>
                </w:p>
              </w:tc>
              <w:tc>
                <w:tcPr>
                  <w:tcW w:w="1659" w:type="pct"/>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《山东省医疗机构污染物排放控制标准》（DB37/596-2020）二级标准</w:t>
                  </w:r>
                </w:p>
              </w:tc>
              <w:tc>
                <w:tcPr>
                  <w:tcW w:w="79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7" w:type="pct"/>
                  <w:vMerge w:val="continue"/>
                  <w:vAlign w:val="center"/>
                </w:tcPr>
                <w:p>
                  <w:pPr>
                    <w:jc w:val="center"/>
                    <w:rPr>
                      <w:color w:val="000000" w:themeColor="text1"/>
                      <w:sz w:val="18"/>
                      <w:szCs w:val="18"/>
                      <w14:textFill>
                        <w14:solidFill>
                          <w14:schemeClr w14:val="tx1"/>
                        </w14:solidFill>
                      </w14:textFill>
                    </w:rPr>
                  </w:pPr>
                </w:p>
              </w:tc>
              <w:tc>
                <w:tcPr>
                  <w:tcW w:w="90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化学需氧量</w:t>
                  </w:r>
                </w:p>
              </w:tc>
              <w:tc>
                <w:tcPr>
                  <w:tcW w:w="85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每周</w:t>
                  </w:r>
                </w:p>
              </w:tc>
              <w:tc>
                <w:tcPr>
                  <w:tcW w:w="1659" w:type="pct"/>
                  <w:vMerge w:val="continue"/>
                  <w:vAlign w:val="center"/>
                </w:tcPr>
                <w:p>
                  <w:pPr>
                    <w:jc w:val="center"/>
                    <w:rPr>
                      <w:color w:val="000000" w:themeColor="text1"/>
                      <w:sz w:val="18"/>
                      <w:szCs w:val="18"/>
                      <w14:textFill>
                        <w14:solidFill>
                          <w14:schemeClr w14:val="tx1"/>
                        </w14:solidFill>
                      </w14:textFill>
                    </w:rPr>
                  </w:pPr>
                </w:p>
              </w:tc>
              <w:tc>
                <w:tcPr>
                  <w:tcW w:w="79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120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7" w:type="pct"/>
                  <w:vMerge w:val="continue"/>
                  <w:vAlign w:val="center"/>
                </w:tcPr>
                <w:p>
                  <w:pPr>
                    <w:jc w:val="center"/>
                    <w:rPr>
                      <w:color w:val="000000" w:themeColor="text1"/>
                      <w:sz w:val="18"/>
                      <w:szCs w:val="18"/>
                      <w14:textFill>
                        <w14:solidFill>
                          <w14:schemeClr w14:val="tx1"/>
                        </w14:solidFill>
                      </w14:textFill>
                    </w:rPr>
                  </w:pPr>
                </w:p>
              </w:tc>
              <w:tc>
                <w:tcPr>
                  <w:tcW w:w="90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悬浮物</w:t>
                  </w:r>
                </w:p>
              </w:tc>
              <w:tc>
                <w:tcPr>
                  <w:tcW w:w="85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每周</w:t>
                  </w:r>
                </w:p>
              </w:tc>
              <w:tc>
                <w:tcPr>
                  <w:tcW w:w="1659" w:type="pct"/>
                  <w:vMerge w:val="continue"/>
                  <w:vAlign w:val="center"/>
                </w:tcPr>
                <w:p>
                  <w:pPr>
                    <w:jc w:val="center"/>
                    <w:rPr>
                      <w:color w:val="000000" w:themeColor="text1"/>
                      <w:sz w:val="18"/>
                      <w:szCs w:val="18"/>
                      <w14:textFill>
                        <w14:solidFill>
                          <w14:schemeClr w14:val="tx1"/>
                        </w14:solidFill>
                      </w14:textFill>
                    </w:rPr>
                  </w:pPr>
                </w:p>
              </w:tc>
              <w:tc>
                <w:tcPr>
                  <w:tcW w:w="79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60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7" w:type="pct"/>
                  <w:vMerge w:val="continue"/>
                  <w:vAlign w:val="center"/>
                </w:tcPr>
                <w:p>
                  <w:pPr>
                    <w:jc w:val="center"/>
                    <w:rPr>
                      <w:color w:val="000000" w:themeColor="text1"/>
                      <w:sz w:val="18"/>
                      <w:szCs w:val="18"/>
                      <w14:textFill>
                        <w14:solidFill>
                          <w14:schemeClr w14:val="tx1"/>
                        </w14:solidFill>
                      </w14:textFill>
                    </w:rPr>
                  </w:pPr>
                </w:p>
              </w:tc>
              <w:tc>
                <w:tcPr>
                  <w:tcW w:w="90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粪大肠菌群数</w:t>
                  </w:r>
                </w:p>
              </w:tc>
              <w:tc>
                <w:tcPr>
                  <w:tcW w:w="85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每月</w:t>
                  </w:r>
                </w:p>
              </w:tc>
              <w:tc>
                <w:tcPr>
                  <w:tcW w:w="1659" w:type="pct"/>
                  <w:vMerge w:val="continue"/>
                  <w:vAlign w:val="center"/>
                </w:tcPr>
                <w:p>
                  <w:pPr>
                    <w:jc w:val="center"/>
                    <w:rPr>
                      <w:color w:val="000000" w:themeColor="text1"/>
                      <w:sz w:val="18"/>
                      <w:szCs w:val="18"/>
                      <w14:textFill>
                        <w14:solidFill>
                          <w14:schemeClr w14:val="tx1"/>
                        </w14:solidFill>
                      </w14:textFill>
                    </w:rPr>
                  </w:pPr>
                </w:p>
              </w:tc>
              <w:tc>
                <w:tcPr>
                  <w:tcW w:w="79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500（MPN/L）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7" w:type="pct"/>
                  <w:vMerge w:val="continue"/>
                  <w:vAlign w:val="center"/>
                </w:tcPr>
                <w:p>
                  <w:pPr>
                    <w:jc w:val="center"/>
                    <w:rPr>
                      <w:color w:val="000000" w:themeColor="text1"/>
                      <w:sz w:val="18"/>
                      <w:szCs w:val="18"/>
                      <w14:textFill>
                        <w14:solidFill>
                          <w14:schemeClr w14:val="tx1"/>
                        </w14:solidFill>
                      </w14:textFill>
                    </w:rPr>
                  </w:pPr>
                </w:p>
              </w:tc>
              <w:tc>
                <w:tcPr>
                  <w:tcW w:w="90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五日生化需氧量</w:t>
                  </w:r>
                </w:p>
              </w:tc>
              <w:tc>
                <w:tcPr>
                  <w:tcW w:w="856" w:type="pct"/>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季度</w:t>
                  </w:r>
                </w:p>
              </w:tc>
              <w:tc>
                <w:tcPr>
                  <w:tcW w:w="1659" w:type="pct"/>
                  <w:vMerge w:val="continue"/>
                  <w:vAlign w:val="center"/>
                </w:tcPr>
                <w:p>
                  <w:pPr>
                    <w:jc w:val="center"/>
                    <w:rPr>
                      <w:color w:val="000000" w:themeColor="text1"/>
                      <w:sz w:val="18"/>
                      <w:szCs w:val="18"/>
                      <w14:textFill>
                        <w14:solidFill>
                          <w14:schemeClr w14:val="tx1"/>
                        </w14:solidFill>
                      </w14:textFill>
                    </w:rPr>
                  </w:pPr>
                </w:p>
              </w:tc>
              <w:tc>
                <w:tcPr>
                  <w:tcW w:w="79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30 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7" w:type="pct"/>
                  <w:vMerge w:val="continue"/>
                  <w:vAlign w:val="center"/>
                </w:tcPr>
                <w:p>
                  <w:pPr>
                    <w:jc w:val="center"/>
                    <w:rPr>
                      <w:b/>
                      <w:color w:val="000000" w:themeColor="text1"/>
                      <w:sz w:val="18"/>
                      <w:szCs w:val="18"/>
                      <w14:textFill>
                        <w14:solidFill>
                          <w14:schemeClr w14:val="tx1"/>
                        </w14:solidFill>
                      </w14:textFill>
                    </w:rPr>
                  </w:pPr>
                </w:p>
              </w:tc>
              <w:tc>
                <w:tcPr>
                  <w:tcW w:w="906" w:type="pct"/>
                  <w:vAlign w:val="center"/>
                </w:tcPr>
                <w:p>
                  <w:pPr>
                    <w:pStyle w:val="74"/>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石油类</w:t>
                  </w:r>
                </w:p>
              </w:tc>
              <w:tc>
                <w:tcPr>
                  <w:tcW w:w="856" w:type="pct"/>
                  <w:vMerge w:val="continue"/>
                  <w:vAlign w:val="center"/>
                </w:tcPr>
                <w:p>
                  <w:pPr>
                    <w:jc w:val="center"/>
                    <w:rPr>
                      <w:color w:val="000000" w:themeColor="text1"/>
                      <w:sz w:val="18"/>
                      <w:szCs w:val="18"/>
                      <w14:textFill>
                        <w14:solidFill>
                          <w14:schemeClr w14:val="tx1"/>
                        </w14:solidFill>
                      </w14:textFill>
                    </w:rPr>
                  </w:pPr>
                </w:p>
              </w:tc>
              <w:tc>
                <w:tcPr>
                  <w:tcW w:w="1659" w:type="pct"/>
                  <w:vMerge w:val="continue"/>
                  <w:vAlign w:val="center"/>
                </w:tcPr>
                <w:p>
                  <w:pPr>
                    <w:pStyle w:val="75"/>
                    <w:jc w:val="center"/>
                    <w:rPr>
                      <w:rFonts w:ascii="Times New Roman" w:hAnsi="Times New Roman"/>
                      <w:color w:val="000000" w:themeColor="text1"/>
                      <w:sz w:val="18"/>
                      <w:szCs w:val="18"/>
                      <w14:textFill>
                        <w14:solidFill>
                          <w14:schemeClr w14:val="tx1"/>
                        </w14:solidFill>
                      </w14:textFill>
                    </w:rPr>
                  </w:pPr>
                </w:p>
              </w:tc>
              <w:tc>
                <w:tcPr>
                  <w:tcW w:w="792" w:type="pct"/>
                  <w:vAlign w:val="center"/>
                </w:tcPr>
                <w:p>
                  <w:pPr>
                    <w:pStyle w:val="75"/>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7" w:type="pct"/>
                  <w:vMerge w:val="continue"/>
                  <w:vAlign w:val="center"/>
                </w:tcPr>
                <w:p>
                  <w:pPr>
                    <w:jc w:val="center"/>
                    <w:rPr>
                      <w:b/>
                      <w:color w:val="000000" w:themeColor="text1"/>
                      <w:sz w:val="18"/>
                      <w:szCs w:val="18"/>
                      <w14:textFill>
                        <w14:solidFill>
                          <w14:schemeClr w14:val="tx1"/>
                        </w14:solidFill>
                      </w14:textFill>
                    </w:rPr>
                  </w:pPr>
                </w:p>
              </w:tc>
              <w:tc>
                <w:tcPr>
                  <w:tcW w:w="906" w:type="pct"/>
                  <w:vAlign w:val="center"/>
                </w:tcPr>
                <w:p>
                  <w:pPr>
                    <w:pStyle w:val="74"/>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动植物油</w:t>
                  </w:r>
                </w:p>
              </w:tc>
              <w:tc>
                <w:tcPr>
                  <w:tcW w:w="856" w:type="pct"/>
                  <w:vMerge w:val="continue"/>
                  <w:vAlign w:val="center"/>
                </w:tcPr>
                <w:p>
                  <w:pPr>
                    <w:jc w:val="center"/>
                    <w:rPr>
                      <w:color w:val="000000" w:themeColor="text1"/>
                      <w:sz w:val="18"/>
                      <w:szCs w:val="18"/>
                      <w14:textFill>
                        <w14:solidFill>
                          <w14:schemeClr w14:val="tx1"/>
                        </w14:solidFill>
                      </w14:textFill>
                    </w:rPr>
                  </w:pPr>
                </w:p>
              </w:tc>
              <w:tc>
                <w:tcPr>
                  <w:tcW w:w="1659" w:type="pct"/>
                  <w:vMerge w:val="continue"/>
                  <w:vAlign w:val="center"/>
                </w:tcPr>
                <w:p>
                  <w:pPr>
                    <w:pStyle w:val="73"/>
                    <w:jc w:val="center"/>
                    <w:rPr>
                      <w:rFonts w:ascii="Times New Roman" w:hAnsi="Times New Roman"/>
                      <w:color w:val="000000" w:themeColor="text1"/>
                      <w:sz w:val="18"/>
                      <w:szCs w:val="18"/>
                      <w14:textFill>
                        <w14:solidFill>
                          <w14:schemeClr w14:val="tx1"/>
                        </w14:solidFill>
                      </w14:textFill>
                    </w:rPr>
                  </w:pPr>
                </w:p>
              </w:tc>
              <w:tc>
                <w:tcPr>
                  <w:tcW w:w="792" w:type="pct"/>
                  <w:vAlign w:val="center"/>
                </w:tcPr>
                <w:p>
                  <w:pPr>
                    <w:pStyle w:val="73"/>
                    <w:jc w:val="center"/>
                    <w:rPr>
                      <w:rFonts w:ascii="Times New Roman" w:hAnsi="Times New Roman"/>
                      <w:b/>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7" w:type="pct"/>
                  <w:vMerge w:val="continue"/>
                  <w:vAlign w:val="center"/>
                </w:tcPr>
                <w:p>
                  <w:pPr>
                    <w:jc w:val="center"/>
                    <w:rPr>
                      <w:b/>
                      <w:color w:val="000000" w:themeColor="text1"/>
                      <w:sz w:val="18"/>
                      <w:szCs w:val="18"/>
                      <w14:textFill>
                        <w14:solidFill>
                          <w14:schemeClr w14:val="tx1"/>
                        </w14:solidFill>
                      </w14:textFill>
                    </w:rPr>
                  </w:pPr>
                </w:p>
              </w:tc>
              <w:tc>
                <w:tcPr>
                  <w:tcW w:w="906" w:type="pct"/>
                  <w:vAlign w:val="center"/>
                </w:tcPr>
                <w:p>
                  <w:pPr>
                    <w:pStyle w:val="74"/>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挥发酚</w:t>
                  </w:r>
                </w:p>
              </w:tc>
              <w:tc>
                <w:tcPr>
                  <w:tcW w:w="856" w:type="pct"/>
                  <w:vMerge w:val="continue"/>
                  <w:vAlign w:val="center"/>
                </w:tcPr>
                <w:p>
                  <w:pPr>
                    <w:jc w:val="center"/>
                    <w:rPr>
                      <w:color w:val="000000" w:themeColor="text1"/>
                      <w:sz w:val="18"/>
                      <w:szCs w:val="18"/>
                      <w14:textFill>
                        <w14:solidFill>
                          <w14:schemeClr w14:val="tx1"/>
                        </w14:solidFill>
                      </w14:textFill>
                    </w:rPr>
                  </w:pPr>
                </w:p>
              </w:tc>
              <w:tc>
                <w:tcPr>
                  <w:tcW w:w="1659" w:type="pct"/>
                  <w:vMerge w:val="continue"/>
                  <w:vAlign w:val="center"/>
                </w:tcPr>
                <w:p>
                  <w:pPr>
                    <w:pStyle w:val="73"/>
                    <w:jc w:val="center"/>
                    <w:rPr>
                      <w:rFonts w:ascii="Times New Roman" w:hAnsi="Times New Roman"/>
                      <w:color w:val="000000" w:themeColor="text1"/>
                      <w:sz w:val="18"/>
                      <w:szCs w:val="18"/>
                      <w14:textFill>
                        <w14:solidFill>
                          <w14:schemeClr w14:val="tx1"/>
                        </w14:solidFill>
                      </w14:textFill>
                    </w:rPr>
                  </w:pPr>
                </w:p>
              </w:tc>
              <w:tc>
                <w:tcPr>
                  <w:tcW w:w="792" w:type="pct"/>
                  <w:vAlign w:val="center"/>
                </w:tcPr>
                <w:p>
                  <w:pPr>
                    <w:pStyle w:val="73"/>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7" w:type="pct"/>
                  <w:vMerge w:val="continue"/>
                  <w:vAlign w:val="center"/>
                </w:tcPr>
                <w:p>
                  <w:pPr>
                    <w:jc w:val="center"/>
                    <w:rPr>
                      <w:b/>
                      <w:color w:val="000000" w:themeColor="text1"/>
                      <w:sz w:val="18"/>
                      <w:szCs w:val="18"/>
                      <w14:textFill>
                        <w14:solidFill>
                          <w14:schemeClr w14:val="tx1"/>
                        </w14:solidFill>
                      </w14:textFill>
                    </w:rPr>
                  </w:pPr>
                </w:p>
              </w:tc>
              <w:tc>
                <w:tcPr>
                  <w:tcW w:w="906" w:type="pct"/>
                  <w:vAlign w:val="center"/>
                </w:tcPr>
                <w:p>
                  <w:pPr>
                    <w:pStyle w:val="74"/>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总氰化物</w:t>
                  </w:r>
                </w:p>
              </w:tc>
              <w:tc>
                <w:tcPr>
                  <w:tcW w:w="856" w:type="pct"/>
                  <w:vMerge w:val="continue"/>
                  <w:vAlign w:val="center"/>
                </w:tcPr>
                <w:p>
                  <w:pPr>
                    <w:jc w:val="center"/>
                    <w:rPr>
                      <w:color w:val="000000" w:themeColor="text1"/>
                      <w:sz w:val="18"/>
                      <w:szCs w:val="18"/>
                      <w14:textFill>
                        <w14:solidFill>
                          <w14:schemeClr w14:val="tx1"/>
                        </w14:solidFill>
                      </w14:textFill>
                    </w:rPr>
                  </w:pPr>
                </w:p>
              </w:tc>
              <w:tc>
                <w:tcPr>
                  <w:tcW w:w="1659" w:type="pct"/>
                  <w:vMerge w:val="continue"/>
                  <w:vAlign w:val="center"/>
                </w:tcPr>
                <w:p>
                  <w:pPr>
                    <w:pStyle w:val="75"/>
                    <w:jc w:val="center"/>
                    <w:rPr>
                      <w:rFonts w:ascii="Times New Roman" w:hAnsi="Times New Roman"/>
                      <w:color w:val="000000" w:themeColor="text1"/>
                      <w:sz w:val="18"/>
                      <w:szCs w:val="18"/>
                      <w14:textFill>
                        <w14:solidFill>
                          <w14:schemeClr w14:val="tx1"/>
                        </w14:solidFill>
                      </w14:textFill>
                    </w:rPr>
                  </w:pPr>
                </w:p>
              </w:tc>
              <w:tc>
                <w:tcPr>
                  <w:tcW w:w="792" w:type="pct"/>
                  <w:vAlign w:val="center"/>
                </w:tcPr>
                <w:p>
                  <w:pPr>
                    <w:pStyle w:val="75"/>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0.5mg/L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87" w:type="pct"/>
                  <w:vMerge w:val="continue"/>
                  <w:vAlign w:val="center"/>
                </w:tcPr>
                <w:p>
                  <w:pPr>
                    <w:jc w:val="center"/>
                    <w:rPr>
                      <w:b/>
                      <w:color w:val="000000" w:themeColor="text1"/>
                      <w:sz w:val="18"/>
                      <w:szCs w:val="18"/>
                      <w14:textFill>
                        <w14:solidFill>
                          <w14:schemeClr w14:val="tx1"/>
                        </w14:solidFill>
                      </w14:textFill>
                    </w:rPr>
                  </w:pPr>
                </w:p>
              </w:tc>
              <w:tc>
                <w:tcPr>
                  <w:tcW w:w="906" w:type="pct"/>
                  <w:vAlign w:val="center"/>
                </w:tcPr>
                <w:p>
                  <w:pPr>
                    <w:pStyle w:val="74"/>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阴离子表面活性剂</w:t>
                  </w:r>
                </w:p>
              </w:tc>
              <w:tc>
                <w:tcPr>
                  <w:tcW w:w="856" w:type="pct"/>
                  <w:vMerge w:val="continue"/>
                  <w:vAlign w:val="center"/>
                </w:tcPr>
                <w:p>
                  <w:pPr>
                    <w:jc w:val="center"/>
                    <w:rPr>
                      <w:color w:val="000000" w:themeColor="text1"/>
                      <w:sz w:val="18"/>
                      <w:szCs w:val="18"/>
                      <w14:textFill>
                        <w14:solidFill>
                          <w14:schemeClr w14:val="tx1"/>
                        </w14:solidFill>
                      </w14:textFill>
                    </w:rPr>
                  </w:pPr>
                </w:p>
              </w:tc>
              <w:tc>
                <w:tcPr>
                  <w:tcW w:w="1659" w:type="pct"/>
                  <w:vMerge w:val="continue"/>
                  <w:vAlign w:val="center"/>
                </w:tcPr>
                <w:p>
                  <w:pPr>
                    <w:pStyle w:val="75"/>
                    <w:jc w:val="center"/>
                    <w:rPr>
                      <w:rFonts w:ascii="Times New Roman" w:hAnsi="Times New Roman"/>
                      <w:color w:val="000000" w:themeColor="text1"/>
                      <w:sz w:val="18"/>
                      <w:szCs w:val="18"/>
                      <w14:textFill>
                        <w14:solidFill>
                          <w14:schemeClr w14:val="tx1"/>
                        </w14:solidFill>
                      </w14:textFill>
                    </w:rPr>
                  </w:pPr>
                </w:p>
              </w:tc>
              <w:tc>
                <w:tcPr>
                  <w:tcW w:w="792" w:type="pct"/>
                  <w:vAlign w:val="center"/>
                </w:tcPr>
                <w:p>
                  <w:pPr>
                    <w:pStyle w:val="75"/>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10mg/L</w:t>
                  </w:r>
                </w:p>
              </w:tc>
            </w:tr>
          </w:tbl>
          <w:p>
            <w:pPr>
              <w:spacing w:line="360" w:lineRule="auto"/>
              <w:ind w:firstLine="420"/>
              <w:rPr>
                <w:b/>
                <w:bCs/>
                <w:color w:val="000000" w:themeColor="text1"/>
                <w:spacing w:val="-10"/>
                <w:szCs w:val="21"/>
                <w14:textFill>
                  <w14:solidFill>
                    <w14:schemeClr w14:val="tx1"/>
                  </w14:solidFill>
                </w14:textFill>
              </w:rPr>
            </w:pPr>
            <w:r>
              <w:rPr>
                <w:b/>
                <w:bCs/>
                <w:color w:val="000000" w:themeColor="text1"/>
                <w:spacing w:val="-10"/>
                <w:szCs w:val="21"/>
                <w14:textFill>
                  <w14:solidFill>
                    <w14:schemeClr w14:val="tx1"/>
                  </w14:solidFill>
                </w14:textFill>
              </w:rPr>
              <w:t>二、废气</w:t>
            </w:r>
          </w:p>
          <w:p>
            <w:pPr>
              <w:spacing w:line="360" w:lineRule="auto"/>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本项目废气主要为污水处理站产生恶臭废气，采取措施为采用地埋式污水处理设施、产生恶臭设施加盖处理、污水处理站区域投放除臭剂，废气最终无组织排放。</w:t>
            </w:r>
          </w:p>
          <w:p>
            <w:pPr>
              <w:spacing w:line="360" w:lineRule="auto"/>
              <w:ind w:firstLine="420"/>
              <w:rPr>
                <w:b/>
                <w:bCs/>
                <w:color w:val="000000" w:themeColor="text1"/>
                <w:kern w:val="0"/>
                <w:szCs w:val="21"/>
                <w14:textFill>
                  <w14:solidFill>
                    <w14:schemeClr w14:val="tx1"/>
                  </w14:solidFill>
                </w14:textFill>
              </w:rPr>
            </w:pPr>
            <w:r>
              <w:rPr>
                <w:b/>
                <w:bCs/>
                <w:color w:val="000000" w:themeColor="text1"/>
                <w:spacing w:val="-10"/>
                <w:szCs w:val="21"/>
                <w14:textFill>
                  <w14:solidFill>
                    <w14:schemeClr w14:val="tx1"/>
                  </w14:solidFill>
                </w14:textFill>
              </w:rPr>
              <w:t>2.1 废气源强估算</w:t>
            </w:r>
          </w:p>
          <w:p>
            <w:pPr>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本次环评废气产生源强依据如下</w:t>
            </w:r>
          </w:p>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表4-8  废气产生源强计算依据</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2"/>
              <w:gridCol w:w="1644"/>
              <w:gridCol w:w="2653"/>
              <w:gridCol w:w="2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64" w:type="dxa"/>
                  <w:gridSpan w:val="2"/>
                  <w:vAlign w:val="center"/>
                </w:tcPr>
                <w:p>
                  <w:pPr>
                    <w:jc w:val="center"/>
                    <w:rPr>
                      <w:bCs/>
                      <w:snapToGrid w:val="0"/>
                      <w:color w:val="000000" w:themeColor="text1"/>
                      <w:kern w:val="0"/>
                      <w:sz w:val="18"/>
                      <w:szCs w:val="18"/>
                      <w14:textFill>
                        <w14:solidFill>
                          <w14:schemeClr w14:val="tx1"/>
                        </w14:solidFill>
                      </w14:textFill>
                    </w:rPr>
                  </w:pPr>
                  <w:r>
                    <w:rPr>
                      <w:bCs/>
                      <w:snapToGrid w:val="0"/>
                      <w:color w:val="000000" w:themeColor="text1"/>
                      <w:kern w:val="0"/>
                      <w:sz w:val="18"/>
                      <w:szCs w:val="18"/>
                      <w14:textFill>
                        <w14:solidFill>
                          <w14:schemeClr w14:val="tx1"/>
                        </w14:solidFill>
                      </w14:textFill>
                    </w:rPr>
                    <w:t>废气</w:t>
                  </w:r>
                </w:p>
              </w:tc>
              <w:tc>
                <w:tcPr>
                  <w:tcW w:w="2651" w:type="dxa"/>
                  <w:vAlign w:val="center"/>
                </w:tcPr>
                <w:p>
                  <w:pPr>
                    <w:jc w:val="center"/>
                    <w:rPr>
                      <w:bCs/>
                      <w:snapToGrid w:val="0"/>
                      <w:color w:val="000000" w:themeColor="text1"/>
                      <w:kern w:val="0"/>
                      <w:sz w:val="18"/>
                      <w:szCs w:val="18"/>
                      <w14:textFill>
                        <w14:solidFill>
                          <w14:schemeClr w14:val="tx1"/>
                        </w14:solidFill>
                      </w14:textFill>
                    </w:rPr>
                  </w:pPr>
                  <w:r>
                    <w:rPr>
                      <w:bCs/>
                      <w:snapToGrid w:val="0"/>
                      <w:color w:val="000000" w:themeColor="text1"/>
                      <w:kern w:val="0"/>
                      <w:sz w:val="18"/>
                      <w:szCs w:val="18"/>
                      <w14:textFill>
                        <w14:solidFill>
                          <w14:schemeClr w14:val="tx1"/>
                        </w14:solidFill>
                      </w14:textFill>
                    </w:rPr>
                    <w:t>源强</w:t>
                  </w:r>
                </w:p>
              </w:tc>
              <w:tc>
                <w:tcPr>
                  <w:tcW w:w="2692" w:type="dxa"/>
                  <w:vAlign w:val="center"/>
                </w:tcPr>
                <w:p>
                  <w:pPr>
                    <w:jc w:val="center"/>
                    <w:rPr>
                      <w:bCs/>
                      <w:snapToGrid w:val="0"/>
                      <w:color w:val="000000" w:themeColor="text1"/>
                      <w:kern w:val="0"/>
                      <w:sz w:val="18"/>
                      <w:szCs w:val="18"/>
                      <w14:textFill>
                        <w14:solidFill>
                          <w14:schemeClr w14:val="tx1"/>
                        </w14:solidFill>
                      </w14:textFill>
                    </w:rPr>
                  </w:pPr>
                  <w:r>
                    <w:rPr>
                      <w:bCs/>
                      <w:snapToGrid w:val="0"/>
                      <w:color w:val="000000" w:themeColor="text1"/>
                      <w:kern w:val="0"/>
                      <w:sz w:val="18"/>
                      <w:szCs w:val="18"/>
                      <w14:textFill>
                        <w14:solidFill>
                          <w14:schemeClr w14:val="tx1"/>
                        </w14:solidFill>
                      </w14:textFill>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1" w:type="dxa"/>
                  <w:vMerge w:val="restart"/>
                  <w:vAlign w:val="center"/>
                </w:tcPr>
                <w:p>
                  <w:pPr>
                    <w:jc w:val="center"/>
                    <w:rPr>
                      <w:snapToGrid w:val="0"/>
                      <w:color w:val="000000" w:themeColor="text1"/>
                      <w:kern w:val="0"/>
                      <w:sz w:val="18"/>
                      <w:szCs w:val="18"/>
                      <w14:textFill>
                        <w14:solidFill>
                          <w14:schemeClr w14:val="tx1"/>
                        </w14:solidFill>
                      </w14:textFill>
                    </w:rPr>
                  </w:pPr>
                  <w:r>
                    <w:rPr>
                      <w:snapToGrid w:val="0"/>
                      <w:color w:val="000000" w:themeColor="text1"/>
                      <w:kern w:val="0"/>
                      <w:sz w:val="18"/>
                      <w:szCs w:val="18"/>
                      <w14:textFill>
                        <w14:solidFill>
                          <w14:schemeClr w14:val="tx1"/>
                        </w14:solidFill>
                      </w14:textFill>
                    </w:rPr>
                    <w:t>污水处理站废气</w:t>
                  </w:r>
                </w:p>
              </w:tc>
              <w:tc>
                <w:tcPr>
                  <w:tcW w:w="1643" w:type="dxa"/>
                  <w:vAlign w:val="center"/>
                </w:tcPr>
                <w:p>
                  <w:pPr>
                    <w:jc w:val="center"/>
                    <w:rPr>
                      <w:snapToGrid w:val="0"/>
                      <w:color w:val="000000" w:themeColor="text1"/>
                      <w:kern w:val="0"/>
                      <w:sz w:val="18"/>
                      <w:szCs w:val="18"/>
                      <w14:textFill>
                        <w14:solidFill>
                          <w14:schemeClr w14:val="tx1"/>
                        </w14:solidFill>
                      </w14:textFill>
                    </w:rPr>
                  </w:pPr>
                  <w:r>
                    <w:rPr>
                      <w:snapToGrid w:val="0"/>
                      <w:color w:val="000000" w:themeColor="text1"/>
                      <w:kern w:val="0"/>
                      <w:sz w:val="18"/>
                      <w:szCs w:val="18"/>
                      <w14:textFill>
                        <w14:solidFill>
                          <w14:schemeClr w14:val="tx1"/>
                        </w14:solidFill>
                      </w14:textFill>
                    </w:rPr>
                    <w:t>NH</w:t>
                  </w:r>
                  <w:r>
                    <w:rPr>
                      <w:snapToGrid w:val="0"/>
                      <w:color w:val="000000" w:themeColor="text1"/>
                      <w:kern w:val="0"/>
                      <w:sz w:val="18"/>
                      <w:szCs w:val="18"/>
                      <w:vertAlign w:val="subscript"/>
                      <w14:textFill>
                        <w14:solidFill>
                          <w14:schemeClr w14:val="tx1"/>
                        </w14:solidFill>
                      </w14:textFill>
                    </w:rPr>
                    <w:t>3</w:t>
                  </w:r>
                </w:p>
              </w:tc>
              <w:tc>
                <w:tcPr>
                  <w:tcW w:w="2651" w:type="dxa"/>
                  <w:vAlign w:val="center"/>
                </w:tcPr>
                <w:p>
                  <w:pPr>
                    <w:jc w:val="center"/>
                    <w:rPr>
                      <w:snapToGrid w:val="0"/>
                      <w:color w:val="000000" w:themeColor="text1"/>
                      <w:kern w:val="0"/>
                      <w:sz w:val="18"/>
                      <w:szCs w:val="18"/>
                      <w14:textFill>
                        <w14:solidFill>
                          <w14:schemeClr w14:val="tx1"/>
                        </w14:solidFill>
                      </w14:textFill>
                    </w:rPr>
                  </w:pPr>
                  <w:r>
                    <w:rPr>
                      <w:snapToGrid w:val="0"/>
                      <w:color w:val="000000" w:themeColor="text1"/>
                      <w:kern w:val="0"/>
                      <w:sz w:val="18"/>
                      <w:szCs w:val="18"/>
                      <w14:textFill>
                        <w14:solidFill>
                          <w14:schemeClr w14:val="tx1"/>
                        </w14:solidFill>
                      </w14:textFill>
                    </w:rPr>
                    <w:t>0.0031g/gBOD</w:t>
                  </w:r>
                  <w:r>
                    <w:rPr>
                      <w:snapToGrid w:val="0"/>
                      <w:color w:val="000000" w:themeColor="text1"/>
                      <w:kern w:val="0"/>
                      <w:sz w:val="18"/>
                      <w:szCs w:val="18"/>
                      <w:vertAlign w:val="subscript"/>
                      <w14:textFill>
                        <w14:solidFill>
                          <w14:schemeClr w14:val="tx1"/>
                        </w14:solidFill>
                      </w14:textFill>
                    </w:rPr>
                    <w:t>5</w:t>
                  </w:r>
                </w:p>
              </w:tc>
              <w:tc>
                <w:tcPr>
                  <w:tcW w:w="2692" w:type="dxa"/>
                  <w:vMerge w:val="restart"/>
                  <w:vAlign w:val="center"/>
                </w:tcPr>
                <w:p>
                  <w:pPr>
                    <w:jc w:val="center"/>
                    <w:rPr>
                      <w:snapToGrid w:val="0"/>
                      <w:color w:val="000000" w:themeColor="text1"/>
                      <w:kern w:val="0"/>
                      <w:sz w:val="18"/>
                      <w:szCs w:val="18"/>
                      <w14:textFill>
                        <w14:solidFill>
                          <w14:schemeClr w14:val="tx1"/>
                        </w14:solidFill>
                      </w14:textFill>
                    </w:rPr>
                  </w:pPr>
                  <w:r>
                    <w:rPr>
                      <w:snapToGrid w:val="0"/>
                      <w:color w:val="000000" w:themeColor="text1"/>
                      <w:kern w:val="0"/>
                      <w:sz w:val="18"/>
                      <w:szCs w:val="18"/>
                      <w14:textFill>
                        <w14:solidFill>
                          <w14:schemeClr w14:val="tx1"/>
                        </w14:solidFill>
                      </w14:textFill>
                    </w:rPr>
                    <w:t>美国EPA对城市污水处理厂恶臭污染物产生情况的研究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21" w:type="dxa"/>
                  <w:vMerge w:val="continue"/>
                  <w:vAlign w:val="center"/>
                </w:tcPr>
                <w:p>
                  <w:pPr>
                    <w:jc w:val="center"/>
                    <w:rPr>
                      <w:snapToGrid w:val="0"/>
                      <w:color w:val="000000" w:themeColor="text1"/>
                      <w:kern w:val="0"/>
                      <w:sz w:val="18"/>
                      <w:szCs w:val="18"/>
                      <w14:textFill>
                        <w14:solidFill>
                          <w14:schemeClr w14:val="tx1"/>
                        </w14:solidFill>
                      </w14:textFill>
                    </w:rPr>
                  </w:pPr>
                </w:p>
              </w:tc>
              <w:tc>
                <w:tcPr>
                  <w:tcW w:w="1643" w:type="dxa"/>
                  <w:vAlign w:val="center"/>
                </w:tcPr>
                <w:p>
                  <w:pPr>
                    <w:jc w:val="center"/>
                    <w:rPr>
                      <w:snapToGrid w:val="0"/>
                      <w:color w:val="000000" w:themeColor="text1"/>
                      <w:kern w:val="0"/>
                      <w:sz w:val="18"/>
                      <w:szCs w:val="18"/>
                      <w14:textFill>
                        <w14:solidFill>
                          <w14:schemeClr w14:val="tx1"/>
                        </w14:solidFill>
                      </w14:textFill>
                    </w:rPr>
                  </w:pPr>
                  <w:r>
                    <w:rPr>
                      <w:snapToGrid w:val="0"/>
                      <w:color w:val="000000" w:themeColor="text1"/>
                      <w:kern w:val="0"/>
                      <w:sz w:val="18"/>
                      <w:szCs w:val="18"/>
                      <w14:textFill>
                        <w14:solidFill>
                          <w14:schemeClr w14:val="tx1"/>
                        </w14:solidFill>
                      </w14:textFill>
                    </w:rPr>
                    <w:t>H</w:t>
                  </w:r>
                  <w:r>
                    <w:rPr>
                      <w:snapToGrid w:val="0"/>
                      <w:color w:val="000000" w:themeColor="text1"/>
                      <w:kern w:val="0"/>
                      <w:sz w:val="18"/>
                      <w:szCs w:val="18"/>
                      <w:vertAlign w:val="subscript"/>
                      <w14:textFill>
                        <w14:solidFill>
                          <w14:schemeClr w14:val="tx1"/>
                        </w14:solidFill>
                      </w14:textFill>
                    </w:rPr>
                    <w:t>2</w:t>
                  </w:r>
                  <w:r>
                    <w:rPr>
                      <w:snapToGrid w:val="0"/>
                      <w:color w:val="000000" w:themeColor="text1"/>
                      <w:kern w:val="0"/>
                      <w:sz w:val="18"/>
                      <w:szCs w:val="18"/>
                      <w14:textFill>
                        <w14:solidFill>
                          <w14:schemeClr w14:val="tx1"/>
                        </w14:solidFill>
                      </w14:textFill>
                    </w:rPr>
                    <w:t>S</w:t>
                  </w:r>
                </w:p>
              </w:tc>
              <w:tc>
                <w:tcPr>
                  <w:tcW w:w="2651" w:type="dxa"/>
                  <w:vAlign w:val="center"/>
                </w:tcPr>
                <w:p>
                  <w:pPr>
                    <w:jc w:val="center"/>
                    <w:rPr>
                      <w:snapToGrid w:val="0"/>
                      <w:color w:val="000000" w:themeColor="text1"/>
                      <w:kern w:val="0"/>
                      <w:sz w:val="18"/>
                      <w:szCs w:val="18"/>
                      <w14:textFill>
                        <w14:solidFill>
                          <w14:schemeClr w14:val="tx1"/>
                        </w14:solidFill>
                      </w14:textFill>
                    </w:rPr>
                  </w:pPr>
                  <w:r>
                    <w:rPr>
                      <w:snapToGrid w:val="0"/>
                      <w:color w:val="000000" w:themeColor="text1"/>
                      <w:kern w:val="0"/>
                      <w:sz w:val="18"/>
                      <w:szCs w:val="18"/>
                      <w14:textFill>
                        <w14:solidFill>
                          <w14:schemeClr w14:val="tx1"/>
                        </w14:solidFill>
                      </w14:textFill>
                    </w:rPr>
                    <w:t>0.00012g/gBOD</w:t>
                  </w:r>
                  <w:r>
                    <w:rPr>
                      <w:snapToGrid w:val="0"/>
                      <w:color w:val="000000" w:themeColor="text1"/>
                      <w:kern w:val="0"/>
                      <w:sz w:val="18"/>
                      <w:szCs w:val="18"/>
                      <w:vertAlign w:val="subscript"/>
                      <w14:textFill>
                        <w14:solidFill>
                          <w14:schemeClr w14:val="tx1"/>
                        </w14:solidFill>
                      </w14:textFill>
                    </w:rPr>
                    <w:t>5</w:t>
                  </w:r>
                </w:p>
              </w:tc>
              <w:tc>
                <w:tcPr>
                  <w:tcW w:w="2692" w:type="dxa"/>
                  <w:vMerge w:val="continue"/>
                  <w:vAlign w:val="center"/>
                </w:tcPr>
                <w:p>
                  <w:pPr>
                    <w:jc w:val="center"/>
                    <w:rPr>
                      <w:color w:val="000000" w:themeColor="text1"/>
                      <w:sz w:val="18"/>
                      <w:szCs w:val="18"/>
                      <w14:textFill>
                        <w14:solidFill>
                          <w14:schemeClr w14:val="tx1"/>
                        </w14:solidFill>
                      </w14:textFill>
                    </w:rPr>
                  </w:pPr>
                </w:p>
              </w:tc>
            </w:tr>
          </w:tbl>
          <w:p>
            <w:pPr>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根据美国EPA对城市污水处理厂恶臭污染物产生情况的研究，按每处理1g的BOD</w:t>
            </w:r>
            <w:r>
              <w:rPr>
                <w:color w:val="000000" w:themeColor="text1"/>
                <w:szCs w:val="21"/>
                <w:vertAlign w:val="subscript"/>
                <w14:textFill>
                  <w14:solidFill>
                    <w14:schemeClr w14:val="tx1"/>
                  </w14:solidFill>
                </w14:textFill>
              </w:rPr>
              <w:t>5</w:t>
            </w:r>
            <w:r>
              <w:rPr>
                <w:color w:val="000000" w:themeColor="text1"/>
                <w:szCs w:val="21"/>
                <w14:textFill>
                  <w14:solidFill>
                    <w14:schemeClr w14:val="tx1"/>
                  </w14:solidFill>
                </w14:textFill>
              </w:rPr>
              <w:t>产生0.0031g的NH</w:t>
            </w:r>
            <w:r>
              <w:rPr>
                <w:color w:val="000000" w:themeColor="text1"/>
                <w:szCs w:val="21"/>
                <w:vertAlign w:val="subscript"/>
                <w14:textFill>
                  <w14:solidFill>
                    <w14:schemeClr w14:val="tx1"/>
                  </w14:solidFill>
                </w14:textFill>
              </w:rPr>
              <w:t>3</w:t>
            </w:r>
            <w:r>
              <w:rPr>
                <w:color w:val="000000" w:themeColor="text1"/>
                <w:szCs w:val="21"/>
                <w14:textFill>
                  <w14:solidFill>
                    <w14:schemeClr w14:val="tx1"/>
                  </w14:solidFill>
                </w14:textFill>
              </w:rPr>
              <w:t>和0.00012g的H</w:t>
            </w:r>
            <w:r>
              <w:rPr>
                <w:color w:val="000000" w:themeColor="text1"/>
                <w:szCs w:val="21"/>
                <w:vertAlign w:val="subscript"/>
                <w14:textFill>
                  <w14:solidFill>
                    <w14:schemeClr w14:val="tx1"/>
                  </w14:solidFill>
                </w14:textFill>
              </w:rPr>
              <w:t>2</w:t>
            </w:r>
            <w:r>
              <w:rPr>
                <w:color w:val="000000" w:themeColor="text1"/>
                <w:szCs w:val="21"/>
                <w14:textFill>
                  <w14:solidFill>
                    <w14:schemeClr w14:val="tx1"/>
                  </w14:solidFill>
                </w14:textFill>
              </w:rPr>
              <w:t>S进行估算，根据前述核算的本项目废水处理量，本项目院区废水中的BOD</w:t>
            </w:r>
            <w:r>
              <w:rPr>
                <w:color w:val="000000" w:themeColor="text1"/>
                <w:szCs w:val="21"/>
                <w:vertAlign w:val="subscript"/>
                <w14:textFill>
                  <w14:solidFill>
                    <w14:schemeClr w14:val="tx1"/>
                  </w14:solidFill>
                </w14:textFill>
              </w:rPr>
              <w:t>5</w:t>
            </w:r>
            <w:r>
              <w:rPr>
                <w:color w:val="000000" w:themeColor="text1"/>
                <w:szCs w:val="21"/>
                <w14:textFill>
                  <w14:solidFill>
                    <w14:schemeClr w14:val="tx1"/>
                  </w14:solidFill>
                </w14:textFill>
              </w:rPr>
              <w:t>处理量为</w:t>
            </w:r>
            <w:r>
              <w:rPr>
                <w:rFonts w:hint="eastAsia"/>
                <w:color w:val="000000" w:themeColor="text1"/>
                <w:szCs w:val="21"/>
                <w14:textFill>
                  <w14:solidFill>
                    <w14:schemeClr w14:val="tx1"/>
                  </w14:solidFill>
                </w14:textFill>
              </w:rPr>
              <w:t>0.999</w:t>
            </w:r>
            <w:r>
              <w:rPr>
                <w:color w:val="000000" w:themeColor="text1"/>
                <w:szCs w:val="21"/>
                <w14:textFill>
                  <w14:solidFill>
                    <w14:schemeClr w14:val="tx1"/>
                  </w14:solidFill>
                </w14:textFill>
              </w:rPr>
              <w:t>t/a，依此来估算恶臭因子产生的源强，经计算NH</w:t>
            </w:r>
            <w:r>
              <w:rPr>
                <w:color w:val="000000" w:themeColor="text1"/>
                <w:szCs w:val="21"/>
                <w:vertAlign w:val="subscript"/>
                <w14:textFill>
                  <w14:solidFill>
                    <w14:schemeClr w14:val="tx1"/>
                  </w14:solidFill>
                </w14:textFill>
              </w:rPr>
              <w:t>3</w:t>
            </w:r>
            <w:r>
              <w:rPr>
                <w:color w:val="000000" w:themeColor="text1"/>
                <w:szCs w:val="21"/>
                <w14:textFill>
                  <w14:solidFill>
                    <w14:schemeClr w14:val="tx1"/>
                  </w14:solidFill>
                </w14:textFill>
              </w:rPr>
              <w:t>产生量为</w:t>
            </w:r>
            <w:r>
              <w:rPr>
                <w:rFonts w:hint="eastAsia"/>
                <w:color w:val="000000" w:themeColor="text1"/>
                <w:szCs w:val="21"/>
                <w14:textFill>
                  <w14:solidFill>
                    <w14:schemeClr w14:val="tx1"/>
                  </w14:solidFill>
                </w14:textFill>
              </w:rPr>
              <w:t>0.0031</w:t>
            </w:r>
            <w:r>
              <w:rPr>
                <w:color w:val="000000" w:themeColor="text1"/>
                <w:szCs w:val="21"/>
                <w14:textFill>
                  <w14:solidFill>
                    <w14:schemeClr w14:val="tx1"/>
                  </w14:solidFill>
                </w14:textFill>
              </w:rPr>
              <w:t>t/a，H</w:t>
            </w:r>
            <w:r>
              <w:rPr>
                <w:color w:val="000000" w:themeColor="text1"/>
                <w:szCs w:val="21"/>
                <w:vertAlign w:val="subscript"/>
                <w14:textFill>
                  <w14:solidFill>
                    <w14:schemeClr w14:val="tx1"/>
                  </w14:solidFill>
                </w14:textFill>
              </w:rPr>
              <w:t>2</w:t>
            </w:r>
            <w:r>
              <w:rPr>
                <w:color w:val="000000" w:themeColor="text1"/>
                <w:szCs w:val="21"/>
                <w14:textFill>
                  <w14:solidFill>
                    <w14:schemeClr w14:val="tx1"/>
                  </w14:solidFill>
                </w14:textFill>
              </w:rPr>
              <w:t>S产生量为</w:t>
            </w:r>
            <w:r>
              <w:rPr>
                <w:rFonts w:hint="eastAsia"/>
                <w:color w:val="000000" w:themeColor="text1"/>
                <w:szCs w:val="21"/>
                <w14:textFill>
                  <w14:solidFill>
                    <w14:schemeClr w14:val="tx1"/>
                  </w14:solidFill>
                </w14:textFill>
              </w:rPr>
              <w:t>0.00012</w:t>
            </w:r>
            <w:r>
              <w:rPr>
                <w:color w:val="000000" w:themeColor="text1"/>
                <w:szCs w:val="21"/>
                <w14:textFill>
                  <w14:solidFill>
                    <w14:schemeClr w14:val="tx1"/>
                  </w14:solidFill>
                </w14:textFill>
              </w:rPr>
              <w:t>t/a。</w:t>
            </w:r>
          </w:p>
          <w:p>
            <w:pPr>
              <w:pStyle w:val="9"/>
              <w:spacing w:before="0" w:after="0" w:line="240" w:lineRule="auto"/>
              <w:ind w:right="0"/>
              <w:jc w:val="center"/>
              <w:rPr>
                <w:color w:val="000000" w:themeColor="text1"/>
                <w14:textFill>
                  <w14:solidFill>
                    <w14:schemeClr w14:val="tx1"/>
                  </w14:solidFill>
                </w14:textFill>
              </w:rPr>
            </w:pPr>
            <w:r>
              <w:rPr>
                <w:b/>
                <w:snapToGrid w:val="0"/>
                <w:color w:val="000000" w:themeColor="text1"/>
                <w:sz w:val="21"/>
                <w:szCs w:val="21"/>
                <w14:textFill>
                  <w14:solidFill>
                    <w14:schemeClr w14:val="tx1"/>
                  </w14:solidFill>
                </w14:textFill>
              </w:rPr>
              <w:t>表4-9  无组织废气污染物排放情况一览表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1269"/>
              <w:gridCol w:w="917"/>
              <w:gridCol w:w="877"/>
              <w:gridCol w:w="791"/>
              <w:gridCol w:w="762"/>
              <w:gridCol w:w="1065"/>
              <w:gridCol w:w="985"/>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3" w:type="pct"/>
                  <w:vAlign w:val="center"/>
                </w:tcPr>
                <w:p>
                  <w:pPr>
                    <w:pStyle w:val="14"/>
                    <w:numPr>
                      <w:ilvl w:val="0"/>
                      <w:numId w:val="0"/>
                    </w:num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面源名称</w:t>
                  </w:r>
                </w:p>
              </w:tc>
              <w:tc>
                <w:tcPr>
                  <w:tcW w:w="754" w:type="pct"/>
                  <w:vAlign w:val="center"/>
                </w:tcPr>
                <w:p>
                  <w:pPr>
                    <w:pStyle w:val="14"/>
                    <w:numPr>
                      <w:ilvl w:val="0"/>
                      <w:numId w:val="0"/>
                    </w:num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面源中心坐标</w:t>
                  </w:r>
                </w:p>
              </w:tc>
              <w:tc>
                <w:tcPr>
                  <w:tcW w:w="545" w:type="pct"/>
                  <w:vAlign w:val="center"/>
                </w:tcPr>
                <w:p>
                  <w:pPr>
                    <w:pStyle w:val="14"/>
                    <w:numPr>
                      <w:ilvl w:val="0"/>
                      <w:numId w:val="0"/>
                    </w:num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面源海拔高度/m</w:t>
                  </w:r>
                </w:p>
              </w:tc>
              <w:tc>
                <w:tcPr>
                  <w:tcW w:w="521" w:type="pct"/>
                  <w:vAlign w:val="center"/>
                </w:tcPr>
                <w:p>
                  <w:pPr>
                    <w:pStyle w:val="14"/>
                    <w:numPr>
                      <w:ilvl w:val="0"/>
                      <w:numId w:val="0"/>
                    </w:num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面源有效排放高度/m</w:t>
                  </w:r>
                </w:p>
              </w:tc>
              <w:tc>
                <w:tcPr>
                  <w:tcW w:w="470" w:type="pct"/>
                  <w:vAlign w:val="center"/>
                </w:tcPr>
                <w:p>
                  <w:pPr>
                    <w:pStyle w:val="14"/>
                    <w:numPr>
                      <w:ilvl w:val="0"/>
                      <w:numId w:val="0"/>
                    </w:num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年排放小时数/h</w:t>
                  </w:r>
                </w:p>
              </w:tc>
              <w:tc>
                <w:tcPr>
                  <w:tcW w:w="453" w:type="pct"/>
                  <w:vAlign w:val="center"/>
                </w:tcPr>
                <w:p>
                  <w:pPr>
                    <w:pStyle w:val="14"/>
                    <w:numPr>
                      <w:ilvl w:val="0"/>
                      <w:numId w:val="0"/>
                    </w:num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排放工况</w:t>
                  </w:r>
                </w:p>
              </w:tc>
              <w:tc>
                <w:tcPr>
                  <w:tcW w:w="633" w:type="pct"/>
                  <w:vAlign w:val="center"/>
                </w:tcPr>
                <w:p>
                  <w:pPr>
                    <w:pStyle w:val="14"/>
                    <w:numPr>
                      <w:ilvl w:val="0"/>
                      <w:numId w:val="0"/>
                    </w:num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污染物种类</w:t>
                  </w:r>
                </w:p>
              </w:tc>
              <w:tc>
                <w:tcPr>
                  <w:tcW w:w="585" w:type="pct"/>
                  <w:vAlign w:val="center"/>
                </w:tcPr>
                <w:p>
                  <w:pPr>
                    <w:pStyle w:val="14"/>
                    <w:numPr>
                      <w:ilvl w:val="0"/>
                      <w:numId w:val="0"/>
                    </w:num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产生量（t/a）</w:t>
                  </w:r>
                </w:p>
              </w:tc>
              <w:tc>
                <w:tcPr>
                  <w:tcW w:w="585" w:type="pct"/>
                  <w:vAlign w:val="center"/>
                </w:tcPr>
                <w:p>
                  <w:pPr>
                    <w:pStyle w:val="14"/>
                    <w:numPr>
                      <w:ilvl w:val="0"/>
                      <w:numId w:val="0"/>
                    </w:num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排放形式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3" w:type="pct"/>
                  <w:vMerge w:val="restart"/>
                  <w:vAlign w:val="center"/>
                </w:tcPr>
                <w:p>
                  <w:pPr>
                    <w:pStyle w:val="14"/>
                    <w:numPr>
                      <w:ilvl w:val="0"/>
                      <w:numId w:val="0"/>
                    </w:numPr>
                    <w:jc w:val="center"/>
                    <w:rPr>
                      <w:color w:val="000000" w:themeColor="text1"/>
                      <w:sz w:val="18"/>
                      <w:szCs w:val="18"/>
                      <w14:textFill>
                        <w14:solidFill>
                          <w14:schemeClr w14:val="tx1"/>
                        </w14:solidFill>
                      </w14:textFill>
                    </w:rPr>
                  </w:pPr>
                  <w:r>
                    <w:rPr>
                      <w:color w:val="000000" w:themeColor="text1"/>
                      <w:sz w:val="18"/>
                      <w:szCs w:val="18"/>
                      <w:lang w:val="zh-CN"/>
                      <w14:textFill>
                        <w14:solidFill>
                          <w14:schemeClr w14:val="tx1"/>
                        </w14:solidFill>
                      </w14:textFill>
                    </w:rPr>
                    <w:t>污水处理站</w:t>
                  </w:r>
                </w:p>
              </w:tc>
              <w:tc>
                <w:tcPr>
                  <w:tcW w:w="754" w:type="pct"/>
                  <w:vMerge w:val="restart"/>
                  <w:vAlign w:val="center"/>
                </w:tcPr>
                <w:p>
                  <w:pPr>
                    <w:widowControl/>
                    <w:spacing w:line="240" w:lineRule="atLeas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118.020275°E</w:t>
                  </w:r>
                </w:p>
                <w:p>
                  <w:pPr>
                    <w:pStyle w:val="14"/>
                    <w:numPr>
                      <w:ilvl w:val="0"/>
                      <w:numId w:val="0"/>
                    </w:num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36.802810°N</w:t>
                  </w:r>
                </w:p>
              </w:tc>
              <w:tc>
                <w:tcPr>
                  <w:tcW w:w="545" w:type="pct"/>
                  <w:vMerge w:val="restart"/>
                  <w:vAlign w:val="center"/>
                </w:tcPr>
                <w:p>
                  <w:pPr>
                    <w:pStyle w:val="14"/>
                    <w:numPr>
                      <w:ilvl w:val="0"/>
                      <w:numId w:val="0"/>
                    </w:num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w:t>
                  </w:r>
                </w:p>
              </w:tc>
              <w:tc>
                <w:tcPr>
                  <w:tcW w:w="521" w:type="pct"/>
                  <w:vMerge w:val="restart"/>
                  <w:vAlign w:val="center"/>
                </w:tcPr>
                <w:p>
                  <w:pPr>
                    <w:pStyle w:val="14"/>
                    <w:numPr>
                      <w:ilvl w:val="0"/>
                      <w:numId w:val="0"/>
                    </w:num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470" w:type="pct"/>
                  <w:vMerge w:val="restart"/>
                  <w:vAlign w:val="center"/>
                </w:tcPr>
                <w:p>
                  <w:pPr>
                    <w:pStyle w:val="14"/>
                    <w:numPr>
                      <w:ilvl w:val="0"/>
                      <w:numId w:val="0"/>
                    </w:num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8760</w:t>
                  </w:r>
                </w:p>
              </w:tc>
              <w:tc>
                <w:tcPr>
                  <w:tcW w:w="453" w:type="pct"/>
                  <w:vAlign w:val="center"/>
                </w:tcPr>
                <w:p>
                  <w:pPr>
                    <w:pStyle w:val="14"/>
                    <w:numPr>
                      <w:ilvl w:val="0"/>
                      <w:numId w:val="0"/>
                    </w:num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正常</w:t>
                  </w:r>
                </w:p>
              </w:tc>
              <w:tc>
                <w:tcPr>
                  <w:tcW w:w="633" w:type="pct"/>
                  <w:vAlign w:val="center"/>
                </w:tcPr>
                <w:p>
                  <w:pPr>
                    <w:jc w:val="center"/>
                    <w:rPr>
                      <w:color w:val="000000" w:themeColor="text1"/>
                      <w:sz w:val="18"/>
                      <w:szCs w:val="18"/>
                      <w14:textFill>
                        <w14:solidFill>
                          <w14:schemeClr w14:val="tx1"/>
                        </w14:solidFill>
                      </w14:textFill>
                    </w:rPr>
                  </w:pPr>
                  <w:r>
                    <w:rPr>
                      <w:snapToGrid w:val="0"/>
                      <w:color w:val="000000" w:themeColor="text1"/>
                      <w:kern w:val="0"/>
                      <w:sz w:val="18"/>
                      <w:szCs w:val="18"/>
                      <w14:textFill>
                        <w14:solidFill>
                          <w14:schemeClr w14:val="tx1"/>
                        </w14:solidFill>
                      </w14:textFill>
                    </w:rPr>
                    <w:t>NH</w:t>
                  </w:r>
                  <w:r>
                    <w:rPr>
                      <w:snapToGrid w:val="0"/>
                      <w:color w:val="000000" w:themeColor="text1"/>
                      <w:kern w:val="0"/>
                      <w:sz w:val="18"/>
                      <w:szCs w:val="18"/>
                      <w:vertAlign w:val="subscript"/>
                      <w14:textFill>
                        <w14:solidFill>
                          <w14:schemeClr w14:val="tx1"/>
                        </w14:solidFill>
                      </w14:textFill>
                    </w:rPr>
                    <w:t>3</w:t>
                  </w:r>
                </w:p>
              </w:tc>
              <w:tc>
                <w:tcPr>
                  <w:tcW w:w="585" w:type="pc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0.0031</w:t>
                  </w:r>
                </w:p>
              </w:tc>
              <w:tc>
                <w:tcPr>
                  <w:tcW w:w="585" w:type="pct"/>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3" w:type="pct"/>
                  <w:vMerge w:val="continue"/>
                  <w:vAlign w:val="center"/>
                </w:tcPr>
                <w:p>
                  <w:pPr>
                    <w:pStyle w:val="14"/>
                    <w:numPr>
                      <w:ilvl w:val="0"/>
                      <w:numId w:val="0"/>
                    </w:numPr>
                    <w:jc w:val="center"/>
                    <w:rPr>
                      <w:color w:val="000000" w:themeColor="text1"/>
                      <w:sz w:val="18"/>
                      <w:szCs w:val="18"/>
                      <w:lang w:val="zh-CN"/>
                      <w14:textFill>
                        <w14:solidFill>
                          <w14:schemeClr w14:val="tx1"/>
                        </w14:solidFill>
                      </w14:textFill>
                    </w:rPr>
                  </w:pPr>
                </w:p>
              </w:tc>
              <w:tc>
                <w:tcPr>
                  <w:tcW w:w="754" w:type="pct"/>
                  <w:vMerge w:val="continue"/>
                  <w:vAlign w:val="center"/>
                </w:tcPr>
                <w:p>
                  <w:pPr>
                    <w:pStyle w:val="14"/>
                    <w:numPr>
                      <w:ilvl w:val="0"/>
                      <w:numId w:val="0"/>
                    </w:numPr>
                    <w:jc w:val="center"/>
                    <w:rPr>
                      <w:color w:val="000000" w:themeColor="text1"/>
                      <w:sz w:val="18"/>
                      <w:szCs w:val="18"/>
                      <w14:textFill>
                        <w14:solidFill>
                          <w14:schemeClr w14:val="tx1"/>
                        </w14:solidFill>
                      </w14:textFill>
                    </w:rPr>
                  </w:pPr>
                </w:p>
              </w:tc>
              <w:tc>
                <w:tcPr>
                  <w:tcW w:w="545" w:type="pct"/>
                  <w:vMerge w:val="continue"/>
                  <w:vAlign w:val="center"/>
                </w:tcPr>
                <w:p>
                  <w:pPr>
                    <w:pStyle w:val="14"/>
                    <w:numPr>
                      <w:ilvl w:val="0"/>
                      <w:numId w:val="0"/>
                    </w:numPr>
                    <w:jc w:val="center"/>
                    <w:rPr>
                      <w:color w:val="000000" w:themeColor="text1"/>
                      <w:sz w:val="18"/>
                      <w:szCs w:val="18"/>
                      <w14:textFill>
                        <w14:solidFill>
                          <w14:schemeClr w14:val="tx1"/>
                        </w14:solidFill>
                      </w14:textFill>
                    </w:rPr>
                  </w:pPr>
                </w:p>
              </w:tc>
              <w:tc>
                <w:tcPr>
                  <w:tcW w:w="521" w:type="pct"/>
                  <w:vMerge w:val="continue"/>
                  <w:vAlign w:val="center"/>
                </w:tcPr>
                <w:p>
                  <w:pPr>
                    <w:pStyle w:val="14"/>
                    <w:numPr>
                      <w:ilvl w:val="0"/>
                      <w:numId w:val="0"/>
                    </w:numPr>
                    <w:jc w:val="center"/>
                    <w:rPr>
                      <w:color w:val="000000" w:themeColor="text1"/>
                      <w:sz w:val="18"/>
                      <w:szCs w:val="18"/>
                      <w14:textFill>
                        <w14:solidFill>
                          <w14:schemeClr w14:val="tx1"/>
                        </w14:solidFill>
                      </w14:textFill>
                    </w:rPr>
                  </w:pPr>
                </w:p>
              </w:tc>
              <w:tc>
                <w:tcPr>
                  <w:tcW w:w="470" w:type="pct"/>
                  <w:vMerge w:val="continue"/>
                  <w:vAlign w:val="center"/>
                </w:tcPr>
                <w:p>
                  <w:pPr>
                    <w:pStyle w:val="14"/>
                    <w:numPr>
                      <w:ilvl w:val="0"/>
                      <w:numId w:val="0"/>
                    </w:numPr>
                    <w:jc w:val="center"/>
                    <w:rPr>
                      <w:color w:val="000000" w:themeColor="text1"/>
                      <w:sz w:val="18"/>
                      <w:szCs w:val="18"/>
                      <w14:textFill>
                        <w14:solidFill>
                          <w14:schemeClr w14:val="tx1"/>
                        </w14:solidFill>
                      </w14:textFill>
                    </w:rPr>
                  </w:pPr>
                </w:p>
              </w:tc>
              <w:tc>
                <w:tcPr>
                  <w:tcW w:w="453" w:type="pct"/>
                  <w:vAlign w:val="center"/>
                </w:tcPr>
                <w:p>
                  <w:pPr>
                    <w:pStyle w:val="14"/>
                    <w:numPr>
                      <w:ilvl w:val="0"/>
                      <w:numId w:val="0"/>
                    </w:num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正常</w:t>
                  </w:r>
                </w:p>
              </w:tc>
              <w:tc>
                <w:tcPr>
                  <w:tcW w:w="633" w:type="pct"/>
                  <w:vAlign w:val="center"/>
                </w:tcPr>
                <w:p>
                  <w:pPr>
                    <w:jc w:val="center"/>
                    <w:rPr>
                      <w:color w:val="000000" w:themeColor="text1"/>
                      <w:sz w:val="18"/>
                      <w:szCs w:val="18"/>
                      <w14:textFill>
                        <w14:solidFill>
                          <w14:schemeClr w14:val="tx1"/>
                        </w14:solidFill>
                      </w14:textFill>
                    </w:rPr>
                  </w:pPr>
                  <w:r>
                    <w:rPr>
                      <w:snapToGrid w:val="0"/>
                      <w:color w:val="000000" w:themeColor="text1"/>
                      <w:kern w:val="0"/>
                      <w:sz w:val="18"/>
                      <w:szCs w:val="18"/>
                      <w14:textFill>
                        <w14:solidFill>
                          <w14:schemeClr w14:val="tx1"/>
                        </w14:solidFill>
                      </w14:textFill>
                    </w:rPr>
                    <w:t>H</w:t>
                  </w:r>
                  <w:r>
                    <w:rPr>
                      <w:snapToGrid w:val="0"/>
                      <w:color w:val="000000" w:themeColor="text1"/>
                      <w:kern w:val="0"/>
                      <w:sz w:val="18"/>
                      <w:szCs w:val="18"/>
                      <w:vertAlign w:val="subscript"/>
                      <w14:textFill>
                        <w14:solidFill>
                          <w14:schemeClr w14:val="tx1"/>
                        </w14:solidFill>
                      </w14:textFill>
                    </w:rPr>
                    <w:t>2</w:t>
                  </w:r>
                  <w:r>
                    <w:rPr>
                      <w:snapToGrid w:val="0"/>
                      <w:color w:val="000000" w:themeColor="text1"/>
                      <w:kern w:val="0"/>
                      <w:sz w:val="18"/>
                      <w:szCs w:val="18"/>
                      <w14:textFill>
                        <w14:solidFill>
                          <w14:schemeClr w14:val="tx1"/>
                        </w14:solidFill>
                      </w14:textFill>
                    </w:rPr>
                    <w:t>S</w:t>
                  </w:r>
                </w:p>
              </w:tc>
              <w:tc>
                <w:tcPr>
                  <w:tcW w:w="585" w:type="pc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0.00012</w:t>
                  </w:r>
                </w:p>
              </w:tc>
              <w:tc>
                <w:tcPr>
                  <w:tcW w:w="585" w:type="pct"/>
                  <w:vMerge w:val="continue"/>
                  <w:vAlign w:val="center"/>
                </w:tcPr>
                <w:p>
                  <w:pPr>
                    <w:jc w:val="center"/>
                    <w:rPr>
                      <w:color w:val="000000" w:themeColor="text1"/>
                      <w:sz w:val="18"/>
                      <w:szCs w:val="18"/>
                      <w14:textFill>
                        <w14:solidFill>
                          <w14:schemeClr w14:val="tx1"/>
                        </w14:solidFill>
                      </w14:textFill>
                    </w:rPr>
                  </w:pPr>
                </w:p>
              </w:tc>
            </w:tr>
          </w:tbl>
          <w:p>
            <w:pPr>
              <w:snapToGrid w:val="0"/>
              <w:spacing w:line="360" w:lineRule="auto"/>
              <w:ind w:firstLine="382" w:firstLineChars="200"/>
              <w:rPr>
                <w:b/>
                <w:color w:val="000000" w:themeColor="text1"/>
                <w:spacing w:val="-10"/>
                <w:szCs w:val="21"/>
                <w14:textFill>
                  <w14:solidFill>
                    <w14:schemeClr w14:val="tx1"/>
                  </w14:solidFill>
                </w14:textFill>
              </w:rPr>
            </w:pPr>
            <w:r>
              <w:rPr>
                <w:b/>
                <w:color w:val="000000" w:themeColor="text1"/>
                <w:spacing w:val="-10"/>
                <w:szCs w:val="21"/>
                <w14:textFill>
                  <w14:solidFill>
                    <w14:schemeClr w14:val="tx1"/>
                  </w14:solidFill>
                </w14:textFill>
              </w:rPr>
              <w:t>2.2废气防治措施可行技术分析</w:t>
            </w:r>
          </w:p>
          <w:p>
            <w:pPr>
              <w:pageBreakBefore/>
              <w:widowControl/>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根据《排污许可证申请与核发技术规范 医疗机构》(HJ1105-2020)附录A表A.1医疗机构排污单位废气治理可行技术参照表，污水处理站废气无组织排放可采用的可行技术如下：</w:t>
            </w:r>
          </w:p>
          <w:p>
            <w:pPr>
              <w:autoSpaceDE w:val="0"/>
              <w:autoSpaceDN w:val="0"/>
              <w:adjustRightInd w:val="0"/>
              <w:jc w:val="center"/>
              <w:rPr>
                <w:b/>
                <w:snapToGrid w:val="0"/>
                <w:color w:val="000000" w:themeColor="text1"/>
                <w:kern w:val="0"/>
                <w:szCs w:val="21"/>
                <w14:textFill>
                  <w14:solidFill>
                    <w14:schemeClr w14:val="tx1"/>
                  </w14:solidFill>
                </w14:textFill>
              </w:rPr>
            </w:pPr>
            <w:r>
              <w:rPr>
                <w:b/>
                <w:snapToGrid w:val="0"/>
                <w:color w:val="000000" w:themeColor="text1"/>
                <w:kern w:val="0"/>
                <w:szCs w:val="21"/>
                <w14:textFill>
                  <w14:solidFill>
                    <w14:schemeClr w14:val="tx1"/>
                  </w14:solidFill>
                </w14:textFill>
              </w:rPr>
              <w:t>表4-10  可行性技术一览表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57" w:type="dxa"/>
              </w:tblCellMar>
            </w:tblPr>
            <w:tblGrid>
              <w:gridCol w:w="1520"/>
              <w:gridCol w:w="2162"/>
              <w:gridCol w:w="1154"/>
              <w:gridCol w:w="3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903" w:type="pct"/>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污染物产生设施</w:t>
                  </w:r>
                </w:p>
              </w:tc>
              <w:tc>
                <w:tcPr>
                  <w:tcW w:w="1285" w:type="pct"/>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污染物种类</w:t>
                  </w:r>
                </w:p>
              </w:tc>
              <w:tc>
                <w:tcPr>
                  <w:tcW w:w="686" w:type="pct"/>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排放形式</w:t>
                  </w:r>
                </w:p>
              </w:tc>
              <w:tc>
                <w:tcPr>
                  <w:tcW w:w="2127" w:type="pct"/>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可行技术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jc w:val="center"/>
              </w:trPr>
              <w:tc>
                <w:tcPr>
                  <w:tcW w:w="903" w:type="pct"/>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污水处理站</w:t>
                  </w:r>
                </w:p>
              </w:tc>
              <w:tc>
                <w:tcPr>
                  <w:tcW w:w="1285" w:type="pct"/>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氨、硫化氢、臭气浓度、甲烷、氯气</w:t>
                  </w:r>
                </w:p>
              </w:tc>
              <w:tc>
                <w:tcPr>
                  <w:tcW w:w="686" w:type="pct"/>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无组织</w:t>
                  </w:r>
                </w:p>
              </w:tc>
              <w:tc>
                <w:tcPr>
                  <w:tcW w:w="2127" w:type="pct"/>
                  <w:vAlign w:val="center"/>
                </w:tcPr>
                <w:p>
                  <w:pPr>
                    <w:adjustRightInd w:val="0"/>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产生恶臭区域加罩或加盖，投放除臭剂</w:t>
                  </w:r>
                </w:p>
              </w:tc>
            </w:tr>
          </w:tbl>
          <w:p>
            <w:pPr>
              <w:snapToGrid w:val="0"/>
              <w:spacing w:line="360" w:lineRule="auto"/>
              <w:ind w:firstLine="420" w:firstLineChars="200"/>
              <w:rPr>
                <w:color w:val="000000" w:themeColor="text1"/>
                <w:spacing w:val="-10"/>
                <w:szCs w:val="21"/>
                <w14:textFill>
                  <w14:solidFill>
                    <w14:schemeClr w14:val="tx1"/>
                  </w14:solidFill>
                </w14:textFill>
              </w:rPr>
            </w:pPr>
            <w:r>
              <w:rPr>
                <w:color w:val="000000" w:themeColor="text1"/>
                <w:szCs w:val="21"/>
                <w14:textFill>
                  <w14:solidFill>
                    <w14:schemeClr w14:val="tx1"/>
                  </w14:solidFill>
                </w14:textFill>
              </w:rPr>
              <w:t>本项目污水处理站采取的措施为采取措施为采用地埋式污水处理设施、产生恶臭设施加盖处理、污水处理站区域投放除臭剂，对照上表分析可知，属于可行技术。</w:t>
            </w:r>
          </w:p>
          <w:p>
            <w:pPr>
              <w:snapToGrid w:val="0"/>
              <w:spacing w:line="360" w:lineRule="auto"/>
              <w:ind w:firstLine="382" w:firstLineChars="200"/>
              <w:rPr>
                <w:b/>
                <w:color w:val="000000" w:themeColor="text1"/>
                <w:spacing w:val="-10"/>
                <w:szCs w:val="21"/>
                <w14:textFill>
                  <w14:solidFill>
                    <w14:schemeClr w14:val="tx1"/>
                  </w14:solidFill>
                </w14:textFill>
              </w:rPr>
            </w:pPr>
            <w:r>
              <w:rPr>
                <w:b/>
                <w:color w:val="000000" w:themeColor="text1"/>
                <w:spacing w:val="-10"/>
                <w:szCs w:val="21"/>
                <w14:textFill>
                  <w14:solidFill>
                    <w14:schemeClr w14:val="tx1"/>
                  </w14:solidFill>
                </w14:textFill>
              </w:rPr>
              <w:t>2.3废气排放情况</w:t>
            </w:r>
          </w:p>
          <w:p>
            <w:pPr>
              <w:snapToGrid w:val="0"/>
              <w:spacing w:line="360" w:lineRule="auto"/>
              <w:ind w:firstLine="380" w:firstLineChars="200"/>
              <w:rPr>
                <w:color w:val="000000" w:themeColor="text1"/>
                <w:spacing w:val="-10"/>
                <w:szCs w:val="21"/>
                <w14:textFill>
                  <w14:solidFill>
                    <w14:schemeClr w14:val="tx1"/>
                  </w14:solidFill>
                </w14:textFill>
              </w:rPr>
            </w:pPr>
            <w:r>
              <w:rPr>
                <w:color w:val="000000" w:themeColor="text1"/>
                <w:spacing w:val="-10"/>
                <w:szCs w:val="21"/>
                <w14:textFill>
                  <w14:solidFill>
                    <w14:schemeClr w14:val="tx1"/>
                  </w14:solidFill>
                </w14:textFill>
              </w:rPr>
              <w:t>根据前文计算，本项目废气排放量为氨</w:t>
            </w:r>
            <w:r>
              <w:rPr>
                <w:rFonts w:hint="eastAsia"/>
                <w:color w:val="000000" w:themeColor="text1"/>
                <w:spacing w:val="-10"/>
                <w:szCs w:val="21"/>
                <w14:textFill>
                  <w14:solidFill>
                    <w14:schemeClr w14:val="tx1"/>
                  </w14:solidFill>
                </w14:textFill>
              </w:rPr>
              <w:t>0.0031</w:t>
            </w:r>
            <w:r>
              <w:rPr>
                <w:color w:val="000000" w:themeColor="text1"/>
                <w:spacing w:val="-10"/>
                <w:szCs w:val="21"/>
                <w14:textFill>
                  <w14:solidFill>
                    <w14:schemeClr w14:val="tx1"/>
                  </w14:solidFill>
                </w14:textFill>
              </w:rPr>
              <w:t>t/a、硫化氢</w:t>
            </w:r>
            <w:r>
              <w:rPr>
                <w:rFonts w:hint="eastAsia"/>
                <w:color w:val="000000" w:themeColor="text1"/>
                <w:spacing w:val="-10"/>
                <w:szCs w:val="21"/>
                <w14:textFill>
                  <w14:solidFill>
                    <w14:schemeClr w14:val="tx1"/>
                  </w14:solidFill>
                </w14:textFill>
              </w:rPr>
              <w:t>0.00012</w:t>
            </w:r>
            <w:r>
              <w:rPr>
                <w:color w:val="000000" w:themeColor="text1"/>
                <w:spacing w:val="-10"/>
                <w:szCs w:val="21"/>
                <w14:textFill>
                  <w14:solidFill>
                    <w14:schemeClr w14:val="tx1"/>
                  </w14:solidFill>
                </w14:textFill>
              </w:rPr>
              <w:t>t/a，无组织排放。</w:t>
            </w:r>
          </w:p>
          <w:p>
            <w:pPr>
              <w:snapToGrid w:val="0"/>
              <w:spacing w:line="360" w:lineRule="auto"/>
              <w:ind w:firstLine="380" w:firstLineChars="200"/>
              <w:rPr>
                <w:color w:val="000000" w:themeColor="text1"/>
                <w:spacing w:val="-10"/>
                <w:szCs w:val="21"/>
                <w14:textFill>
                  <w14:solidFill>
                    <w14:schemeClr w14:val="tx1"/>
                  </w14:solidFill>
                </w14:textFill>
              </w:rPr>
            </w:pPr>
            <w:r>
              <w:rPr>
                <w:color w:val="000000" w:themeColor="text1"/>
                <w:spacing w:val="-10"/>
                <w:szCs w:val="21"/>
                <w14:textFill>
                  <w14:solidFill>
                    <w14:schemeClr w14:val="tx1"/>
                  </w14:solidFill>
                </w14:textFill>
              </w:rPr>
              <w:t>山东众益源环境检测有限公司于2022年8月10日对院区无组织废气进行监测，监测数据见下表。</w:t>
            </w:r>
          </w:p>
          <w:p>
            <w:pPr>
              <w:jc w:val="center"/>
              <w:rPr>
                <w:color w:val="000000" w:themeColor="text1"/>
                <w:sz w:val="24"/>
                <w14:textFill>
                  <w14:solidFill>
                    <w14:schemeClr w14:val="tx1"/>
                  </w14:solidFill>
                </w14:textFill>
              </w:rPr>
            </w:pPr>
            <w:r>
              <w:rPr>
                <w:b/>
                <w:color w:val="000000" w:themeColor="text1"/>
                <w14:textFill>
                  <w14:solidFill>
                    <w14:schemeClr w14:val="tx1"/>
                  </w14:solidFill>
                </w14:textFill>
              </w:rPr>
              <w:t>表4-11  无组织废气监测结果</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48"/>
              <w:gridCol w:w="2121"/>
              <w:gridCol w:w="2122"/>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pStyle w:val="2"/>
                    <w:snapToGrid w:val="0"/>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监测日期</w:t>
                  </w:r>
                </w:p>
              </w:tc>
              <w:tc>
                <w:tcPr>
                  <w:tcW w:w="6362" w:type="dxa"/>
                  <w:gridSpan w:val="3"/>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2022.08.10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tcBorders>
                    <w:bottom w:val="single" w:color="auto" w:sz="4" w:space="0"/>
                  </w:tcBorders>
                  <w:vAlign w:val="center"/>
                </w:tcPr>
                <w:p>
                  <w:pPr>
                    <w:pStyle w:val="2"/>
                    <w:snapToGrid w:val="0"/>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监测项目</w:t>
                  </w:r>
                </w:p>
              </w:tc>
              <w:tc>
                <w:tcPr>
                  <w:tcW w:w="6362" w:type="dxa"/>
                  <w:gridSpan w:val="3"/>
                  <w:vAlign w:val="center"/>
                </w:tcPr>
                <w:p>
                  <w:pPr>
                    <w:jc w:val="center"/>
                    <w:rPr>
                      <w:bCs/>
                      <w:color w:val="000000" w:themeColor="text1"/>
                      <w:kern w:val="0"/>
                      <w:sz w:val="18"/>
                      <w:szCs w:val="18"/>
                      <w14:textFill>
                        <w14:solidFill>
                          <w14:schemeClr w14:val="tx1"/>
                        </w14:solidFill>
                      </w14:textFill>
                    </w:rPr>
                  </w:pPr>
                  <w:r>
                    <w:rPr>
                      <w:bCs/>
                      <w:color w:val="000000" w:themeColor="text1"/>
                      <w:kern w:val="0"/>
                      <w:sz w:val="18"/>
                      <w:szCs w:val="18"/>
                      <w14:textFill>
                        <w14:solidFill>
                          <w14:schemeClr w14:val="tx1"/>
                        </w14:solidFill>
                      </w14:textFill>
                    </w:rPr>
                    <w:t>氨(mg/m</w:t>
                  </w:r>
                  <w:r>
                    <w:rPr>
                      <w:bCs/>
                      <w:color w:val="000000" w:themeColor="text1"/>
                      <w:kern w:val="0"/>
                      <w:sz w:val="18"/>
                      <w:szCs w:val="18"/>
                      <w:vertAlign w:val="superscript"/>
                      <w14:textFill>
                        <w14:solidFill>
                          <w14:schemeClr w14:val="tx1"/>
                        </w14:solidFill>
                      </w14:textFill>
                    </w:rPr>
                    <w:t>3</w:t>
                  </w:r>
                  <w:r>
                    <w:rPr>
                      <w:bCs/>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tcBorders>
                    <w:tl2br w:val="single" w:color="auto" w:sz="4" w:space="0"/>
                  </w:tcBorders>
                  <w:vAlign w:val="center"/>
                </w:tcPr>
                <w:p>
                  <w:pPr>
                    <w:pStyle w:val="2"/>
                    <w:snapToGrid w:val="0"/>
                    <w:spacing w:after="0"/>
                    <w:ind w:left="0" w:leftChars="0" w:firstLine="0" w:firstLineChars="0"/>
                    <w:jc w:val="right"/>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  频次</w:t>
                  </w:r>
                </w:p>
                <w:p>
                  <w:pPr>
                    <w:pStyle w:val="2"/>
                    <w:snapToGrid w:val="0"/>
                    <w:spacing w:after="0"/>
                    <w:ind w:left="0" w:leftChars="0" w:firstLine="0" w:firstLineChars="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点位</w:t>
                  </w:r>
                </w:p>
              </w:tc>
              <w:tc>
                <w:tcPr>
                  <w:tcW w:w="2120" w:type="dxa"/>
                  <w:vAlign w:val="center"/>
                </w:tcPr>
                <w:p>
                  <w:pPr>
                    <w:pStyle w:val="2"/>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w:t>
                  </w:r>
                </w:p>
              </w:tc>
              <w:tc>
                <w:tcPr>
                  <w:tcW w:w="2121" w:type="dxa"/>
                  <w:vAlign w:val="center"/>
                </w:tcPr>
                <w:p>
                  <w:pPr>
                    <w:pStyle w:val="2"/>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2</w:t>
                  </w:r>
                </w:p>
              </w:tc>
              <w:tc>
                <w:tcPr>
                  <w:tcW w:w="2121" w:type="dxa"/>
                  <w:vAlign w:val="center"/>
                </w:tcPr>
                <w:p>
                  <w:pPr>
                    <w:pStyle w:val="2"/>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上风向1#</w:t>
                  </w:r>
                </w:p>
              </w:tc>
              <w:tc>
                <w:tcPr>
                  <w:tcW w:w="2120"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ND</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ND</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widowControl/>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下风向2#</w:t>
                  </w:r>
                </w:p>
              </w:tc>
              <w:tc>
                <w:tcPr>
                  <w:tcW w:w="2120"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0.07</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0.07</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widowControl/>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下风向3#</w:t>
                  </w:r>
                </w:p>
              </w:tc>
              <w:tc>
                <w:tcPr>
                  <w:tcW w:w="2120"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0.07</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0.05</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widowControl/>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下风向4#</w:t>
                  </w:r>
                </w:p>
              </w:tc>
              <w:tc>
                <w:tcPr>
                  <w:tcW w:w="2120"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0.06</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0.07</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pStyle w:val="2"/>
                    <w:snapToGrid w:val="0"/>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监测日期</w:t>
                  </w:r>
                </w:p>
              </w:tc>
              <w:tc>
                <w:tcPr>
                  <w:tcW w:w="6362" w:type="dxa"/>
                  <w:gridSpan w:val="3"/>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2022.08.10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pStyle w:val="2"/>
                    <w:snapToGrid w:val="0"/>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监测项目</w:t>
                  </w:r>
                </w:p>
              </w:tc>
              <w:tc>
                <w:tcPr>
                  <w:tcW w:w="6362" w:type="dxa"/>
                  <w:gridSpan w:val="3"/>
                  <w:tcBorders>
                    <w:bottom w:val="single" w:color="auto" w:sz="4" w:space="0"/>
                  </w:tcBorders>
                  <w:vAlign w:val="center"/>
                </w:tcPr>
                <w:p>
                  <w:pPr>
                    <w:jc w:val="center"/>
                    <w:rPr>
                      <w:bCs/>
                      <w:color w:val="000000" w:themeColor="text1"/>
                      <w:kern w:val="0"/>
                      <w:sz w:val="18"/>
                      <w:szCs w:val="18"/>
                      <w14:textFill>
                        <w14:solidFill>
                          <w14:schemeClr w14:val="tx1"/>
                        </w14:solidFill>
                      </w14:textFill>
                    </w:rPr>
                  </w:pPr>
                  <w:r>
                    <w:rPr>
                      <w:bCs/>
                      <w:color w:val="000000" w:themeColor="text1"/>
                      <w:kern w:val="0"/>
                      <w:sz w:val="18"/>
                      <w:szCs w:val="18"/>
                      <w14:textFill>
                        <w14:solidFill>
                          <w14:schemeClr w14:val="tx1"/>
                        </w14:solidFill>
                      </w14:textFill>
                    </w:rPr>
                    <w:t>硫化氢(mg/m</w:t>
                  </w:r>
                  <w:r>
                    <w:rPr>
                      <w:bCs/>
                      <w:color w:val="000000" w:themeColor="text1"/>
                      <w:kern w:val="0"/>
                      <w:sz w:val="18"/>
                      <w:szCs w:val="18"/>
                      <w:vertAlign w:val="superscript"/>
                      <w14:textFill>
                        <w14:solidFill>
                          <w14:schemeClr w14:val="tx1"/>
                        </w14:solidFill>
                      </w14:textFill>
                    </w:rPr>
                    <w:t>3</w:t>
                  </w:r>
                  <w:r>
                    <w:rPr>
                      <w:bCs/>
                      <w:color w:val="000000" w:themeColor="text1"/>
                      <w:kern w:val="0"/>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tcBorders>
                    <w:tl2br w:val="single" w:color="auto" w:sz="4" w:space="0"/>
                  </w:tcBorders>
                  <w:vAlign w:val="center"/>
                </w:tcPr>
                <w:p>
                  <w:pPr>
                    <w:pStyle w:val="2"/>
                    <w:snapToGrid w:val="0"/>
                    <w:spacing w:after="0"/>
                    <w:ind w:left="0" w:leftChars="0" w:firstLine="0" w:firstLineChars="0"/>
                    <w:jc w:val="right"/>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  频次</w:t>
                  </w:r>
                </w:p>
                <w:p>
                  <w:pPr>
                    <w:pStyle w:val="2"/>
                    <w:snapToGrid w:val="0"/>
                    <w:spacing w:after="0"/>
                    <w:ind w:left="0" w:leftChars="0" w:firstLine="0" w:firstLineChars="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点位</w:t>
                  </w:r>
                </w:p>
              </w:tc>
              <w:tc>
                <w:tcPr>
                  <w:tcW w:w="2120" w:type="dxa"/>
                  <w:tcBorders>
                    <w:tl2br w:val="nil"/>
                  </w:tcBorders>
                  <w:vAlign w:val="center"/>
                </w:tcPr>
                <w:p>
                  <w:pPr>
                    <w:pStyle w:val="2"/>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w:t>
                  </w:r>
                </w:p>
              </w:tc>
              <w:tc>
                <w:tcPr>
                  <w:tcW w:w="2121" w:type="dxa"/>
                  <w:tcBorders>
                    <w:tl2br w:val="nil"/>
                  </w:tcBorders>
                  <w:vAlign w:val="center"/>
                </w:tcPr>
                <w:p>
                  <w:pPr>
                    <w:pStyle w:val="2"/>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2</w:t>
                  </w:r>
                </w:p>
              </w:tc>
              <w:tc>
                <w:tcPr>
                  <w:tcW w:w="2121" w:type="dxa"/>
                  <w:vAlign w:val="center"/>
                </w:tcPr>
                <w:p>
                  <w:pPr>
                    <w:pStyle w:val="2"/>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上风向1#</w:t>
                  </w:r>
                </w:p>
              </w:tc>
              <w:tc>
                <w:tcPr>
                  <w:tcW w:w="2120"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ND</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ND</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widowControl/>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下风向2#</w:t>
                  </w:r>
                </w:p>
              </w:tc>
              <w:tc>
                <w:tcPr>
                  <w:tcW w:w="2120"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0.007</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0.008</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widowControl/>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下风向3#</w:t>
                  </w:r>
                </w:p>
              </w:tc>
              <w:tc>
                <w:tcPr>
                  <w:tcW w:w="2120"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0.005</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0.009</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widowControl/>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下风向4#</w:t>
                  </w:r>
                </w:p>
              </w:tc>
              <w:tc>
                <w:tcPr>
                  <w:tcW w:w="2120"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0.008</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0.006</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pStyle w:val="2"/>
                    <w:snapToGrid w:val="0"/>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监测日期</w:t>
                  </w:r>
                </w:p>
              </w:tc>
              <w:tc>
                <w:tcPr>
                  <w:tcW w:w="6362" w:type="dxa"/>
                  <w:gridSpan w:val="3"/>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2022.08.10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tcBorders>
                    <w:bottom w:val="single" w:color="auto" w:sz="4" w:space="0"/>
                  </w:tcBorders>
                  <w:vAlign w:val="center"/>
                </w:tcPr>
                <w:p>
                  <w:pPr>
                    <w:pStyle w:val="2"/>
                    <w:snapToGrid w:val="0"/>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监测项目</w:t>
                  </w:r>
                </w:p>
              </w:tc>
              <w:tc>
                <w:tcPr>
                  <w:tcW w:w="6362" w:type="dxa"/>
                  <w:gridSpan w:val="3"/>
                  <w:tcBorders>
                    <w:bottom w:val="single" w:color="auto" w:sz="4" w:space="0"/>
                  </w:tcBorders>
                  <w:vAlign w:val="center"/>
                </w:tcPr>
                <w:p>
                  <w:pPr>
                    <w:jc w:val="center"/>
                    <w:rPr>
                      <w:bCs/>
                      <w:color w:val="000000" w:themeColor="text1"/>
                      <w:kern w:val="0"/>
                      <w:sz w:val="18"/>
                      <w:szCs w:val="18"/>
                      <w14:textFill>
                        <w14:solidFill>
                          <w14:schemeClr w14:val="tx1"/>
                        </w14:solidFill>
                      </w14:textFill>
                    </w:rPr>
                  </w:pPr>
                  <w:r>
                    <w:rPr>
                      <w:bCs/>
                      <w:color w:val="000000" w:themeColor="text1"/>
                      <w:kern w:val="0"/>
                      <w:sz w:val="18"/>
                      <w:szCs w:val="18"/>
                      <w14:textFill>
                        <w14:solidFill>
                          <w14:schemeClr w14:val="tx1"/>
                        </w14:solidFill>
                      </w14:textFill>
                    </w:rPr>
                    <w:t>臭气浓度(无量纲)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tcBorders>
                    <w:tl2br w:val="single" w:color="auto" w:sz="4" w:space="0"/>
                  </w:tcBorders>
                  <w:vAlign w:val="center"/>
                </w:tcPr>
                <w:p>
                  <w:pPr>
                    <w:pStyle w:val="2"/>
                    <w:snapToGrid w:val="0"/>
                    <w:spacing w:after="0"/>
                    <w:ind w:left="0" w:leftChars="0" w:firstLine="0" w:firstLineChars="0"/>
                    <w:jc w:val="right"/>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  频次</w:t>
                  </w:r>
                </w:p>
                <w:p>
                  <w:pPr>
                    <w:pStyle w:val="2"/>
                    <w:snapToGrid w:val="0"/>
                    <w:spacing w:after="0"/>
                    <w:ind w:left="0" w:leftChars="0" w:firstLine="0" w:firstLineChars="0"/>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点位</w:t>
                  </w:r>
                </w:p>
              </w:tc>
              <w:tc>
                <w:tcPr>
                  <w:tcW w:w="2120" w:type="dxa"/>
                  <w:tcBorders>
                    <w:tl2br w:val="nil"/>
                  </w:tcBorders>
                  <w:vAlign w:val="center"/>
                </w:tcPr>
                <w:p>
                  <w:pPr>
                    <w:pStyle w:val="2"/>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1</w:t>
                  </w:r>
                </w:p>
              </w:tc>
              <w:tc>
                <w:tcPr>
                  <w:tcW w:w="2121" w:type="dxa"/>
                  <w:tcBorders>
                    <w:tl2br w:val="nil"/>
                  </w:tcBorders>
                  <w:vAlign w:val="center"/>
                </w:tcPr>
                <w:p>
                  <w:pPr>
                    <w:pStyle w:val="2"/>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2</w:t>
                  </w:r>
                </w:p>
              </w:tc>
              <w:tc>
                <w:tcPr>
                  <w:tcW w:w="2121" w:type="dxa"/>
                  <w:vAlign w:val="center"/>
                </w:tcPr>
                <w:p>
                  <w:pPr>
                    <w:pStyle w:val="2"/>
                    <w:spacing w:after="0"/>
                    <w:ind w:left="0" w:leftChars="0" w:firstLine="0" w:firstLineChars="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上风向1#</w:t>
                  </w:r>
                </w:p>
              </w:tc>
              <w:tc>
                <w:tcPr>
                  <w:tcW w:w="2120"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widowControl/>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下风向2#</w:t>
                  </w:r>
                </w:p>
              </w:tc>
              <w:tc>
                <w:tcPr>
                  <w:tcW w:w="2120"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widowControl/>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下风向3#</w:t>
                  </w:r>
                </w:p>
              </w:tc>
              <w:tc>
                <w:tcPr>
                  <w:tcW w:w="2120"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047" w:type="dxa"/>
                  <w:vAlign w:val="center"/>
                </w:tcPr>
                <w:p>
                  <w:pPr>
                    <w:widowControl/>
                    <w:snapToGrid w:val="0"/>
                    <w:jc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下风向4#</w:t>
                  </w:r>
                </w:p>
              </w:tc>
              <w:tc>
                <w:tcPr>
                  <w:tcW w:w="2120"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c>
                <w:tcPr>
                  <w:tcW w:w="2121" w:type="dxa"/>
                  <w:vAlign w:val="center"/>
                </w:tcPr>
                <w:p>
                  <w:pPr>
                    <w:widowControl/>
                    <w:jc w:val="cente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w:t>
                  </w:r>
                </w:p>
              </w:tc>
            </w:tr>
          </w:tbl>
          <w:p>
            <w:pPr>
              <w:snapToGrid w:val="0"/>
              <w:spacing w:line="360" w:lineRule="auto"/>
              <w:ind w:firstLine="420" w:firstLineChars="200"/>
              <w:rPr>
                <w:color w:val="000000" w:themeColor="text1"/>
                <w:spacing w:val="-10"/>
                <w:szCs w:val="21"/>
                <w14:textFill>
                  <w14:solidFill>
                    <w14:schemeClr w14:val="tx1"/>
                  </w14:solidFill>
                </w14:textFill>
              </w:rPr>
            </w:pPr>
            <w:r>
              <w:rPr>
                <w:color w:val="000000" w:themeColor="text1"/>
                <w:szCs w:val="21"/>
                <w14:textFill>
                  <w14:solidFill>
                    <w14:schemeClr w14:val="tx1"/>
                  </w14:solidFill>
                </w14:textFill>
              </w:rPr>
              <w:t>根据上表可知，本项目污染物排放浓度可以满足《山东省医疗机构污染物排放控制标准》（DB37/596-2020）中表2污水处理站周边大气污染物最高允许浓度限值。</w:t>
            </w:r>
          </w:p>
          <w:p>
            <w:pPr>
              <w:snapToGrid w:val="0"/>
              <w:spacing w:line="360" w:lineRule="auto"/>
              <w:ind w:firstLine="382" w:firstLineChars="200"/>
              <w:rPr>
                <w:b/>
                <w:bCs/>
                <w:color w:val="000000" w:themeColor="text1"/>
                <w:spacing w:val="-10"/>
                <w:szCs w:val="21"/>
                <w14:textFill>
                  <w14:solidFill>
                    <w14:schemeClr w14:val="tx1"/>
                  </w14:solidFill>
                </w14:textFill>
              </w:rPr>
            </w:pPr>
            <w:r>
              <w:rPr>
                <w:b/>
                <w:bCs/>
                <w:color w:val="000000" w:themeColor="text1"/>
                <w:spacing w:val="-10"/>
                <w:szCs w:val="21"/>
                <w14:textFill>
                  <w14:solidFill>
                    <w14:schemeClr w14:val="tx1"/>
                  </w14:solidFill>
                </w14:textFill>
              </w:rPr>
              <w:t>2.4大气环境影响分析</w:t>
            </w:r>
          </w:p>
          <w:p>
            <w:pPr>
              <w:pageBreakBefore/>
              <w:widowControl/>
              <w:spacing w:line="360" w:lineRule="auto"/>
              <w:ind w:firstLine="420" w:firstLineChars="200"/>
              <w:rPr>
                <w:color w:val="000000" w:themeColor="text1"/>
                <w14:textFill>
                  <w14:solidFill>
                    <w14:schemeClr w14:val="tx1"/>
                  </w14:solidFill>
                </w14:textFill>
              </w:rPr>
            </w:pPr>
            <w:r>
              <w:rPr>
                <w:color w:val="000000" w:themeColor="text1"/>
                <w:lang w:val="zh-CN"/>
                <w14:textFill>
                  <w14:solidFill>
                    <w14:schemeClr w14:val="tx1"/>
                  </w14:solidFill>
                </w14:textFill>
              </w:rPr>
              <w:t>建设项目所在区域环境质量为不达标区，大气环境质量中超标的因子主要是PM</w:t>
            </w:r>
            <w:r>
              <w:rPr>
                <w:color w:val="000000" w:themeColor="text1"/>
                <w:vertAlign w:val="subscript"/>
                <w:lang w:val="zh-CN"/>
                <w14:textFill>
                  <w14:solidFill>
                    <w14:schemeClr w14:val="tx1"/>
                  </w14:solidFill>
                </w14:textFill>
              </w:rPr>
              <w:t>10</w:t>
            </w:r>
            <w:r>
              <w:rPr>
                <w:color w:val="000000" w:themeColor="text1"/>
                <w:lang w:val="zh-CN"/>
                <w14:textFill>
                  <w14:solidFill>
                    <w14:schemeClr w14:val="tx1"/>
                  </w14:solidFill>
                </w14:textFill>
              </w:rPr>
              <w:t>、PM</w:t>
            </w:r>
            <w:r>
              <w:rPr>
                <w:color w:val="000000" w:themeColor="text1"/>
                <w:vertAlign w:val="subscript"/>
                <w:lang w:val="zh-CN"/>
                <w14:textFill>
                  <w14:solidFill>
                    <w14:schemeClr w14:val="tx1"/>
                  </w14:solidFill>
                </w14:textFill>
              </w:rPr>
              <w:t>2</w:t>
            </w:r>
            <w:r>
              <w:rPr>
                <w:color w:val="000000" w:themeColor="text1"/>
                <w:vertAlign w:val="subscript"/>
                <w14:textFill>
                  <w14:solidFill>
                    <w14:schemeClr w14:val="tx1"/>
                  </w14:solidFill>
                </w14:textFill>
              </w:rPr>
              <w:t>.</w:t>
            </w:r>
            <w:r>
              <w:rPr>
                <w:color w:val="000000" w:themeColor="text1"/>
                <w:vertAlign w:val="subscript"/>
                <w:lang w:val="zh-CN"/>
                <w14:textFill>
                  <w14:solidFill>
                    <w14:schemeClr w14:val="tx1"/>
                  </w14:solidFill>
                </w14:textFill>
              </w:rPr>
              <w:t>5</w:t>
            </w:r>
            <w:r>
              <w:rPr>
                <w:color w:val="000000" w:themeColor="text1"/>
                <w:lang w:val="zh-CN"/>
                <w14:textFill>
                  <w14:solidFill>
                    <w14:schemeClr w14:val="tx1"/>
                  </w14:solidFill>
                </w14:textFill>
              </w:rPr>
              <w:t>，项目污染物主要为污水处理站处理过程中产生的硫化氢、氨、臭气等，污水处理站采用地埋式，产生恶臭设施加盖处理、污水处理站区域投放除臭剂，根据现状监测数据可知，本项目对周围大气环境影响较小，污染物排放浓度满足《山东省医疗机构污染物排放控制标准》（DB37/596-2020）中表2污水处理站周边大气污染物最高允许浓度限值，因此废气的排放可以为周边环境接受。</w:t>
            </w:r>
          </w:p>
          <w:p>
            <w:pPr>
              <w:snapToGrid w:val="0"/>
              <w:spacing w:line="360" w:lineRule="auto"/>
              <w:ind w:firstLine="382" w:firstLineChars="200"/>
              <w:rPr>
                <w:b/>
                <w:bCs/>
                <w:color w:val="000000" w:themeColor="text1"/>
                <w:spacing w:val="-10"/>
                <w:szCs w:val="21"/>
                <w14:textFill>
                  <w14:solidFill>
                    <w14:schemeClr w14:val="tx1"/>
                  </w14:solidFill>
                </w14:textFill>
              </w:rPr>
            </w:pPr>
            <w:r>
              <w:rPr>
                <w:b/>
                <w:bCs/>
                <w:color w:val="000000" w:themeColor="text1"/>
                <w:spacing w:val="-10"/>
                <w:szCs w:val="21"/>
                <w14:textFill>
                  <w14:solidFill>
                    <w14:schemeClr w14:val="tx1"/>
                  </w14:solidFill>
                </w14:textFill>
              </w:rPr>
              <w:t>2.5 废气污染物监测计划</w:t>
            </w:r>
          </w:p>
          <w:p>
            <w:pPr>
              <w:pageBreakBefore/>
              <w:widowControl/>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根</w:t>
            </w:r>
            <w:r>
              <w:rPr>
                <w:color w:val="000000" w:themeColor="text1"/>
                <w:szCs w:val="21"/>
                <w14:textFill>
                  <w14:solidFill>
                    <w14:schemeClr w14:val="tx1"/>
                  </w14:solidFill>
                </w14:textFill>
              </w:rPr>
              <w:t>据《排污单位自行监测技术指南 总则》（HJ819-2017）、《排污许可证申请与核发技术规范 医疗机构》(HJ1105-2020)相关规定，制定本企业自行监测方案</w:t>
            </w:r>
            <w:r>
              <w:rPr>
                <w:color w:val="000000" w:themeColor="text1"/>
                <w14:textFill>
                  <w14:solidFill>
                    <w14:schemeClr w14:val="tx1"/>
                  </w14:solidFill>
                </w14:textFill>
              </w:rPr>
              <w:t>。</w:t>
            </w:r>
          </w:p>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表4-12  营运期大气检测计划一览表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2"/>
              <w:gridCol w:w="1210"/>
              <w:gridCol w:w="1459"/>
              <w:gridCol w:w="3142"/>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4"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监测点位</w:t>
                  </w:r>
                </w:p>
              </w:tc>
              <w:tc>
                <w:tcPr>
                  <w:tcW w:w="719"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监测项目</w:t>
                  </w:r>
                </w:p>
              </w:tc>
              <w:tc>
                <w:tcPr>
                  <w:tcW w:w="867"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监测频次</w:t>
                  </w:r>
                </w:p>
              </w:tc>
              <w:tc>
                <w:tcPr>
                  <w:tcW w:w="1867"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执行标准</w:t>
                  </w:r>
                </w:p>
              </w:tc>
              <w:tc>
                <w:tcPr>
                  <w:tcW w:w="773"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4" w:type="pct"/>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污水处理站</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周界</w:t>
                  </w:r>
                </w:p>
              </w:tc>
              <w:tc>
                <w:tcPr>
                  <w:tcW w:w="71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臭气浓度</w:t>
                  </w:r>
                </w:p>
              </w:tc>
              <w:tc>
                <w:tcPr>
                  <w:tcW w:w="86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1次/季</w:t>
                  </w:r>
                </w:p>
              </w:tc>
              <w:tc>
                <w:tcPr>
                  <w:tcW w:w="1867" w:type="pct"/>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《山东省医疗机构污染物排放控制标准》（DB37/596-2020）表2</w:t>
                  </w:r>
                </w:p>
              </w:tc>
              <w:tc>
                <w:tcPr>
                  <w:tcW w:w="773"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4" w:type="pct"/>
                  <w:vMerge w:val="continue"/>
                  <w:vAlign w:val="center"/>
                </w:tcPr>
                <w:p>
                  <w:pPr>
                    <w:jc w:val="center"/>
                    <w:rPr>
                      <w:color w:val="000000" w:themeColor="text1"/>
                      <w:sz w:val="18"/>
                      <w:szCs w:val="18"/>
                      <w14:textFill>
                        <w14:solidFill>
                          <w14:schemeClr w14:val="tx1"/>
                        </w14:solidFill>
                      </w14:textFill>
                    </w:rPr>
                  </w:pPr>
                </w:p>
              </w:tc>
              <w:tc>
                <w:tcPr>
                  <w:tcW w:w="71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氨（氨气）</w:t>
                  </w:r>
                </w:p>
              </w:tc>
              <w:tc>
                <w:tcPr>
                  <w:tcW w:w="86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1次/季</w:t>
                  </w:r>
                </w:p>
              </w:tc>
              <w:tc>
                <w:tcPr>
                  <w:tcW w:w="1867" w:type="pct"/>
                  <w:vMerge w:val="continue"/>
                </w:tcPr>
                <w:p>
                  <w:pPr>
                    <w:jc w:val="center"/>
                    <w:rPr>
                      <w:color w:val="000000" w:themeColor="text1"/>
                      <w:sz w:val="18"/>
                      <w:szCs w:val="18"/>
                      <w14:textFill>
                        <w14:solidFill>
                          <w14:schemeClr w14:val="tx1"/>
                        </w14:solidFill>
                      </w14:textFill>
                    </w:rPr>
                  </w:pPr>
                </w:p>
              </w:tc>
              <w:tc>
                <w:tcPr>
                  <w:tcW w:w="773"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0.2mg/m</w:t>
                  </w:r>
                  <w:r>
                    <w:rPr>
                      <w:color w:val="000000" w:themeColor="text1"/>
                      <w:sz w:val="18"/>
                      <w:szCs w:val="18"/>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74" w:type="pct"/>
                  <w:vMerge w:val="continue"/>
                  <w:vAlign w:val="center"/>
                </w:tcPr>
                <w:p>
                  <w:pPr>
                    <w:jc w:val="center"/>
                    <w:rPr>
                      <w:color w:val="000000" w:themeColor="text1"/>
                      <w:sz w:val="18"/>
                      <w:szCs w:val="18"/>
                      <w14:textFill>
                        <w14:solidFill>
                          <w14:schemeClr w14:val="tx1"/>
                        </w14:solidFill>
                      </w14:textFill>
                    </w:rPr>
                  </w:pPr>
                </w:p>
              </w:tc>
              <w:tc>
                <w:tcPr>
                  <w:tcW w:w="71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硫化氢</w:t>
                  </w:r>
                </w:p>
              </w:tc>
              <w:tc>
                <w:tcPr>
                  <w:tcW w:w="867"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1次/季</w:t>
                  </w:r>
                </w:p>
              </w:tc>
              <w:tc>
                <w:tcPr>
                  <w:tcW w:w="1867" w:type="pct"/>
                  <w:vMerge w:val="continue"/>
                </w:tcPr>
                <w:p>
                  <w:pPr>
                    <w:jc w:val="center"/>
                    <w:rPr>
                      <w:color w:val="000000" w:themeColor="text1"/>
                      <w:sz w:val="18"/>
                      <w:szCs w:val="18"/>
                      <w14:textFill>
                        <w14:solidFill>
                          <w14:schemeClr w14:val="tx1"/>
                        </w14:solidFill>
                      </w14:textFill>
                    </w:rPr>
                  </w:pPr>
                </w:p>
              </w:tc>
              <w:tc>
                <w:tcPr>
                  <w:tcW w:w="773"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0.02mg/m</w:t>
                  </w:r>
                  <w:r>
                    <w:rPr>
                      <w:color w:val="000000" w:themeColor="text1"/>
                      <w:sz w:val="18"/>
                      <w:szCs w:val="18"/>
                      <w:vertAlign w:val="superscript"/>
                      <w14:textFill>
                        <w14:solidFill>
                          <w14:schemeClr w14:val="tx1"/>
                        </w14:solidFill>
                      </w14:textFill>
                    </w:rPr>
                    <w:t>3</w:t>
                  </w:r>
                </w:p>
              </w:tc>
            </w:tr>
          </w:tbl>
          <w:p>
            <w:pPr>
              <w:snapToGrid w:val="0"/>
              <w:spacing w:line="360" w:lineRule="auto"/>
              <w:ind w:firstLine="382" w:firstLineChars="200"/>
              <w:rPr>
                <w:b/>
                <w:bCs/>
                <w:color w:val="000000" w:themeColor="text1"/>
                <w:spacing w:val="-10"/>
                <w:szCs w:val="21"/>
                <w14:textFill>
                  <w14:solidFill>
                    <w14:schemeClr w14:val="tx1"/>
                  </w14:solidFill>
                </w14:textFill>
              </w:rPr>
            </w:pPr>
            <w:r>
              <w:rPr>
                <w:b/>
                <w:bCs/>
                <w:color w:val="000000" w:themeColor="text1"/>
                <w:spacing w:val="-10"/>
                <w:szCs w:val="21"/>
                <w14:textFill>
                  <w14:solidFill>
                    <w14:schemeClr w14:val="tx1"/>
                  </w14:solidFill>
                </w14:textFill>
              </w:rPr>
              <w:t>三、噪声</w:t>
            </w:r>
          </w:p>
          <w:p>
            <w:pPr>
              <w:spacing w:line="360" w:lineRule="auto"/>
              <w:ind w:firstLine="482"/>
              <w:rPr>
                <w:b/>
                <w:bCs/>
                <w:color w:val="000000" w:themeColor="text1"/>
                <w:spacing w:val="-10"/>
                <w:szCs w:val="21"/>
                <w14:textFill>
                  <w14:solidFill>
                    <w14:schemeClr w14:val="tx1"/>
                  </w14:solidFill>
                </w14:textFill>
              </w:rPr>
            </w:pPr>
            <w:r>
              <w:rPr>
                <w:b/>
                <w:bCs/>
                <w:color w:val="000000" w:themeColor="text1"/>
                <w:spacing w:val="-10"/>
                <w:szCs w:val="21"/>
                <w14:textFill>
                  <w14:solidFill>
                    <w14:schemeClr w14:val="tx1"/>
                  </w14:solidFill>
                </w14:textFill>
              </w:rPr>
              <w:t>3.1噪声产生情况</w:t>
            </w:r>
          </w:p>
          <w:p>
            <w:pPr>
              <w:spacing w:line="360" w:lineRule="auto"/>
              <w:ind w:firstLine="482"/>
              <w:rPr>
                <w:color w:val="000000" w:themeColor="text1"/>
                <w14:textFill>
                  <w14:solidFill>
                    <w14:schemeClr w14:val="tx1"/>
                  </w14:solidFill>
                </w14:textFill>
              </w:rPr>
            </w:pPr>
            <w:r>
              <w:rPr>
                <w:color w:val="000000" w:themeColor="text1"/>
                <w14:textFill>
                  <w14:solidFill>
                    <w14:schemeClr w14:val="tx1"/>
                  </w14:solidFill>
                </w14:textFill>
              </w:rPr>
              <w:t>本项目营运期产生的噪声主要来源于人员活动噪声及医疗设备、污水处理设施设备噪声。其噪声源强见表下表：</w:t>
            </w:r>
          </w:p>
          <w:p>
            <w:pPr>
              <w:jc w:val="center"/>
              <w:rPr>
                <w:b/>
                <w:bCs/>
                <w:color w:val="000000" w:themeColor="text1"/>
                <w14:textFill>
                  <w14:solidFill>
                    <w14:schemeClr w14:val="tx1"/>
                  </w14:solidFill>
                </w14:textFill>
              </w:rPr>
            </w:pPr>
            <w:r>
              <w:rPr>
                <w:b/>
                <w:bCs/>
                <w:color w:val="000000" w:themeColor="text1"/>
                <w14:textFill>
                  <w14:solidFill>
                    <w14:schemeClr w14:val="tx1"/>
                  </w14:solidFill>
                </w14:textFill>
              </w:rPr>
              <w:t>表4-13  主要噪声源排放源强统计</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8"/>
              <w:gridCol w:w="2091"/>
              <w:gridCol w:w="3181"/>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3"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序号</w:t>
                  </w:r>
                </w:p>
              </w:tc>
              <w:tc>
                <w:tcPr>
                  <w:tcW w:w="1242"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产噪源</w:t>
                  </w:r>
                </w:p>
              </w:tc>
              <w:tc>
                <w:tcPr>
                  <w:tcW w:w="1890"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声源强值dB（A）</w:t>
                  </w:r>
                </w:p>
              </w:tc>
              <w:tc>
                <w:tcPr>
                  <w:tcW w:w="1242"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产生位置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3"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w:t>
                  </w:r>
                </w:p>
              </w:tc>
              <w:tc>
                <w:tcPr>
                  <w:tcW w:w="1242"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人员活动</w:t>
                  </w:r>
                </w:p>
              </w:tc>
              <w:tc>
                <w:tcPr>
                  <w:tcW w:w="1890"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60-65</w:t>
                  </w:r>
                </w:p>
              </w:tc>
              <w:tc>
                <w:tcPr>
                  <w:tcW w:w="1242"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门诊大厅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3"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w:t>
                  </w:r>
                </w:p>
              </w:tc>
              <w:tc>
                <w:tcPr>
                  <w:tcW w:w="1242"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医疗设备</w:t>
                  </w:r>
                </w:p>
              </w:tc>
              <w:tc>
                <w:tcPr>
                  <w:tcW w:w="1890"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50</w:t>
                  </w:r>
                </w:p>
              </w:tc>
              <w:tc>
                <w:tcPr>
                  <w:tcW w:w="1242"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各科室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3"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w:t>
                  </w:r>
                </w:p>
              </w:tc>
              <w:tc>
                <w:tcPr>
                  <w:tcW w:w="1242"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泵、消毒机</w:t>
                  </w:r>
                </w:p>
              </w:tc>
              <w:tc>
                <w:tcPr>
                  <w:tcW w:w="1890"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70</w:t>
                  </w:r>
                </w:p>
              </w:tc>
              <w:tc>
                <w:tcPr>
                  <w:tcW w:w="1242"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23" w:type="pct"/>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p>
              </w:tc>
              <w:tc>
                <w:tcPr>
                  <w:tcW w:w="1242" w:type="pct"/>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汽车运输</w:t>
                  </w:r>
                </w:p>
              </w:tc>
              <w:tc>
                <w:tcPr>
                  <w:tcW w:w="1890"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59～84</w:t>
                  </w:r>
                </w:p>
              </w:tc>
              <w:tc>
                <w:tcPr>
                  <w:tcW w:w="1242" w:type="pct"/>
                  <w:vAlign w:val="center"/>
                </w:tcPr>
                <w:p>
                  <w:pPr>
                    <w:adjustRightInd w:val="0"/>
                    <w:snapToGrid w:val="0"/>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出入口</w:t>
                  </w:r>
                </w:p>
              </w:tc>
            </w:tr>
          </w:tbl>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交通噪声与车辆的类型、构造、行驶速度、车流量以及道路的结构、宽度、坡度等密切相关，其中又以行驶速度为关键因素。根据调查，车辆在进出停车场时会产生一定的噪声，其源强一般在59～84dB（A），影响范围主要为靠近出入口的周边声环境。进出医院的车辆噪声对周边环境的影响具有短时性特点，而且与环境噪声背景值密切相关，昼间由于人群活动以及周边道路来往车辆等综合影响，环境噪声背景值较大， 其影响不太明显；到了夜间，随着交通流量及人群活动量的减少，环境噪声背景值较低， 其影响较为突出。</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汽车进出时怠速行驶产生的噪声源强为59～70dB（A），鸣笛的噪声源强为 78～84dB（A），对出入口附近低层的办公和住院环境产生一定影响。由于车辆进出时间随机，一般都是单独车辆进出，因此本评价预测某一车辆进出车库时噪声对周围环境的影响。</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预测模式：</w:t>
            </w:r>
          </w:p>
          <w:p>
            <w:pPr>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不考虑空气吸收、地面效应，其点声源噪声影响预测模式为：</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L</w:t>
            </w:r>
            <w:r>
              <w:rPr>
                <w:color w:val="000000" w:themeColor="text1"/>
                <w:szCs w:val="21"/>
                <w:vertAlign w:val="subscript"/>
                <w14:textFill>
                  <w14:solidFill>
                    <w14:schemeClr w14:val="tx1"/>
                  </w14:solidFill>
                </w14:textFill>
              </w:rPr>
              <w:t>（r）</w:t>
            </w:r>
            <w:r>
              <w:rPr>
                <w:color w:val="000000" w:themeColor="text1"/>
                <w:szCs w:val="21"/>
                <w14:textFill>
                  <w14:solidFill>
                    <w14:schemeClr w14:val="tx1"/>
                  </w14:solidFill>
                </w14:textFill>
              </w:rPr>
              <w:t>=L</w:t>
            </w:r>
            <w:r>
              <w:rPr>
                <w:color w:val="000000" w:themeColor="text1"/>
                <w:szCs w:val="21"/>
                <w:vertAlign w:val="subscript"/>
                <w14:textFill>
                  <w14:solidFill>
                    <w14:schemeClr w14:val="tx1"/>
                  </w14:solidFill>
                </w14:textFill>
              </w:rPr>
              <w:t>（r0）</w:t>
            </w:r>
            <w:r>
              <w:rPr>
                <w:color w:val="000000" w:themeColor="text1"/>
                <w:szCs w:val="21"/>
                <w14:textFill>
                  <w14:solidFill>
                    <w14:schemeClr w14:val="tx1"/>
                  </w14:solidFill>
                </w14:textFill>
              </w:rPr>
              <w:t>-20lg（r/r</w:t>
            </w:r>
            <w:r>
              <w:rPr>
                <w:color w:val="000000" w:themeColor="text1"/>
                <w:szCs w:val="21"/>
                <w:vertAlign w:val="subscript"/>
                <w14:textFill>
                  <w14:solidFill>
                    <w14:schemeClr w14:val="tx1"/>
                  </w14:solidFill>
                </w14:textFill>
              </w:rPr>
              <w:t>0</w:t>
            </w:r>
            <w:r>
              <w:rPr>
                <w:color w:val="000000" w:themeColor="text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式中，</w:t>
            </w:r>
            <w:r>
              <w:rPr>
                <w:rFonts w:eastAsia="Times New Roman"/>
                <w:color w:val="000000" w:themeColor="text1"/>
                <w14:textFill>
                  <w14:solidFill>
                    <w14:schemeClr w14:val="tx1"/>
                  </w14:solidFill>
                </w14:textFill>
              </w:rPr>
              <w:t>L</w:t>
            </w:r>
            <w:r>
              <w:rPr>
                <w:color w:val="000000" w:themeColor="text1"/>
                <w:vertAlign w:val="subscript"/>
                <w14:textFill>
                  <w14:solidFill>
                    <w14:schemeClr w14:val="tx1"/>
                  </w14:solidFill>
                </w14:textFill>
              </w:rPr>
              <w:t>（</w:t>
            </w:r>
            <w:r>
              <w:rPr>
                <w:rFonts w:eastAsia="Times New Roman"/>
                <w:color w:val="000000" w:themeColor="text1"/>
                <w:vertAlign w:val="subscript"/>
                <w14:textFill>
                  <w14:solidFill>
                    <w14:schemeClr w14:val="tx1"/>
                  </w14:solidFill>
                </w14:textFill>
              </w:rPr>
              <w:t>r</w:t>
            </w:r>
            <w:r>
              <w:rPr>
                <w:color w:val="000000" w:themeColor="text1"/>
                <w:vertAlign w:val="subscript"/>
                <w14:textFill>
                  <w14:solidFill>
                    <w14:schemeClr w14:val="tx1"/>
                  </w14:solidFill>
                </w14:textFill>
              </w:rPr>
              <w:t>）</w:t>
            </w:r>
            <w:r>
              <w:rPr>
                <w:rFonts w:eastAsia="Times New Roman"/>
                <w:color w:val="000000" w:themeColor="text1"/>
                <w14:textFill>
                  <w14:solidFill>
                    <w14:schemeClr w14:val="tx1"/>
                  </w14:solidFill>
                </w14:textFill>
              </w:rPr>
              <w:t>——</w:t>
            </w:r>
            <w:r>
              <w:rPr>
                <w:color w:val="000000" w:themeColor="text1"/>
                <w14:textFill>
                  <w14:solidFill>
                    <w14:schemeClr w14:val="tx1"/>
                  </w14:solidFill>
                </w14:textFill>
              </w:rPr>
              <w:t xml:space="preserve">距离声源 </w:t>
            </w:r>
            <w:r>
              <w:rPr>
                <w:rFonts w:eastAsia="Times New Roman"/>
                <w:color w:val="000000" w:themeColor="text1"/>
                <w14:textFill>
                  <w14:solidFill>
                    <w14:schemeClr w14:val="tx1"/>
                  </w14:solidFill>
                </w14:textFill>
              </w:rPr>
              <w:t xml:space="preserve">r m </w:t>
            </w:r>
            <w:r>
              <w:rPr>
                <w:color w:val="000000" w:themeColor="text1"/>
                <w14:textFill>
                  <w14:solidFill>
                    <w14:schemeClr w14:val="tx1"/>
                  </w14:solidFill>
                </w14:textFill>
              </w:rPr>
              <w:t>处噪声预测值，</w:t>
            </w:r>
            <w:r>
              <w:rPr>
                <w:rFonts w:eastAsia="Times New Roman"/>
                <w:color w:val="000000" w:themeColor="text1"/>
                <w14:textFill>
                  <w14:solidFill>
                    <w14:schemeClr w14:val="tx1"/>
                  </w14:solidFill>
                </w14:textFill>
              </w:rPr>
              <w:t>dB(A)</w:t>
            </w:r>
            <w:r>
              <w:rPr>
                <w:color w:val="000000" w:themeColor="text1"/>
                <w14:textFill>
                  <w14:solidFill>
                    <w14:schemeClr w14:val="tx1"/>
                  </w14:solidFill>
                </w14:textFill>
              </w:rPr>
              <w:t>；</w:t>
            </w:r>
          </w:p>
          <w:p>
            <w:pPr>
              <w:spacing w:line="360" w:lineRule="auto"/>
              <w:ind w:firstLine="1050" w:firstLineChars="500"/>
              <w:rPr>
                <w:color w:val="000000" w:themeColor="text1"/>
                <w:szCs w:val="21"/>
                <w14:textFill>
                  <w14:solidFill>
                    <w14:schemeClr w14:val="tx1"/>
                  </w14:solidFill>
                </w14:textFill>
              </w:rPr>
            </w:pPr>
            <w:r>
              <w:rPr>
                <w:rFonts w:eastAsia="Times New Roman"/>
                <w:color w:val="000000" w:themeColor="text1"/>
                <w:position w:val="1"/>
                <w14:textFill>
                  <w14:solidFill>
                    <w14:schemeClr w14:val="tx1"/>
                  </w14:solidFill>
                </w14:textFill>
              </w:rPr>
              <w:t>L</w:t>
            </w:r>
            <w:r>
              <w:rPr>
                <w:rFonts w:eastAsia="Times New Roman"/>
                <w:color w:val="000000" w:themeColor="text1"/>
                <w:position w:val="1"/>
                <w:vertAlign w:val="subscript"/>
                <w14:textFill>
                  <w14:solidFill>
                    <w14:schemeClr w14:val="tx1"/>
                  </w14:solidFill>
                </w14:textFill>
              </w:rPr>
              <w:t>(r</w:t>
            </w:r>
            <w:r>
              <w:rPr>
                <w:rFonts w:eastAsia="Times New Roman"/>
                <w:color w:val="000000" w:themeColor="text1"/>
                <w:sz w:val="16"/>
                <w:vertAlign w:val="subscript"/>
                <w14:textFill>
                  <w14:solidFill>
                    <w14:schemeClr w14:val="tx1"/>
                  </w14:solidFill>
                </w14:textFill>
              </w:rPr>
              <w:t>0</w:t>
            </w:r>
            <w:r>
              <w:rPr>
                <w:rFonts w:eastAsia="Times New Roman"/>
                <w:color w:val="000000" w:themeColor="text1"/>
                <w:position w:val="1"/>
                <w:vertAlign w:val="subscript"/>
                <w14:textFill>
                  <w14:solidFill>
                    <w14:schemeClr w14:val="tx1"/>
                  </w14:solidFill>
                </w14:textFill>
              </w:rPr>
              <w:t xml:space="preserve">) </w:t>
            </w:r>
            <w:r>
              <w:rPr>
                <w:rFonts w:eastAsia="Times New Roman"/>
                <w:color w:val="000000" w:themeColor="text1"/>
                <w:position w:val="1"/>
                <w14:textFill>
                  <w14:solidFill>
                    <w14:schemeClr w14:val="tx1"/>
                  </w14:solidFill>
                </w14:textFill>
              </w:rPr>
              <w:t>——</w:t>
            </w:r>
            <w:r>
              <w:rPr>
                <w:color w:val="000000" w:themeColor="text1"/>
                <w:position w:val="1"/>
                <w14:textFill>
                  <w14:solidFill>
                    <w14:schemeClr w14:val="tx1"/>
                  </w14:solidFill>
                </w14:textFill>
              </w:rPr>
              <w:t xml:space="preserve">声源 </w:t>
            </w:r>
            <w:r>
              <w:rPr>
                <w:rFonts w:eastAsia="Times New Roman"/>
                <w:color w:val="000000" w:themeColor="text1"/>
                <w:position w:val="1"/>
                <w14:textFill>
                  <w14:solidFill>
                    <w14:schemeClr w14:val="tx1"/>
                  </w14:solidFill>
                </w14:textFill>
              </w:rPr>
              <w:t xml:space="preserve">r0 m </w:t>
            </w:r>
            <w:r>
              <w:rPr>
                <w:color w:val="000000" w:themeColor="text1"/>
                <w:position w:val="1"/>
                <w14:textFill>
                  <w14:solidFill>
                    <w14:schemeClr w14:val="tx1"/>
                  </w14:solidFill>
                </w14:textFill>
              </w:rPr>
              <w:t>处的参考声级，</w:t>
            </w:r>
            <w:r>
              <w:rPr>
                <w:rFonts w:eastAsia="Times New Roman"/>
                <w:color w:val="000000" w:themeColor="text1"/>
                <w:position w:val="1"/>
                <w14:textFill>
                  <w14:solidFill>
                    <w14:schemeClr w14:val="tx1"/>
                  </w14:solidFill>
                </w14:textFill>
              </w:rPr>
              <w:t>dB(A)</w:t>
            </w:r>
            <w:r>
              <w:rPr>
                <w:color w:val="000000" w:themeColor="text1"/>
                <w:position w:val="1"/>
                <w14:textFill>
                  <w14:solidFill>
                    <w14:schemeClr w14:val="tx1"/>
                  </w14:solidFill>
                </w14:textFill>
              </w:rPr>
              <w:t>；</w:t>
            </w:r>
          </w:p>
          <w:p>
            <w:pPr>
              <w:spacing w:line="360" w:lineRule="auto"/>
              <w:ind w:firstLine="1050" w:firstLineChars="500"/>
              <w:rPr>
                <w:color w:val="000000" w:themeColor="text1"/>
                <w14:textFill>
                  <w14:solidFill>
                    <w14:schemeClr w14:val="tx1"/>
                  </w14:solidFill>
                </w14:textFill>
              </w:rPr>
            </w:pPr>
            <w:r>
              <w:rPr>
                <w:rFonts w:eastAsia="Times New Roman"/>
                <w:color w:val="000000" w:themeColor="text1"/>
                <w14:textFill>
                  <w14:solidFill>
                    <w14:schemeClr w14:val="tx1"/>
                  </w14:solidFill>
                </w14:textFill>
              </w:rPr>
              <w:t>r ——</w:t>
            </w:r>
            <w:r>
              <w:rPr>
                <w:color w:val="000000" w:themeColor="text1"/>
                <w14:textFill>
                  <w14:solidFill>
                    <w14:schemeClr w14:val="tx1"/>
                  </w14:solidFill>
                </w14:textFill>
              </w:rPr>
              <w:t>预测点与声源之间的距离，</w:t>
            </w:r>
            <w:r>
              <w:rPr>
                <w:rFonts w:eastAsia="Times New Roman"/>
                <w:color w:val="000000" w:themeColor="text1"/>
                <w14:textFill>
                  <w14:solidFill>
                    <w14:schemeClr w14:val="tx1"/>
                  </w14:solidFill>
                </w14:textFill>
              </w:rPr>
              <w:t>m</w:t>
            </w:r>
            <w:r>
              <w:rPr>
                <w:color w:val="000000" w:themeColor="text1"/>
                <w14:textFill>
                  <w14:solidFill>
                    <w14:schemeClr w14:val="tx1"/>
                  </w14:solidFill>
                </w14:textFill>
              </w:rPr>
              <w:t>；</w:t>
            </w:r>
          </w:p>
          <w:p>
            <w:pPr>
              <w:spacing w:line="360" w:lineRule="auto"/>
              <w:ind w:firstLine="1050" w:firstLineChars="500"/>
              <w:rPr>
                <w:color w:val="000000" w:themeColor="text1"/>
                <w14:textFill>
                  <w14:solidFill>
                    <w14:schemeClr w14:val="tx1"/>
                  </w14:solidFill>
                </w14:textFill>
              </w:rPr>
            </w:pPr>
            <w:r>
              <w:rPr>
                <w:rFonts w:eastAsia="Times New Roman"/>
                <w:color w:val="000000" w:themeColor="text1"/>
                <w14:textFill>
                  <w14:solidFill>
                    <w14:schemeClr w14:val="tx1"/>
                  </w14:solidFill>
                </w14:textFill>
              </w:rPr>
              <w:t>r</w:t>
            </w:r>
            <w:r>
              <w:rPr>
                <w:rFonts w:eastAsia="Times New Roman"/>
                <w:color w:val="000000" w:themeColor="text1"/>
                <w:vertAlign w:val="subscript"/>
                <w14:textFill>
                  <w14:solidFill>
                    <w14:schemeClr w14:val="tx1"/>
                  </w14:solidFill>
                </w14:textFill>
              </w:rPr>
              <w:t>0</w:t>
            </w:r>
            <w:r>
              <w:rPr>
                <w:rFonts w:eastAsia="Times New Roman"/>
                <w:color w:val="000000" w:themeColor="text1"/>
                <w14:textFill>
                  <w14:solidFill>
                    <w14:schemeClr w14:val="tx1"/>
                  </w14:solidFill>
                </w14:textFill>
              </w:rPr>
              <w:t>——</w:t>
            </w:r>
            <w:r>
              <w:rPr>
                <w:color w:val="000000" w:themeColor="text1"/>
                <w14:textFill>
                  <w14:solidFill>
                    <w14:schemeClr w14:val="tx1"/>
                  </w14:solidFill>
                </w14:textFill>
              </w:rPr>
              <w:t>为参考点距离，</w:t>
            </w:r>
            <w:r>
              <w:rPr>
                <w:rFonts w:eastAsia="Times New Roman"/>
                <w:color w:val="000000" w:themeColor="text1"/>
                <w14:textFill>
                  <w14:solidFill>
                    <w14:schemeClr w14:val="tx1"/>
                  </w14:solidFill>
                </w14:textFill>
              </w:rPr>
              <w:t>m</w:t>
            </w:r>
            <w:r>
              <w:rPr>
                <w:color w:val="000000" w:themeColor="text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汽车进出时怠速产生的噪声源强取</w:t>
            </w:r>
            <w:r>
              <w:rPr>
                <w:rFonts w:eastAsia="Times New Roman"/>
                <w:color w:val="000000" w:themeColor="text1"/>
                <w14:textFill>
                  <w14:solidFill>
                    <w14:schemeClr w14:val="tx1"/>
                  </w14:solidFill>
                </w14:textFill>
              </w:rPr>
              <w:t>70dB(A)</w:t>
            </w:r>
            <w:r>
              <w:rPr>
                <w:color w:val="000000" w:themeColor="text1"/>
                <w14:textFill>
                  <w14:solidFill>
                    <w14:schemeClr w14:val="tx1"/>
                  </w14:solidFill>
                </w14:textFill>
              </w:rPr>
              <w:t>，噪声随距离衰减计算结果见表4.2-22。</w:t>
            </w:r>
          </w:p>
          <w:p>
            <w:pPr>
              <w:spacing w:line="360" w:lineRule="auto"/>
              <w:jc w:val="center"/>
              <w:rPr>
                <w:rFonts w:eastAsia="黑体"/>
                <w:color w:val="000000" w:themeColor="text1"/>
                <w:szCs w:val="21"/>
                <w14:textFill>
                  <w14:solidFill>
                    <w14:schemeClr w14:val="tx1"/>
                  </w14:solidFill>
                </w14:textFill>
              </w:rPr>
            </w:pPr>
            <w:r>
              <w:rPr>
                <w:rFonts w:eastAsia="黑体"/>
                <w:color w:val="000000" w:themeColor="text1"/>
                <w:szCs w:val="21"/>
                <w14:textFill>
                  <w14:solidFill>
                    <w14:schemeClr w14:val="tx1"/>
                  </w14:solidFill>
                </w14:textFill>
              </w:rPr>
              <w:t>表4</w:t>
            </w:r>
            <w:r>
              <w:rPr>
                <w:rFonts w:hint="eastAsia" w:eastAsia="黑体"/>
                <w:color w:val="000000" w:themeColor="text1"/>
                <w:szCs w:val="21"/>
                <w14:textFill>
                  <w14:solidFill>
                    <w14:schemeClr w14:val="tx1"/>
                  </w14:solidFill>
                </w14:textFill>
              </w:rPr>
              <w:t>-14</w:t>
            </w:r>
            <w:r>
              <w:rPr>
                <w:rFonts w:eastAsia="黑体"/>
                <w:color w:val="000000" w:themeColor="text1"/>
                <w:szCs w:val="21"/>
                <w14:textFill>
                  <w14:solidFill>
                    <w14:schemeClr w14:val="tx1"/>
                  </w14:solidFill>
                </w14:textFill>
              </w:rPr>
              <w:t xml:space="preserve">  地下车库汽车行驶噪声随距离衰减计算结果  单位：dB(A)</w:t>
            </w:r>
          </w:p>
          <w:tbl>
            <w:tblPr>
              <w:tblStyle w:val="24"/>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07"/>
              <w:gridCol w:w="780"/>
              <w:gridCol w:w="780"/>
              <w:gridCol w:w="780"/>
              <w:gridCol w:w="780"/>
              <w:gridCol w:w="780"/>
              <w:gridCol w:w="780"/>
              <w:gridCol w:w="780"/>
              <w:gridCol w:w="780"/>
              <w:gridCol w:w="7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5" w:type="pct"/>
                  <w:tcBorders>
                    <w:top w:val="single" w:color="auto" w:sz="4" w:space="0"/>
                    <w:left w:val="single" w:color="auto" w:sz="0"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距离</w:t>
                  </w:r>
                </w:p>
              </w:tc>
              <w:tc>
                <w:tcPr>
                  <w:tcW w:w="463" w:type="pct"/>
                  <w:tcBorders>
                    <w:top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源强</w:t>
                  </w:r>
                </w:p>
              </w:tc>
              <w:tc>
                <w:tcPr>
                  <w:tcW w:w="463" w:type="pct"/>
                  <w:tcBorders>
                    <w:top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5m</w:t>
                  </w:r>
                </w:p>
              </w:tc>
              <w:tc>
                <w:tcPr>
                  <w:tcW w:w="463" w:type="pct"/>
                  <w:tcBorders>
                    <w:top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10m</w:t>
                  </w:r>
                </w:p>
              </w:tc>
              <w:tc>
                <w:tcPr>
                  <w:tcW w:w="463" w:type="pct"/>
                  <w:tcBorders>
                    <w:top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15m</w:t>
                  </w:r>
                </w:p>
              </w:tc>
              <w:tc>
                <w:tcPr>
                  <w:tcW w:w="463" w:type="pct"/>
                  <w:tcBorders>
                    <w:top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20m</w:t>
                  </w:r>
                </w:p>
              </w:tc>
              <w:tc>
                <w:tcPr>
                  <w:tcW w:w="463" w:type="pct"/>
                  <w:tcBorders>
                    <w:top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25m</w:t>
                  </w:r>
                </w:p>
              </w:tc>
              <w:tc>
                <w:tcPr>
                  <w:tcW w:w="463" w:type="pct"/>
                  <w:tcBorders>
                    <w:top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30m</w:t>
                  </w:r>
                </w:p>
              </w:tc>
              <w:tc>
                <w:tcPr>
                  <w:tcW w:w="463" w:type="pct"/>
                  <w:tcBorders>
                    <w:top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35m</w:t>
                  </w:r>
                </w:p>
              </w:tc>
              <w:tc>
                <w:tcPr>
                  <w:tcW w:w="461" w:type="pct"/>
                  <w:tcBorders>
                    <w:top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5" w:type="pct"/>
                  <w:tcBorders>
                    <w:left w:val="single" w:color="auto" w:sz="4" w:space="0"/>
                    <w:bottom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噪声值</w:t>
                  </w:r>
                </w:p>
              </w:tc>
              <w:tc>
                <w:tcPr>
                  <w:tcW w:w="463" w:type="pct"/>
                  <w:tcBorders>
                    <w:bottom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70</w:t>
                  </w:r>
                </w:p>
              </w:tc>
              <w:tc>
                <w:tcPr>
                  <w:tcW w:w="463" w:type="pct"/>
                  <w:tcBorders>
                    <w:bottom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70</w:t>
                  </w:r>
                </w:p>
              </w:tc>
              <w:tc>
                <w:tcPr>
                  <w:tcW w:w="463" w:type="pct"/>
                  <w:tcBorders>
                    <w:bottom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56</w:t>
                  </w:r>
                </w:p>
              </w:tc>
              <w:tc>
                <w:tcPr>
                  <w:tcW w:w="463" w:type="pct"/>
                  <w:tcBorders>
                    <w:bottom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50</w:t>
                  </w:r>
                </w:p>
              </w:tc>
              <w:tc>
                <w:tcPr>
                  <w:tcW w:w="463" w:type="pct"/>
                  <w:tcBorders>
                    <w:bottom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46.5</w:t>
                  </w:r>
                </w:p>
              </w:tc>
              <w:tc>
                <w:tcPr>
                  <w:tcW w:w="463" w:type="pct"/>
                  <w:tcBorders>
                    <w:bottom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44</w:t>
                  </w:r>
                </w:p>
              </w:tc>
              <w:tc>
                <w:tcPr>
                  <w:tcW w:w="463" w:type="pct"/>
                  <w:tcBorders>
                    <w:bottom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42</w:t>
                  </w:r>
                </w:p>
              </w:tc>
              <w:tc>
                <w:tcPr>
                  <w:tcW w:w="463" w:type="pct"/>
                  <w:tcBorders>
                    <w:bottom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40.5</w:t>
                  </w:r>
                </w:p>
              </w:tc>
              <w:tc>
                <w:tcPr>
                  <w:tcW w:w="461" w:type="pct"/>
                  <w:tcBorders>
                    <w:bottom w:val="single" w:color="auto" w:sz="4" w:space="0"/>
                    <w:right w:val="single" w:color="auto" w:sz="4" w:space="0"/>
                  </w:tcBorders>
                  <w:shd w:val="clear" w:color="auto" w:fill="auto"/>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39</w:t>
                  </w:r>
                </w:p>
              </w:tc>
            </w:tr>
          </w:tbl>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由预测结果可知，汽车行驶噪声在10m外的噪声值衰减为 50dB（A），再加上墙体、玻璃隔声后，汽车行驶噪声对周边环境的影响很小。</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汽车鸣笛的噪声源强为78～84dB（A），院区内道路及车库应设置禁止鸣笛标志，以避免鸣笛噪声对病房及周边居民的影响。</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随着该项目的投入运营，进出项目区域的人员车辆迅速增加，为防止发生噪声扰民， 确保对地下车库出入口汽车噪声进行有效阻隔，本评价建议项目在地下车库出入口通道上设置吸声、隔声顶棚，以有效降低机动车在出入过程中的噪声影响，同时，出入口应在相应位置按照规范设置醒目的限速和禁鸣喇叭标志，运营期管理部门加强对进出车辆的管理，确保地下车库出入口汽车噪声对相邻低层的楼层和办公环境不会造成干扰影响。</w:t>
            </w:r>
          </w:p>
          <w:p>
            <w:pPr>
              <w:spacing w:line="360" w:lineRule="auto"/>
              <w:ind w:firstLine="420"/>
              <w:rPr>
                <w:b/>
                <w:bCs/>
                <w:color w:val="000000" w:themeColor="text1"/>
                <w:spacing w:val="-10"/>
                <w:szCs w:val="21"/>
                <w14:textFill>
                  <w14:solidFill>
                    <w14:schemeClr w14:val="tx1"/>
                  </w14:solidFill>
                </w14:textFill>
              </w:rPr>
            </w:pPr>
            <w:r>
              <w:rPr>
                <w:b/>
                <w:bCs/>
                <w:color w:val="000000" w:themeColor="text1"/>
                <w:spacing w:val="-10"/>
                <w:szCs w:val="21"/>
                <w14:textFill>
                  <w14:solidFill>
                    <w14:schemeClr w14:val="tx1"/>
                  </w14:solidFill>
                </w14:textFill>
              </w:rPr>
              <w:t>3.2现有监测情况防治措施</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本项目内己采取的降噪措施如下</w:t>
            </w:r>
          </w:p>
          <w:p>
            <w:pPr>
              <w:adjustRightInd w:val="0"/>
              <w:snapToGrid w:val="0"/>
              <w:spacing w:line="360" w:lineRule="auto"/>
              <w:ind w:firstLine="420" w:firstLineChars="20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①</w:t>
            </w:r>
            <w:r>
              <w:rPr>
                <w:color w:val="000000" w:themeColor="text1"/>
                <w14:textFill>
                  <w14:solidFill>
                    <w14:schemeClr w14:val="tx1"/>
                  </w14:solidFill>
                </w14:textFill>
              </w:rPr>
              <w:t>人员活动：加强流动人员管理，张贴禁止大声喧哗等标识。</w:t>
            </w:r>
          </w:p>
          <w:p>
            <w:pPr>
              <w:adjustRightInd w:val="0"/>
              <w:snapToGrid w:val="0"/>
              <w:spacing w:line="360" w:lineRule="auto"/>
              <w:ind w:firstLine="420" w:firstLineChars="20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②</w:t>
            </w:r>
            <w:r>
              <w:rPr>
                <w:color w:val="000000" w:themeColor="text1"/>
                <w14:textFill>
                  <w14:solidFill>
                    <w14:schemeClr w14:val="tx1"/>
                  </w14:solidFill>
                </w14:textFill>
              </w:rPr>
              <w:t>医疗设备：各科室均采用隔音玻璃窗，医疗设备选用先进设备，通过墙体隔声和距离衰减。</w:t>
            </w:r>
          </w:p>
          <w:p>
            <w:pPr>
              <w:adjustRightInd w:val="0"/>
              <w:snapToGrid w:val="0"/>
              <w:spacing w:line="360" w:lineRule="auto"/>
              <w:ind w:firstLine="420" w:firstLineChars="200"/>
              <w:rPr>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③</w:t>
            </w:r>
            <w:r>
              <w:rPr>
                <w:color w:val="000000" w:themeColor="text1"/>
                <w14:textFill>
                  <w14:solidFill>
                    <w14:schemeClr w14:val="tx1"/>
                  </w14:solidFill>
                </w14:textFill>
              </w:rPr>
              <w:t>污水处理设施设备：选用低噪声设备，合理布置声源，设施为地埋式污水处理站。</w:t>
            </w:r>
          </w:p>
          <w:p>
            <w:pPr>
              <w:adjustRightInd w:val="0"/>
              <w:snapToGrid w:val="0"/>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山东众益源环境检测有限公司于2022年8月10日对院区厂界噪声进行了监测，项目厂界噪声监测结果见表4-14。</w:t>
            </w:r>
          </w:p>
          <w:p>
            <w:pPr>
              <w:pStyle w:val="69"/>
              <w:rPr>
                <w:rFonts w:cs="Times New Roman"/>
                <w:color w:val="000000" w:themeColor="text1"/>
                <w14:textFill>
                  <w14:solidFill>
                    <w14:schemeClr w14:val="tx1"/>
                  </w14:solidFill>
                </w14:textFill>
              </w:rPr>
            </w:pPr>
            <w:r>
              <w:rPr>
                <w:rFonts w:cs="Times New Roman"/>
                <w:color w:val="000000" w:themeColor="text1"/>
                <w14:textFill>
                  <w14:solidFill>
                    <w14:schemeClr w14:val="tx1"/>
                  </w14:solidFill>
                </w14:textFill>
              </w:rPr>
              <w:t>表4-14  噪声现状监测结果一览表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1045"/>
              <w:gridCol w:w="776"/>
              <w:gridCol w:w="776"/>
              <w:gridCol w:w="833"/>
              <w:gridCol w:w="1045"/>
              <w:gridCol w:w="776"/>
              <w:gridCol w:w="776"/>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8" w:type="pct"/>
                  <w:vMerge w:val="restar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监测位置</w:t>
                  </w:r>
                </w:p>
              </w:tc>
              <w:tc>
                <w:tcPr>
                  <w:tcW w:w="2038" w:type="pct"/>
                  <w:gridSpan w:val="4"/>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Ld（Leq dB(A)）</w:t>
                  </w:r>
                </w:p>
              </w:tc>
              <w:tc>
                <w:tcPr>
                  <w:tcW w:w="2003" w:type="pct"/>
                  <w:gridSpan w:val="4"/>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Ln（Leq 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8" w:type="pct"/>
                  <w:vMerge w:val="continue"/>
                  <w:vAlign w:val="center"/>
                </w:tcPr>
                <w:p>
                  <w:pPr>
                    <w:adjustRightInd w:val="0"/>
                    <w:snapToGrid w:val="0"/>
                    <w:jc w:val="center"/>
                    <w:rPr>
                      <w:color w:val="000000" w:themeColor="text1"/>
                      <w:sz w:val="18"/>
                      <w:szCs w:val="18"/>
                      <w14:textFill>
                        <w14:solidFill>
                          <w14:schemeClr w14:val="tx1"/>
                        </w14:solidFill>
                      </w14:textFill>
                    </w:rPr>
                  </w:pPr>
                </w:p>
              </w:tc>
              <w:tc>
                <w:tcPr>
                  <w:tcW w:w="62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监测时间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监测值</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标准值</w:t>
                  </w:r>
                </w:p>
              </w:tc>
              <w:tc>
                <w:tcPr>
                  <w:tcW w:w="495"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超标值</w:t>
                  </w:r>
                </w:p>
              </w:tc>
              <w:tc>
                <w:tcPr>
                  <w:tcW w:w="62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监测时间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监测值</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标准值</w:t>
                  </w:r>
                </w:p>
              </w:tc>
              <w:tc>
                <w:tcPr>
                  <w:tcW w:w="459"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超标值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8"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项目东厂界</w:t>
                  </w:r>
                </w:p>
              </w:tc>
              <w:tc>
                <w:tcPr>
                  <w:tcW w:w="62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昼间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53.6</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55</w:t>
                  </w:r>
                </w:p>
              </w:tc>
              <w:tc>
                <w:tcPr>
                  <w:tcW w:w="495"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-1.4</w:t>
                  </w:r>
                </w:p>
              </w:tc>
              <w:tc>
                <w:tcPr>
                  <w:tcW w:w="62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夜间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43.2</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459"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8"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项目南厂界</w:t>
                  </w:r>
                </w:p>
              </w:tc>
              <w:tc>
                <w:tcPr>
                  <w:tcW w:w="62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昼间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51.1</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55</w:t>
                  </w:r>
                </w:p>
              </w:tc>
              <w:tc>
                <w:tcPr>
                  <w:tcW w:w="495"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-3.9</w:t>
                  </w:r>
                </w:p>
              </w:tc>
              <w:tc>
                <w:tcPr>
                  <w:tcW w:w="62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夜间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41.3</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459"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8"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项目西厂界</w:t>
                  </w:r>
                </w:p>
              </w:tc>
              <w:tc>
                <w:tcPr>
                  <w:tcW w:w="62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昼间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52.4</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55</w:t>
                  </w:r>
                </w:p>
              </w:tc>
              <w:tc>
                <w:tcPr>
                  <w:tcW w:w="495"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-2.6</w:t>
                  </w:r>
                </w:p>
              </w:tc>
              <w:tc>
                <w:tcPr>
                  <w:tcW w:w="62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夜间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43.5</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459"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58"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项目北厂界</w:t>
                  </w:r>
                </w:p>
              </w:tc>
              <w:tc>
                <w:tcPr>
                  <w:tcW w:w="62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昼间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54.1</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55</w:t>
                  </w:r>
                </w:p>
              </w:tc>
              <w:tc>
                <w:tcPr>
                  <w:tcW w:w="495"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-0.9</w:t>
                  </w:r>
                </w:p>
              </w:tc>
              <w:tc>
                <w:tcPr>
                  <w:tcW w:w="62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夜间</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44.3</w:t>
                  </w:r>
                </w:p>
              </w:tc>
              <w:tc>
                <w:tcPr>
                  <w:tcW w:w="461"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45</w:t>
                  </w:r>
                </w:p>
              </w:tc>
              <w:tc>
                <w:tcPr>
                  <w:tcW w:w="459" w:type="pct"/>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-0.7</w:t>
                  </w:r>
                </w:p>
              </w:tc>
            </w:tr>
          </w:tbl>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由上表可知，项目厂界昼、夜声噪声均满足《工业企业厂界环境噪声排放标准》（GB12348-2008）中 1类区标准要求。</w:t>
            </w:r>
          </w:p>
          <w:p>
            <w:pPr>
              <w:spacing w:line="360" w:lineRule="auto"/>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项目为补办手续，项目已投运多年，本次评价期间，对院区周围恒基花苑、天府清华园、体坛小区等3个居民区声环境现状进行了现状监测，根据监测结果，恒基花苑、天府清华园、体坛小区声环境质量均满足《声环境质量标准》（GB 3096-2008）中1类标准要求，说明项目运营期对周围声环境影响较小，不会改变区域声环境质量现状。</w:t>
            </w:r>
          </w:p>
          <w:p>
            <w:pPr>
              <w:spacing w:line="360" w:lineRule="auto"/>
              <w:ind w:firstLine="420"/>
              <w:rPr>
                <w:b/>
                <w:bCs/>
                <w:color w:val="000000" w:themeColor="text1"/>
                <w:spacing w:val="-10"/>
                <w:szCs w:val="21"/>
                <w14:textFill>
                  <w14:solidFill>
                    <w14:schemeClr w14:val="tx1"/>
                  </w14:solidFill>
                </w14:textFill>
              </w:rPr>
            </w:pPr>
            <w:r>
              <w:rPr>
                <w:b/>
                <w:bCs/>
                <w:color w:val="000000" w:themeColor="text1"/>
                <w:spacing w:val="-10"/>
                <w:szCs w:val="21"/>
                <w14:textFill>
                  <w14:solidFill>
                    <w14:schemeClr w14:val="tx1"/>
                  </w14:solidFill>
                </w14:textFill>
              </w:rPr>
              <w:t>3.3监测计划</w:t>
            </w:r>
          </w:p>
          <w:p>
            <w:pPr>
              <w:snapToGrid w:val="0"/>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根据《排污单位自行监测技术指南 总则》（HJ819-2017）、《排污许可证申请与核发技术规范 医疗机构》(HJ1105-2020)相关规定，制定本企业自行监测方案</w:t>
            </w:r>
          </w:p>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表4-15  厂界噪声监测要求</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38"/>
              <w:gridCol w:w="2901"/>
              <w:gridCol w:w="2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8"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监测项目</w:t>
                  </w:r>
                </w:p>
              </w:tc>
              <w:tc>
                <w:tcPr>
                  <w:tcW w:w="2901"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监测方位</w:t>
                  </w:r>
                </w:p>
              </w:tc>
              <w:tc>
                <w:tcPr>
                  <w:tcW w:w="2771"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638"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厂界昼间、夜间噪声</w:t>
                  </w:r>
                </w:p>
              </w:tc>
              <w:tc>
                <w:tcPr>
                  <w:tcW w:w="2901"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四方向厂界外1m</w:t>
                  </w:r>
                </w:p>
              </w:tc>
              <w:tc>
                <w:tcPr>
                  <w:tcW w:w="2771"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每季度开展一次监测</w:t>
                  </w:r>
                </w:p>
              </w:tc>
            </w:tr>
          </w:tbl>
          <w:p>
            <w:pPr>
              <w:spacing w:line="360" w:lineRule="auto"/>
              <w:ind w:firstLine="422" w:firstLineChars="200"/>
              <w:rPr>
                <w:b/>
                <w:color w:val="000000" w:themeColor="text1"/>
                <w14:textFill>
                  <w14:solidFill>
                    <w14:schemeClr w14:val="tx1"/>
                  </w14:solidFill>
                </w14:textFill>
              </w:rPr>
            </w:pPr>
            <w:r>
              <w:rPr>
                <w:b/>
                <w:color w:val="000000" w:themeColor="text1"/>
                <w14:textFill>
                  <w14:solidFill>
                    <w14:schemeClr w14:val="tx1"/>
                  </w14:solidFill>
                </w14:textFill>
              </w:rPr>
              <w:t>四、固废</w:t>
            </w:r>
          </w:p>
          <w:p>
            <w:pPr>
              <w:pStyle w:val="58"/>
              <w:ind w:firstLine="422"/>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4.1固体废物产生情况</w:t>
            </w:r>
          </w:p>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项目运营期产生的固体废物主要包括医疗废物、污水站污泥、栅渣、废包装材料、生活垃圾。</w:t>
            </w:r>
          </w:p>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1、危险废物</w:t>
            </w:r>
          </w:p>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（1）医疗废物</w:t>
            </w:r>
          </w:p>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医疗废物主要来自医疗诊断、治疗过程中产生的各类固体废弃物，本项目产生医疗废物详见下表：</w:t>
            </w:r>
          </w:p>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表4-16  项目产生医疗废物分类目录</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9"/>
              <w:gridCol w:w="5245"/>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类别</w:t>
                  </w:r>
                </w:p>
              </w:tc>
              <w:tc>
                <w:tcPr>
                  <w:tcW w:w="5245"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常见组成或废物名称</w:t>
                  </w:r>
                </w:p>
              </w:tc>
              <w:tc>
                <w:tcPr>
                  <w:tcW w:w="181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产生科室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感染性废物</w:t>
                  </w:r>
                </w:p>
              </w:tc>
              <w:tc>
                <w:tcPr>
                  <w:tcW w:w="5245" w:type="dxa"/>
                  <w:vAlign w:val="center"/>
                </w:tcPr>
                <w:p>
                  <w:pPr>
                    <w:adjustRightInd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1、棉球、棉签、引流棉条、纱布及其他各种敷料；</w:t>
                  </w:r>
                </w:p>
                <w:p>
                  <w:pPr>
                    <w:adjustRightInd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2、一次性使用卫生用品、一次性使用医疗用品及一次性医疗器械；</w:t>
                  </w:r>
                </w:p>
                <w:p>
                  <w:pPr>
                    <w:adjustRightInd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3、废弃的血液、血清，拔下的牙齿。</w:t>
                  </w:r>
                </w:p>
              </w:tc>
              <w:tc>
                <w:tcPr>
                  <w:tcW w:w="181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门诊、治疗室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病理性废物</w:t>
                  </w:r>
                </w:p>
              </w:tc>
              <w:tc>
                <w:tcPr>
                  <w:tcW w:w="5245" w:type="dxa"/>
                  <w:vAlign w:val="center"/>
                </w:tcPr>
                <w:p>
                  <w:pPr>
                    <w:adjustRightInd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1、手术及其他诊疗过程中产生的废弃的人体组织等。</w:t>
                  </w:r>
                </w:p>
                <w:p>
                  <w:pPr>
                    <w:adjustRightInd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2、病理切片后废弃的人体组织、病理腊块等。</w:t>
                  </w:r>
                </w:p>
              </w:tc>
              <w:tc>
                <w:tcPr>
                  <w:tcW w:w="181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损伤性废物</w:t>
                  </w:r>
                </w:p>
              </w:tc>
              <w:tc>
                <w:tcPr>
                  <w:tcW w:w="5245" w:type="dxa"/>
                  <w:vAlign w:val="center"/>
                </w:tcPr>
                <w:p>
                  <w:pPr>
                    <w:adjustRightInd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1、医用针头、缝合针。</w:t>
                  </w:r>
                </w:p>
                <w:p>
                  <w:pPr>
                    <w:adjustRightInd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2、各类医用锐器，一次性牙钻针、牙钩、安瓶等。</w:t>
                  </w:r>
                </w:p>
                <w:p>
                  <w:pPr>
                    <w:adjustRightInd w:val="0"/>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3、载玻片、玻璃试管、玻璃安瓿等。</w:t>
                  </w:r>
                </w:p>
              </w:tc>
              <w:tc>
                <w:tcPr>
                  <w:tcW w:w="181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治疗室、手术室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药物性废物</w:t>
                  </w:r>
                </w:p>
              </w:tc>
              <w:tc>
                <w:tcPr>
                  <w:tcW w:w="5245" w:type="dxa"/>
                  <w:vAlign w:val="center"/>
                </w:tcPr>
                <w:p>
                  <w:pPr>
                    <w:adjustRightInd w:val="0"/>
                    <w:snapToGrid w:val="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废弃的一般性药品，如：抗生素、非处方类药品等。</w:t>
                  </w:r>
                </w:p>
              </w:tc>
              <w:tc>
                <w:tcPr>
                  <w:tcW w:w="181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检验室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209"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化学性废物</w:t>
                  </w:r>
                </w:p>
              </w:tc>
              <w:tc>
                <w:tcPr>
                  <w:tcW w:w="5245" w:type="dxa"/>
                  <w:vAlign w:val="center"/>
                </w:tcPr>
                <w:p>
                  <w:pPr>
                    <w:adjustRightInd w:val="0"/>
                    <w:snapToGrid w:val="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检验室废弃的化学试剂。</w:t>
                  </w:r>
                </w:p>
              </w:tc>
              <w:tc>
                <w:tcPr>
                  <w:tcW w:w="1817" w:type="dxa"/>
                  <w:vAlign w:val="center"/>
                </w:tcPr>
                <w:p>
                  <w:pPr>
                    <w:adjustRightInd w:val="0"/>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检验室</w:t>
                  </w:r>
                </w:p>
              </w:tc>
            </w:tr>
          </w:tbl>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根据企业危险废物台账</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统计给出</w:t>
            </w:r>
            <w:r>
              <w:rPr>
                <w:rFonts w:hint="eastAsia"/>
                <w:color w:val="000000" w:themeColor="text1"/>
                <w:sz w:val="21"/>
                <w:szCs w:val="21"/>
                <w14:textFill>
                  <w14:solidFill>
                    <w14:schemeClr w14:val="tx1"/>
                  </w14:solidFill>
                </w14:textFill>
              </w:rPr>
              <w:t>2019-2021年近年来危废产生台账</w:t>
            </w:r>
            <w:r>
              <w:rPr>
                <w:color w:val="000000" w:themeColor="text1"/>
                <w:sz w:val="21"/>
                <w:szCs w:val="21"/>
                <w14:textFill>
                  <w14:solidFill>
                    <w14:schemeClr w14:val="tx1"/>
                  </w14:solidFill>
                </w14:textFill>
              </w:rPr>
              <w:t>统计，企业</w:t>
            </w:r>
            <w:r>
              <w:rPr>
                <w:rFonts w:hint="eastAsia"/>
                <w:color w:val="000000" w:themeColor="text1"/>
                <w:sz w:val="21"/>
                <w:szCs w:val="21"/>
                <w14:textFill>
                  <w14:solidFill>
                    <w14:schemeClr w14:val="tx1"/>
                  </w14:solidFill>
                </w14:textFill>
              </w:rPr>
              <w:t>2021年医疗废物</w:t>
            </w:r>
            <w:r>
              <w:rPr>
                <w:color w:val="000000" w:themeColor="text1"/>
                <w:sz w:val="21"/>
                <w:szCs w:val="21"/>
                <w14:textFill>
                  <w14:solidFill>
                    <w14:schemeClr w14:val="tx1"/>
                  </w14:solidFill>
                </w14:textFill>
              </w:rPr>
              <w:t>产生量最多</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为1</w:t>
            </w:r>
            <w:r>
              <w:rPr>
                <w:rFonts w:hint="eastAsia"/>
                <w:color w:val="000000" w:themeColor="text1"/>
                <w:sz w:val="21"/>
                <w:szCs w:val="21"/>
                <w14:textFill>
                  <w14:solidFill>
                    <w14:schemeClr w14:val="tx1"/>
                  </w14:solidFill>
                </w14:textFill>
              </w:rPr>
              <w:t>0.09</w:t>
            </w:r>
            <w:r>
              <w:rPr>
                <w:color w:val="000000" w:themeColor="text1"/>
                <w:sz w:val="21"/>
                <w:szCs w:val="21"/>
                <w14:textFill>
                  <w14:solidFill>
                    <w14:schemeClr w14:val="tx1"/>
                  </w14:solidFill>
                </w14:textFill>
              </w:rPr>
              <w:t>t/a</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本次评价取</w:t>
            </w:r>
            <w:r>
              <w:rPr>
                <w:rFonts w:hint="eastAsia"/>
                <w:color w:val="000000" w:themeColor="text1"/>
                <w:sz w:val="21"/>
                <w:szCs w:val="21"/>
                <w14:textFill>
                  <w14:solidFill>
                    <w14:schemeClr w14:val="tx1"/>
                  </w14:solidFill>
                </w14:textFill>
              </w:rPr>
              <w:t>2021年医疗废物产生量为项目医疗废物产生量，定为10.09t/a</w:t>
            </w:r>
            <w:r>
              <w:rPr>
                <w:color w:val="000000" w:themeColor="text1"/>
                <w:sz w:val="21"/>
                <w:szCs w:val="21"/>
                <w14:textFill>
                  <w14:solidFill>
                    <w14:schemeClr w14:val="tx1"/>
                  </w14:solidFill>
                </w14:textFill>
              </w:rPr>
              <w:t>。</w:t>
            </w:r>
          </w:p>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医疗废物属于危险废物HW01，须按照《危险废物贮存污染控制标准》（GB 18597-2001）及其修改单（第36号）要求贮存于符合标准的容器并做好标识，委托有资质单位处理，并严格按照《危险废物收集、贮存、运输技术规范》（HJ 2025-2012）以及《关于印发《山东省危险废物转移联单管理办法》的通知》（鲁环发〔2005〕152号）要求转移。</w:t>
            </w:r>
          </w:p>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（2）污水站污泥</w:t>
            </w:r>
          </w:p>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项目污水处理站运行过程产生污泥，根据污水站多年实际运行情况，污泥产生量最大约为0.3t/a</w:t>
            </w:r>
            <w:r>
              <w:rPr>
                <w:rFonts w:hint="eastAsia"/>
                <w:color w:val="000000" w:themeColor="text1"/>
                <w:sz w:val="21"/>
                <w:szCs w:val="21"/>
                <w14:textFill>
                  <w14:solidFill>
                    <w14:schemeClr w14:val="tx1"/>
                  </w14:solidFill>
                </w14:textFill>
              </w:rPr>
              <w:t>（含水率50%）</w:t>
            </w:r>
            <w:r>
              <w:rPr>
                <w:color w:val="000000" w:themeColor="text1"/>
                <w:sz w:val="21"/>
                <w:szCs w:val="21"/>
                <w14:textFill>
                  <w14:solidFill>
                    <w14:schemeClr w14:val="tx1"/>
                  </w14:solidFill>
                </w14:textFill>
              </w:rPr>
              <w:t>，作为医疗废物（HW01；841-001-01）定期委托相关有资质单位定期清运处理。污泥在危废间暂存后交由有资质单位定期清运处理，清掏前需达到《山东省医疗机构污染物排放控制标准》（DB37/596-2020）表3标准要求(粪大肠菌群数≤100MPN/g，蛔虫卵死亡率＞95%)，污泥每年清理1次，交由专业队伍进行清掏。清运过程参照《危险废物收集贮存运输技术规范》（HJ2025-2012）和《医疗废物管理条例》，由医疗废物专用车辆进行运输，减少或避免运输过程中的二次污染和可能造成的环境风险，运输医疗废物的车辆应按照《医疗废物转运车技术要求（试行）》及修改单的相应要求落实，转移过程严格执行危险废物转移联单制度。</w:t>
            </w:r>
          </w:p>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（3）污水处理站栅渣</w:t>
            </w:r>
          </w:p>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污水处理设备池体前设置格栅，会拦截部分栅渣，根据企业实际运行经验，栅渣最大产生量约为0.2t/a，作为医疗废物（HW01；841-001-01）委托相关有资质单位处置。</w:t>
            </w:r>
          </w:p>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2、一般废物</w:t>
            </w:r>
          </w:p>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医院运行中会产生部分用于包装医疗器械的废包装材料，主要为纸箱、外包装塑料膜等，产生量约为0.3t/a，废包装材料统一收集暂存于一般固废间，统一外售处置。</w:t>
            </w:r>
          </w:p>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3、生活垃圾</w:t>
            </w:r>
          </w:p>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生活垃圾来源于医院医护人员及病人日常生活，医护人员及病房常驻人数按照167人计，年工作365天，生活垃圾产生量按照0.5kg/人天计；门诊人数取300人次/d，生活垃圾产生量按照0.2kg/人次计。则生活垃圾产生量为52.377t/a。生活垃圾由环卫部门定期清运。</w:t>
            </w:r>
          </w:p>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综上，本项目固废产生及处置情况见下表所示。</w:t>
            </w:r>
          </w:p>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表4-17  固体废物情况汇总表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0"/>
              <w:gridCol w:w="875"/>
              <w:gridCol w:w="1440"/>
              <w:gridCol w:w="849"/>
              <w:gridCol w:w="1169"/>
              <w:gridCol w:w="638"/>
              <w:gridCol w:w="1120"/>
              <w:gridCol w:w="1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68"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名称</w:t>
                  </w:r>
                </w:p>
              </w:tc>
              <w:tc>
                <w:tcPr>
                  <w:tcW w:w="860"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废物</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类别</w:t>
                  </w:r>
                </w:p>
              </w:tc>
              <w:tc>
                <w:tcPr>
                  <w:tcW w:w="141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危险废物</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代码</w:t>
                  </w:r>
                </w:p>
              </w:tc>
              <w:tc>
                <w:tcPr>
                  <w:tcW w:w="83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产生量（t/a）</w:t>
                  </w:r>
                </w:p>
              </w:tc>
              <w:tc>
                <w:tcPr>
                  <w:tcW w:w="114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产生工序</w:t>
                  </w:r>
                </w:p>
              </w:tc>
              <w:tc>
                <w:tcPr>
                  <w:tcW w:w="627"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形态</w:t>
                  </w:r>
                </w:p>
              </w:tc>
              <w:tc>
                <w:tcPr>
                  <w:tcW w:w="110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主要成分</w:t>
                  </w:r>
                </w:p>
              </w:tc>
              <w:tc>
                <w:tcPr>
                  <w:tcW w:w="101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污染防治</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68"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医疗废物</w:t>
                  </w:r>
                </w:p>
              </w:tc>
              <w:tc>
                <w:tcPr>
                  <w:tcW w:w="860"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HW01</w:t>
                  </w:r>
                </w:p>
              </w:tc>
              <w:tc>
                <w:tcPr>
                  <w:tcW w:w="141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841-001-01</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841-002-01</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841-003-01</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841-004-01</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841-005-01</w:t>
                  </w:r>
                </w:p>
              </w:tc>
              <w:tc>
                <w:tcPr>
                  <w:tcW w:w="835" w:type="dxa"/>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10.09</w:t>
                  </w:r>
                </w:p>
              </w:tc>
              <w:tc>
                <w:tcPr>
                  <w:tcW w:w="114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医疗过程</w:t>
                  </w:r>
                </w:p>
              </w:tc>
              <w:tc>
                <w:tcPr>
                  <w:tcW w:w="627"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液、固态</w:t>
                  </w:r>
                </w:p>
              </w:tc>
              <w:tc>
                <w:tcPr>
                  <w:tcW w:w="110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见表4-16</w:t>
                  </w:r>
                </w:p>
              </w:tc>
              <w:tc>
                <w:tcPr>
                  <w:tcW w:w="101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委托有资质单位处置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268"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污水处理站污泥</w:t>
                  </w:r>
                </w:p>
              </w:tc>
              <w:tc>
                <w:tcPr>
                  <w:tcW w:w="860"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HW01</w:t>
                  </w:r>
                </w:p>
              </w:tc>
              <w:tc>
                <w:tcPr>
                  <w:tcW w:w="141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841-001-01</w:t>
                  </w:r>
                </w:p>
              </w:tc>
              <w:tc>
                <w:tcPr>
                  <w:tcW w:w="83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0.3</w:t>
                  </w:r>
                </w:p>
              </w:tc>
              <w:tc>
                <w:tcPr>
                  <w:tcW w:w="114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污水处理</w:t>
                  </w:r>
                </w:p>
              </w:tc>
              <w:tc>
                <w:tcPr>
                  <w:tcW w:w="627"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固态</w:t>
                  </w:r>
                </w:p>
              </w:tc>
              <w:tc>
                <w:tcPr>
                  <w:tcW w:w="110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污泥</w:t>
                  </w:r>
                </w:p>
              </w:tc>
              <w:tc>
                <w:tcPr>
                  <w:tcW w:w="101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委托有资质单位处置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68"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栅渣</w:t>
                  </w:r>
                </w:p>
              </w:tc>
              <w:tc>
                <w:tcPr>
                  <w:tcW w:w="860"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HW01</w:t>
                  </w:r>
                </w:p>
              </w:tc>
              <w:tc>
                <w:tcPr>
                  <w:tcW w:w="141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841-001-01</w:t>
                  </w:r>
                </w:p>
              </w:tc>
              <w:tc>
                <w:tcPr>
                  <w:tcW w:w="83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w:t>
                  </w:r>
                </w:p>
              </w:tc>
              <w:tc>
                <w:tcPr>
                  <w:tcW w:w="114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污水处理</w:t>
                  </w:r>
                </w:p>
              </w:tc>
              <w:tc>
                <w:tcPr>
                  <w:tcW w:w="627"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固态</w:t>
                  </w:r>
                </w:p>
              </w:tc>
              <w:tc>
                <w:tcPr>
                  <w:tcW w:w="110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栅渣</w:t>
                  </w:r>
                </w:p>
              </w:tc>
              <w:tc>
                <w:tcPr>
                  <w:tcW w:w="101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委托有资质单位处置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68"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废包装物</w:t>
                  </w:r>
                </w:p>
              </w:tc>
              <w:tc>
                <w:tcPr>
                  <w:tcW w:w="860"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141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3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0.1</w:t>
                  </w:r>
                </w:p>
              </w:tc>
              <w:tc>
                <w:tcPr>
                  <w:tcW w:w="114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医疗过程</w:t>
                  </w:r>
                </w:p>
              </w:tc>
              <w:tc>
                <w:tcPr>
                  <w:tcW w:w="627"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固态</w:t>
                  </w:r>
                </w:p>
              </w:tc>
              <w:tc>
                <w:tcPr>
                  <w:tcW w:w="110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纸箱、外包装塑料膜等</w:t>
                  </w:r>
                </w:p>
              </w:tc>
              <w:tc>
                <w:tcPr>
                  <w:tcW w:w="101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68"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生活垃圾</w:t>
                  </w:r>
                </w:p>
              </w:tc>
              <w:tc>
                <w:tcPr>
                  <w:tcW w:w="860"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1416"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w:t>
                  </w:r>
                </w:p>
              </w:tc>
              <w:tc>
                <w:tcPr>
                  <w:tcW w:w="83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52.377</w:t>
                  </w:r>
                </w:p>
              </w:tc>
              <w:tc>
                <w:tcPr>
                  <w:tcW w:w="1149"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人员生活</w:t>
                  </w:r>
                </w:p>
              </w:tc>
              <w:tc>
                <w:tcPr>
                  <w:tcW w:w="627"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固态</w:t>
                  </w:r>
                </w:p>
              </w:tc>
              <w:tc>
                <w:tcPr>
                  <w:tcW w:w="1101"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果皮纸屑</w:t>
                  </w:r>
                </w:p>
              </w:tc>
              <w:tc>
                <w:tcPr>
                  <w:tcW w:w="1015" w:type="dxa"/>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环卫部门定期清运</w:t>
                  </w:r>
                </w:p>
              </w:tc>
            </w:tr>
          </w:tbl>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表4-18  危险固废产生与处置情况</w:t>
            </w:r>
          </w:p>
          <w:tbl>
            <w:tblPr>
              <w:tblStyle w:val="24"/>
              <w:tblW w:w="498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
              <w:gridCol w:w="707"/>
              <w:gridCol w:w="1442"/>
              <w:gridCol w:w="769"/>
              <w:gridCol w:w="673"/>
              <w:gridCol w:w="586"/>
              <w:gridCol w:w="663"/>
              <w:gridCol w:w="534"/>
              <w:gridCol w:w="994"/>
              <w:gridCol w:w="509"/>
              <w:gridCol w:w="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5"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危险废物名称</w:t>
                  </w:r>
                </w:p>
              </w:tc>
              <w:tc>
                <w:tcPr>
                  <w:tcW w:w="42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危险废物类别</w:t>
                  </w:r>
                </w:p>
              </w:tc>
              <w:tc>
                <w:tcPr>
                  <w:tcW w:w="85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危险废物代码</w:t>
                  </w:r>
                </w:p>
              </w:tc>
              <w:tc>
                <w:tcPr>
                  <w:tcW w:w="458"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产生量（t/a）</w:t>
                  </w:r>
                </w:p>
              </w:tc>
              <w:tc>
                <w:tcPr>
                  <w:tcW w:w="401"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产生工序及装置</w:t>
                  </w:r>
                </w:p>
              </w:tc>
              <w:tc>
                <w:tcPr>
                  <w:tcW w:w="34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形态</w:t>
                  </w:r>
                </w:p>
              </w:tc>
              <w:tc>
                <w:tcPr>
                  <w:tcW w:w="395"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主要成分</w:t>
                  </w:r>
                </w:p>
              </w:tc>
              <w:tc>
                <w:tcPr>
                  <w:tcW w:w="318"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产废周期</w:t>
                  </w:r>
                </w:p>
              </w:tc>
              <w:tc>
                <w:tcPr>
                  <w:tcW w:w="59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危险特性</w:t>
                  </w:r>
                </w:p>
              </w:tc>
              <w:tc>
                <w:tcPr>
                  <w:tcW w:w="850" w:type="pct"/>
                  <w:gridSpan w:val="2"/>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污染防治措施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5"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医疗废物</w:t>
                  </w:r>
                </w:p>
              </w:tc>
              <w:tc>
                <w:tcPr>
                  <w:tcW w:w="42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HW01</w:t>
                  </w:r>
                </w:p>
              </w:tc>
              <w:tc>
                <w:tcPr>
                  <w:tcW w:w="85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841-001-01</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841-002-01</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841-003-01</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841-004-01</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841-005-01</w:t>
                  </w:r>
                </w:p>
              </w:tc>
              <w:tc>
                <w:tcPr>
                  <w:tcW w:w="458" w:type="pc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10.09</w:t>
                  </w:r>
                </w:p>
              </w:tc>
              <w:tc>
                <w:tcPr>
                  <w:tcW w:w="401"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医疗过程</w:t>
                  </w:r>
                </w:p>
              </w:tc>
              <w:tc>
                <w:tcPr>
                  <w:tcW w:w="34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液、固态</w:t>
                  </w:r>
                </w:p>
              </w:tc>
              <w:tc>
                <w:tcPr>
                  <w:tcW w:w="395"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废药物、废针头等</w:t>
                  </w:r>
                </w:p>
              </w:tc>
              <w:tc>
                <w:tcPr>
                  <w:tcW w:w="318"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每日</w:t>
                  </w:r>
                </w:p>
              </w:tc>
              <w:tc>
                <w:tcPr>
                  <w:tcW w:w="59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In/T/C/I/R</w:t>
                  </w:r>
                </w:p>
              </w:tc>
              <w:tc>
                <w:tcPr>
                  <w:tcW w:w="303"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桶装</w:t>
                  </w:r>
                </w:p>
              </w:tc>
              <w:tc>
                <w:tcPr>
                  <w:tcW w:w="547" w:type="pct"/>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加贴危废标识，存放于危废间，定期委托有资质单位处置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5"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污水处理站污泥</w:t>
                  </w:r>
                </w:p>
              </w:tc>
              <w:tc>
                <w:tcPr>
                  <w:tcW w:w="42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HW01</w:t>
                  </w:r>
                </w:p>
              </w:tc>
              <w:tc>
                <w:tcPr>
                  <w:tcW w:w="85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841-001-01</w:t>
                  </w:r>
                </w:p>
              </w:tc>
              <w:tc>
                <w:tcPr>
                  <w:tcW w:w="458"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0.3</w:t>
                  </w:r>
                </w:p>
              </w:tc>
              <w:tc>
                <w:tcPr>
                  <w:tcW w:w="401"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污水处理</w:t>
                  </w:r>
                </w:p>
              </w:tc>
              <w:tc>
                <w:tcPr>
                  <w:tcW w:w="34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固态</w:t>
                  </w:r>
                </w:p>
              </w:tc>
              <w:tc>
                <w:tcPr>
                  <w:tcW w:w="395"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污泥</w:t>
                  </w:r>
                </w:p>
              </w:tc>
              <w:tc>
                <w:tcPr>
                  <w:tcW w:w="318"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1次/年</w:t>
                  </w:r>
                </w:p>
              </w:tc>
              <w:tc>
                <w:tcPr>
                  <w:tcW w:w="59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In </w:t>
                  </w:r>
                </w:p>
              </w:tc>
              <w:tc>
                <w:tcPr>
                  <w:tcW w:w="303"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桶装</w:t>
                  </w:r>
                </w:p>
              </w:tc>
              <w:tc>
                <w:tcPr>
                  <w:tcW w:w="547" w:type="pct"/>
                  <w:vMerge w:val="continue"/>
                  <w:vAlign w:val="center"/>
                </w:tcPr>
                <w:p>
                  <w:pPr>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5"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污水处理站栅渣</w:t>
                  </w:r>
                </w:p>
              </w:tc>
              <w:tc>
                <w:tcPr>
                  <w:tcW w:w="42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HW01</w:t>
                  </w:r>
                </w:p>
              </w:tc>
              <w:tc>
                <w:tcPr>
                  <w:tcW w:w="85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841-001-01</w:t>
                  </w:r>
                </w:p>
              </w:tc>
              <w:tc>
                <w:tcPr>
                  <w:tcW w:w="458"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0.2</w:t>
                  </w:r>
                </w:p>
              </w:tc>
              <w:tc>
                <w:tcPr>
                  <w:tcW w:w="401"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污水处理</w:t>
                  </w:r>
                </w:p>
              </w:tc>
              <w:tc>
                <w:tcPr>
                  <w:tcW w:w="34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固态</w:t>
                  </w:r>
                </w:p>
              </w:tc>
              <w:tc>
                <w:tcPr>
                  <w:tcW w:w="395"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栅渣</w:t>
                  </w:r>
                </w:p>
              </w:tc>
              <w:tc>
                <w:tcPr>
                  <w:tcW w:w="318"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1次/月</w:t>
                  </w:r>
                </w:p>
              </w:tc>
              <w:tc>
                <w:tcPr>
                  <w:tcW w:w="59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In </w:t>
                  </w:r>
                </w:p>
              </w:tc>
              <w:tc>
                <w:tcPr>
                  <w:tcW w:w="303"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桶装</w:t>
                  </w:r>
                </w:p>
              </w:tc>
              <w:tc>
                <w:tcPr>
                  <w:tcW w:w="547" w:type="pct"/>
                  <w:vMerge w:val="continue"/>
                  <w:vAlign w:val="center"/>
                </w:tcPr>
                <w:p>
                  <w:pPr>
                    <w:jc w:val="center"/>
                    <w:rPr>
                      <w:color w:val="000000" w:themeColor="text1"/>
                      <w:sz w:val="18"/>
                      <w:szCs w:val="18"/>
                      <w14:textFill>
                        <w14:solidFill>
                          <w14:schemeClr w14:val="tx1"/>
                        </w14:solidFill>
                      </w14:textFill>
                    </w:rPr>
                  </w:pPr>
                </w:p>
              </w:tc>
            </w:tr>
          </w:tbl>
          <w:p>
            <w:pPr>
              <w:autoSpaceDE w:val="0"/>
              <w:autoSpaceDN w:val="0"/>
              <w:adjustRightInd w:val="0"/>
              <w:snapToGrid w:val="0"/>
              <w:jc w:val="center"/>
              <w:rPr>
                <w:b/>
                <w:bCs/>
                <w:color w:val="000000" w:themeColor="text1"/>
                <w:kern w:val="0"/>
                <w:szCs w:val="21"/>
                <w14:textFill>
                  <w14:solidFill>
                    <w14:schemeClr w14:val="tx1"/>
                  </w14:solidFill>
                </w14:textFill>
              </w:rPr>
            </w:pPr>
            <w:r>
              <w:rPr>
                <w:b/>
                <w:bCs/>
                <w:color w:val="000000" w:themeColor="text1"/>
                <w:kern w:val="0"/>
                <w:szCs w:val="21"/>
                <w14:textFill>
                  <w14:solidFill>
                    <w14:schemeClr w14:val="tx1"/>
                  </w14:solidFill>
                </w14:textFill>
              </w:rPr>
              <w:t>表4-19  危险废物贮存场所基本情况表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1134"/>
              <w:gridCol w:w="850"/>
              <w:gridCol w:w="1134"/>
              <w:gridCol w:w="708"/>
              <w:gridCol w:w="851"/>
              <w:gridCol w:w="991"/>
              <w:gridCol w:w="975"/>
              <w:gridCol w:w="1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贮存场所名称</w:t>
                  </w:r>
                </w:p>
              </w:tc>
              <w:tc>
                <w:tcPr>
                  <w:tcW w:w="67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危险废物名称</w:t>
                  </w:r>
                </w:p>
              </w:tc>
              <w:tc>
                <w:tcPr>
                  <w:tcW w:w="505"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危险废物类别</w:t>
                  </w:r>
                </w:p>
              </w:tc>
              <w:tc>
                <w:tcPr>
                  <w:tcW w:w="67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危险废物</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代码</w:t>
                  </w:r>
                </w:p>
              </w:tc>
              <w:tc>
                <w:tcPr>
                  <w:tcW w:w="421"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位置</w:t>
                  </w:r>
                </w:p>
              </w:tc>
              <w:tc>
                <w:tcPr>
                  <w:tcW w:w="506"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占地</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面积</w:t>
                  </w:r>
                </w:p>
              </w:tc>
              <w:tc>
                <w:tcPr>
                  <w:tcW w:w="58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贮存方式</w:t>
                  </w:r>
                </w:p>
              </w:tc>
              <w:tc>
                <w:tcPr>
                  <w:tcW w:w="57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贮存能力</w:t>
                  </w:r>
                </w:p>
              </w:tc>
              <w:tc>
                <w:tcPr>
                  <w:tcW w:w="630"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贮存周期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pct"/>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危废间</w:t>
                  </w:r>
                </w:p>
              </w:tc>
              <w:tc>
                <w:tcPr>
                  <w:tcW w:w="67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医疗废物</w:t>
                  </w:r>
                </w:p>
              </w:tc>
              <w:tc>
                <w:tcPr>
                  <w:tcW w:w="505" w:type="pct"/>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HW01</w:t>
                  </w:r>
                </w:p>
              </w:tc>
              <w:tc>
                <w:tcPr>
                  <w:tcW w:w="67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841-001-01</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841-002-01</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841-003-01</w:t>
                  </w:r>
                </w:p>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841-004-01</w:t>
                  </w:r>
                </w:p>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841-005-01</w:t>
                  </w:r>
                </w:p>
              </w:tc>
              <w:tc>
                <w:tcPr>
                  <w:tcW w:w="421" w:type="pct"/>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院区东侧</w:t>
                  </w:r>
                </w:p>
              </w:tc>
              <w:tc>
                <w:tcPr>
                  <w:tcW w:w="506" w:type="pct"/>
                  <w:vMerge w:val="restar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40m</w:t>
                  </w:r>
                  <w:r>
                    <w:rPr>
                      <w:color w:val="000000" w:themeColor="text1"/>
                      <w:sz w:val="18"/>
                      <w:szCs w:val="18"/>
                      <w:vertAlign w:val="superscript"/>
                      <w14:textFill>
                        <w14:solidFill>
                          <w14:schemeClr w14:val="tx1"/>
                        </w14:solidFill>
                      </w14:textFill>
                    </w:rPr>
                    <w:t>2</w:t>
                  </w:r>
                </w:p>
              </w:tc>
              <w:tc>
                <w:tcPr>
                  <w:tcW w:w="58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桶装</w:t>
                  </w:r>
                </w:p>
              </w:tc>
              <w:tc>
                <w:tcPr>
                  <w:tcW w:w="579" w:type="pct"/>
                  <w:vMerge w:val="restart"/>
                  <w:vAlign w:val="center"/>
                </w:tcPr>
                <w:p>
                  <w:pPr>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8t</w:t>
                  </w:r>
                </w:p>
              </w:tc>
              <w:tc>
                <w:tcPr>
                  <w:tcW w:w="631"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pct"/>
                  <w:vMerge w:val="continue"/>
                  <w:vAlign w:val="center"/>
                </w:tcPr>
                <w:p>
                  <w:pPr>
                    <w:pStyle w:val="58"/>
                    <w:ind w:firstLine="0" w:firstLineChars="0"/>
                    <w:rPr>
                      <w:color w:val="000000" w:themeColor="text1"/>
                      <w:sz w:val="21"/>
                      <w:szCs w:val="21"/>
                      <w14:textFill>
                        <w14:solidFill>
                          <w14:schemeClr w14:val="tx1"/>
                        </w14:solidFill>
                      </w14:textFill>
                    </w:rPr>
                  </w:pPr>
                </w:p>
              </w:tc>
              <w:tc>
                <w:tcPr>
                  <w:tcW w:w="674" w:type="pct"/>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污水处理站污泥</w:t>
                  </w:r>
                </w:p>
              </w:tc>
              <w:tc>
                <w:tcPr>
                  <w:tcW w:w="505" w:type="pct"/>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HW01</w:t>
                  </w:r>
                </w:p>
              </w:tc>
              <w:tc>
                <w:tcPr>
                  <w:tcW w:w="674" w:type="pct"/>
                  <w:vAlign w:val="center"/>
                </w:tcPr>
                <w:p>
                  <w:pPr>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t>841-001-01</w:t>
                  </w:r>
                </w:p>
              </w:tc>
              <w:tc>
                <w:tcPr>
                  <w:tcW w:w="421" w:type="pct"/>
                  <w:vMerge w:val="continue"/>
                  <w:vAlign w:val="center"/>
                </w:tcPr>
                <w:p>
                  <w:pPr>
                    <w:jc w:val="center"/>
                    <w:rPr>
                      <w:color w:val="000000" w:themeColor="text1"/>
                      <w:sz w:val="18"/>
                      <w:szCs w:val="18"/>
                      <w14:textFill>
                        <w14:solidFill>
                          <w14:schemeClr w14:val="tx1"/>
                        </w14:solidFill>
                      </w14:textFill>
                    </w:rPr>
                  </w:pPr>
                </w:p>
              </w:tc>
              <w:tc>
                <w:tcPr>
                  <w:tcW w:w="506" w:type="pct"/>
                  <w:vMerge w:val="continue"/>
                  <w:vAlign w:val="center"/>
                </w:tcPr>
                <w:p>
                  <w:pPr>
                    <w:jc w:val="center"/>
                    <w:rPr>
                      <w:color w:val="000000" w:themeColor="text1"/>
                      <w:sz w:val="18"/>
                      <w:szCs w:val="18"/>
                      <w14:textFill>
                        <w14:solidFill>
                          <w14:schemeClr w14:val="tx1"/>
                        </w14:solidFill>
                      </w14:textFill>
                    </w:rPr>
                  </w:pPr>
                </w:p>
              </w:tc>
              <w:tc>
                <w:tcPr>
                  <w:tcW w:w="58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桶装</w:t>
                  </w:r>
                </w:p>
              </w:tc>
              <w:tc>
                <w:tcPr>
                  <w:tcW w:w="579" w:type="pct"/>
                  <w:vMerge w:val="continue"/>
                  <w:vAlign w:val="center"/>
                </w:tcPr>
                <w:p>
                  <w:pPr>
                    <w:jc w:val="center"/>
                    <w:rPr>
                      <w:color w:val="000000" w:themeColor="text1"/>
                      <w:sz w:val="18"/>
                      <w:szCs w:val="18"/>
                      <w14:textFill>
                        <w14:solidFill>
                          <w14:schemeClr w14:val="tx1"/>
                        </w14:solidFill>
                      </w14:textFill>
                    </w:rPr>
                  </w:pPr>
                </w:p>
              </w:tc>
              <w:tc>
                <w:tcPr>
                  <w:tcW w:w="630"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22" w:type="pct"/>
                  <w:vMerge w:val="continue"/>
                  <w:vAlign w:val="center"/>
                </w:tcPr>
                <w:p>
                  <w:pPr>
                    <w:pStyle w:val="58"/>
                    <w:ind w:firstLine="0" w:firstLineChars="0"/>
                    <w:rPr>
                      <w:color w:val="000000" w:themeColor="text1"/>
                      <w:sz w:val="21"/>
                      <w:szCs w:val="21"/>
                      <w14:textFill>
                        <w14:solidFill>
                          <w14:schemeClr w14:val="tx1"/>
                        </w14:solidFill>
                      </w14:textFill>
                    </w:rPr>
                  </w:pPr>
                </w:p>
              </w:tc>
              <w:tc>
                <w:tcPr>
                  <w:tcW w:w="67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污水处理站栅渣</w:t>
                  </w:r>
                </w:p>
              </w:tc>
              <w:tc>
                <w:tcPr>
                  <w:tcW w:w="505"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HW01</w:t>
                  </w:r>
                </w:p>
              </w:tc>
              <w:tc>
                <w:tcPr>
                  <w:tcW w:w="674"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841-001-01</w:t>
                  </w:r>
                </w:p>
              </w:tc>
              <w:tc>
                <w:tcPr>
                  <w:tcW w:w="421" w:type="pct"/>
                  <w:vMerge w:val="continue"/>
                  <w:vAlign w:val="center"/>
                </w:tcPr>
                <w:p>
                  <w:pPr>
                    <w:jc w:val="center"/>
                    <w:rPr>
                      <w:color w:val="000000" w:themeColor="text1"/>
                      <w:sz w:val="18"/>
                      <w:szCs w:val="18"/>
                      <w14:textFill>
                        <w14:solidFill>
                          <w14:schemeClr w14:val="tx1"/>
                        </w14:solidFill>
                      </w14:textFill>
                    </w:rPr>
                  </w:pPr>
                </w:p>
              </w:tc>
              <w:tc>
                <w:tcPr>
                  <w:tcW w:w="506" w:type="pct"/>
                  <w:vMerge w:val="continue"/>
                  <w:vAlign w:val="center"/>
                </w:tcPr>
                <w:p>
                  <w:pPr>
                    <w:jc w:val="center"/>
                    <w:rPr>
                      <w:color w:val="000000" w:themeColor="text1"/>
                      <w:sz w:val="18"/>
                      <w:szCs w:val="18"/>
                      <w14:textFill>
                        <w14:solidFill>
                          <w14:schemeClr w14:val="tx1"/>
                        </w14:solidFill>
                      </w14:textFill>
                    </w:rPr>
                  </w:pPr>
                </w:p>
              </w:tc>
              <w:tc>
                <w:tcPr>
                  <w:tcW w:w="589"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桶装</w:t>
                  </w:r>
                </w:p>
              </w:tc>
              <w:tc>
                <w:tcPr>
                  <w:tcW w:w="579" w:type="pct"/>
                  <w:vMerge w:val="continue"/>
                  <w:vAlign w:val="center"/>
                </w:tcPr>
                <w:p>
                  <w:pPr>
                    <w:jc w:val="center"/>
                    <w:rPr>
                      <w:color w:val="000000" w:themeColor="text1"/>
                      <w:sz w:val="18"/>
                      <w:szCs w:val="18"/>
                      <w14:textFill>
                        <w14:solidFill>
                          <w14:schemeClr w14:val="tx1"/>
                        </w14:solidFill>
                      </w14:textFill>
                    </w:rPr>
                  </w:pPr>
                </w:p>
              </w:tc>
              <w:tc>
                <w:tcPr>
                  <w:tcW w:w="630" w:type="pct"/>
                  <w:vAlign w:val="center"/>
                </w:tcPr>
                <w:p>
                  <w:pPr>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2d</w:t>
                  </w:r>
                </w:p>
              </w:tc>
            </w:tr>
          </w:tbl>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由上表可以看出</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本项目危险废物贮存周期为</w:t>
            </w:r>
            <w:r>
              <w:rPr>
                <w:rFonts w:hint="eastAsia"/>
                <w:color w:val="000000" w:themeColor="text1"/>
                <w:sz w:val="21"/>
                <w:szCs w:val="21"/>
                <w14:textFill>
                  <w14:solidFill>
                    <w14:schemeClr w14:val="tx1"/>
                  </w14:solidFill>
                </w14:textFill>
              </w:rPr>
              <w:t>2d，转运频次为2d/次，危废间贮存能力为8t，现有危废间能够满足项目危险废物临时贮存的需求。</w:t>
            </w:r>
          </w:p>
          <w:p>
            <w:pPr>
              <w:pStyle w:val="58"/>
              <w:ind w:firstLine="422"/>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4.2危废暂存间</w:t>
            </w:r>
            <w:r>
              <w:rPr>
                <w:rFonts w:hint="eastAsia"/>
                <w:b/>
                <w:color w:val="000000" w:themeColor="text1"/>
                <w:sz w:val="21"/>
                <w:szCs w:val="21"/>
                <w14:textFill>
                  <w14:solidFill>
                    <w14:schemeClr w14:val="tx1"/>
                  </w14:solidFill>
                </w14:textFill>
              </w:rPr>
              <w:t>建设及合规性分析</w:t>
            </w:r>
          </w:p>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本项目院区东侧建有1座40m</w:t>
            </w:r>
            <w:r>
              <w:rPr>
                <w:color w:val="000000" w:themeColor="text1"/>
                <w:sz w:val="21"/>
                <w:szCs w:val="21"/>
                <w:vertAlign w:val="superscript"/>
                <w14:textFill>
                  <w14:solidFill>
                    <w14:schemeClr w14:val="tx1"/>
                  </w14:solidFill>
                </w14:textFill>
              </w:rPr>
              <w:t>2</w:t>
            </w:r>
            <w:r>
              <w:rPr>
                <w:color w:val="000000" w:themeColor="text1"/>
                <w:sz w:val="21"/>
                <w:szCs w:val="21"/>
                <w14:textFill>
                  <w14:solidFill>
                    <w14:schemeClr w14:val="tx1"/>
                  </w14:solidFill>
                </w14:textFill>
              </w:rPr>
              <w:t>的危废间内，危险废物贮存能力可达</w:t>
            </w:r>
            <w:r>
              <w:rPr>
                <w:rFonts w:hint="eastAsia"/>
                <w:color w:val="000000" w:themeColor="text1"/>
                <w:sz w:val="21"/>
                <w:szCs w:val="21"/>
                <w14:textFill>
                  <w14:solidFill>
                    <w14:schemeClr w14:val="tx1"/>
                  </w14:solidFill>
                </w14:textFill>
              </w:rPr>
              <w:t>8</w:t>
            </w:r>
            <w:r>
              <w:rPr>
                <w:color w:val="000000" w:themeColor="text1"/>
                <w:sz w:val="21"/>
                <w:szCs w:val="21"/>
                <w14:textFill>
                  <w14:solidFill>
                    <w14:schemeClr w14:val="tx1"/>
                  </w14:solidFill>
                </w14:textFill>
              </w:rPr>
              <w:t>t。院内危废产生量最大为</w:t>
            </w:r>
            <w:r>
              <w:rPr>
                <w:rFonts w:hint="eastAsia"/>
                <w:color w:val="000000" w:themeColor="text1"/>
                <w:sz w:val="21"/>
                <w:szCs w:val="21"/>
                <w14:textFill>
                  <w14:solidFill>
                    <w14:schemeClr w14:val="tx1"/>
                  </w14:solidFill>
                </w14:textFill>
              </w:rPr>
              <w:t>10.59</w:t>
            </w:r>
            <w:r>
              <w:rPr>
                <w:color w:val="000000" w:themeColor="text1"/>
                <w:sz w:val="21"/>
                <w:szCs w:val="21"/>
                <w14:textFill>
                  <w14:solidFill>
                    <w14:schemeClr w14:val="tx1"/>
                  </w14:solidFill>
                </w14:textFill>
              </w:rPr>
              <w:t>t/a，转运频次为</w:t>
            </w:r>
            <w:r>
              <w:rPr>
                <w:rFonts w:hint="eastAsia"/>
                <w:color w:val="000000" w:themeColor="text1"/>
                <w:sz w:val="21"/>
                <w:szCs w:val="21"/>
                <w14:textFill>
                  <w14:solidFill>
                    <w14:schemeClr w14:val="tx1"/>
                  </w14:solidFill>
                </w14:textFill>
              </w:rPr>
              <w:t>2d/次，</w:t>
            </w:r>
            <w:r>
              <w:rPr>
                <w:color w:val="000000" w:themeColor="text1"/>
                <w:sz w:val="21"/>
                <w:szCs w:val="21"/>
                <w14:textFill>
                  <w14:solidFill>
                    <w14:schemeClr w14:val="tx1"/>
                  </w14:solidFill>
                </w14:textFill>
              </w:rPr>
              <w:t>危废暂存间完全有能力可以容纳本项目危废暂存。</w:t>
            </w:r>
          </w:p>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危废暂存库已按照《危险废物收集、贮存、运输技术规范》（HJ2025-2012）以及《危险废物贮存污染控制标准》（GB 18597-2001）的相关要求进行建设，进行了严格的防渗措施，铺设了防渗膜并进行混凝土覆盖，并设置了完善的导流系统，危废间可满足项目危险废物暂存的要求。</w:t>
            </w:r>
          </w:p>
          <w:p>
            <w:pPr>
              <w:pStyle w:val="58"/>
              <w:ind w:firstLine="420"/>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项目与《医疗废物集中处置技术规范（试行）》（环发[2003]206号）中“医疗废物的暂时贮存”相关分析内容见前文表1-9，根据表1-9分析内容可知，本项目已建成危废间符合《医疗废物集中处置技术规范（试行）》（环发[2003]206号）中“医疗废物的暂时贮存”相关要求。</w:t>
            </w:r>
          </w:p>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院方按照</w:t>
            </w:r>
            <w:r>
              <w:rPr>
                <w:rFonts w:hint="eastAsia"/>
                <w:color w:val="000000" w:themeColor="text1"/>
                <w:sz w:val="21"/>
                <w:szCs w:val="21"/>
                <w14:textFill>
                  <w14:solidFill>
                    <w14:schemeClr w14:val="tx1"/>
                  </w14:solidFill>
                </w14:textFill>
              </w:rPr>
              <w:t>《医疗废物集中处置技术规范（试行）》（环发[2003]206号）中医疗废物的暂时贮存要求进行管理：医疗废物在每次清运后进行清洁消毒，清洁消毒废水收集进入院区污水处理站处理。</w:t>
            </w:r>
          </w:p>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建设单位已制定了相应的危险废物收集、管理操作规程，各类危险废物收集时根据危险废物的种类、数量、危险特性、物理形态、运输要求等因素选择合适的包装形式，并采取相应的安全防护和污染防治措施。企业危废间各类管理制度已上墙</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企业与危废处置单位建立了良好的合作关系</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危险废物定期委托处置</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企业危废台账管理规范</w:t>
            </w:r>
            <w:r>
              <w:rPr>
                <w:rFonts w:hint="eastAsia"/>
                <w:color w:val="000000" w:themeColor="text1"/>
                <w:sz w:val="21"/>
                <w:szCs w:val="21"/>
                <w14:textFill>
                  <w14:solidFill>
                    <w14:schemeClr w14:val="tx1"/>
                  </w14:solidFill>
                </w14:textFill>
              </w:rPr>
              <w:t>，</w:t>
            </w:r>
            <w:r>
              <w:rPr>
                <w:color w:val="000000" w:themeColor="text1"/>
                <w:sz w:val="21"/>
                <w:szCs w:val="21"/>
                <w14:textFill>
                  <w14:solidFill>
                    <w14:schemeClr w14:val="tx1"/>
                  </w14:solidFill>
                </w14:textFill>
              </w:rPr>
              <w:t>危废转移联单保存完整，项目危废得到合理处置。</w:t>
            </w:r>
          </w:p>
          <w:p>
            <w:pPr>
              <w:pStyle w:val="58"/>
              <w:ind w:firstLine="422"/>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4.3 固体废物环境管理要求及措施</w:t>
            </w:r>
          </w:p>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一、一般固体废物</w:t>
            </w:r>
          </w:p>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一般固体废物执行《一般工业固体废物贮存和填埋污染控制标准》（GB18599-2020）。贮存区采取防风防雨措施，各类固废应分类收集，贮存区按照《环境保护图形标志——固体废物贮存（处置）场》(GB15562.2)的要求设置环保图形标志；指定专人进行日常管理。</w:t>
            </w:r>
          </w:p>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二、危险废物</w:t>
            </w:r>
          </w:p>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危险废物执行《危险废物贮存污染控制标准》（GB 18597-2001）、修改单中标准（环保部 2013.6.8）及《山东省医疗机构污染物排放控制标准》（DB37/596-2020）的要求。</w:t>
            </w:r>
          </w:p>
          <w:p>
            <w:pPr>
              <w:pStyle w:val="58"/>
              <w:ind w:firstLine="420"/>
              <w:rPr>
                <w:color w:val="000000" w:themeColor="text1"/>
                <w:sz w:val="21"/>
                <w:szCs w:val="21"/>
                <w:lang w:val="zh-CN"/>
                <w14:textFill>
                  <w14:solidFill>
                    <w14:schemeClr w14:val="tx1"/>
                  </w14:solidFill>
                </w14:textFill>
              </w:rPr>
            </w:pPr>
            <w:r>
              <w:rPr>
                <w:rFonts w:hint="eastAsia"/>
                <w:color w:val="000000" w:themeColor="text1"/>
                <w:sz w:val="21"/>
                <w:szCs w:val="21"/>
                <w:lang w:val="zh-CN"/>
                <w14:textFill>
                  <w14:solidFill>
                    <w14:schemeClr w14:val="tx1"/>
                  </w14:solidFill>
                </w14:textFill>
              </w:rPr>
              <w:t>企业</w:t>
            </w:r>
            <w:r>
              <w:rPr>
                <w:color w:val="000000" w:themeColor="text1"/>
                <w:sz w:val="21"/>
                <w:szCs w:val="21"/>
                <w:lang w:val="zh-CN"/>
                <w14:textFill>
                  <w14:solidFill>
                    <w14:schemeClr w14:val="tx1"/>
                  </w14:solidFill>
                </w14:textFill>
              </w:rPr>
              <w:t>危废管理须符合以下要求：</w:t>
            </w:r>
          </w:p>
          <w:p>
            <w:pPr>
              <w:pStyle w:val="58"/>
              <w:ind w:firstLine="420"/>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1、医疗废物分类收集</w:t>
            </w:r>
          </w:p>
          <w:p>
            <w:pPr>
              <w:pStyle w:val="58"/>
              <w:ind w:firstLine="420"/>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（1）本项目产生的医疗废物分为感染性废物、病理性废物、损伤性废物、药物性废物和化学性废物，院方应对医疗废物实施分类收集，不得混合收集。</w:t>
            </w:r>
          </w:p>
          <w:p>
            <w:pPr>
              <w:pStyle w:val="58"/>
              <w:ind w:firstLine="420"/>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2）根据医疗废物的类别，将医疗废物分置于符合《医疗废物专用包装物、容器的标准和警示标识的规定》（环发［2003］188号）的包装物或者容器内（包装袋、利器盒和周转箱（桶））；在盛装医疗废物前，应当对医疗废物包装物或者容器进行认真检查，确保无破损、渗漏和其它缺陷。</w:t>
            </w:r>
          </w:p>
          <w:p>
            <w:pPr>
              <w:pStyle w:val="58"/>
              <w:ind w:firstLine="420"/>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（3）院区管理上做到日出日清。</w:t>
            </w:r>
          </w:p>
          <w:p>
            <w:pPr>
              <w:pStyle w:val="58"/>
              <w:ind w:firstLine="420"/>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4）对医疗废物的处理应按要求将医疗垃圾分类，用塑料袋包装，确保不破不漏，用专用垃圾储存箱存放，加锁封存，然后由专业医疗垃圾处理公司承担医疗废弃物运输和集中处置工作，定时到医院开锁收取医疗垃圾，按规定消毒、运输及处置。</w:t>
            </w:r>
          </w:p>
          <w:p>
            <w:pPr>
              <w:pStyle w:val="58"/>
              <w:ind w:firstLine="420"/>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（5）医疗废物转交出去后，每天及时对暂时贮存地点、设施及时进行清洁和消毒处理。</w:t>
            </w:r>
          </w:p>
          <w:p>
            <w:pPr>
              <w:pStyle w:val="58"/>
              <w:ind w:firstLine="420"/>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2、危险废物贮存</w:t>
            </w:r>
          </w:p>
          <w:p>
            <w:pPr>
              <w:pStyle w:val="58"/>
              <w:ind w:firstLine="420"/>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（1）医疗废物用专用容器密闭盛装，根据《医疗废物管理条例》，医疗废物暂存时间不超过2天。</w:t>
            </w:r>
          </w:p>
          <w:p>
            <w:pPr>
              <w:pStyle w:val="58"/>
              <w:ind w:firstLine="420"/>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（2）项目危废暂存间按照《危险废物贮存污染控制标准》（GB18597-2001）及其修改单的要求进行建设，落实“防雨、防风、防晒、防渗漏”等措施。危废暂存间在日常运营过程中应注意以下几点，具体有：</w:t>
            </w:r>
          </w:p>
          <w:p>
            <w:pPr>
              <w:pStyle w:val="58"/>
              <w:ind w:firstLine="420"/>
              <w:rPr>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①</w:t>
            </w:r>
            <w:r>
              <w:rPr>
                <w:color w:val="000000" w:themeColor="text1"/>
                <w:sz w:val="21"/>
                <w:szCs w:val="21"/>
                <w:lang w:val="zh-CN"/>
                <w14:textFill>
                  <w14:solidFill>
                    <w14:schemeClr w14:val="tx1"/>
                  </w14:solidFill>
                </w14:textFill>
              </w:rPr>
              <w:t>根据危废按照不同的类别和性质，危废应分别存放于专门的容器中（防渗），不同类别危废分区堆放，堆放时从第一堆放区开始堆放，依次类推，每个贮存区域之间留出搬运通道。</w:t>
            </w:r>
          </w:p>
          <w:p>
            <w:pPr>
              <w:pStyle w:val="58"/>
              <w:ind w:firstLine="420"/>
              <w:rPr>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②</w:t>
            </w:r>
            <w:r>
              <w:rPr>
                <w:color w:val="000000" w:themeColor="text1"/>
                <w:sz w:val="21"/>
                <w:szCs w:val="21"/>
                <w:lang w:val="zh-CN"/>
                <w14:textFill>
                  <w14:solidFill>
                    <w14:schemeClr w14:val="tx1"/>
                  </w14:solidFill>
                </w14:textFill>
              </w:rPr>
              <w:t>暂存库应由专业人员操作，单独收集和贮运，严格执行《危险废物收集贮存运输技术规范》（HJ2025-2012）和《危险废物转移联单管理办法》，并制定好危险废物转移运输途中的污染防范及事故应急措施，严格按照要求办理有关手续。</w:t>
            </w:r>
          </w:p>
          <w:p>
            <w:pPr>
              <w:pStyle w:val="58"/>
              <w:ind w:firstLine="420"/>
              <w:rPr>
                <w:color w:val="000000" w:themeColor="text1"/>
                <w:sz w:val="21"/>
                <w:szCs w:val="21"/>
                <w:lang w:val="zh-CN"/>
                <w14:textFill>
                  <w14:solidFill>
                    <w14:schemeClr w14:val="tx1"/>
                  </w14:solidFill>
                </w14:textFill>
              </w:rPr>
            </w:pPr>
            <w:r>
              <w:rPr>
                <w:rFonts w:hint="eastAsia" w:ascii="宋体" w:hAnsi="宋体" w:cs="宋体"/>
                <w:color w:val="000000" w:themeColor="text1"/>
                <w:sz w:val="21"/>
                <w:szCs w:val="21"/>
                <w:lang w:val="zh-CN"/>
                <w14:textFill>
                  <w14:solidFill>
                    <w14:schemeClr w14:val="tx1"/>
                  </w14:solidFill>
                </w14:textFill>
              </w:rPr>
              <w:t>③</w:t>
            </w:r>
            <w:r>
              <w:rPr>
                <w:color w:val="000000" w:themeColor="text1"/>
                <w:sz w:val="21"/>
                <w:szCs w:val="21"/>
                <w:lang w:val="zh-CN"/>
                <w14:textFill>
                  <w14:solidFill>
                    <w14:schemeClr w14:val="tx1"/>
                  </w14:solidFill>
                </w14:textFill>
              </w:rPr>
              <w:t>医疗废物暂存库应按照《环境保护图形标志一固体废物贮存（处置场）（GB15562.2-1995）标准及各级生态环境管理部门相关要求设置明显的标识牌。</w:t>
            </w:r>
          </w:p>
          <w:p>
            <w:pPr>
              <w:pStyle w:val="58"/>
              <w:ind w:firstLine="420"/>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3、运输</w:t>
            </w:r>
          </w:p>
          <w:p>
            <w:pPr>
              <w:pStyle w:val="58"/>
              <w:ind w:firstLine="420"/>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本项目运营期产生的危废在转移运输过程中要严格遵守《国家危险废物转移联单管理办法》，需按程序和期限向有关生态环境部门报告，以便及时的控制废物流向，控制危险废物污染的扩散。危险废物运输中应做到以下几点：</w:t>
            </w:r>
          </w:p>
          <w:p>
            <w:pPr>
              <w:pStyle w:val="58"/>
              <w:ind w:firstLine="420"/>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（1）危险废物的运输车辆须经主管单位检查，并持有有关单位签发的许可证，负责运输的司机应通过培训，持有证明文件。</w:t>
            </w:r>
          </w:p>
          <w:p>
            <w:pPr>
              <w:pStyle w:val="58"/>
              <w:ind w:firstLine="420"/>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（2）承载危险废物的车辆须有明显的标志或适当的危险符号，以引起注意。</w:t>
            </w:r>
          </w:p>
          <w:p>
            <w:pPr>
              <w:pStyle w:val="58"/>
              <w:ind w:firstLine="420"/>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（3）载有危险废物的车辆在公路上行驶时，需持有运输许可证，其上应注明废物来源、性质和运往地点。</w:t>
            </w:r>
          </w:p>
          <w:p>
            <w:pPr>
              <w:pStyle w:val="58"/>
              <w:ind w:firstLine="420"/>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（4）组织危险废物的运输单位，在事先需作出周密的运输计划和行驶路线，其中包括有效的废物泄漏情况下的应急措施。</w:t>
            </w:r>
          </w:p>
          <w:p>
            <w:pPr>
              <w:pStyle w:val="58"/>
              <w:ind w:firstLine="420"/>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4、委托利用或者处置</w:t>
            </w:r>
          </w:p>
          <w:p>
            <w:pPr>
              <w:pStyle w:val="58"/>
              <w:ind w:firstLine="420"/>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企业需建立完善危险废物管理台账，如实记录危险废物贮存、利用、处置相关情况，制定危险废物管理计划并报环保局备案，如实申报危险废物种类、产生量、流向、贮存、处置等有关情况。</w:t>
            </w:r>
          </w:p>
          <w:p>
            <w:pPr>
              <w:pStyle w:val="58"/>
              <w:ind w:firstLine="420"/>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危险废物委托必须委托具有相应危险废物经营资质的单位利用处置，签订委托处理协议。</w:t>
            </w:r>
          </w:p>
          <w:p>
            <w:pPr>
              <w:pStyle w:val="58"/>
              <w:ind w:firstLine="420"/>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本项目危险废物均委托有资质的单位进行处置，不会产生显著的环境影响。</w:t>
            </w:r>
          </w:p>
          <w:p>
            <w:pPr>
              <w:pStyle w:val="58"/>
              <w:ind w:firstLine="420"/>
              <w:jc w:val="both"/>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本项目生活垃圾经收集后由市政环卫部门定期清运；医疗废物严格按照《医疗卫生机构医疗废物管理办法》、《医疗废物管理条例》、《医疗废物集中处置技术规范(试行)》的相关规定进行分类收集、存储，同时，暂存间必须封闭、采取防风、防雨、防渗处理，并定时消毒、清洁，防止蚊蝇滋生：污水站栅渣、污泥在危废暂存间暂存后交有资质单位处置。经采取上述措施后，危险废物的处理措施和处置方案满足《危险废物贮存污染控制标准》（GB18597-2001）及修改单要求，对周围环境影响很小。</w:t>
            </w:r>
          </w:p>
          <w:p>
            <w:pPr>
              <w:spacing w:line="360" w:lineRule="auto"/>
              <w:ind w:firstLine="420"/>
              <w:rPr>
                <w:b/>
                <w:color w:val="000000" w:themeColor="text1"/>
                <w14:textFill>
                  <w14:solidFill>
                    <w14:schemeClr w14:val="tx1"/>
                  </w14:solidFill>
                </w14:textFill>
              </w:rPr>
            </w:pPr>
            <w:r>
              <w:rPr>
                <w:b/>
                <w:color w:val="000000" w:themeColor="text1"/>
                <w14:textFill>
                  <w14:solidFill>
                    <w14:schemeClr w14:val="tx1"/>
                  </w14:solidFill>
                </w14:textFill>
              </w:rPr>
              <w:t>五、地下水、土壤</w:t>
            </w:r>
          </w:p>
          <w:p>
            <w:pPr>
              <w:spacing w:line="360" w:lineRule="auto"/>
              <w:ind w:firstLine="420"/>
              <w:rPr>
                <w:b/>
                <w:color w:val="000000" w:themeColor="text1"/>
                <w:lang w:val="zh-CN"/>
                <w14:textFill>
                  <w14:solidFill>
                    <w14:schemeClr w14:val="tx1"/>
                  </w14:solidFill>
                </w14:textFill>
              </w:rPr>
            </w:pPr>
            <w:r>
              <w:rPr>
                <w:b/>
                <w:color w:val="000000" w:themeColor="text1"/>
                <w:lang w:val="zh-CN"/>
                <w14:textFill>
                  <w14:solidFill>
                    <w14:schemeClr w14:val="tx1"/>
                  </w14:solidFill>
                </w14:textFill>
              </w:rPr>
              <w:t>5.1污染途径</w:t>
            </w:r>
          </w:p>
          <w:p>
            <w:pPr>
              <w:spacing w:line="360" w:lineRule="auto"/>
              <w:ind w:firstLine="420"/>
              <w:rPr>
                <w:color w:val="000000" w:themeColor="text1"/>
                <w:lang w:val="zh-CN"/>
                <w14:textFill>
                  <w14:solidFill>
                    <w14:schemeClr w14:val="tx1"/>
                  </w14:solidFill>
                </w14:textFill>
              </w:rPr>
            </w:pPr>
            <w:r>
              <w:rPr>
                <w:color w:val="000000" w:themeColor="text1"/>
                <w:lang w:val="zh-CN"/>
                <w14:textFill>
                  <w14:solidFill>
                    <w14:schemeClr w14:val="tx1"/>
                  </w14:solidFill>
                </w14:textFill>
              </w:rPr>
              <w:t>本项目为医院项目不涉及工业风险，项目正常工况下无区域地下水、土壤产生污染的重大污染源、污染物及污染途径。项目可能对地下水、土壤产生影响的情况为事故状态下危废暂存间</w:t>
            </w:r>
            <w:r>
              <w:rPr>
                <w:color w:val="000000" w:themeColor="text1"/>
                <w14:textFill>
                  <w14:solidFill>
                    <w14:schemeClr w14:val="tx1"/>
                  </w14:solidFill>
                </w14:textFill>
              </w:rPr>
              <w:t>、化粪池、污水站、污水输送管线</w:t>
            </w:r>
            <w:r>
              <w:rPr>
                <w:color w:val="000000" w:themeColor="text1"/>
                <w:lang w:val="zh-CN"/>
                <w14:textFill>
                  <w14:solidFill>
                    <w14:schemeClr w14:val="tx1"/>
                  </w14:solidFill>
                </w14:textFill>
              </w:rPr>
              <w:t>，造成废水污染物下渗污染地下水、土壤；项目排放的氨（氨气）、硫化氢通过大气沉降等对土壤造成污染。污染物主要为氨（氨气）、硫化氢等。</w:t>
            </w:r>
          </w:p>
          <w:p>
            <w:pPr>
              <w:spacing w:line="360" w:lineRule="auto"/>
              <w:ind w:firstLine="420"/>
              <w:rPr>
                <w:b/>
                <w:color w:val="000000" w:themeColor="text1"/>
                <w:lang w:val="zh-CN"/>
                <w14:textFill>
                  <w14:solidFill>
                    <w14:schemeClr w14:val="tx1"/>
                  </w14:solidFill>
                </w14:textFill>
              </w:rPr>
            </w:pPr>
            <w:r>
              <w:rPr>
                <w:b/>
                <w:color w:val="000000" w:themeColor="text1"/>
                <w:lang w:val="zh-CN"/>
                <w14:textFill>
                  <w14:solidFill>
                    <w14:schemeClr w14:val="tx1"/>
                  </w14:solidFill>
                </w14:textFill>
              </w:rPr>
              <w:t>5.2污染防治措施</w:t>
            </w:r>
          </w:p>
          <w:p>
            <w:pPr>
              <w:spacing w:line="360" w:lineRule="auto"/>
              <w:ind w:firstLine="420"/>
              <w:rPr>
                <w:color w:val="000000" w:themeColor="text1"/>
                <w:lang w:val="zh-CN"/>
                <w14:textFill>
                  <w14:solidFill>
                    <w14:schemeClr w14:val="tx1"/>
                  </w14:solidFill>
                </w14:textFill>
              </w:rPr>
            </w:pPr>
            <w:r>
              <w:rPr>
                <w:color w:val="000000" w:themeColor="text1"/>
                <w:lang w:val="zh-CN"/>
                <w14:textFill>
                  <w14:solidFill>
                    <w14:schemeClr w14:val="tx1"/>
                  </w14:solidFill>
                </w14:textFill>
              </w:rPr>
              <w:t>（1）院内现状已对设施进行防渗处理，主要防渗措施如下：</w:t>
            </w:r>
          </w:p>
          <w:p>
            <w:pPr>
              <w:spacing w:line="360" w:lineRule="auto"/>
              <w:ind w:firstLine="420"/>
              <w:rPr>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①</w:t>
            </w:r>
            <w:r>
              <w:rPr>
                <w:color w:val="000000" w:themeColor="text1"/>
                <w:lang w:val="zh-CN"/>
                <w14:textFill>
                  <w14:solidFill>
                    <w14:schemeClr w14:val="tx1"/>
                  </w14:solidFill>
                </w14:textFill>
              </w:rPr>
              <w:t>病房综合楼进行地面进行硬化，满足简单防渗区要求。</w:t>
            </w:r>
          </w:p>
          <w:p>
            <w:pPr>
              <w:spacing w:line="360" w:lineRule="auto"/>
              <w:ind w:firstLine="420"/>
              <w:rPr>
                <w:color w:val="000000" w:themeColor="text1"/>
                <w:lang w:val="zh-CN"/>
                <w14:textFill>
                  <w14:solidFill>
                    <w14:schemeClr w14:val="tx1"/>
                  </w14:solidFill>
                </w14:textFill>
              </w:rPr>
            </w:pPr>
            <w:r>
              <w:rPr>
                <w:rFonts w:hint="eastAsia" w:ascii="宋体" w:hAnsi="宋体" w:cs="宋体"/>
                <w:color w:val="000000" w:themeColor="text1"/>
                <w:lang w:val="zh-CN"/>
                <w14:textFill>
                  <w14:solidFill>
                    <w14:schemeClr w14:val="tx1"/>
                  </w14:solidFill>
                </w14:textFill>
              </w:rPr>
              <w:t>②</w:t>
            </w:r>
            <w:r>
              <w:rPr>
                <w:color w:val="000000" w:themeColor="text1"/>
                <w:lang w:val="zh-CN"/>
                <w14:textFill>
                  <w14:solidFill>
                    <w14:schemeClr w14:val="tx1"/>
                  </w14:solidFill>
                </w14:textFill>
              </w:rPr>
              <w:t>危废间、污水站、化粪池、污水输送管线已采取有效防渗措施，重点防渗区地面基础防渗层采用黏土夯实，黏土上方浇筑400mm厚S6防渗水泥，上部层铺设2mm厚</w:t>
            </w:r>
            <w:r>
              <w:rPr>
                <w:color w:val="000000" w:themeColor="text1"/>
                <w:szCs w:val="21"/>
                <w:lang w:val="zh-CN"/>
                <w14:textFill>
                  <w14:solidFill>
                    <w14:schemeClr w14:val="tx1"/>
                  </w14:solidFill>
                </w14:textFill>
              </w:rPr>
              <w:t>高密度聚乙烯</w:t>
            </w:r>
            <w:r>
              <w:rPr>
                <w:color w:val="000000" w:themeColor="text1"/>
                <w:lang w:val="zh-CN"/>
                <w14:textFill>
                  <w14:solidFill>
                    <w14:schemeClr w14:val="tx1"/>
                  </w14:solidFill>
                </w14:textFill>
              </w:rPr>
              <w:t>，防渗系数≤10</w:t>
            </w:r>
            <w:r>
              <w:rPr>
                <w:color w:val="000000" w:themeColor="text1"/>
                <w:vertAlign w:val="superscript"/>
                <w:lang w:val="zh-CN"/>
                <w14:textFill>
                  <w14:solidFill>
                    <w14:schemeClr w14:val="tx1"/>
                  </w14:solidFill>
                </w14:textFill>
              </w:rPr>
              <w:t>-10</w:t>
            </w:r>
            <w:r>
              <w:rPr>
                <w:color w:val="000000" w:themeColor="text1"/>
                <w:lang w:val="zh-CN"/>
                <w14:textFill>
                  <w14:solidFill>
                    <w14:schemeClr w14:val="tx1"/>
                  </w14:solidFill>
                </w14:textFill>
              </w:rPr>
              <w:t xml:space="preserve"> cm/s，且表面无裂隙</w:t>
            </w:r>
            <w:r>
              <w:rPr>
                <w:color w:val="000000" w:themeColor="text1"/>
                <w:szCs w:val="21"/>
                <w:lang w:val="zh-CN"/>
                <w14:textFill>
                  <w14:solidFill>
                    <w14:schemeClr w14:val="tx1"/>
                  </w14:solidFill>
                </w14:textFill>
              </w:rPr>
              <w:t>，各建筑已进行防雨和防晒。</w:t>
            </w:r>
          </w:p>
          <w:p>
            <w:pPr>
              <w:spacing w:line="360" w:lineRule="auto"/>
              <w:ind w:firstLine="420"/>
              <w:rPr>
                <w:color w:val="000000" w:themeColor="text1"/>
                <w:lang w:val="zh-CN"/>
                <w14:textFill>
                  <w14:solidFill>
                    <w14:schemeClr w14:val="tx1"/>
                  </w14:solidFill>
                </w14:textFill>
              </w:rPr>
            </w:pPr>
            <w:r>
              <w:rPr>
                <w:color w:val="000000" w:themeColor="text1"/>
                <w:lang w:val="zh-CN"/>
                <w14:textFill>
                  <w14:solidFill>
                    <w14:schemeClr w14:val="tx1"/>
                  </w14:solidFill>
                </w14:textFill>
              </w:rPr>
              <w:t>（2）对各项废气污染物采取相应的环保措施，并定期检查，使各项污染物的排放量降至最低。</w:t>
            </w:r>
          </w:p>
          <w:p>
            <w:pPr>
              <w:spacing w:line="360" w:lineRule="auto"/>
              <w:ind w:firstLine="420"/>
              <w:rPr>
                <w:b/>
                <w:color w:val="000000" w:themeColor="text1"/>
                <w14:textFill>
                  <w14:solidFill>
                    <w14:schemeClr w14:val="tx1"/>
                  </w14:solidFill>
                </w14:textFill>
              </w:rPr>
            </w:pPr>
            <w:r>
              <w:rPr>
                <w:b/>
                <w:color w:val="000000" w:themeColor="text1"/>
                <w14:textFill>
                  <w14:solidFill>
                    <w14:schemeClr w14:val="tx1"/>
                  </w14:solidFill>
                </w14:textFill>
              </w:rPr>
              <w:t>六、外界环境对本项目的环境影响分析</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本项目位于淄博市张店区新村西路188号，院区</w:t>
            </w:r>
            <w:r>
              <w:rPr>
                <w:rFonts w:hint="eastAsia"/>
                <w:color w:val="000000" w:themeColor="text1"/>
                <w14:textFill>
                  <w14:solidFill>
                    <w14:schemeClr w14:val="tx1"/>
                  </w14:solidFill>
                </w14:textFill>
              </w:rPr>
              <w:t>南侧为新村西路，东侧沿街商业建筑，西侧为沿街商业建筑，北侧为天府清华园。</w:t>
            </w:r>
            <w:r>
              <w:rPr>
                <w:color w:val="000000" w:themeColor="text1"/>
                <w14:textFill>
                  <w14:solidFill>
                    <w14:schemeClr w14:val="tx1"/>
                  </w14:solidFill>
                </w14:textFill>
              </w:rPr>
              <w:t>为进一步减小区域交通噪声对项目的影响，建议建设单位强化降噪措施，具体如下：</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1、采取隔声措施，如增加树木绿化等，减少外部汽车噪声对本项目的影响。</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2、提高房间门窗的隔声性能，沿路一侧的窗户需要安装双层中空隔声玻璃，采用窗户增加橡胶条、窗缝注密封胶，且采取符合国家“三密”（气密性、水密性、隔声性） 标准的玻璃；门窗进行嵌缝，嵌缝后平均隔声量可提高13分贝，减少汽车经过时噪声的影响。</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采取以上措施后可确保建设项目区域符合《声环境质量标准》（GB3096-2008）1 类标准（昼间≤55dB（A）、夜间≤45dB（A））限值，周边道路的交通噪声对项目入驻治疗人员的影响较小。</w:t>
            </w:r>
          </w:p>
          <w:p>
            <w:pPr>
              <w:spacing w:line="360" w:lineRule="auto"/>
              <w:ind w:firstLine="420"/>
              <w:rPr>
                <w:b/>
                <w:color w:val="000000" w:themeColor="text1"/>
                <w14:textFill>
                  <w14:solidFill>
                    <w14:schemeClr w14:val="tx1"/>
                  </w14:solidFill>
                </w14:textFill>
              </w:rPr>
            </w:pPr>
            <w:r>
              <w:rPr>
                <w:b/>
                <w:color w:val="000000" w:themeColor="text1"/>
                <w14:textFill>
                  <w14:solidFill>
                    <w14:schemeClr w14:val="tx1"/>
                  </w14:solidFill>
                </w14:textFill>
              </w:rPr>
              <w:t>七、生态</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 xml:space="preserve">项目为补办手续，院区已建成，不新增用地，用地范围内无生态环境保护目标。  </w:t>
            </w:r>
          </w:p>
          <w:p>
            <w:pPr>
              <w:spacing w:line="360" w:lineRule="auto"/>
              <w:ind w:firstLine="422" w:firstLineChars="200"/>
              <w:rPr>
                <w:b/>
                <w:color w:val="000000" w:themeColor="text1"/>
                <w14:textFill>
                  <w14:solidFill>
                    <w14:schemeClr w14:val="tx1"/>
                  </w14:solidFill>
                </w14:textFill>
              </w:rPr>
            </w:pPr>
            <w:r>
              <w:rPr>
                <w:rFonts w:hint="eastAsia"/>
                <w:b/>
                <w:color w:val="000000" w:themeColor="text1"/>
                <w14:textFill>
                  <w14:solidFill>
                    <w14:schemeClr w14:val="tx1"/>
                  </w14:solidFill>
                </w14:textFill>
              </w:rPr>
              <w:t>八</w:t>
            </w:r>
            <w:r>
              <w:rPr>
                <w:b/>
                <w:color w:val="000000" w:themeColor="text1"/>
                <w14:textFill>
                  <w14:solidFill>
                    <w14:schemeClr w14:val="tx1"/>
                  </w14:solidFill>
                </w14:textFill>
              </w:rPr>
              <w:t>、环境风险</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环境风险是指突发性事故造成的重大环境污染的事件，其特点是危害大、影响范围广、发生概率具有很大的不确定性。环境风险评价的目的是分析和预测建设项目存在的潜在危险、有害因素，建设项目建设和运行期间可能发生的突发性事件或事故（一般不包括人为破坏及自然灾害），引起有毒有害和易燃易爆等物质泄漏，所造成的人身安全与环境影响和损害程度，提出合理可行的防范、应急与减缓措施，以使建设项目事故率、损失和环境影响达到可接受水平。</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环境风险评价遵照国家环保总局环发[2012]77号文《关于进一步加强环境影响评价管理防范环境风险的通知》和环发[2012]98号《关于切实加强风险防范严格环境影响评价管理的通知》精神，以《建设项目环境风险评价技术导则》（HJ169-2018）为指导，对项目营运期过程进行环境风险分析。</w:t>
            </w:r>
          </w:p>
          <w:p>
            <w:pPr>
              <w:pStyle w:val="58"/>
              <w:ind w:firstLine="420"/>
              <w:rPr>
                <w:color w:val="000000" w:themeColor="text1"/>
                <w:sz w:val="21"/>
                <w:szCs w:val="21"/>
                <w:lang w:val="zh-CN"/>
                <w14:textFill>
                  <w14:solidFill>
                    <w14:schemeClr w14:val="tx1"/>
                  </w14:solidFill>
                </w14:textFill>
              </w:rPr>
            </w:pPr>
            <w:r>
              <w:rPr>
                <w:color w:val="000000" w:themeColor="text1"/>
                <w:sz w:val="21"/>
                <w:szCs w:val="21"/>
                <w:lang w:val="zh-CN"/>
                <w14:textFill>
                  <w14:solidFill>
                    <w14:schemeClr w14:val="tx1"/>
                  </w14:solidFill>
                </w14:textFill>
              </w:rPr>
              <w:t>1、环境风险潜势</w:t>
            </w:r>
          </w:p>
          <w:p>
            <w:pPr>
              <w:pStyle w:val="58"/>
              <w:ind w:firstLine="420"/>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根据本项目原辅材料、产品情况，本项目涉及《建设项目环境风险评价技术导则》（HJ/T169-2018）导则附录B危险物质主要为84消毒液（主要成分次氯酸钠），84消毒液最大贮存量为100瓶，包装规格400mL/瓶，根据企业提供技术资料，84消毒液有效率含量最高为6.5%，据此折算次氯酸钠最大存在量为2.6kg，临界量为5t，因此本项目Q值=0.00052＜1，则本项目环境风险潜势为Ⅰ，不需要设置环境风险专项。</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2、风险源分布及影响途径分析</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危险物质识别：本项目涉及《建设项目环境风险评价技术导则》（HJ/T169-2018）导则附录B中的危险物质为84消毒液（主要成分次氯酸钠）</w:t>
            </w:r>
            <w:r>
              <w:rPr>
                <w:rFonts w:hint="eastAsia"/>
                <w:color w:val="000000" w:themeColor="text1"/>
                <w:szCs w:val="21"/>
                <w14:textFill>
                  <w14:solidFill>
                    <w14:schemeClr w14:val="tx1"/>
                  </w14:solidFill>
                </w14:textFill>
              </w:rPr>
              <w:t>。另外本项目仓库储存75%酒精，主要成分为乙醇，虽然不属于附录B中危险物质，但是乙醇属于第3.2类中闪点易燃液体，本次风险评价将75%酒精列为风险源物质，乙醇、</w:t>
            </w:r>
            <w:r>
              <w:rPr>
                <w:color w:val="000000" w:themeColor="text1"/>
                <w:szCs w:val="21"/>
                <w14:textFill>
                  <w14:solidFill>
                    <w14:schemeClr w14:val="tx1"/>
                  </w14:solidFill>
                </w14:textFill>
              </w:rPr>
              <w:t>次氯酸钠溶液危险特性</w:t>
            </w:r>
            <w:r>
              <w:rPr>
                <w:rFonts w:hint="eastAsia"/>
                <w:color w:val="000000" w:themeColor="text1"/>
                <w:szCs w:val="21"/>
                <w14:textFill>
                  <w14:solidFill>
                    <w14:schemeClr w14:val="tx1"/>
                  </w14:solidFill>
                </w14:textFill>
              </w:rPr>
              <w:t>如下：</w:t>
            </w:r>
          </w:p>
          <w:p>
            <w:pPr>
              <w:spacing w:line="360" w:lineRule="auto"/>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表4-20  次氯酸钠溶液危险特性一览表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9"/>
              <w:gridCol w:w="1814"/>
              <w:gridCol w:w="331"/>
              <w:gridCol w:w="1646"/>
              <w:gridCol w:w="492"/>
              <w:gridCol w:w="2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493" w:type="dxa"/>
                  <w:gridSpan w:val="6"/>
                  <w:tcMar>
                    <w:top w:w="57" w:type="dxa"/>
                    <w:left w:w="57" w:type="dxa"/>
                    <w:bottom w:w="57" w:type="dxa"/>
                    <w:right w:w="57" w:type="dxa"/>
                  </w:tcMar>
                  <w:vAlign w:val="center"/>
                </w:tcPr>
                <w:p>
                  <w:pPr>
                    <w:textAlignment w:val="center"/>
                    <w:rPr>
                      <w:rFonts w:eastAsiaTheme="minorEastAsia"/>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vAlign w:val="cente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 xml:space="preserve">中文名 </w:t>
                  </w:r>
                </w:p>
              </w:tc>
              <w:tc>
                <w:tcPr>
                  <w:tcW w:w="1830" w:type="dxa"/>
                  <w:tcMar>
                    <w:top w:w="57" w:type="dxa"/>
                    <w:left w:w="57" w:type="dxa"/>
                    <w:bottom w:w="57" w:type="dxa"/>
                    <w:right w:w="57" w:type="dxa"/>
                  </w:tcMar>
                  <w:vAlign w:val="center"/>
                </w:tcPr>
                <w:p>
                  <w:pPr>
                    <w:textAlignment w:val="center"/>
                    <w:rPr>
                      <w:rFonts w:eastAsiaTheme="minorEastAsia"/>
                      <w:b/>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次氯酸钠溶液</w:t>
                  </w:r>
                </w:p>
              </w:tc>
              <w:tc>
                <w:tcPr>
                  <w:tcW w:w="1997" w:type="dxa"/>
                  <w:gridSpan w:val="2"/>
                  <w:tcMar>
                    <w:top w:w="57" w:type="dxa"/>
                    <w:left w:w="57" w:type="dxa"/>
                    <w:bottom w:w="57" w:type="dxa"/>
                    <w:right w:w="57" w:type="dxa"/>
                  </w:tcMar>
                  <w:vAlign w:val="cente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英文名</w:t>
                  </w:r>
                </w:p>
              </w:tc>
              <w:tc>
                <w:tcPr>
                  <w:tcW w:w="2823" w:type="dxa"/>
                  <w:gridSpan w:val="2"/>
                  <w:tcMar>
                    <w:top w:w="57" w:type="dxa"/>
                    <w:left w:w="57" w:type="dxa"/>
                    <w:bottom w:w="57" w:type="dxa"/>
                    <w:right w:w="57" w:type="dxa"/>
                  </w:tcMar>
                  <w:vAlign w:val="center"/>
                </w:tcPr>
                <w:p>
                  <w:pPr>
                    <w:textAlignment w:val="center"/>
                    <w:rPr>
                      <w:rFonts w:eastAsiaTheme="minorEastAsia"/>
                      <w:b/>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sodium hypochlorite solution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vAlign w:val="cente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CAS号</w:t>
                  </w:r>
                </w:p>
              </w:tc>
              <w:tc>
                <w:tcPr>
                  <w:tcW w:w="1830" w:type="dxa"/>
                  <w:tcMar>
                    <w:top w:w="57" w:type="dxa"/>
                    <w:left w:w="57" w:type="dxa"/>
                    <w:bottom w:w="57" w:type="dxa"/>
                    <w:right w:w="57" w:type="dxa"/>
                  </w:tcMar>
                  <w:vAlign w:val="center"/>
                </w:tcPr>
                <w:p>
                  <w:pPr>
                    <w:textAlignment w:val="center"/>
                    <w:rPr>
                      <w:rFonts w:eastAsiaTheme="minorEastAsia"/>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7681-52-9</w:t>
                  </w:r>
                </w:p>
              </w:tc>
              <w:tc>
                <w:tcPr>
                  <w:tcW w:w="1997" w:type="dxa"/>
                  <w:gridSpan w:val="2"/>
                  <w:tcMar>
                    <w:top w:w="57" w:type="dxa"/>
                    <w:left w:w="57" w:type="dxa"/>
                    <w:bottom w:w="57" w:type="dxa"/>
                    <w:right w:w="57" w:type="dxa"/>
                  </w:tcMar>
                  <w:vAlign w:val="cente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危险性类别</w:t>
                  </w:r>
                </w:p>
              </w:tc>
              <w:tc>
                <w:tcPr>
                  <w:tcW w:w="2823" w:type="dxa"/>
                  <w:gridSpan w:val="2"/>
                  <w:tcMar>
                    <w:top w:w="57" w:type="dxa"/>
                    <w:left w:w="57" w:type="dxa"/>
                    <w:bottom w:w="57" w:type="dxa"/>
                    <w:right w:w="57" w:type="dxa"/>
                  </w:tcMar>
                  <w:vAlign w:val="center"/>
                </w:tcPr>
                <w:p>
                  <w:pPr>
                    <w:textAlignment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第8.3类  其它腐蚀品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vAlign w:val="cente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危险货物编号</w:t>
                  </w:r>
                </w:p>
              </w:tc>
              <w:tc>
                <w:tcPr>
                  <w:tcW w:w="1830" w:type="dxa"/>
                  <w:tcMar>
                    <w:top w:w="57" w:type="dxa"/>
                    <w:left w:w="57" w:type="dxa"/>
                    <w:bottom w:w="57" w:type="dxa"/>
                    <w:right w:w="57" w:type="dxa"/>
                  </w:tcMar>
                  <w:vAlign w:val="center"/>
                </w:tcPr>
                <w:p>
                  <w:pPr>
                    <w:textAlignment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83501</w:t>
                  </w:r>
                </w:p>
              </w:tc>
              <w:tc>
                <w:tcPr>
                  <w:tcW w:w="1997" w:type="dxa"/>
                  <w:gridSpan w:val="2"/>
                  <w:tcMar>
                    <w:top w:w="57" w:type="dxa"/>
                    <w:left w:w="57" w:type="dxa"/>
                    <w:bottom w:w="57" w:type="dxa"/>
                    <w:right w:w="57" w:type="dxa"/>
                  </w:tcMar>
                  <w:vAlign w:val="cente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UN编号</w:t>
                  </w:r>
                </w:p>
              </w:tc>
              <w:tc>
                <w:tcPr>
                  <w:tcW w:w="2823" w:type="dxa"/>
                  <w:gridSpan w:val="2"/>
                  <w:tcMar>
                    <w:top w:w="57" w:type="dxa"/>
                    <w:left w:w="57" w:type="dxa"/>
                    <w:bottom w:w="57" w:type="dxa"/>
                    <w:right w:w="57" w:type="dxa"/>
                  </w:tcMar>
                  <w:vAlign w:val="center"/>
                </w:tcPr>
                <w:p>
                  <w:pPr>
                    <w:textAlignment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vAlign w:val="cente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包装标志</w:t>
                  </w:r>
                </w:p>
              </w:tc>
              <w:tc>
                <w:tcPr>
                  <w:tcW w:w="1830" w:type="dxa"/>
                  <w:tcMar>
                    <w:top w:w="57" w:type="dxa"/>
                    <w:left w:w="57" w:type="dxa"/>
                    <w:bottom w:w="57" w:type="dxa"/>
                    <w:right w:w="57" w:type="dxa"/>
                  </w:tcMar>
                  <w:vAlign w:val="center"/>
                </w:tcPr>
                <w:p>
                  <w:pPr>
                    <w:textAlignment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腐蚀品</w:t>
                  </w:r>
                </w:p>
              </w:tc>
              <w:tc>
                <w:tcPr>
                  <w:tcW w:w="1997" w:type="dxa"/>
                  <w:gridSpan w:val="2"/>
                  <w:tcMar>
                    <w:top w:w="57" w:type="dxa"/>
                    <w:left w:w="57" w:type="dxa"/>
                    <w:bottom w:w="57" w:type="dxa"/>
                    <w:right w:w="57" w:type="dxa"/>
                  </w:tcMar>
                  <w:vAlign w:val="cente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包装类别</w:t>
                  </w:r>
                </w:p>
              </w:tc>
              <w:tc>
                <w:tcPr>
                  <w:tcW w:w="2823" w:type="dxa"/>
                  <w:gridSpan w:val="2"/>
                  <w:tcMar>
                    <w:top w:w="57" w:type="dxa"/>
                    <w:left w:w="57" w:type="dxa"/>
                    <w:bottom w:w="57" w:type="dxa"/>
                    <w:right w:w="57" w:type="dxa"/>
                  </w:tcMar>
                  <w:vAlign w:val="center"/>
                </w:tcPr>
                <w:p>
                  <w:pPr>
                    <w:textAlignment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O53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493" w:type="dxa"/>
                  <w:gridSpan w:val="6"/>
                  <w:tcMar>
                    <w:top w:w="57" w:type="dxa"/>
                    <w:left w:w="57" w:type="dxa"/>
                    <w:bottom w:w="57" w:type="dxa"/>
                    <w:right w:w="57" w:type="dxa"/>
                  </w:tcMar>
                  <w:vAlign w:val="center"/>
                </w:tcPr>
                <w:p>
                  <w:pPr>
                    <w:textAlignment w:val="center"/>
                    <w:rPr>
                      <w:rFonts w:eastAsiaTheme="minorEastAsia"/>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主要组成与性状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vAlign w:val="cente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外观与性状</w:t>
                  </w:r>
                </w:p>
              </w:tc>
              <w:tc>
                <w:tcPr>
                  <w:tcW w:w="6650" w:type="dxa"/>
                  <w:gridSpan w:val="5"/>
                  <w:tcMar>
                    <w:top w:w="57" w:type="dxa"/>
                    <w:left w:w="57" w:type="dxa"/>
                    <w:bottom w:w="57" w:type="dxa"/>
                    <w:right w:w="57" w:type="dxa"/>
                  </w:tcMar>
                  <w:vAlign w:val="center"/>
                </w:tcPr>
                <w:p>
                  <w:pPr>
                    <w:textAlignment w:val="center"/>
                    <w:rPr>
                      <w:rFonts w:eastAsiaTheme="minorEastAsia"/>
                      <w:b/>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微黄色溶液，有似氯气的气味。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493" w:type="dxa"/>
                  <w:gridSpan w:val="6"/>
                  <w:tcMar>
                    <w:top w:w="57" w:type="dxa"/>
                    <w:left w:w="57" w:type="dxa"/>
                    <w:bottom w:w="57" w:type="dxa"/>
                    <w:right w:w="57" w:type="dxa"/>
                  </w:tcMar>
                  <w:vAlign w:val="center"/>
                </w:tcPr>
                <w:p>
                  <w:pPr>
                    <w:textAlignment w:val="center"/>
                    <w:rPr>
                      <w:rFonts w:eastAsiaTheme="minorEastAsia"/>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健康危害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vAlign w:val="cente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侵入途径</w:t>
                  </w:r>
                </w:p>
              </w:tc>
              <w:tc>
                <w:tcPr>
                  <w:tcW w:w="6650" w:type="dxa"/>
                  <w:gridSpan w:val="5"/>
                  <w:tcMar>
                    <w:top w:w="57" w:type="dxa"/>
                    <w:left w:w="57" w:type="dxa"/>
                    <w:bottom w:w="57" w:type="dxa"/>
                    <w:right w:w="57" w:type="dxa"/>
                  </w:tcMar>
                  <w:vAlign w:val="center"/>
                </w:tcPr>
                <w:p>
                  <w:pPr>
                    <w:textAlignment w:val="center"/>
                    <w:rPr>
                      <w:rFonts w:eastAsiaTheme="minorEastAsia"/>
                      <w:b/>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吸入、食入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健康危害</w:t>
                  </w:r>
                </w:p>
              </w:tc>
              <w:tc>
                <w:tcPr>
                  <w:tcW w:w="6650" w:type="dxa"/>
                  <w:gridSpan w:val="5"/>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经常用手接触本品的工人，手掌大量出汗，指甲变薄，毛发脱落。本品有致敏作用。本品放出的游离氯有可能引起中毒。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vAlign w:val="cente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危险特性</w:t>
                  </w:r>
                </w:p>
              </w:tc>
              <w:tc>
                <w:tcPr>
                  <w:tcW w:w="6650" w:type="dxa"/>
                  <w:gridSpan w:val="5"/>
                  <w:tcMar>
                    <w:top w:w="57" w:type="dxa"/>
                    <w:left w:w="57" w:type="dxa"/>
                    <w:bottom w:w="57" w:type="dxa"/>
                    <w:right w:w="57" w:type="dxa"/>
                  </w:tcMar>
                  <w:vAlign w:val="center"/>
                </w:tcPr>
                <w:p>
                  <w:pPr>
                    <w:textAlignment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受高热分解产生有毒的腐蚀性烟气。具有腐蚀性。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vAlign w:val="cente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燃爆危险</w:t>
                  </w:r>
                </w:p>
              </w:tc>
              <w:tc>
                <w:tcPr>
                  <w:tcW w:w="6650" w:type="dxa"/>
                  <w:gridSpan w:val="5"/>
                  <w:tcMar>
                    <w:top w:w="57" w:type="dxa"/>
                    <w:left w:w="57" w:type="dxa"/>
                    <w:bottom w:w="57" w:type="dxa"/>
                    <w:right w:w="57" w:type="dxa"/>
                  </w:tcMar>
                  <w:vAlign w:val="center"/>
                </w:tcPr>
                <w:p>
                  <w:pPr>
                    <w:textAlignment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本品不燃，具腐蚀性，可致人体灼伤，具致敏性。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vAlign w:val="cente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灭火方法</w:t>
                  </w:r>
                </w:p>
              </w:tc>
              <w:tc>
                <w:tcPr>
                  <w:tcW w:w="6650" w:type="dxa"/>
                  <w:gridSpan w:val="5"/>
                  <w:tcMar>
                    <w:top w:w="57" w:type="dxa"/>
                    <w:left w:w="57" w:type="dxa"/>
                    <w:bottom w:w="57" w:type="dxa"/>
                    <w:right w:w="57" w:type="dxa"/>
                  </w:tcMar>
                  <w:vAlign w:val="center"/>
                </w:tcPr>
                <w:p>
                  <w:pPr>
                    <w:textAlignment w:val="center"/>
                    <w:rPr>
                      <w:rFonts w:eastAsiaTheme="minorEastAsia"/>
                      <w:b/>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采用雾状水、二氧化碳、砂土灭火。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有害燃烧产物</w:t>
                  </w:r>
                </w:p>
              </w:tc>
              <w:tc>
                <w:tcPr>
                  <w:tcW w:w="6650" w:type="dxa"/>
                  <w:gridSpan w:val="5"/>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氯化物。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493" w:type="dxa"/>
                  <w:gridSpan w:val="6"/>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毒理学资料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急性毒性</w:t>
                  </w:r>
                </w:p>
              </w:tc>
              <w:tc>
                <w:tcPr>
                  <w:tcW w:w="6650" w:type="dxa"/>
                  <w:gridSpan w:val="5"/>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LD</w:t>
                  </w:r>
                  <w:r>
                    <w:rPr>
                      <w:color w:val="000000" w:themeColor="text1"/>
                      <w:sz w:val="18"/>
                      <w:szCs w:val="18"/>
                      <w:vertAlign w:val="subscript"/>
                      <w14:textFill>
                        <w14:solidFill>
                          <w14:schemeClr w14:val="tx1"/>
                        </w14:solidFill>
                      </w14:textFill>
                    </w:rPr>
                    <w:t>50</w:t>
                  </w:r>
                  <w:r>
                    <w:rPr>
                      <w:color w:val="000000" w:themeColor="text1"/>
                      <w:sz w:val="18"/>
                      <w:szCs w:val="18"/>
                      <w14:textFill>
                        <w14:solidFill>
                          <w14:schemeClr w14:val="tx1"/>
                        </w14:solidFill>
                      </w14:textFill>
                    </w:rPr>
                    <w:t>：8500 mg/kg(小鼠经口) ；LC</w:t>
                  </w:r>
                  <w:r>
                    <w:rPr>
                      <w:color w:val="000000" w:themeColor="text1"/>
                      <w:sz w:val="18"/>
                      <w:szCs w:val="18"/>
                      <w:vertAlign w:val="subscript"/>
                      <w14:textFill>
                        <w14:solidFill>
                          <w14:schemeClr w14:val="tx1"/>
                        </w14:solidFill>
                      </w14:textFill>
                    </w:rPr>
                    <w:t>50</w:t>
                  </w:r>
                  <w:r>
                    <w:rPr>
                      <w:color w:val="000000" w:themeColor="text1"/>
                      <w:sz w:val="18"/>
                      <w:szCs w:val="18"/>
                      <w14:textFill>
                        <w14:solidFill>
                          <w14:schemeClr w14:val="tx1"/>
                        </w14:solidFill>
                      </w14:textFill>
                    </w:rPr>
                    <w:t>：无资料。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493" w:type="dxa"/>
                  <w:gridSpan w:val="6"/>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接触控制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工程控制</w:t>
                  </w:r>
                </w:p>
              </w:tc>
              <w:tc>
                <w:tcPr>
                  <w:tcW w:w="6650" w:type="dxa"/>
                  <w:gridSpan w:val="5"/>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生产过程密闭，全面通风。提供安全淋浴和洗眼设备。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493" w:type="dxa"/>
                  <w:gridSpan w:val="6"/>
                  <w:tcMar>
                    <w:top w:w="57" w:type="dxa"/>
                    <w:left w:w="57" w:type="dxa"/>
                    <w:bottom w:w="57" w:type="dxa"/>
                    <w:right w:w="57" w:type="dxa"/>
                  </w:tcMar>
                  <w:vAlign w:val="center"/>
                </w:tcPr>
                <w:p>
                  <w:pPr>
                    <w:rPr>
                      <w:rFonts w:eastAsiaTheme="minorEastAsia"/>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防护措施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呼吸系统防护</w:t>
                  </w:r>
                </w:p>
              </w:tc>
              <w:tc>
                <w:tcPr>
                  <w:tcW w:w="6650" w:type="dxa"/>
                  <w:gridSpan w:val="5"/>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高浓度环境中，应该佩戴直接式防毒面具（半面罩）。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眼睛防护</w:t>
                  </w:r>
                </w:p>
              </w:tc>
              <w:tc>
                <w:tcPr>
                  <w:tcW w:w="6650" w:type="dxa"/>
                  <w:gridSpan w:val="5"/>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戴化学安全防护眼镜。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身体防护</w:t>
                  </w:r>
                </w:p>
              </w:tc>
              <w:tc>
                <w:tcPr>
                  <w:tcW w:w="6650" w:type="dxa"/>
                  <w:gridSpan w:val="5"/>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穿防腐工作服。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手防护</w:t>
                  </w:r>
                </w:p>
              </w:tc>
              <w:tc>
                <w:tcPr>
                  <w:tcW w:w="6650" w:type="dxa"/>
                  <w:gridSpan w:val="5"/>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戴橡胶手套。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其它</w:t>
                  </w:r>
                </w:p>
              </w:tc>
              <w:tc>
                <w:tcPr>
                  <w:tcW w:w="6650" w:type="dxa"/>
                  <w:gridSpan w:val="5"/>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工作现场禁止吸烟、进食和饮水。工作完毕，淋浴更衣。注意个人清洁卫生。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493" w:type="dxa"/>
                  <w:gridSpan w:val="6"/>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急救措施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皮肤接触</w:t>
                  </w:r>
                </w:p>
              </w:tc>
              <w:tc>
                <w:tcPr>
                  <w:tcW w:w="6650" w:type="dxa"/>
                  <w:gridSpan w:val="5"/>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脱去污染的衣着，用大量流动清水冲洗。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眼睛接触</w:t>
                  </w:r>
                </w:p>
              </w:tc>
              <w:tc>
                <w:tcPr>
                  <w:tcW w:w="6650" w:type="dxa"/>
                  <w:gridSpan w:val="5"/>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提起眼睑，用流动清水或生理盐水冲洗。就医。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吸入</w:t>
                  </w:r>
                </w:p>
              </w:tc>
              <w:tc>
                <w:tcPr>
                  <w:tcW w:w="6650" w:type="dxa"/>
                  <w:gridSpan w:val="5"/>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迅速脱离现场至空气新鲜处。保持呼吸道通畅。如呼吸困难，给输氧。如呼吸停止，立即进行人工呼吸。就医。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食入</w:t>
                  </w:r>
                </w:p>
              </w:tc>
              <w:tc>
                <w:tcPr>
                  <w:tcW w:w="6650" w:type="dxa"/>
                  <w:gridSpan w:val="5"/>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饮足量温水，催吐。就医。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493" w:type="dxa"/>
                  <w:gridSpan w:val="6"/>
                  <w:tcMar>
                    <w:top w:w="57" w:type="dxa"/>
                    <w:left w:w="57" w:type="dxa"/>
                    <w:bottom w:w="57" w:type="dxa"/>
                    <w:right w:w="57" w:type="dxa"/>
                  </w:tcMar>
                  <w:vAlign w:val="center"/>
                </w:tcPr>
                <w:p>
                  <w:pPr>
                    <w:rPr>
                      <w:rFonts w:eastAsiaTheme="minorEastAsia"/>
                      <w:b/>
                      <w:color w:val="000000" w:themeColor="text1"/>
                      <w:sz w:val="18"/>
                      <w:szCs w:val="18"/>
                      <w14:textFill>
                        <w14:solidFill>
                          <w14:schemeClr w14:val="tx1"/>
                        </w14:solidFill>
                      </w14:textFill>
                    </w:rPr>
                  </w:pPr>
                  <w:r>
                    <w:rPr>
                      <w:b/>
                      <w:color w:val="000000" w:themeColor="text1"/>
                      <w:sz w:val="18"/>
                      <w:szCs w:val="18"/>
                      <w14:textFill>
                        <w14:solidFill>
                          <w14:schemeClr w14:val="tx1"/>
                        </w14:solidFill>
                      </w14:textFill>
                    </w:rPr>
                    <w:t>理化性质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分子式</w:t>
                  </w:r>
                </w:p>
              </w:tc>
              <w:tc>
                <w:tcPr>
                  <w:tcW w:w="1830" w:type="dxa"/>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NaClO</w:t>
                  </w:r>
                </w:p>
              </w:tc>
              <w:tc>
                <w:tcPr>
                  <w:tcW w:w="1997" w:type="dxa"/>
                  <w:gridSpan w:val="2"/>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分子量</w:t>
                  </w:r>
                </w:p>
              </w:tc>
              <w:tc>
                <w:tcPr>
                  <w:tcW w:w="2823" w:type="dxa"/>
                  <w:gridSpan w:val="2"/>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熔点（℃）</w:t>
                  </w:r>
                </w:p>
              </w:tc>
              <w:tc>
                <w:tcPr>
                  <w:tcW w:w="1830" w:type="dxa"/>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w:t>
                  </w:r>
                </w:p>
              </w:tc>
              <w:tc>
                <w:tcPr>
                  <w:tcW w:w="1997" w:type="dxa"/>
                  <w:gridSpan w:val="2"/>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沸点（℃）</w:t>
                  </w:r>
                </w:p>
              </w:tc>
              <w:tc>
                <w:tcPr>
                  <w:tcW w:w="2823" w:type="dxa"/>
                  <w:gridSpan w:val="2"/>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闪点（℃）</w:t>
                  </w:r>
                </w:p>
              </w:tc>
              <w:tc>
                <w:tcPr>
                  <w:tcW w:w="1830" w:type="dxa"/>
                  <w:tcMar>
                    <w:top w:w="57" w:type="dxa"/>
                    <w:left w:w="57" w:type="dxa"/>
                    <w:bottom w:w="57" w:type="dxa"/>
                    <w:right w:w="57" w:type="dxa"/>
                  </w:tcMar>
                </w:tcPr>
                <w:p>
                  <w:pPr>
                    <w:textAlignment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无意义</w:t>
                  </w:r>
                </w:p>
              </w:tc>
              <w:tc>
                <w:tcPr>
                  <w:tcW w:w="1997" w:type="dxa"/>
                  <w:gridSpan w:val="2"/>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引燃温度（℃）</w:t>
                  </w:r>
                </w:p>
              </w:tc>
              <w:tc>
                <w:tcPr>
                  <w:tcW w:w="2823" w:type="dxa"/>
                  <w:gridSpan w:val="2"/>
                  <w:tcMar>
                    <w:top w:w="57" w:type="dxa"/>
                    <w:left w:w="57" w:type="dxa"/>
                    <w:bottom w:w="57" w:type="dxa"/>
                    <w:right w:w="57" w:type="dxa"/>
                  </w:tcMar>
                </w:tcPr>
                <w:p>
                  <w:pPr>
                    <w:textAlignment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相对密度（水＝1）</w:t>
                  </w:r>
                </w:p>
              </w:tc>
              <w:tc>
                <w:tcPr>
                  <w:tcW w:w="1830" w:type="dxa"/>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1.10</w:t>
                  </w:r>
                </w:p>
              </w:tc>
              <w:tc>
                <w:tcPr>
                  <w:tcW w:w="1997" w:type="dxa"/>
                  <w:gridSpan w:val="2"/>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相对密度（空气＝1）</w:t>
                  </w:r>
                </w:p>
              </w:tc>
              <w:tc>
                <w:tcPr>
                  <w:tcW w:w="2823" w:type="dxa"/>
                  <w:gridSpan w:val="2"/>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pH值</w:t>
                  </w:r>
                </w:p>
              </w:tc>
              <w:tc>
                <w:tcPr>
                  <w:tcW w:w="1830" w:type="dxa"/>
                  <w:tcMar>
                    <w:top w:w="57" w:type="dxa"/>
                    <w:left w:w="57" w:type="dxa"/>
                    <w:bottom w:w="57" w:type="dxa"/>
                    <w:right w:w="57" w:type="dxa"/>
                  </w:tcMar>
                </w:tcPr>
                <w:p>
                  <w:pPr>
                    <w:textAlignment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无意义</w:t>
                  </w:r>
                </w:p>
              </w:tc>
              <w:tc>
                <w:tcPr>
                  <w:tcW w:w="1997" w:type="dxa"/>
                  <w:gridSpan w:val="2"/>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辛醇/水分配系数</w:t>
                  </w:r>
                </w:p>
              </w:tc>
              <w:tc>
                <w:tcPr>
                  <w:tcW w:w="2823" w:type="dxa"/>
                  <w:gridSpan w:val="2"/>
                  <w:tcMar>
                    <w:top w:w="57" w:type="dxa"/>
                    <w:left w:w="57" w:type="dxa"/>
                    <w:bottom w:w="57" w:type="dxa"/>
                    <w:right w:w="57" w:type="dxa"/>
                  </w:tcMar>
                </w:tcPr>
                <w:p>
                  <w:pPr>
                    <w:textAlignment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爆炸上限％（V/V）</w:t>
                  </w:r>
                </w:p>
              </w:tc>
              <w:tc>
                <w:tcPr>
                  <w:tcW w:w="1830" w:type="dxa"/>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无意义</w:t>
                  </w:r>
                </w:p>
              </w:tc>
              <w:tc>
                <w:tcPr>
                  <w:tcW w:w="1997" w:type="dxa"/>
                  <w:gridSpan w:val="2"/>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爆炸下限％（V/V）</w:t>
                  </w:r>
                </w:p>
              </w:tc>
              <w:tc>
                <w:tcPr>
                  <w:tcW w:w="2823" w:type="dxa"/>
                  <w:gridSpan w:val="2"/>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燃烧热（kJ/mol）</w:t>
                  </w:r>
                </w:p>
              </w:tc>
              <w:tc>
                <w:tcPr>
                  <w:tcW w:w="1830" w:type="dxa"/>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无意义</w:t>
                  </w:r>
                </w:p>
              </w:tc>
              <w:tc>
                <w:tcPr>
                  <w:tcW w:w="1997" w:type="dxa"/>
                  <w:gridSpan w:val="2"/>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临界温度（℃）</w:t>
                  </w:r>
                </w:p>
              </w:tc>
              <w:tc>
                <w:tcPr>
                  <w:tcW w:w="2823" w:type="dxa"/>
                  <w:gridSpan w:val="2"/>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tcPr>
                <w:p>
                  <w:pPr>
                    <w:textAlignment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临界压力（MPa）</w:t>
                  </w:r>
                </w:p>
              </w:tc>
              <w:tc>
                <w:tcPr>
                  <w:tcW w:w="1830" w:type="dxa"/>
                  <w:tcMar>
                    <w:top w:w="57" w:type="dxa"/>
                    <w:left w:w="57" w:type="dxa"/>
                    <w:bottom w:w="57" w:type="dxa"/>
                    <w:right w:w="57" w:type="dxa"/>
                  </w:tcMar>
                </w:tcPr>
                <w:p>
                  <w:pP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无资料</w:t>
                  </w:r>
                </w:p>
              </w:tc>
              <w:tc>
                <w:tcPr>
                  <w:tcW w:w="1997" w:type="dxa"/>
                  <w:gridSpan w:val="2"/>
                  <w:tcMar>
                    <w:top w:w="57" w:type="dxa"/>
                    <w:left w:w="57" w:type="dxa"/>
                    <w:bottom w:w="57" w:type="dxa"/>
                    <w:right w:w="57" w:type="dxa"/>
                  </w:tcMar>
                </w:tcPr>
                <w:p>
                  <w:pPr>
                    <w:textAlignment w:val="center"/>
                    <w:rPr>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溶解性</w:t>
                  </w:r>
                </w:p>
              </w:tc>
              <w:tc>
                <w:tcPr>
                  <w:tcW w:w="2823" w:type="dxa"/>
                  <w:gridSpan w:val="2"/>
                  <w:tcMar>
                    <w:top w:w="57" w:type="dxa"/>
                    <w:left w:w="57" w:type="dxa"/>
                    <w:bottom w:w="57" w:type="dxa"/>
                    <w:right w:w="57" w:type="dxa"/>
                  </w:tcMar>
                </w:tcPr>
                <w:p>
                  <w:pPr>
                    <w:textAlignment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溶于水。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tcPr>
                <w:p>
                  <w:pPr>
                    <w:textAlignment w:val="center"/>
                    <w:rPr>
                      <w:rFonts w:eastAsiaTheme="minorEastAsia"/>
                      <w:b/>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主要用途</w:t>
                  </w:r>
                  <w:r>
                    <w:rPr>
                      <w:b/>
                      <w:bCs/>
                      <w:color w:val="000000" w:themeColor="text1"/>
                      <w:sz w:val="18"/>
                      <w:szCs w:val="18"/>
                      <w14:textFill>
                        <w14:solidFill>
                          <w14:schemeClr w14:val="tx1"/>
                        </w14:solidFill>
                      </w14:textFill>
                    </w:rPr>
                    <w:t xml:space="preserve"> </w:t>
                  </w:r>
                </w:p>
              </w:tc>
              <w:tc>
                <w:tcPr>
                  <w:tcW w:w="6650" w:type="dxa"/>
                  <w:gridSpan w:val="5"/>
                  <w:tcMar>
                    <w:top w:w="57" w:type="dxa"/>
                    <w:left w:w="57" w:type="dxa"/>
                    <w:bottom w:w="57" w:type="dxa"/>
                    <w:right w:w="57" w:type="dxa"/>
                  </w:tcMar>
                </w:tcPr>
                <w:p>
                  <w:pPr>
                    <w:textAlignment w:val="center"/>
                    <w:rPr>
                      <w:rFonts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用于水的净化，以及作消毒剂、纸浆漂白等，医药工业中用制氯胺等。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493" w:type="dxa"/>
                  <w:gridSpan w:val="6"/>
                  <w:tcMar>
                    <w:top w:w="57" w:type="dxa"/>
                    <w:left w:w="57" w:type="dxa"/>
                    <w:bottom w:w="57" w:type="dxa"/>
                    <w:right w:w="57" w:type="dxa"/>
                  </w:tcMar>
                </w:tcPr>
                <w:p>
                  <w:pPr>
                    <w:textAlignment w:val="center"/>
                    <w:rPr>
                      <w:rFonts w:eastAsiaTheme="minorEastAsia"/>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稳定性和反应活性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稳定性</w:t>
                  </w:r>
                </w:p>
              </w:tc>
              <w:tc>
                <w:tcPr>
                  <w:tcW w:w="2163" w:type="dxa"/>
                  <w:gridSpan w:val="2"/>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不稳定</w:t>
                  </w:r>
                </w:p>
              </w:tc>
              <w:tc>
                <w:tcPr>
                  <w:tcW w:w="2161" w:type="dxa"/>
                  <w:gridSpan w:val="2"/>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聚合危害</w:t>
                  </w:r>
                </w:p>
              </w:tc>
              <w:tc>
                <w:tcPr>
                  <w:tcW w:w="2326" w:type="dxa"/>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不聚合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1843" w:type="dxa"/>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禁忌物</w:t>
                  </w:r>
                </w:p>
              </w:tc>
              <w:tc>
                <w:tcPr>
                  <w:tcW w:w="6650" w:type="dxa"/>
                  <w:gridSpan w:val="5"/>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碱类。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493" w:type="dxa"/>
                  <w:gridSpan w:val="6"/>
                  <w:tcMar>
                    <w:top w:w="57" w:type="dxa"/>
                    <w:left w:w="57" w:type="dxa"/>
                    <w:bottom w:w="57" w:type="dxa"/>
                    <w:right w:w="57" w:type="dxa"/>
                  </w:tcMar>
                </w:tcPr>
                <w:p>
                  <w:pPr>
                    <w:textAlignment w:val="center"/>
                    <w:rPr>
                      <w:rFonts w:eastAsiaTheme="minorEastAsia"/>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操作处置注意事项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493" w:type="dxa"/>
                  <w:gridSpan w:val="6"/>
                  <w:tcMar>
                    <w:top w:w="57" w:type="dxa"/>
                    <w:left w:w="57" w:type="dxa"/>
                    <w:bottom w:w="57" w:type="dxa"/>
                    <w:right w:w="57" w:type="dxa"/>
                  </w:tcMar>
                </w:tcPr>
                <w:p>
                  <w:pPr>
                    <w:textAlignment w:val="center"/>
                    <w:rPr>
                      <w:rFonts w:eastAsiaTheme="minorEastAsia"/>
                      <w:b/>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密闭操作，全面通风。操作人员必须经过专门培训，严格遵守操作规程。建议操作人员佩戴直接式防毒面具（半面罩），戴化学安全防护眼镜，穿防腐工作服，戴橡胶手套。防止蒸气泄漏到工作场所空气中。避免与碱类接触。搬运时要轻装轻卸，防止包装及容器损坏。配备泄漏应急处理设备。倒空的容器可能残留有害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493" w:type="dxa"/>
                  <w:gridSpan w:val="6"/>
                  <w:tcMar>
                    <w:top w:w="57" w:type="dxa"/>
                    <w:left w:w="57" w:type="dxa"/>
                    <w:bottom w:w="57" w:type="dxa"/>
                    <w:right w:w="57" w:type="dxa"/>
                  </w:tcMar>
                </w:tcPr>
                <w:p>
                  <w:pPr>
                    <w:textAlignment w:val="center"/>
                    <w:rPr>
                      <w:rFonts w:eastAsiaTheme="minorEastAsia"/>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废弃处置方法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493" w:type="dxa"/>
                  <w:gridSpan w:val="6"/>
                  <w:tcMar>
                    <w:top w:w="57" w:type="dxa"/>
                    <w:left w:w="57" w:type="dxa"/>
                    <w:bottom w:w="57" w:type="dxa"/>
                    <w:right w:w="57" w:type="dxa"/>
                  </w:tcMar>
                </w:tcPr>
                <w:p>
                  <w:pPr>
                    <w:textAlignment w:val="center"/>
                    <w:rPr>
                      <w:rFonts w:eastAsiaTheme="minorEastAsia"/>
                      <w:b/>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处置前应参阅国家和地方有关法规。用安全掩埋法处置。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493" w:type="dxa"/>
                  <w:gridSpan w:val="6"/>
                  <w:tcMar>
                    <w:top w:w="57" w:type="dxa"/>
                    <w:left w:w="57" w:type="dxa"/>
                    <w:bottom w:w="57" w:type="dxa"/>
                    <w:right w:w="57" w:type="dxa"/>
                  </w:tcMar>
                </w:tcPr>
                <w:p>
                  <w:pPr>
                    <w:textAlignment w:val="center"/>
                    <w:rPr>
                      <w:rFonts w:eastAsiaTheme="minorEastAsia"/>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泄漏应急处理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493" w:type="dxa"/>
                  <w:gridSpan w:val="6"/>
                  <w:tcMar>
                    <w:top w:w="57" w:type="dxa"/>
                    <w:left w:w="57" w:type="dxa"/>
                    <w:bottom w:w="57" w:type="dxa"/>
                    <w:right w:w="57" w:type="dxa"/>
                  </w:tcMar>
                </w:tcPr>
                <w:p>
                  <w:pPr>
                    <w:textAlignment w:val="center"/>
                    <w:rPr>
                      <w:rFonts w:eastAsiaTheme="minorEastAsia"/>
                      <w:b/>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迅速撤离泄漏污染区人员至安全区，并进行隔离，严格限制出入。建议应急处理人员戴自给正压式呼吸器，穿防酸碱工作服。不要直接接触泄漏物。尽可能切断泄漏源。小量泄漏：用砂土、蛭石或其它惰性材料吸收。大量泄漏：构筑围堤或挖坑收容。用泡沫覆盖，降低蒸气灾害。用泵转移至槽车或专用收集器内，回收或运至废物处理场所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493" w:type="dxa"/>
                  <w:gridSpan w:val="6"/>
                  <w:tcMar>
                    <w:top w:w="57" w:type="dxa"/>
                    <w:left w:w="57" w:type="dxa"/>
                    <w:bottom w:w="57" w:type="dxa"/>
                    <w:right w:w="57" w:type="dxa"/>
                  </w:tcMar>
                </w:tcPr>
                <w:p>
                  <w:pPr>
                    <w:textAlignment w:val="center"/>
                    <w:rPr>
                      <w:rFonts w:eastAsiaTheme="minorEastAsia"/>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储存注意事项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493" w:type="dxa"/>
                  <w:gridSpan w:val="6"/>
                  <w:tcMar>
                    <w:top w:w="57" w:type="dxa"/>
                    <w:left w:w="57" w:type="dxa"/>
                    <w:bottom w:w="57" w:type="dxa"/>
                    <w:right w:w="57" w:type="dxa"/>
                  </w:tcMar>
                </w:tcPr>
                <w:p>
                  <w:pPr>
                    <w:textAlignment w:val="center"/>
                    <w:rPr>
                      <w:rFonts w:eastAsiaTheme="minorEastAsia"/>
                      <w:b/>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储存于阴凉、通风的库房。远离火种、热源。库温不宜超过30℃。应与碱类分开存放，切忌混储。储区应备有泄漏应急处理设备和合适的收容材料。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493" w:type="dxa"/>
                  <w:gridSpan w:val="6"/>
                  <w:tcMar>
                    <w:top w:w="57" w:type="dxa"/>
                    <w:left w:w="57" w:type="dxa"/>
                    <w:bottom w:w="57" w:type="dxa"/>
                    <w:right w:w="57" w:type="dxa"/>
                  </w:tcMar>
                </w:tcPr>
                <w:p>
                  <w:pPr>
                    <w:textAlignment w:val="center"/>
                    <w:rPr>
                      <w:rFonts w:eastAsiaTheme="minorEastAsia"/>
                      <w:b/>
                      <w:bCs/>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包装方法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493" w:type="dxa"/>
                  <w:gridSpan w:val="6"/>
                  <w:tcMar>
                    <w:top w:w="57" w:type="dxa"/>
                    <w:left w:w="57" w:type="dxa"/>
                    <w:bottom w:w="57" w:type="dxa"/>
                    <w:right w:w="57" w:type="dxa"/>
                  </w:tcMar>
                </w:tcPr>
                <w:p>
                  <w:pPr>
                    <w:textAlignment w:val="center"/>
                    <w:rPr>
                      <w:rFonts w:eastAsiaTheme="minorEastAsia"/>
                      <w:b/>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耐酸坛或陶瓷瓶外普通木箱或半花格木箱；玻璃瓶或塑料桶（罐）外普通木箱或半花格木箱；磨砂口玻璃瓶或螺纹口玻璃瓶外普通木箱；螺纹口玻璃瓶、铁盖压口玻璃瓶、塑料瓶或金属桶（罐）外普通木箱；螺纹口玻璃瓶、塑料瓶或镀锡薄钢板桶（罐）外满底板花格箱、纤维板箱或胶合板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493" w:type="dxa"/>
                  <w:gridSpan w:val="6"/>
                  <w:tcMar>
                    <w:top w:w="57" w:type="dxa"/>
                    <w:left w:w="57" w:type="dxa"/>
                    <w:bottom w:w="57" w:type="dxa"/>
                    <w:right w:w="57" w:type="dxa"/>
                  </w:tcMar>
                </w:tcPr>
                <w:p>
                  <w:pPr>
                    <w:textAlignment w:val="center"/>
                    <w:rPr>
                      <w:rFonts w:eastAsiaTheme="minorEastAsia"/>
                      <w:color w:val="000000" w:themeColor="text1"/>
                      <w:sz w:val="18"/>
                      <w:szCs w:val="18"/>
                      <w14:textFill>
                        <w14:solidFill>
                          <w14:schemeClr w14:val="tx1"/>
                        </w14:solidFill>
                      </w14:textFill>
                    </w:rPr>
                  </w:pPr>
                  <w:r>
                    <w:rPr>
                      <w:b/>
                      <w:bCs/>
                      <w:color w:val="000000" w:themeColor="text1"/>
                      <w:sz w:val="18"/>
                      <w:szCs w:val="18"/>
                      <w14:textFill>
                        <w14:solidFill>
                          <w14:schemeClr w14:val="tx1"/>
                        </w14:solidFill>
                      </w14:textFill>
                    </w:rPr>
                    <w:t>运输注意事项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jc w:val="center"/>
              </w:trPr>
              <w:tc>
                <w:tcPr>
                  <w:tcW w:w="8493" w:type="dxa"/>
                  <w:gridSpan w:val="6"/>
                  <w:tcMar>
                    <w:top w:w="57" w:type="dxa"/>
                    <w:left w:w="57" w:type="dxa"/>
                    <w:bottom w:w="57" w:type="dxa"/>
                    <w:right w:w="57" w:type="dxa"/>
                  </w:tcMar>
                </w:tcPr>
                <w:p>
                  <w:pPr>
                    <w:textAlignment w:val="center"/>
                    <w:rPr>
                      <w:rFonts w:eastAsiaTheme="minorEastAsia"/>
                      <w:b/>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起运时包装要完整，装载应稳妥。运输过程中要确保容器不泄漏、不倒塌、不坠落、不损坏。严禁与碱类、食用化学品等混装混运。运输时运输车辆应配备泄漏应急处理设备。运输途中应防曝晒、雨淋，防高温。公路运输时要按规定路线行驶，勿在居民区和人口稠密区停留。</w:t>
                  </w:r>
                </w:p>
              </w:tc>
            </w:tr>
          </w:tbl>
          <w:p>
            <w:pPr>
              <w:pStyle w:val="55"/>
              <w:spacing w:line="360" w:lineRule="auto"/>
              <w:jc w:val="center"/>
              <w:rPr>
                <w:rFonts w:ascii="Times New Roman" w:cs="Times New Roman"/>
                <w:color w:val="000000" w:themeColor="text1"/>
                <w:kern w:val="2"/>
                <w:sz w:val="21"/>
                <w:szCs w:val="21"/>
                <w14:textFill>
                  <w14:solidFill>
                    <w14:schemeClr w14:val="tx1"/>
                  </w14:solidFill>
                </w14:textFill>
              </w:rPr>
            </w:pPr>
            <w:r>
              <w:rPr>
                <w:rFonts w:ascii="Times New Roman" w:cs="Times New Roman"/>
                <w:b/>
                <w:color w:val="000000" w:themeColor="text1"/>
                <w:szCs w:val="21"/>
                <w14:textFill>
                  <w14:solidFill>
                    <w14:schemeClr w14:val="tx1"/>
                  </w14:solidFill>
                </w14:textFill>
              </w:rPr>
              <w:t>表4-2</w:t>
            </w:r>
            <w:r>
              <w:rPr>
                <w:rFonts w:hint="eastAsia" w:ascii="Times New Roman" w:cs="Times New Roman"/>
                <w:b/>
                <w:color w:val="000000" w:themeColor="text1"/>
                <w:szCs w:val="21"/>
                <w14:textFill>
                  <w14:solidFill>
                    <w14:schemeClr w14:val="tx1"/>
                  </w14:solidFill>
                </w14:textFill>
              </w:rPr>
              <w:t>1</w:t>
            </w:r>
            <w:r>
              <w:rPr>
                <w:rFonts w:ascii="Times New Roman" w:cs="Times New Roman"/>
                <w:b/>
                <w:color w:val="000000" w:themeColor="text1"/>
                <w:szCs w:val="21"/>
                <w14:textFill>
                  <w14:solidFill>
                    <w14:schemeClr w14:val="tx1"/>
                  </w14:solidFill>
                </w14:textFill>
              </w:rPr>
              <w:t xml:space="preserve">  </w:t>
            </w:r>
            <w:r>
              <w:rPr>
                <w:rFonts w:hint="eastAsia" w:ascii="Times New Roman" w:cs="Times New Roman"/>
                <w:b/>
                <w:color w:val="000000" w:themeColor="text1"/>
                <w:szCs w:val="21"/>
                <w14:textFill>
                  <w14:solidFill>
                    <w14:schemeClr w14:val="tx1"/>
                  </w14:solidFill>
                </w14:textFill>
              </w:rPr>
              <w:t>乙醇</w:t>
            </w:r>
            <w:r>
              <w:rPr>
                <w:rFonts w:ascii="Times New Roman" w:cs="Times New Roman"/>
                <w:b/>
                <w:color w:val="000000" w:themeColor="text1"/>
                <w:szCs w:val="21"/>
                <w14:textFill>
                  <w14:solidFill>
                    <w14:schemeClr w14:val="tx1"/>
                  </w14:solidFill>
                </w14:textFill>
              </w:rPr>
              <w:t>危险特性一览表</w:t>
            </w:r>
          </w:p>
          <w:tbl>
            <w:tblPr>
              <w:tblStyle w:val="24"/>
              <w:tblW w:w="5000" w:type="pct"/>
              <w:jc w:val="center"/>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autofit"/>
              <w:tblCellMar>
                <w:top w:w="0" w:type="dxa"/>
                <w:left w:w="108" w:type="dxa"/>
                <w:bottom w:w="0" w:type="dxa"/>
                <w:right w:w="108" w:type="dxa"/>
              </w:tblCellMar>
            </w:tblPr>
            <w:tblGrid>
              <w:gridCol w:w="1863"/>
              <w:gridCol w:w="1815"/>
              <w:gridCol w:w="339"/>
              <w:gridCol w:w="1646"/>
              <w:gridCol w:w="482"/>
              <w:gridCol w:w="2269"/>
            </w:tblGrid>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8416" w:type="dxa"/>
                  <w:gridSpan w:val="6"/>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textAlignment w:val="center"/>
                    <w:rPr>
                      <w:rFonts w:ascii="宋体" w:hAnsi="宋体" w:eastAsiaTheme="minorEastAsia"/>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标识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textAlignment w:val="center"/>
                    <w:rPr>
                      <w:rFonts w:ascii="宋体" w:hAnsi="宋体" w:eastAsiaTheme="minorEastAsia"/>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 xml:space="preserve">中文名 </w:t>
                  </w:r>
                </w:p>
              </w:tc>
              <w:tc>
                <w:tcPr>
                  <w:tcW w:w="1815" w:type="dxa"/>
                  <w:tcBorders>
                    <w:top w:val="single" w:color="auto" w:sz="4" w:space="0"/>
                    <w:left w:val="single" w:color="auto" w:sz="4" w:space="0"/>
                    <w:bottom w:val="single" w:color="auto" w:sz="4" w:space="0"/>
                    <w:right w:val="nil"/>
                  </w:tcBorders>
                  <w:tcMar>
                    <w:top w:w="57" w:type="dxa"/>
                    <w:left w:w="57" w:type="dxa"/>
                    <w:bottom w:w="57" w:type="dxa"/>
                    <w:right w:w="57" w:type="dxa"/>
                  </w:tcMar>
                  <w:vAlign w:val="center"/>
                </w:tcPr>
                <w:p>
                  <w:pPr>
                    <w:textAlignment w:val="center"/>
                    <w:rPr>
                      <w:rFonts w:ascii="宋体" w:hAnsi="宋体" w:eastAsiaTheme="minorEastAsia"/>
                      <w:b/>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乙醇</w:t>
                  </w:r>
                </w:p>
              </w:tc>
              <w:tc>
                <w:tcPr>
                  <w:tcW w:w="1985" w:type="dxa"/>
                  <w:gridSpan w:val="2"/>
                  <w:tcBorders>
                    <w:top w:val="single" w:color="auto" w:sz="4" w:space="0"/>
                    <w:left w:val="single" w:color="auto" w:sz="4" w:space="0"/>
                    <w:bottom w:val="single" w:color="auto" w:sz="4" w:space="0"/>
                    <w:right w:val="nil"/>
                  </w:tcBorders>
                  <w:tcMar>
                    <w:top w:w="57" w:type="dxa"/>
                    <w:left w:w="57" w:type="dxa"/>
                    <w:bottom w:w="57" w:type="dxa"/>
                    <w:right w:w="57" w:type="dxa"/>
                  </w:tcMar>
                  <w:vAlign w:val="center"/>
                </w:tcPr>
                <w:p>
                  <w:pPr>
                    <w:textAlignment w:val="center"/>
                    <w:rPr>
                      <w:rFonts w:ascii="宋体" w:hAnsi="宋体" w:eastAsiaTheme="minorEastAsia"/>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英文名</w:t>
                  </w:r>
                </w:p>
              </w:tc>
              <w:tc>
                <w:tcPr>
                  <w:tcW w:w="2752"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textAlignment w:val="center"/>
                    <w:rPr>
                      <w:rFonts w:ascii="宋体" w:hAnsi="宋体" w:eastAsiaTheme="minorEastAsia"/>
                      <w:b/>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ethyl alcohol</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textAlignment w:val="center"/>
                    <w:rPr>
                      <w:rFonts w:ascii="宋体" w:hAnsi="宋体" w:eastAsiaTheme="minorEastAsia"/>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CAS号</w:t>
                  </w:r>
                </w:p>
              </w:tc>
              <w:tc>
                <w:tcPr>
                  <w:tcW w:w="1815" w:type="dxa"/>
                  <w:tcBorders>
                    <w:top w:val="single" w:color="auto" w:sz="4" w:space="0"/>
                    <w:left w:val="single" w:color="auto" w:sz="4" w:space="0"/>
                    <w:bottom w:val="single" w:color="auto" w:sz="4" w:space="0"/>
                    <w:right w:val="nil"/>
                  </w:tcBorders>
                  <w:tcMar>
                    <w:top w:w="57" w:type="dxa"/>
                    <w:left w:w="57" w:type="dxa"/>
                    <w:bottom w:w="57" w:type="dxa"/>
                    <w:right w:w="57" w:type="dxa"/>
                  </w:tcMar>
                  <w:vAlign w:val="center"/>
                </w:tcPr>
                <w:p>
                  <w:pPr>
                    <w:textAlignment w:val="center"/>
                    <w:rPr>
                      <w:rFonts w:ascii="宋体" w:hAnsi="宋体" w:eastAsiaTheme="minorEastAsia"/>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64-17-5</w:t>
                  </w:r>
                </w:p>
              </w:tc>
              <w:tc>
                <w:tcPr>
                  <w:tcW w:w="1985" w:type="dxa"/>
                  <w:gridSpan w:val="2"/>
                  <w:tcBorders>
                    <w:top w:val="single" w:color="auto" w:sz="4" w:space="0"/>
                    <w:left w:val="single" w:color="auto" w:sz="4" w:space="0"/>
                    <w:bottom w:val="single" w:color="auto" w:sz="4" w:space="0"/>
                    <w:right w:val="nil"/>
                  </w:tcBorders>
                  <w:tcMar>
                    <w:top w:w="57" w:type="dxa"/>
                    <w:left w:w="57" w:type="dxa"/>
                    <w:bottom w:w="57" w:type="dxa"/>
                    <w:right w:w="57" w:type="dxa"/>
                  </w:tcMar>
                  <w:vAlign w:val="center"/>
                </w:tcPr>
                <w:p>
                  <w:pPr>
                    <w:textAlignment w:val="center"/>
                    <w:rPr>
                      <w:rFonts w:ascii="宋体" w:hAnsi="宋体" w:eastAsiaTheme="minorEastAsia"/>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危险性类别</w:t>
                  </w:r>
                </w:p>
              </w:tc>
              <w:tc>
                <w:tcPr>
                  <w:tcW w:w="2752"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textAlignment w:val="center"/>
                    <w:rPr>
                      <w:rFonts w:asciiTheme="minorHAnsi" w:hAnsiTheme="minorHAnsi" w:eastAsia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第3.2类  中闪点易燃液体</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textAlignment w:val="center"/>
                    <w:rPr>
                      <w:rFonts w:ascii="宋体" w:hAnsi="宋体" w:eastAsiaTheme="minorEastAsia"/>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危险货物编号</w:t>
                  </w:r>
                </w:p>
              </w:tc>
              <w:tc>
                <w:tcPr>
                  <w:tcW w:w="1815" w:type="dxa"/>
                  <w:tcBorders>
                    <w:top w:val="single" w:color="auto" w:sz="4" w:space="0"/>
                    <w:left w:val="single" w:color="auto" w:sz="4" w:space="0"/>
                    <w:bottom w:val="single" w:color="auto" w:sz="4" w:space="0"/>
                    <w:right w:val="nil"/>
                  </w:tcBorders>
                  <w:tcMar>
                    <w:top w:w="57" w:type="dxa"/>
                    <w:left w:w="57" w:type="dxa"/>
                    <w:bottom w:w="57" w:type="dxa"/>
                    <w:right w:w="57" w:type="dxa"/>
                  </w:tcMar>
                  <w:vAlign w:val="center"/>
                </w:tcPr>
                <w:p>
                  <w:pPr>
                    <w:textAlignment w:val="center"/>
                    <w:rPr>
                      <w:rFonts w:asciiTheme="minorHAnsi" w:hAnsiTheme="minorHAnsi" w:eastAsia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32061</w:t>
                  </w:r>
                </w:p>
              </w:tc>
              <w:tc>
                <w:tcPr>
                  <w:tcW w:w="1985" w:type="dxa"/>
                  <w:gridSpan w:val="2"/>
                  <w:tcBorders>
                    <w:top w:val="single" w:color="auto" w:sz="4" w:space="0"/>
                    <w:left w:val="single" w:color="auto" w:sz="4" w:space="0"/>
                    <w:bottom w:val="single" w:color="auto" w:sz="4" w:space="0"/>
                    <w:right w:val="nil"/>
                  </w:tcBorders>
                  <w:tcMar>
                    <w:top w:w="57" w:type="dxa"/>
                    <w:left w:w="57" w:type="dxa"/>
                    <w:bottom w:w="57" w:type="dxa"/>
                    <w:right w:w="57" w:type="dxa"/>
                  </w:tcMar>
                  <w:vAlign w:val="center"/>
                </w:tcPr>
                <w:p>
                  <w:pPr>
                    <w:textAlignment w:val="center"/>
                    <w:rPr>
                      <w:rFonts w:ascii="宋体" w:hAnsi="宋体" w:eastAsiaTheme="minorEastAsia"/>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UN编号</w:t>
                  </w:r>
                </w:p>
              </w:tc>
              <w:tc>
                <w:tcPr>
                  <w:tcW w:w="2752"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textAlignment w:val="center"/>
                    <w:rPr>
                      <w:rFonts w:ascii="宋体" w:hAnsi="宋体" w:eastAsia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1170</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textAlignment w:val="center"/>
                    <w:rPr>
                      <w:rFonts w:ascii="宋体" w:hAnsi="宋体" w:eastAsiaTheme="minorEastAsia"/>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包装标志</w:t>
                  </w:r>
                </w:p>
              </w:tc>
              <w:tc>
                <w:tcPr>
                  <w:tcW w:w="1815" w:type="dxa"/>
                  <w:tcBorders>
                    <w:top w:val="single" w:color="auto" w:sz="4" w:space="0"/>
                    <w:left w:val="single" w:color="auto" w:sz="4" w:space="0"/>
                    <w:bottom w:val="single" w:color="auto" w:sz="4" w:space="0"/>
                    <w:right w:val="nil"/>
                  </w:tcBorders>
                  <w:tcMar>
                    <w:top w:w="57" w:type="dxa"/>
                    <w:left w:w="57" w:type="dxa"/>
                    <w:bottom w:w="57" w:type="dxa"/>
                    <w:right w:w="57" w:type="dxa"/>
                  </w:tcMar>
                  <w:vAlign w:val="center"/>
                </w:tcPr>
                <w:p>
                  <w:pPr>
                    <w:textAlignment w:val="center"/>
                    <w:rPr>
                      <w:rFonts w:ascii="宋体" w:hAnsi="宋体" w:eastAsia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易燃液体</w:t>
                  </w:r>
                </w:p>
              </w:tc>
              <w:tc>
                <w:tcPr>
                  <w:tcW w:w="1985" w:type="dxa"/>
                  <w:gridSpan w:val="2"/>
                  <w:tcBorders>
                    <w:top w:val="single" w:color="auto" w:sz="4" w:space="0"/>
                    <w:left w:val="single" w:color="auto" w:sz="4" w:space="0"/>
                    <w:bottom w:val="single" w:color="auto" w:sz="4" w:space="0"/>
                    <w:right w:val="nil"/>
                  </w:tcBorders>
                  <w:tcMar>
                    <w:top w:w="57" w:type="dxa"/>
                    <w:left w:w="57" w:type="dxa"/>
                    <w:bottom w:w="57" w:type="dxa"/>
                    <w:right w:w="57" w:type="dxa"/>
                  </w:tcMar>
                  <w:vAlign w:val="center"/>
                </w:tcPr>
                <w:p>
                  <w:pPr>
                    <w:textAlignment w:val="center"/>
                    <w:rPr>
                      <w:rFonts w:ascii="宋体" w:hAnsi="宋体" w:eastAsiaTheme="minorEastAsia"/>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包装类别</w:t>
                  </w:r>
                </w:p>
              </w:tc>
              <w:tc>
                <w:tcPr>
                  <w:tcW w:w="2752"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textAlignment w:val="center"/>
                    <w:rPr>
                      <w:rFonts w:ascii="宋体" w:hAnsi="宋体" w:eastAsia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O52</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8416" w:type="dxa"/>
                  <w:gridSpan w:val="6"/>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textAlignment w:val="center"/>
                    <w:rPr>
                      <w:rFonts w:ascii="宋体" w:hAnsi="宋体" w:eastAsiaTheme="minorEastAsia"/>
                      <w:b/>
                      <w:color w:val="000000" w:themeColor="text1"/>
                      <w:sz w:val="18"/>
                      <w:szCs w:val="18"/>
                      <w14:textFill>
                        <w14:solidFill>
                          <w14:schemeClr w14:val="tx1"/>
                        </w14:solidFill>
                      </w14:textFill>
                    </w:rPr>
                  </w:pPr>
                  <w:r>
                    <w:rPr>
                      <w:rFonts w:hint="eastAsia" w:ascii="宋体" w:hAnsi="宋体"/>
                      <w:b/>
                      <w:color w:val="000000" w:themeColor="text1"/>
                      <w:sz w:val="18"/>
                      <w:szCs w:val="18"/>
                      <w14:textFill>
                        <w14:solidFill>
                          <w14:schemeClr w14:val="tx1"/>
                        </w14:solidFill>
                      </w14:textFill>
                    </w:rPr>
                    <w:t>主要组成与性状</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textAlignment w:val="center"/>
                    <w:rPr>
                      <w:rFonts w:ascii="宋体" w:hAnsi="宋体" w:eastAsiaTheme="minorEastAsia"/>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外观与性状</w:t>
                  </w:r>
                </w:p>
              </w:tc>
              <w:tc>
                <w:tcPr>
                  <w:tcW w:w="6552" w:type="dxa"/>
                  <w:gridSpan w:val="5"/>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textAlignment w:val="center"/>
                    <w:rPr>
                      <w:rFonts w:ascii="宋体" w:hAnsi="宋体" w:eastAsiaTheme="minorEastAsia"/>
                      <w:b/>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无色液体，有酒香。</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8416" w:type="dxa"/>
                  <w:gridSpan w:val="6"/>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textAlignment w:val="center"/>
                    <w:rPr>
                      <w:rFonts w:ascii="宋体" w:hAnsi="宋体" w:eastAsiaTheme="minorEastAsia"/>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健康危害</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textAlignment w:val="center"/>
                    <w:rPr>
                      <w:rFonts w:ascii="宋体" w:hAnsi="宋体" w:eastAsiaTheme="minorEastAsia"/>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侵入途径</w:t>
                  </w:r>
                </w:p>
              </w:tc>
              <w:tc>
                <w:tcPr>
                  <w:tcW w:w="6552" w:type="dxa"/>
                  <w:gridSpan w:val="5"/>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textAlignment w:val="center"/>
                    <w:rPr>
                      <w:rFonts w:ascii="宋体" w:hAnsi="宋体" w:eastAsiaTheme="minorEastAsia"/>
                      <w:b/>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吸入、食入、经皮吸收</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健康危害</w:t>
                  </w:r>
                </w:p>
              </w:tc>
              <w:tc>
                <w:tcPr>
                  <w:tcW w:w="6552" w:type="dxa"/>
                  <w:gridSpan w:val="5"/>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本品为中枢神经系统抑制剂。首先引起兴奋，随后抑制。</w:t>
                  </w:r>
                </w:p>
                <w:p>
                  <w:p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急性中毒：急性中毒多发生于口服。一般可分为兴奋、催眠、麻醉、窒息四阶段。患者进入第三或第四阶段，出现意识丧失、瞳孔扩大、呼吸不规律、休克、心力循环衰竭及呼吸停止。</w:t>
                  </w:r>
                </w:p>
                <w:p>
                  <w:pP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慢性影响：在生产中长期接触高浓度本品可引起鼻、眼、粘膜刺激症状，以及头痛、头晕、疲乏、易激动、震颤、恶心等。长期酗洒可引起多发性神经病、慢性胃炎、脂肪肝、肝硬化、心肌损害及器质性精神病等。皮肤长期接触可引起干燥、脱屑、皲裂和皮炎。</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textAlignment w:val="center"/>
                    <w:rPr>
                      <w:rFonts w:ascii="宋体" w:hAnsi="宋体" w:eastAsiaTheme="minorEastAsia"/>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危险特性</w:t>
                  </w:r>
                </w:p>
              </w:tc>
              <w:tc>
                <w:tcPr>
                  <w:tcW w:w="6552" w:type="dxa"/>
                  <w:gridSpan w:val="5"/>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textAlignment w:val="center"/>
                    <w:rPr>
                      <w:rFonts w:ascii="宋体" w:hAnsi="宋体" w:eastAsia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易燃，其蒸气与空气可形成爆炸性混合物，遇明火、高热能引起燃烧爆炸。与氧化剂接触发生化学反应或引起燃烧。在火场中，受热的容器有爆炸危险。其蒸气比空气重，能在较低处扩散到相当远的地方，遇火源会着火回燃。</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textAlignment w:val="center"/>
                    <w:rPr>
                      <w:rFonts w:ascii="宋体" w:hAnsi="宋体" w:eastAsiaTheme="minorEastAsia"/>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燃爆危险</w:t>
                  </w:r>
                </w:p>
              </w:tc>
              <w:tc>
                <w:tcPr>
                  <w:tcW w:w="6552" w:type="dxa"/>
                  <w:gridSpan w:val="5"/>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textAlignment w:val="center"/>
                    <w:rPr>
                      <w:rFonts w:ascii="宋体" w:hAnsi="宋体" w:eastAsia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本品易燃，具刺激性。</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textAlignment w:val="center"/>
                    <w:rPr>
                      <w:rFonts w:ascii="宋体" w:hAnsi="宋体" w:eastAsiaTheme="minorEastAsia"/>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灭火方法</w:t>
                  </w:r>
                </w:p>
              </w:tc>
              <w:tc>
                <w:tcPr>
                  <w:tcW w:w="6552" w:type="dxa"/>
                  <w:gridSpan w:val="5"/>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textAlignment w:val="center"/>
                    <w:rPr>
                      <w:rFonts w:ascii="宋体" w:hAnsi="宋体" w:eastAsiaTheme="minorEastAsia"/>
                      <w:b/>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尽可能将容器从火场移至空旷处。喷水保持火场容器冷却，直至灭火结束。灭火剂：抗溶性泡沫、干粉、二氧化碳、砂土。</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有害燃烧产物</w:t>
                  </w:r>
                </w:p>
              </w:tc>
              <w:tc>
                <w:tcPr>
                  <w:tcW w:w="6552" w:type="dxa"/>
                  <w:gridSpan w:val="5"/>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一氧化碳、二氧化碳。</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8416" w:type="dxa"/>
                  <w:gridSpan w:val="6"/>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宋体" w:hAnsi="宋体" w:eastAsiaTheme="minorEastAsia"/>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毒理学资料</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急性毒性</w:t>
                  </w:r>
                </w:p>
              </w:tc>
              <w:tc>
                <w:tcPr>
                  <w:tcW w:w="6552" w:type="dxa"/>
                  <w:gridSpan w:val="5"/>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LD</w:t>
                  </w:r>
                  <w:r>
                    <w:rPr>
                      <w:color w:val="000000" w:themeColor="text1"/>
                      <w:sz w:val="18"/>
                      <w:szCs w:val="18"/>
                      <w:vertAlign w:val="subscript"/>
                      <w14:textFill>
                        <w14:solidFill>
                          <w14:schemeClr w14:val="tx1"/>
                        </w14:solidFill>
                      </w14:textFill>
                    </w:rPr>
                    <w:t>50</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7060 mg/kg(</w:t>
                  </w:r>
                  <w:r>
                    <w:rPr>
                      <w:rFonts w:hint="eastAsia"/>
                      <w:color w:val="000000" w:themeColor="text1"/>
                      <w:sz w:val="18"/>
                      <w:szCs w:val="18"/>
                      <w14:textFill>
                        <w14:solidFill>
                          <w14:schemeClr w14:val="tx1"/>
                        </w14:solidFill>
                      </w14:textFill>
                    </w:rPr>
                    <w:t>兔经口</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7430 mg/kg(</w:t>
                  </w:r>
                  <w:r>
                    <w:rPr>
                      <w:rFonts w:hint="eastAsia"/>
                      <w:color w:val="000000" w:themeColor="text1"/>
                      <w:sz w:val="18"/>
                      <w:szCs w:val="18"/>
                      <w14:textFill>
                        <w14:solidFill>
                          <w14:schemeClr w14:val="tx1"/>
                        </w14:solidFill>
                      </w14:textFill>
                    </w:rPr>
                    <w:t>兔经皮</w:t>
                  </w:r>
                  <w:r>
                    <w:rPr>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LC</w:t>
                  </w:r>
                  <w:r>
                    <w:rPr>
                      <w:color w:val="000000" w:themeColor="text1"/>
                      <w:sz w:val="18"/>
                      <w:szCs w:val="18"/>
                      <w:vertAlign w:val="subscript"/>
                      <w14:textFill>
                        <w14:solidFill>
                          <w14:schemeClr w14:val="tx1"/>
                        </w14:solidFill>
                      </w14:textFill>
                    </w:rPr>
                    <w:t>50</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37620 mg/m3</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10</w:t>
                  </w:r>
                  <w:r>
                    <w:rPr>
                      <w:rFonts w:hint="eastAsia"/>
                      <w:color w:val="000000" w:themeColor="text1"/>
                      <w:sz w:val="18"/>
                      <w:szCs w:val="18"/>
                      <w14:textFill>
                        <w14:solidFill>
                          <w14:schemeClr w14:val="tx1"/>
                        </w14:solidFill>
                      </w14:textFill>
                    </w:rPr>
                    <w:t>小时</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大鼠吸入</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8416" w:type="dxa"/>
                  <w:gridSpan w:val="6"/>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宋体" w:hAnsi="宋体" w:eastAsiaTheme="minorEastAsia"/>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接触控制</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宋体" w:hAnsi="宋体" w:eastAsia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职业接触限值</w:t>
                  </w:r>
                </w:p>
              </w:tc>
              <w:tc>
                <w:tcPr>
                  <w:tcW w:w="6552" w:type="dxa"/>
                  <w:gridSpan w:val="5"/>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宋体" w:hAnsi="宋体" w:eastAsiaTheme="minorEastAsia"/>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MAC(mg/m</w:t>
                  </w:r>
                  <w:r>
                    <w:rPr>
                      <w:rFonts w:hint="eastAsia" w:ascii="宋体" w:hAnsi="宋体"/>
                      <w:bCs/>
                      <w:color w:val="000000" w:themeColor="text1"/>
                      <w:sz w:val="18"/>
                      <w:szCs w:val="18"/>
                      <w:vertAlign w:val="superscript"/>
                      <w14:textFill>
                        <w14:solidFill>
                          <w14:schemeClr w14:val="tx1"/>
                        </w14:solidFill>
                      </w14:textFill>
                    </w:rPr>
                    <w:t>3</w:t>
                  </w:r>
                  <w:r>
                    <w:rPr>
                      <w:rFonts w:hint="eastAsia" w:ascii="宋体" w:hAnsi="宋体"/>
                      <w:bCs/>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 xml:space="preserve">未制定标准 </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工程控制</w:t>
                  </w:r>
                </w:p>
              </w:tc>
              <w:tc>
                <w:tcPr>
                  <w:tcW w:w="6552" w:type="dxa"/>
                  <w:gridSpan w:val="5"/>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生产过程密闭，全面通风。提供安全淋浴和洗眼设备。</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8416" w:type="dxa"/>
                  <w:gridSpan w:val="6"/>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防护措施</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呼吸系统防护</w:t>
                  </w:r>
                </w:p>
              </w:tc>
              <w:tc>
                <w:tcPr>
                  <w:tcW w:w="6552" w:type="dxa"/>
                  <w:gridSpan w:val="5"/>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一般不需要特殊防护，高浓度接触时可佩戴过滤式防毒面具（半面罩）。</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眼睛防护</w:t>
                  </w:r>
                </w:p>
              </w:tc>
              <w:tc>
                <w:tcPr>
                  <w:tcW w:w="6552" w:type="dxa"/>
                  <w:gridSpan w:val="5"/>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一般不需特殊防护。</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身体防护</w:t>
                  </w:r>
                </w:p>
              </w:tc>
              <w:tc>
                <w:tcPr>
                  <w:tcW w:w="6552" w:type="dxa"/>
                  <w:gridSpan w:val="5"/>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穿防静电工作服。</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手防护</w:t>
                  </w:r>
                </w:p>
              </w:tc>
              <w:tc>
                <w:tcPr>
                  <w:tcW w:w="6552" w:type="dxa"/>
                  <w:gridSpan w:val="5"/>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戴一般作业防护手套。</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其它</w:t>
                  </w:r>
                </w:p>
              </w:tc>
              <w:tc>
                <w:tcPr>
                  <w:tcW w:w="6552" w:type="dxa"/>
                  <w:gridSpan w:val="5"/>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工作现场严禁吸烟。</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8416" w:type="dxa"/>
                  <w:gridSpan w:val="6"/>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急救措施</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皮肤接触</w:t>
                  </w:r>
                </w:p>
              </w:tc>
              <w:tc>
                <w:tcPr>
                  <w:tcW w:w="6552" w:type="dxa"/>
                  <w:gridSpan w:val="5"/>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脱去污染的衣着，用流动清水冲洗。</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眼睛接触</w:t>
                  </w:r>
                </w:p>
              </w:tc>
              <w:tc>
                <w:tcPr>
                  <w:tcW w:w="6552" w:type="dxa"/>
                  <w:gridSpan w:val="5"/>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提起眼睑，用流动清水或生理盐水冲洗。就医。</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吸入</w:t>
                  </w:r>
                </w:p>
              </w:tc>
              <w:tc>
                <w:tcPr>
                  <w:tcW w:w="6552" w:type="dxa"/>
                  <w:gridSpan w:val="5"/>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迅速脱离现场至空气新鲜处。就医。</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食入</w:t>
                  </w:r>
                </w:p>
              </w:tc>
              <w:tc>
                <w:tcPr>
                  <w:tcW w:w="6552" w:type="dxa"/>
                  <w:gridSpan w:val="5"/>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饮足量温水，催吐。就医。</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8416" w:type="dxa"/>
                  <w:gridSpan w:val="6"/>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vAlign w:val="center"/>
                </w:tcPr>
                <w:p>
                  <w:pPr>
                    <w:rPr>
                      <w:rFonts w:asciiTheme="minorHAnsi" w:hAnsiTheme="minorHAnsi" w:eastAsiaTheme="minorEastAsia"/>
                      <w:b/>
                      <w:color w:val="000000" w:themeColor="text1"/>
                      <w:sz w:val="18"/>
                      <w:szCs w:val="18"/>
                      <w14:textFill>
                        <w14:solidFill>
                          <w14:schemeClr w14:val="tx1"/>
                        </w14:solidFill>
                      </w14:textFill>
                    </w:rPr>
                  </w:pPr>
                  <w:r>
                    <w:rPr>
                      <w:rFonts w:hint="eastAsia"/>
                      <w:b/>
                      <w:color w:val="000000" w:themeColor="text1"/>
                      <w:sz w:val="18"/>
                      <w:szCs w:val="18"/>
                      <w14:textFill>
                        <w14:solidFill>
                          <w14:schemeClr w14:val="tx1"/>
                        </w14:solidFill>
                      </w14:textFill>
                    </w:rPr>
                    <w:t>理化性质</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宋体" w:hAnsi="宋体" w:eastAsiaTheme="minorEastAsia"/>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分子式</w:t>
                  </w:r>
                </w:p>
              </w:tc>
              <w:tc>
                <w:tcPr>
                  <w:tcW w:w="1815" w:type="dxa"/>
                  <w:tcBorders>
                    <w:top w:val="single" w:color="auto" w:sz="4" w:space="0"/>
                    <w:left w:val="nil"/>
                    <w:bottom w:val="single" w:color="auto" w:sz="4" w:space="0"/>
                    <w:right w:val="single" w:color="auto" w:sz="4" w:space="0"/>
                  </w:tcBorders>
                  <w:tcMar>
                    <w:top w:w="57" w:type="dxa"/>
                    <w:left w:w="57" w:type="dxa"/>
                    <w:bottom w:w="57" w:type="dxa"/>
                    <w:right w:w="57" w:type="dxa"/>
                  </w:tcMar>
                </w:tcPr>
                <w:p>
                  <w:pPr>
                    <w:textAlignment w:val="center"/>
                    <w:rPr>
                      <w:rFonts w:ascii="宋体" w:hAnsi="宋体" w:eastAsiaTheme="minorEastAsia"/>
                      <w:bCs/>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C</w:t>
                  </w:r>
                  <w:r>
                    <w:rPr>
                      <w:rFonts w:hint="eastAsia"/>
                      <w:color w:val="000000" w:themeColor="text1"/>
                      <w:sz w:val="18"/>
                      <w:szCs w:val="18"/>
                      <w:vertAlign w:val="subscript"/>
                      <w14:textFill>
                        <w14:solidFill>
                          <w14:schemeClr w14:val="tx1"/>
                        </w14:solidFill>
                      </w14:textFill>
                    </w:rPr>
                    <w:t>2</w:t>
                  </w:r>
                  <w:r>
                    <w:rPr>
                      <w:rFonts w:hint="eastAsia"/>
                      <w:color w:val="000000" w:themeColor="text1"/>
                      <w:sz w:val="18"/>
                      <w:szCs w:val="18"/>
                      <w14:textFill>
                        <w14:solidFill>
                          <w14:schemeClr w14:val="tx1"/>
                        </w14:solidFill>
                      </w14:textFill>
                    </w:rPr>
                    <w:t>H</w:t>
                  </w:r>
                  <w:r>
                    <w:rPr>
                      <w:rFonts w:hint="eastAsia"/>
                      <w:color w:val="000000" w:themeColor="text1"/>
                      <w:sz w:val="18"/>
                      <w:szCs w:val="18"/>
                      <w:vertAlign w:val="subscript"/>
                      <w14:textFill>
                        <w14:solidFill>
                          <w14:schemeClr w14:val="tx1"/>
                        </w14:solidFill>
                      </w14:textFill>
                    </w:rPr>
                    <w:t>5</w:t>
                  </w:r>
                  <w:r>
                    <w:rPr>
                      <w:rFonts w:hint="eastAsia"/>
                      <w:color w:val="000000" w:themeColor="text1"/>
                      <w:sz w:val="18"/>
                      <w:szCs w:val="18"/>
                      <w14:textFill>
                        <w14:solidFill>
                          <w14:schemeClr w14:val="tx1"/>
                        </w14:solidFill>
                      </w14:textFill>
                    </w:rPr>
                    <w:t>OH</w:t>
                  </w:r>
                </w:p>
              </w:tc>
              <w:tc>
                <w:tcPr>
                  <w:tcW w:w="1985" w:type="dxa"/>
                  <w:gridSpan w:val="2"/>
                  <w:tcBorders>
                    <w:top w:val="single" w:color="auto" w:sz="4" w:space="0"/>
                    <w:left w:val="single" w:color="auto" w:sz="4" w:space="0"/>
                    <w:bottom w:val="single" w:color="auto" w:sz="4" w:space="0"/>
                    <w:right w:val="nil"/>
                  </w:tcBorders>
                  <w:tcMar>
                    <w:top w:w="57" w:type="dxa"/>
                    <w:left w:w="57" w:type="dxa"/>
                    <w:bottom w:w="57" w:type="dxa"/>
                    <w:right w:w="57" w:type="dxa"/>
                  </w:tcMar>
                </w:tcPr>
                <w:p>
                  <w:pPr>
                    <w:textAlignment w:val="center"/>
                    <w:rPr>
                      <w:rFonts w:ascii="宋体" w:hAnsi="宋体" w:eastAsiaTheme="minorEastAsia"/>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分子量</w:t>
                  </w:r>
                </w:p>
              </w:tc>
              <w:tc>
                <w:tcPr>
                  <w:tcW w:w="2752"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宋体" w:hAnsi="宋体" w:eastAsiaTheme="minorEastAsia"/>
                      <w:bCs/>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46</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宋体" w:hAnsi="宋体" w:eastAsiaTheme="minorEastAsia"/>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熔点（℃）</w:t>
                  </w:r>
                </w:p>
              </w:tc>
              <w:tc>
                <w:tcPr>
                  <w:tcW w:w="1815" w:type="dxa"/>
                  <w:tcBorders>
                    <w:top w:val="single" w:color="auto" w:sz="4" w:space="0"/>
                    <w:left w:val="nil"/>
                    <w:bottom w:val="single" w:color="auto" w:sz="4" w:space="0"/>
                    <w:right w:val="single" w:color="auto" w:sz="4" w:space="0"/>
                  </w:tcBorders>
                  <w:tcMar>
                    <w:top w:w="57" w:type="dxa"/>
                    <w:left w:w="57" w:type="dxa"/>
                    <w:bottom w:w="57" w:type="dxa"/>
                    <w:right w:w="57" w:type="dxa"/>
                  </w:tcMar>
                </w:tcPr>
                <w:p>
                  <w:pPr>
                    <w:textAlignment w:val="center"/>
                    <w:rPr>
                      <w:rFonts w:ascii="宋体" w:hAnsi="宋体" w:eastAsiaTheme="minorEastAsia"/>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-114.1</w:t>
                  </w:r>
                </w:p>
              </w:tc>
              <w:tc>
                <w:tcPr>
                  <w:tcW w:w="1985" w:type="dxa"/>
                  <w:gridSpan w:val="2"/>
                  <w:tcBorders>
                    <w:top w:val="single" w:color="auto" w:sz="4" w:space="0"/>
                    <w:left w:val="single" w:color="auto" w:sz="4" w:space="0"/>
                    <w:bottom w:val="single" w:color="auto" w:sz="4" w:space="0"/>
                    <w:right w:val="nil"/>
                  </w:tcBorders>
                  <w:tcMar>
                    <w:top w:w="57" w:type="dxa"/>
                    <w:left w:w="57" w:type="dxa"/>
                    <w:bottom w:w="57" w:type="dxa"/>
                    <w:right w:w="57" w:type="dxa"/>
                  </w:tcMar>
                </w:tcPr>
                <w:p>
                  <w:pPr>
                    <w:textAlignment w:val="center"/>
                    <w:rPr>
                      <w:rFonts w:ascii="宋体" w:hAnsi="宋体" w:eastAsiaTheme="minorEastAsia"/>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沸点（℃）</w:t>
                  </w:r>
                </w:p>
              </w:tc>
              <w:tc>
                <w:tcPr>
                  <w:tcW w:w="2752"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宋体" w:hAnsi="宋体" w:eastAsiaTheme="minorEastAsia"/>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78.3</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宋体" w:hAnsi="宋体" w:eastAsiaTheme="minorEastAsia"/>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闪点（</w:t>
                  </w:r>
                  <w:r>
                    <w:rPr>
                      <w:rFonts w:hint="eastAsia" w:ascii="宋体" w:hAnsi="宋体"/>
                      <w:bCs/>
                      <w:color w:val="000000" w:themeColor="text1"/>
                      <w:sz w:val="18"/>
                      <w:szCs w:val="18"/>
                      <w14:textFill>
                        <w14:solidFill>
                          <w14:schemeClr w14:val="tx1"/>
                        </w14:solidFill>
                      </w14:textFill>
                    </w:rPr>
                    <w:t>℃</w:t>
                  </w:r>
                  <w:r>
                    <w:rPr>
                      <w:rFonts w:hint="eastAsia"/>
                      <w:bCs/>
                      <w:color w:val="000000" w:themeColor="text1"/>
                      <w:sz w:val="18"/>
                      <w:szCs w:val="18"/>
                      <w14:textFill>
                        <w14:solidFill>
                          <w14:schemeClr w14:val="tx1"/>
                        </w14:solidFill>
                      </w14:textFill>
                    </w:rPr>
                    <w:t>）</w:t>
                  </w:r>
                </w:p>
              </w:tc>
              <w:tc>
                <w:tcPr>
                  <w:tcW w:w="1815" w:type="dxa"/>
                  <w:tcBorders>
                    <w:top w:val="single" w:color="auto" w:sz="4" w:space="0"/>
                    <w:left w:val="nil"/>
                    <w:bottom w:val="single" w:color="auto" w:sz="4" w:space="0"/>
                    <w:right w:val="single" w:color="auto" w:sz="4" w:space="0"/>
                  </w:tcBorders>
                  <w:tcMar>
                    <w:top w:w="57" w:type="dxa"/>
                    <w:left w:w="57" w:type="dxa"/>
                    <w:bottom w:w="57" w:type="dxa"/>
                    <w:right w:w="57" w:type="dxa"/>
                  </w:tcMar>
                </w:tcPr>
                <w:p>
                  <w:pPr>
                    <w:textAlignment w:val="center"/>
                    <w:rPr>
                      <w:rFonts w:asciiTheme="minorHAnsi" w:hAnsiTheme="minorHAnsi"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12</w:t>
                  </w:r>
                </w:p>
              </w:tc>
              <w:tc>
                <w:tcPr>
                  <w:tcW w:w="1985" w:type="dxa"/>
                  <w:gridSpan w:val="2"/>
                  <w:tcBorders>
                    <w:top w:val="single" w:color="auto" w:sz="4" w:space="0"/>
                    <w:left w:val="single" w:color="auto" w:sz="4" w:space="0"/>
                    <w:bottom w:val="single" w:color="auto" w:sz="4" w:space="0"/>
                    <w:right w:val="nil"/>
                  </w:tcBorders>
                  <w:tcMar>
                    <w:top w:w="57" w:type="dxa"/>
                    <w:left w:w="57" w:type="dxa"/>
                    <w:bottom w:w="57" w:type="dxa"/>
                    <w:right w:w="57" w:type="dxa"/>
                  </w:tcMar>
                </w:tcPr>
                <w:p>
                  <w:pPr>
                    <w:textAlignment w:val="center"/>
                    <w:rPr>
                      <w:rFonts w:ascii="宋体" w:hAnsi="宋体" w:eastAsiaTheme="minorEastAsia"/>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引燃温度（℃）</w:t>
                  </w:r>
                </w:p>
              </w:tc>
              <w:tc>
                <w:tcPr>
                  <w:tcW w:w="2752"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Theme="minorHAnsi" w:hAnsiTheme="minorHAnsi"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363</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Theme="minorHAnsi" w:hAnsiTheme="minorHAnsi" w:eastAsiaTheme="minorEastAsia"/>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相对密度（水＝</w:t>
                  </w:r>
                  <w:r>
                    <w:rPr>
                      <w:bCs/>
                      <w:color w:val="000000" w:themeColor="text1"/>
                      <w:sz w:val="18"/>
                      <w:szCs w:val="18"/>
                      <w14:textFill>
                        <w14:solidFill>
                          <w14:schemeClr w14:val="tx1"/>
                        </w14:solidFill>
                      </w14:textFill>
                    </w:rPr>
                    <w:t>1</w:t>
                  </w:r>
                  <w:r>
                    <w:rPr>
                      <w:rFonts w:hint="eastAsia"/>
                      <w:bCs/>
                      <w:color w:val="000000" w:themeColor="text1"/>
                      <w:sz w:val="18"/>
                      <w:szCs w:val="18"/>
                      <w14:textFill>
                        <w14:solidFill>
                          <w14:schemeClr w14:val="tx1"/>
                        </w14:solidFill>
                      </w14:textFill>
                    </w:rPr>
                    <w:t>）</w:t>
                  </w:r>
                </w:p>
              </w:tc>
              <w:tc>
                <w:tcPr>
                  <w:tcW w:w="1815" w:type="dxa"/>
                  <w:tcBorders>
                    <w:top w:val="single" w:color="auto" w:sz="4" w:space="0"/>
                    <w:left w:val="nil"/>
                    <w:bottom w:val="single" w:color="auto" w:sz="4" w:space="0"/>
                    <w:right w:val="single" w:color="auto" w:sz="4" w:space="0"/>
                  </w:tcBorders>
                  <w:tcMar>
                    <w:top w:w="57" w:type="dxa"/>
                    <w:left w:w="57" w:type="dxa"/>
                    <w:bottom w:w="57" w:type="dxa"/>
                    <w:right w:w="57" w:type="dxa"/>
                  </w:tcMar>
                </w:tcPr>
                <w:p>
                  <w:pPr>
                    <w:textAlignment w:val="center"/>
                    <w:rPr>
                      <w:rFonts w:asciiTheme="minorHAnsi" w:hAnsiTheme="minorHAnsi" w:eastAsiaTheme="minorEastAsia"/>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0.79</w:t>
                  </w:r>
                </w:p>
              </w:tc>
              <w:tc>
                <w:tcPr>
                  <w:tcW w:w="1985" w:type="dxa"/>
                  <w:gridSpan w:val="2"/>
                  <w:tcBorders>
                    <w:top w:val="single" w:color="auto" w:sz="4" w:space="0"/>
                    <w:left w:val="single" w:color="auto" w:sz="4" w:space="0"/>
                    <w:bottom w:val="single" w:color="auto" w:sz="4" w:space="0"/>
                    <w:right w:val="nil"/>
                  </w:tcBorders>
                  <w:tcMar>
                    <w:top w:w="57" w:type="dxa"/>
                    <w:left w:w="57" w:type="dxa"/>
                    <w:bottom w:w="57" w:type="dxa"/>
                    <w:right w:w="57" w:type="dxa"/>
                  </w:tcMar>
                </w:tcPr>
                <w:p>
                  <w:pPr>
                    <w:textAlignment w:val="center"/>
                    <w:rPr>
                      <w:rFonts w:ascii="宋体" w:hAnsi="宋体" w:eastAsiaTheme="minorEastAsia"/>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相对密度（空气＝</w:t>
                  </w:r>
                  <w:r>
                    <w:rPr>
                      <w:bCs/>
                      <w:color w:val="000000" w:themeColor="text1"/>
                      <w:sz w:val="18"/>
                      <w:szCs w:val="18"/>
                      <w14:textFill>
                        <w14:solidFill>
                          <w14:schemeClr w14:val="tx1"/>
                        </w14:solidFill>
                      </w14:textFill>
                    </w:rPr>
                    <w:t>1</w:t>
                  </w:r>
                  <w:r>
                    <w:rPr>
                      <w:rFonts w:hint="eastAsia"/>
                      <w:bCs/>
                      <w:color w:val="000000" w:themeColor="text1"/>
                      <w:sz w:val="18"/>
                      <w:szCs w:val="18"/>
                      <w14:textFill>
                        <w14:solidFill>
                          <w14:schemeClr w14:val="tx1"/>
                        </w14:solidFill>
                      </w14:textFill>
                    </w:rPr>
                    <w:t>）</w:t>
                  </w:r>
                </w:p>
              </w:tc>
              <w:tc>
                <w:tcPr>
                  <w:tcW w:w="2752"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宋体" w:hAnsi="宋体" w:eastAsiaTheme="minorEastAsia"/>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1.59</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Theme="minorHAnsi" w:hAnsiTheme="minorHAnsi" w:eastAsiaTheme="minorEastAsia"/>
                      <w:bCs/>
                      <w:color w:val="000000" w:themeColor="text1"/>
                      <w:sz w:val="18"/>
                      <w:szCs w:val="18"/>
                      <w14:textFill>
                        <w14:solidFill>
                          <w14:schemeClr w14:val="tx1"/>
                        </w14:solidFill>
                      </w14:textFill>
                    </w:rPr>
                  </w:pPr>
                  <w:r>
                    <w:rPr>
                      <w:bCs/>
                      <w:color w:val="000000" w:themeColor="text1"/>
                      <w:sz w:val="18"/>
                      <w:szCs w:val="18"/>
                      <w14:textFill>
                        <w14:solidFill>
                          <w14:schemeClr w14:val="tx1"/>
                        </w14:solidFill>
                      </w14:textFill>
                    </w:rPr>
                    <w:t>pH</w:t>
                  </w:r>
                  <w:r>
                    <w:rPr>
                      <w:rFonts w:hint="eastAsia" w:ascii="宋体" w:hAnsi="宋体"/>
                      <w:bCs/>
                      <w:color w:val="000000" w:themeColor="text1"/>
                      <w:sz w:val="18"/>
                      <w:szCs w:val="18"/>
                      <w14:textFill>
                        <w14:solidFill>
                          <w14:schemeClr w14:val="tx1"/>
                        </w14:solidFill>
                      </w14:textFill>
                    </w:rPr>
                    <w:t>值</w:t>
                  </w:r>
                </w:p>
              </w:tc>
              <w:tc>
                <w:tcPr>
                  <w:tcW w:w="1815" w:type="dxa"/>
                  <w:tcBorders>
                    <w:top w:val="single" w:color="auto" w:sz="4" w:space="0"/>
                    <w:left w:val="nil"/>
                    <w:bottom w:val="single" w:color="auto" w:sz="4" w:space="0"/>
                    <w:right w:val="single" w:color="auto" w:sz="4" w:space="0"/>
                  </w:tcBorders>
                  <w:tcMar>
                    <w:top w:w="57" w:type="dxa"/>
                    <w:left w:w="57" w:type="dxa"/>
                    <w:bottom w:w="57" w:type="dxa"/>
                    <w:right w:w="57" w:type="dxa"/>
                  </w:tcMar>
                </w:tcPr>
                <w:p>
                  <w:pPr>
                    <w:textAlignment w:val="center"/>
                    <w:rPr>
                      <w:rFonts w:asciiTheme="minorHAnsi" w:hAnsiTheme="minorHAnsi" w:eastAsiaTheme="minorEastAsia"/>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无意义</w:t>
                  </w:r>
                </w:p>
              </w:tc>
              <w:tc>
                <w:tcPr>
                  <w:tcW w:w="1985" w:type="dxa"/>
                  <w:gridSpan w:val="2"/>
                  <w:tcBorders>
                    <w:top w:val="single" w:color="auto" w:sz="4" w:space="0"/>
                    <w:left w:val="single" w:color="auto" w:sz="4" w:space="0"/>
                    <w:bottom w:val="single" w:color="auto" w:sz="4" w:space="0"/>
                    <w:right w:val="nil"/>
                  </w:tcBorders>
                  <w:tcMar>
                    <w:top w:w="57" w:type="dxa"/>
                    <w:left w:w="57" w:type="dxa"/>
                    <w:bottom w:w="57" w:type="dxa"/>
                    <w:right w:w="57" w:type="dxa"/>
                  </w:tcMar>
                </w:tcPr>
                <w:p>
                  <w:pPr>
                    <w:textAlignment w:val="center"/>
                    <w:rPr>
                      <w:rFonts w:ascii="宋体" w:hAnsi="宋体" w:eastAsiaTheme="minorEastAsia"/>
                      <w:bCs/>
                      <w:color w:val="000000" w:themeColor="text1"/>
                      <w:sz w:val="18"/>
                      <w:szCs w:val="18"/>
                      <w14:textFill>
                        <w14:solidFill>
                          <w14:schemeClr w14:val="tx1"/>
                        </w14:solidFill>
                      </w14:textFill>
                    </w:rPr>
                  </w:pPr>
                  <w:r>
                    <w:rPr>
                      <w:rFonts w:hint="eastAsia" w:ascii="宋体" w:hAnsi="宋体"/>
                      <w:bCs/>
                      <w:color w:val="000000" w:themeColor="text1"/>
                      <w:sz w:val="18"/>
                      <w:szCs w:val="18"/>
                      <w14:textFill>
                        <w14:solidFill>
                          <w14:schemeClr w14:val="tx1"/>
                        </w14:solidFill>
                      </w14:textFill>
                    </w:rPr>
                    <w:t>辛醇/水分配系数</w:t>
                  </w:r>
                </w:p>
              </w:tc>
              <w:tc>
                <w:tcPr>
                  <w:tcW w:w="2752"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Theme="minorHAnsi" w:hAnsiTheme="minorHAnsi" w:eastAsiaTheme="minorEastAsia"/>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0.32</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Theme="minorHAnsi" w:hAnsiTheme="minorHAnsi" w:eastAsiaTheme="minorEastAsia"/>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爆炸上限％（</w:t>
                  </w:r>
                  <w:r>
                    <w:rPr>
                      <w:bCs/>
                      <w:color w:val="000000" w:themeColor="text1"/>
                      <w:sz w:val="18"/>
                      <w:szCs w:val="18"/>
                      <w14:textFill>
                        <w14:solidFill>
                          <w14:schemeClr w14:val="tx1"/>
                        </w14:solidFill>
                      </w14:textFill>
                    </w:rPr>
                    <w:t>V/V</w:t>
                  </w:r>
                  <w:r>
                    <w:rPr>
                      <w:rFonts w:hint="eastAsia"/>
                      <w:bCs/>
                      <w:color w:val="000000" w:themeColor="text1"/>
                      <w:sz w:val="18"/>
                      <w:szCs w:val="18"/>
                      <w14:textFill>
                        <w14:solidFill>
                          <w14:schemeClr w14:val="tx1"/>
                        </w14:solidFill>
                      </w14:textFill>
                    </w:rPr>
                    <w:t>）</w:t>
                  </w:r>
                </w:p>
              </w:tc>
              <w:tc>
                <w:tcPr>
                  <w:tcW w:w="1815" w:type="dxa"/>
                  <w:tcBorders>
                    <w:top w:val="single" w:color="auto" w:sz="4" w:space="0"/>
                    <w:left w:val="nil"/>
                    <w:bottom w:val="single" w:color="auto" w:sz="4" w:space="0"/>
                    <w:right w:val="single" w:color="auto" w:sz="4" w:space="0"/>
                  </w:tcBorders>
                  <w:tcMar>
                    <w:top w:w="57" w:type="dxa"/>
                    <w:left w:w="57" w:type="dxa"/>
                    <w:bottom w:w="57" w:type="dxa"/>
                    <w:right w:w="57" w:type="dxa"/>
                  </w:tcMar>
                </w:tcPr>
                <w:p>
                  <w:pPr>
                    <w:textAlignment w:val="center"/>
                    <w:rPr>
                      <w:rFonts w:asciiTheme="minorHAnsi" w:hAnsiTheme="minorHAnsi" w:eastAsiaTheme="minorEastAsia"/>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19.0</w:t>
                  </w:r>
                </w:p>
              </w:tc>
              <w:tc>
                <w:tcPr>
                  <w:tcW w:w="1985" w:type="dxa"/>
                  <w:gridSpan w:val="2"/>
                  <w:tcBorders>
                    <w:top w:val="single" w:color="auto" w:sz="4" w:space="0"/>
                    <w:left w:val="single" w:color="auto" w:sz="4" w:space="0"/>
                    <w:bottom w:val="single" w:color="auto" w:sz="4" w:space="0"/>
                    <w:right w:val="nil"/>
                  </w:tcBorders>
                  <w:tcMar>
                    <w:top w:w="57" w:type="dxa"/>
                    <w:left w:w="57" w:type="dxa"/>
                    <w:bottom w:w="57" w:type="dxa"/>
                    <w:right w:w="57" w:type="dxa"/>
                  </w:tcMar>
                </w:tcPr>
                <w:p>
                  <w:pPr>
                    <w:textAlignment w:val="center"/>
                    <w:rPr>
                      <w:rFonts w:ascii="宋体" w:hAnsi="宋体" w:eastAsiaTheme="minorEastAsia"/>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爆炸下限％（</w:t>
                  </w:r>
                  <w:r>
                    <w:rPr>
                      <w:bCs/>
                      <w:color w:val="000000" w:themeColor="text1"/>
                      <w:sz w:val="18"/>
                      <w:szCs w:val="18"/>
                      <w14:textFill>
                        <w14:solidFill>
                          <w14:schemeClr w14:val="tx1"/>
                        </w14:solidFill>
                      </w14:textFill>
                    </w:rPr>
                    <w:t>V/V</w:t>
                  </w:r>
                  <w:r>
                    <w:rPr>
                      <w:rFonts w:hint="eastAsia"/>
                      <w:bCs/>
                      <w:color w:val="000000" w:themeColor="text1"/>
                      <w:sz w:val="18"/>
                      <w:szCs w:val="18"/>
                      <w14:textFill>
                        <w14:solidFill>
                          <w14:schemeClr w14:val="tx1"/>
                        </w14:solidFill>
                      </w14:textFill>
                    </w:rPr>
                    <w:t>）</w:t>
                  </w:r>
                </w:p>
              </w:tc>
              <w:tc>
                <w:tcPr>
                  <w:tcW w:w="2752"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宋体" w:hAnsi="宋体" w:eastAsiaTheme="minorEastAsia"/>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3.3</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Theme="minorHAnsi" w:hAnsiTheme="minorHAnsi" w:eastAsiaTheme="minorEastAsia"/>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燃烧热（</w:t>
                  </w:r>
                  <w:r>
                    <w:rPr>
                      <w:bCs/>
                      <w:color w:val="000000" w:themeColor="text1"/>
                      <w:sz w:val="18"/>
                      <w:szCs w:val="18"/>
                      <w14:textFill>
                        <w14:solidFill>
                          <w14:schemeClr w14:val="tx1"/>
                        </w14:solidFill>
                      </w14:textFill>
                    </w:rPr>
                    <w:t>kJ/mol</w:t>
                  </w:r>
                  <w:r>
                    <w:rPr>
                      <w:rFonts w:hint="eastAsia"/>
                      <w:bCs/>
                      <w:color w:val="000000" w:themeColor="text1"/>
                      <w:sz w:val="18"/>
                      <w:szCs w:val="18"/>
                      <w14:textFill>
                        <w14:solidFill>
                          <w14:schemeClr w14:val="tx1"/>
                        </w14:solidFill>
                      </w14:textFill>
                    </w:rPr>
                    <w:t>）</w:t>
                  </w:r>
                </w:p>
              </w:tc>
              <w:tc>
                <w:tcPr>
                  <w:tcW w:w="1815" w:type="dxa"/>
                  <w:tcBorders>
                    <w:top w:val="single" w:color="auto" w:sz="4" w:space="0"/>
                    <w:left w:val="nil"/>
                    <w:bottom w:val="single" w:color="auto" w:sz="4" w:space="0"/>
                    <w:right w:val="single" w:color="auto" w:sz="4" w:space="0"/>
                  </w:tcBorders>
                  <w:tcMar>
                    <w:top w:w="57" w:type="dxa"/>
                    <w:left w:w="57" w:type="dxa"/>
                    <w:bottom w:w="57" w:type="dxa"/>
                    <w:right w:w="57" w:type="dxa"/>
                  </w:tcMar>
                </w:tcPr>
                <w:p>
                  <w:pPr>
                    <w:textAlignment w:val="center"/>
                    <w:rPr>
                      <w:rFonts w:asciiTheme="minorHAnsi" w:hAnsiTheme="minorHAnsi" w:eastAsiaTheme="minorEastAsia"/>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1365.5</w:t>
                  </w:r>
                </w:p>
              </w:tc>
              <w:tc>
                <w:tcPr>
                  <w:tcW w:w="1985" w:type="dxa"/>
                  <w:gridSpan w:val="2"/>
                  <w:tcBorders>
                    <w:top w:val="single" w:color="auto" w:sz="4" w:space="0"/>
                    <w:left w:val="single" w:color="auto" w:sz="4" w:space="0"/>
                    <w:bottom w:val="single" w:color="auto" w:sz="4" w:space="0"/>
                    <w:right w:val="nil"/>
                  </w:tcBorders>
                  <w:tcMar>
                    <w:top w:w="57" w:type="dxa"/>
                    <w:left w:w="57" w:type="dxa"/>
                    <w:bottom w:w="57" w:type="dxa"/>
                    <w:right w:w="57" w:type="dxa"/>
                  </w:tcMar>
                </w:tcPr>
                <w:p>
                  <w:pPr>
                    <w:textAlignment w:val="center"/>
                    <w:rPr>
                      <w:rFonts w:asciiTheme="minorHAnsi" w:hAnsiTheme="minorHAnsi" w:eastAsiaTheme="minorEastAsia"/>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临界温度（</w:t>
                  </w:r>
                  <w:r>
                    <w:rPr>
                      <w:rFonts w:hint="eastAsia" w:ascii="宋体" w:hAnsi="宋体"/>
                      <w:bCs/>
                      <w:color w:val="000000" w:themeColor="text1"/>
                      <w:sz w:val="18"/>
                      <w:szCs w:val="18"/>
                      <w14:textFill>
                        <w14:solidFill>
                          <w14:schemeClr w14:val="tx1"/>
                        </w14:solidFill>
                      </w14:textFill>
                    </w:rPr>
                    <w:t>℃</w:t>
                  </w:r>
                  <w:r>
                    <w:rPr>
                      <w:rFonts w:hint="eastAsia"/>
                      <w:bCs/>
                      <w:color w:val="000000" w:themeColor="text1"/>
                      <w:sz w:val="18"/>
                      <w:szCs w:val="18"/>
                      <w14:textFill>
                        <w14:solidFill>
                          <w14:schemeClr w14:val="tx1"/>
                        </w14:solidFill>
                      </w14:textFill>
                    </w:rPr>
                    <w:t>）</w:t>
                  </w:r>
                </w:p>
              </w:tc>
              <w:tc>
                <w:tcPr>
                  <w:tcW w:w="2752" w:type="dxa"/>
                  <w:gridSpan w:val="2"/>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Theme="minorHAnsi" w:hAnsiTheme="minorHAnsi" w:eastAsiaTheme="minorEastAsia"/>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243.1</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Theme="minorHAnsi" w:hAnsiTheme="minorHAnsi" w:eastAsiaTheme="minorEastAsia"/>
                      <w:b/>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临界压力（</w:t>
                  </w:r>
                  <w:r>
                    <w:rPr>
                      <w:bCs/>
                      <w:color w:val="000000" w:themeColor="text1"/>
                      <w:sz w:val="18"/>
                      <w:szCs w:val="18"/>
                      <w14:textFill>
                        <w14:solidFill>
                          <w14:schemeClr w14:val="tx1"/>
                        </w14:solidFill>
                      </w14:textFill>
                    </w:rPr>
                    <w:t>MPa</w:t>
                  </w:r>
                  <w:r>
                    <w:rPr>
                      <w:rFonts w:hint="eastAsia"/>
                      <w:bCs/>
                      <w:color w:val="000000" w:themeColor="text1"/>
                      <w:sz w:val="18"/>
                      <w:szCs w:val="18"/>
                      <w14:textFill>
                        <w14:solidFill>
                          <w14:schemeClr w14:val="tx1"/>
                        </w14:solidFill>
                      </w14:textFill>
                    </w:rPr>
                    <w:t>）</w:t>
                  </w:r>
                </w:p>
              </w:tc>
              <w:tc>
                <w:tcPr>
                  <w:tcW w:w="6552" w:type="dxa"/>
                  <w:gridSpan w:val="5"/>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Theme="minorHAnsi" w:hAnsiTheme="minorHAnsi" w:eastAsiaTheme="minorEastAsia"/>
                      <w:b/>
                      <w:bCs/>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6.38</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Theme="minorHAnsi" w:hAnsiTheme="minorHAnsi" w:eastAsiaTheme="minorEastAsia"/>
                      <w:b/>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溶解性</w:t>
                  </w:r>
                </w:p>
              </w:tc>
              <w:tc>
                <w:tcPr>
                  <w:tcW w:w="6552" w:type="dxa"/>
                  <w:gridSpan w:val="5"/>
                  <w:tcBorders>
                    <w:top w:val="single" w:color="auto" w:sz="4" w:space="0"/>
                    <w:left w:val="nil"/>
                    <w:bottom w:val="single" w:color="auto" w:sz="4" w:space="0"/>
                    <w:right w:val="single" w:color="auto" w:sz="4" w:space="0"/>
                  </w:tcBorders>
                  <w:tcMar>
                    <w:top w:w="57" w:type="dxa"/>
                    <w:left w:w="57" w:type="dxa"/>
                    <w:bottom w:w="57" w:type="dxa"/>
                    <w:right w:w="57" w:type="dxa"/>
                  </w:tcMar>
                </w:tcPr>
                <w:p>
                  <w:pPr>
                    <w:textAlignment w:val="center"/>
                    <w:rPr>
                      <w:rFonts w:asciiTheme="minorHAnsi" w:hAnsiTheme="minorHAnsi" w:eastAsiaTheme="minorEastAsia"/>
                      <w:b/>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与水混溶，可混溶于醚、氯仿、甘油等多数有机溶剂。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Theme="minorHAnsi" w:hAnsiTheme="minorHAnsi" w:eastAsiaTheme="minorEastAsia"/>
                      <w:b/>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主要用途</w:t>
                  </w:r>
                  <w:r>
                    <w:rPr>
                      <w:b/>
                      <w:bCs/>
                      <w:color w:val="000000" w:themeColor="text1"/>
                      <w:sz w:val="18"/>
                      <w:szCs w:val="18"/>
                      <w14:textFill>
                        <w14:solidFill>
                          <w14:schemeClr w14:val="tx1"/>
                        </w14:solidFill>
                      </w14:textFill>
                    </w:rPr>
                    <w:t xml:space="preserve"> </w:t>
                  </w:r>
                </w:p>
              </w:tc>
              <w:tc>
                <w:tcPr>
                  <w:tcW w:w="6552" w:type="dxa"/>
                  <w:gridSpan w:val="5"/>
                  <w:tcBorders>
                    <w:top w:val="single" w:color="auto" w:sz="4" w:space="0"/>
                    <w:left w:val="nil"/>
                    <w:bottom w:val="single" w:color="auto" w:sz="4" w:space="0"/>
                    <w:right w:val="single" w:color="auto" w:sz="4" w:space="0"/>
                  </w:tcBorders>
                  <w:tcMar>
                    <w:top w:w="57" w:type="dxa"/>
                    <w:left w:w="57" w:type="dxa"/>
                    <w:bottom w:w="57" w:type="dxa"/>
                    <w:right w:w="57" w:type="dxa"/>
                  </w:tcMar>
                </w:tcPr>
                <w:p>
                  <w:pPr>
                    <w:textAlignment w:val="center"/>
                    <w:rPr>
                      <w:rFonts w:ascii="宋体" w:hAnsi="宋体" w:eastAsiaTheme="minorEastAsia"/>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用于制酒工业、有机合成、消毒以及用作溶剂。</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8416" w:type="dxa"/>
                  <w:gridSpan w:val="6"/>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Theme="minorHAnsi" w:hAnsiTheme="minorHAnsi" w:eastAsiaTheme="minorEastAsia"/>
                      <w:b/>
                      <w:bCs/>
                      <w:color w:val="000000" w:themeColor="text1"/>
                      <w:sz w:val="18"/>
                      <w:szCs w:val="18"/>
                      <w14:textFill>
                        <w14:solidFill>
                          <w14:schemeClr w14:val="tx1"/>
                        </w14:solidFill>
                      </w14:textFill>
                    </w:rPr>
                  </w:pPr>
                  <w:r>
                    <w:rPr>
                      <w:rFonts w:hint="eastAsia"/>
                      <w:b/>
                      <w:bCs/>
                      <w:color w:val="000000" w:themeColor="text1"/>
                      <w:sz w:val="18"/>
                      <w:szCs w:val="18"/>
                      <w14:textFill>
                        <w14:solidFill>
                          <w14:schemeClr w14:val="tx1"/>
                        </w14:solidFill>
                      </w14:textFill>
                    </w:rPr>
                    <w:t>稳定性和反应活性</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Theme="minorHAnsi" w:hAnsiTheme="minorHAnsi" w:eastAsiaTheme="minorEastAsia"/>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稳定性</w:t>
                  </w:r>
                </w:p>
              </w:tc>
              <w:tc>
                <w:tcPr>
                  <w:tcW w:w="2154" w:type="dxa"/>
                  <w:gridSpan w:val="2"/>
                  <w:tcBorders>
                    <w:top w:val="single" w:color="auto" w:sz="4" w:space="0"/>
                    <w:left w:val="single" w:color="auto" w:sz="4" w:space="0"/>
                    <w:bottom w:val="single" w:color="auto" w:sz="4" w:space="0"/>
                    <w:right w:val="nil"/>
                  </w:tcBorders>
                  <w:tcMar>
                    <w:top w:w="57" w:type="dxa"/>
                    <w:left w:w="57" w:type="dxa"/>
                    <w:bottom w:w="57" w:type="dxa"/>
                    <w:right w:w="57" w:type="dxa"/>
                  </w:tcMar>
                </w:tcPr>
                <w:p>
                  <w:pPr>
                    <w:textAlignment w:val="center"/>
                    <w:rPr>
                      <w:rFonts w:asciiTheme="minorHAnsi" w:hAnsiTheme="minorHAnsi" w:eastAsiaTheme="minorEastAsia"/>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稳定</w:t>
                  </w:r>
                </w:p>
              </w:tc>
              <w:tc>
                <w:tcPr>
                  <w:tcW w:w="2128" w:type="dxa"/>
                  <w:gridSpan w:val="2"/>
                  <w:tcBorders>
                    <w:top w:val="single" w:color="auto" w:sz="4" w:space="0"/>
                    <w:left w:val="single" w:color="auto" w:sz="4" w:space="0"/>
                    <w:bottom w:val="single" w:color="auto" w:sz="4" w:space="0"/>
                    <w:right w:val="nil"/>
                  </w:tcBorders>
                  <w:tcMar>
                    <w:top w:w="57" w:type="dxa"/>
                    <w:left w:w="57" w:type="dxa"/>
                    <w:bottom w:w="57" w:type="dxa"/>
                    <w:right w:w="57" w:type="dxa"/>
                  </w:tcMar>
                </w:tcPr>
                <w:p>
                  <w:pPr>
                    <w:textAlignment w:val="center"/>
                    <w:rPr>
                      <w:rFonts w:asciiTheme="minorHAnsi" w:hAnsiTheme="minorHAnsi" w:eastAsiaTheme="minorEastAsia"/>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聚合危害</w:t>
                  </w:r>
                </w:p>
              </w:tc>
              <w:tc>
                <w:tcPr>
                  <w:tcW w:w="2270"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Theme="minorHAnsi" w:hAnsiTheme="minorHAnsi" w:eastAsiaTheme="minorEastAsia"/>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不聚合</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1864" w:type="dxa"/>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Theme="minorHAnsi" w:hAnsiTheme="minorHAnsi" w:eastAsiaTheme="minorEastAsia"/>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禁忌物</w:t>
                  </w:r>
                </w:p>
              </w:tc>
              <w:tc>
                <w:tcPr>
                  <w:tcW w:w="6552" w:type="dxa"/>
                  <w:gridSpan w:val="5"/>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Theme="minorHAnsi" w:hAnsiTheme="minorHAnsi" w:eastAsiaTheme="minorEastAsia"/>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强氧化剂、酸类、酸酐、碱金属、胺类。</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8416" w:type="dxa"/>
                  <w:gridSpan w:val="6"/>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Theme="minorHAnsi" w:hAnsiTheme="minorHAnsi" w:eastAsiaTheme="minorEastAsia"/>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操作处置注意事项</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8416" w:type="dxa"/>
                  <w:gridSpan w:val="6"/>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宋体" w:hAnsi="宋体" w:eastAsiaTheme="minorEastAsia"/>
                      <w:b/>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密闭操作，全面通风。操作人员必须经过专门培训，严格遵守操作规程。建议操作人员佩戴过滤式防毒面具（半面罩），穿防静电工作服。远离火种、热源，工作场所严禁吸烟。使用防爆型的通风系统和设备。防止蒸气泄漏到工作场所空气中。避免与氧化剂、酸类、碱金属、胺类接触。灌装时应控制流速，且有接地装置，防止静电积聚。配备相应品种和数量的消防器材及泄漏应急处理设备。倒空的容器可能残留有害物。</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8416" w:type="dxa"/>
                  <w:gridSpan w:val="6"/>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宋体" w:hAnsi="宋体" w:eastAsiaTheme="minorEastAsia"/>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泄漏应急处理</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8416" w:type="dxa"/>
                  <w:gridSpan w:val="6"/>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宋体" w:hAnsi="宋体" w:eastAsiaTheme="minorEastAsia"/>
                      <w:b/>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迅速撤离泄漏污染区人员至安全区，并进行隔离，严格限制出入。切断火源。建议应急处理人员戴自给正压式呼吸器，穿防静电工作服。尽可能切断泄漏源。防止流入下水道、排洪沟等限制性空间。小量泄漏：用砂土或其它不燃材料吸附或吸收。也可以用大量水冲洗，洗水稀释后放入废水系统。大量泄漏：构筑围堤或挖坑收容。用泡沫覆盖，降低蒸气灾害。用防爆泵转移至槽车或专用收集器内，回收或运至废物处理场所处置。</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8416" w:type="dxa"/>
                  <w:gridSpan w:val="6"/>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宋体" w:hAnsi="宋体" w:eastAsiaTheme="minorEastAsia"/>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储存注意事项</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8416" w:type="dxa"/>
                  <w:gridSpan w:val="6"/>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宋体" w:hAnsi="宋体" w:eastAsiaTheme="minorEastAsia"/>
                      <w:b/>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储存于阴凉、通风的库房。远离火种、热源。库温不宜超过30℃。保持容器密封。应与氧化剂、酸类、碱金属、胺类等分开存放，切忌混储。采用防爆型照明、通风设施。禁止使用易产生火花的机械设备和工具。储区应备有泄漏应急处理设备和合适的收容材料。</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8416" w:type="dxa"/>
                  <w:gridSpan w:val="6"/>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宋体" w:hAnsi="宋体" w:eastAsiaTheme="minorEastAsia"/>
                      <w:b/>
                      <w:bCs/>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包装方法</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8416" w:type="dxa"/>
                  <w:gridSpan w:val="6"/>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宋体" w:hAnsi="宋体" w:eastAsiaTheme="minorEastAsia"/>
                      <w:b/>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小开口钢桶；小开口铝桶；安瓿瓶外普通木箱；螺纹口玻璃瓶、铁盖压口玻璃瓶、塑料瓶或金属桶（罐）外普通木箱。</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8416" w:type="dxa"/>
                  <w:gridSpan w:val="6"/>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宋体" w:hAnsi="宋体" w:eastAsiaTheme="minorEastAsia"/>
                      <w:color w:val="000000" w:themeColor="text1"/>
                      <w:sz w:val="18"/>
                      <w:szCs w:val="18"/>
                      <w14:textFill>
                        <w14:solidFill>
                          <w14:schemeClr w14:val="tx1"/>
                        </w14:solidFill>
                      </w14:textFill>
                    </w:rPr>
                  </w:pPr>
                  <w:r>
                    <w:rPr>
                      <w:rFonts w:hint="eastAsia" w:ascii="宋体" w:hAnsi="宋体"/>
                      <w:b/>
                      <w:bCs/>
                      <w:color w:val="000000" w:themeColor="text1"/>
                      <w:sz w:val="18"/>
                      <w:szCs w:val="18"/>
                      <w14:textFill>
                        <w14:solidFill>
                          <w14:schemeClr w14:val="tx1"/>
                        </w14:solidFill>
                      </w14:textFill>
                    </w:rPr>
                    <w:t>运输注意事项</w:t>
                  </w:r>
                </w:p>
              </w:tc>
            </w:tr>
            <w:tr>
              <w:tblPrEx>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CellMar>
                  <w:top w:w="0" w:type="dxa"/>
                  <w:left w:w="108" w:type="dxa"/>
                  <w:bottom w:w="0" w:type="dxa"/>
                  <w:right w:w="108" w:type="dxa"/>
                </w:tblCellMar>
              </w:tblPrEx>
              <w:trPr>
                <w:cantSplit/>
                <w:trHeight w:val="113" w:hRule="atLeast"/>
                <w:jc w:val="center"/>
              </w:trPr>
              <w:tc>
                <w:tcPr>
                  <w:tcW w:w="8416" w:type="dxa"/>
                  <w:gridSpan w:val="6"/>
                  <w:tcBorders>
                    <w:top w:val="single" w:color="auto" w:sz="4" w:space="0"/>
                    <w:left w:val="single" w:color="auto" w:sz="4" w:space="0"/>
                    <w:bottom w:val="single" w:color="auto" w:sz="4" w:space="0"/>
                    <w:right w:val="single" w:color="auto" w:sz="4" w:space="0"/>
                  </w:tcBorders>
                  <w:tcMar>
                    <w:top w:w="57" w:type="dxa"/>
                    <w:left w:w="57" w:type="dxa"/>
                    <w:bottom w:w="57" w:type="dxa"/>
                    <w:right w:w="57" w:type="dxa"/>
                  </w:tcMar>
                </w:tcPr>
                <w:p>
                  <w:pPr>
                    <w:textAlignment w:val="center"/>
                    <w:rPr>
                      <w:rFonts w:ascii="宋体" w:hAnsi="宋体" w:eastAsiaTheme="minorEastAsia"/>
                      <w:b/>
                      <w:bCs/>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本品铁路运输时限使用钢制企业自备罐车装运，装运前需报有关部门批准。运输时运输车辆应配备相应品种和数量的消防器材及泄漏应急处理设备。夏季最好早晚运输。运输时所用的槽（罐）车应有接地链，槽内可设孔隔板以减少震荡产生静电。严禁与氧化剂、酸类、碱金属、胺类、食用化学品等混装混运。运输途中应防曝晒、雨淋，防高温。中途停留时应远离火种、热源、高温区。装运该物品的车辆排气管必须配备阻火装置，禁止使用易产生火花的机械设备和工具装卸。公路运输时要按规定路线行驶，勿在居民区和人口稠密区停留。铁路运输时要禁止溜放。严禁用木船、水泥船散装运输。</w:t>
                  </w:r>
                </w:p>
              </w:tc>
            </w:tr>
          </w:tbl>
          <w:p>
            <w:pPr>
              <w:pStyle w:val="55"/>
              <w:spacing w:line="360" w:lineRule="auto"/>
              <w:ind w:firstLine="420" w:firstLineChars="200"/>
              <w:jc w:val="both"/>
              <w:rPr>
                <w:rFonts w:ascii="Times New Roman" w:cs="Times New Roman"/>
                <w:color w:val="000000" w:themeColor="text1"/>
                <w:kern w:val="2"/>
                <w:sz w:val="21"/>
                <w:szCs w:val="21"/>
                <w14:textFill>
                  <w14:solidFill>
                    <w14:schemeClr w14:val="tx1"/>
                  </w14:solidFill>
                </w14:textFill>
              </w:rPr>
            </w:pPr>
            <w:r>
              <w:rPr>
                <w:rFonts w:ascii="Times New Roman" w:cs="Times New Roman"/>
                <w:color w:val="000000" w:themeColor="text1"/>
                <w:kern w:val="2"/>
                <w:sz w:val="21"/>
                <w:szCs w:val="21"/>
                <w14:textFill>
                  <w14:solidFill>
                    <w14:schemeClr w14:val="tx1"/>
                  </w14:solidFill>
                </w14:textFill>
              </w:rPr>
              <w:t>危险物质分布：本项目主要风险物质为84消毒液</w:t>
            </w:r>
            <w:r>
              <w:rPr>
                <w:rFonts w:hint="eastAsia" w:ascii="Times New Roman" w:cs="Times New Roman"/>
                <w:color w:val="000000" w:themeColor="text1"/>
                <w:kern w:val="2"/>
                <w:sz w:val="21"/>
                <w:szCs w:val="21"/>
                <w14:textFill>
                  <w14:solidFill>
                    <w14:schemeClr w14:val="tx1"/>
                  </w14:solidFill>
                </w14:textFill>
              </w:rPr>
              <w:t>、75%酒精</w:t>
            </w:r>
            <w:r>
              <w:rPr>
                <w:rFonts w:ascii="Times New Roman" w:cs="Times New Roman"/>
                <w:color w:val="000000" w:themeColor="text1"/>
                <w:kern w:val="2"/>
                <w:sz w:val="21"/>
                <w:szCs w:val="21"/>
                <w14:textFill>
                  <w14:solidFill>
                    <w14:schemeClr w14:val="tx1"/>
                  </w14:solidFill>
                </w14:textFill>
              </w:rPr>
              <w:t>，贮存位置为仓库，位于园区东北部，最大暂存量为</w:t>
            </w:r>
            <w:r>
              <w:rPr>
                <w:rFonts w:hint="eastAsia" w:ascii="Times New Roman" w:cs="Times New Roman"/>
                <w:color w:val="000000" w:themeColor="text1"/>
                <w:kern w:val="2"/>
                <w:sz w:val="21"/>
                <w:szCs w:val="21"/>
                <w14:textFill>
                  <w14:solidFill>
                    <w14:schemeClr w14:val="tx1"/>
                  </w14:solidFill>
                </w14:textFill>
              </w:rPr>
              <w:t>84消毒液</w:t>
            </w:r>
            <w:r>
              <w:rPr>
                <w:rFonts w:ascii="Times New Roman" w:cs="Times New Roman"/>
                <w:color w:val="000000" w:themeColor="text1"/>
                <w:kern w:val="2"/>
                <w:sz w:val="21"/>
                <w:szCs w:val="21"/>
                <w14:textFill>
                  <w14:solidFill>
                    <w14:schemeClr w14:val="tx1"/>
                  </w14:solidFill>
                </w14:textFill>
              </w:rPr>
              <w:t>100瓶（0.04t）</w:t>
            </w:r>
            <w:r>
              <w:rPr>
                <w:rFonts w:hint="eastAsia" w:ascii="Times New Roman" w:cs="Times New Roman"/>
                <w:color w:val="000000" w:themeColor="text1"/>
                <w:kern w:val="2"/>
                <w:sz w:val="21"/>
                <w:szCs w:val="21"/>
                <w14:textFill>
                  <w14:solidFill>
                    <w14:schemeClr w14:val="tx1"/>
                  </w14:solidFill>
                </w14:textFill>
              </w:rPr>
              <w:t>、75%酒精500瓶（0.2t）</w:t>
            </w:r>
            <w:r>
              <w:rPr>
                <w:rFonts w:ascii="Times New Roman" w:cs="Times New Roman"/>
                <w:color w:val="000000" w:themeColor="text1"/>
                <w:kern w:val="2"/>
                <w:sz w:val="21"/>
                <w:szCs w:val="21"/>
                <w14:textFill>
                  <w14:solidFill>
                    <w14:schemeClr w14:val="tx1"/>
                  </w14:solidFill>
                </w14:textFill>
              </w:rPr>
              <w:t>。</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84消毒液</w:t>
            </w:r>
            <w:r>
              <w:rPr>
                <w:rFonts w:hint="eastAsia"/>
                <w:color w:val="000000" w:themeColor="text1"/>
                <w:szCs w:val="21"/>
                <w14:textFill>
                  <w14:solidFill>
                    <w14:schemeClr w14:val="tx1"/>
                  </w14:solidFill>
                </w14:textFill>
              </w:rPr>
              <w:t>、75%酒精</w:t>
            </w:r>
            <w:r>
              <w:rPr>
                <w:color w:val="000000" w:themeColor="text1"/>
                <w:szCs w:val="21"/>
                <w14:textFill>
                  <w14:solidFill>
                    <w14:schemeClr w14:val="tx1"/>
                  </w14:solidFill>
                </w14:textFill>
              </w:rPr>
              <w:t>贮存过程中发生泄漏事故，如不能得到有效控制溢流至外部环境，可能污染周围土壤及地表水、地下水环境；若遇火灾事故可能会产生有毒烟气，污染周围大气环境。</w:t>
            </w:r>
          </w:p>
          <w:p>
            <w:pPr>
              <w:spacing w:line="360" w:lineRule="auto"/>
              <w:ind w:firstLine="420" w:firstLineChars="200"/>
              <w:rPr>
                <w:color w:val="000000" w:themeColor="text1"/>
                <w:szCs w:val="21"/>
                <w:lang w:val="zh-CN"/>
                <w14:textFill>
                  <w14:solidFill>
                    <w14:schemeClr w14:val="tx1"/>
                  </w14:solidFill>
                </w14:textFill>
              </w:rPr>
            </w:pPr>
            <w:r>
              <w:rPr>
                <w:color w:val="000000" w:themeColor="text1"/>
                <w:szCs w:val="21"/>
                <w:lang w:val="zh-CN"/>
                <w14:textFill>
                  <w14:solidFill>
                    <w14:schemeClr w14:val="tx1"/>
                  </w14:solidFill>
                </w14:textFill>
              </w:rPr>
              <w:t>医疗垃圾中可能存在传染性病菌、病毒、化学污染物等有害物质，由于医疗垃圾具有空间污染、急性传染和潜伏性污染等特征，其病毒、病菌的危害性是普通生活垃圾的几十、几百甚至上千倍，且基本没有回收再利用的价值。在国外，医疗垃圾被视为“顶级危险”和“致命杀手”。据检测，医疗垃圾中存在着大量的病菌、病毒等，如乙肝表面抗原阳性率在未经浓缩的样品中为7.42%，医疗垃圾的阳性率则高达 8.9%。有关资料证实，医疗垃圾引起的交叉感染占社会交叉感染率的 20%。在我国早已将其列为头号危险废物。</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lang w:val="zh-CN"/>
                <w14:textFill>
                  <w14:solidFill>
                    <w14:schemeClr w14:val="tx1"/>
                  </w14:solidFill>
                </w14:textFill>
              </w:rPr>
              <w:t>医疗垃圾残留及衍生的大量病菌是十分有害有毒的物质，如果不经分类收集、临时储存等有效处理的话，很容易引起各种疾病的传播和蔓延；医疗废物在运输过程中如不加强管理，造成医疗废物的泄露，会对沿途居住人群的健康造成影响。</w:t>
            </w:r>
          </w:p>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本项目环境风险类型及危害具体详见下表：</w:t>
            </w:r>
          </w:p>
          <w:p>
            <w:pPr>
              <w:spacing w:line="360" w:lineRule="auto"/>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表4-2</w:t>
            </w:r>
            <w:r>
              <w:rPr>
                <w:rFonts w:hint="eastAsia"/>
                <w:b/>
                <w:color w:val="000000" w:themeColor="text1"/>
                <w:szCs w:val="21"/>
                <w14:textFill>
                  <w14:solidFill>
                    <w14:schemeClr w14:val="tx1"/>
                  </w14:solidFill>
                </w14:textFill>
              </w:rPr>
              <w:t>2</w:t>
            </w:r>
            <w:r>
              <w:rPr>
                <w:b/>
                <w:color w:val="000000" w:themeColor="text1"/>
                <w:szCs w:val="21"/>
                <w14:textFill>
                  <w14:solidFill>
                    <w14:schemeClr w14:val="tx1"/>
                  </w14:solidFill>
                </w14:textFill>
              </w:rPr>
              <w:t xml:space="preserve">  环境风险类型及危害分析表</w:t>
            </w:r>
          </w:p>
          <w:tbl>
            <w:tblPr>
              <w:tblStyle w:val="2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345"/>
              <w:gridCol w:w="2395"/>
              <w:gridCol w:w="2114"/>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93" w:type="pc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风险类型</w:t>
                  </w:r>
                </w:p>
              </w:tc>
              <w:tc>
                <w:tcPr>
                  <w:tcW w:w="1423" w:type="pc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影响途径</w:t>
                  </w:r>
                </w:p>
              </w:tc>
              <w:tc>
                <w:tcPr>
                  <w:tcW w:w="1256" w:type="pc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影响方式</w:t>
                  </w:r>
                </w:p>
              </w:tc>
              <w:tc>
                <w:tcPr>
                  <w:tcW w:w="926" w:type="pc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危害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93" w:type="pct"/>
                  <w:vMerge w:val="restart"/>
                  <w:tcBorders>
                    <w:top w:val="single" w:color="000000" w:sz="4" w:space="0"/>
                    <w:left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84消毒液</w:t>
                  </w:r>
                  <w:r>
                    <w:rPr>
                      <w:rFonts w:hint="eastAsia"/>
                      <w:color w:val="000000" w:themeColor="text1"/>
                      <w:szCs w:val="21"/>
                      <w14:textFill>
                        <w14:solidFill>
                          <w14:schemeClr w14:val="tx1"/>
                        </w14:solidFill>
                      </w14:textFill>
                    </w:rPr>
                    <w:t>、75%酒精</w:t>
                  </w:r>
                  <w:r>
                    <w:rPr>
                      <w:color w:val="000000" w:themeColor="text1"/>
                      <w:szCs w:val="21"/>
                      <w14:textFill>
                        <w14:solidFill>
                          <w14:schemeClr w14:val="tx1"/>
                        </w14:solidFill>
                      </w14:textFill>
                    </w:rPr>
                    <w:t>泄漏</w:t>
                  </w:r>
                </w:p>
              </w:tc>
              <w:tc>
                <w:tcPr>
                  <w:tcW w:w="1423" w:type="pc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大气污染</w:t>
                  </w:r>
                </w:p>
              </w:tc>
              <w:tc>
                <w:tcPr>
                  <w:tcW w:w="1256" w:type="pc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大气扩散</w:t>
                  </w:r>
                </w:p>
              </w:tc>
              <w:tc>
                <w:tcPr>
                  <w:tcW w:w="926" w:type="pct"/>
                  <w:vMerge w:val="restart"/>
                  <w:tcBorders>
                    <w:top w:val="single" w:color="000000" w:sz="4" w:space="0"/>
                    <w:left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污染大气、水体、周边土壤，造成人员伤害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93" w:type="pct"/>
                  <w:vMerge w:val="continue"/>
                  <w:tcBorders>
                    <w:top w:val="single" w:color="000000" w:sz="4" w:space="0"/>
                    <w:left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423" w:type="pc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地表水、地下水污染</w:t>
                  </w:r>
                </w:p>
              </w:tc>
              <w:tc>
                <w:tcPr>
                  <w:tcW w:w="1256" w:type="pc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地表径流、下渗</w:t>
                  </w:r>
                </w:p>
              </w:tc>
              <w:tc>
                <w:tcPr>
                  <w:tcW w:w="926" w:type="pct"/>
                  <w:vMerge w:val="continue"/>
                  <w:tcBorders>
                    <w:top w:val="single" w:color="000000" w:sz="4" w:space="0"/>
                    <w:left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93" w:type="pct"/>
                  <w:vMerge w:val="continue"/>
                  <w:tcBorders>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423" w:type="pc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土壤污染</w:t>
                  </w:r>
                </w:p>
              </w:tc>
              <w:tc>
                <w:tcPr>
                  <w:tcW w:w="1256" w:type="pc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下渗</w:t>
                  </w:r>
                </w:p>
              </w:tc>
              <w:tc>
                <w:tcPr>
                  <w:tcW w:w="926" w:type="pct"/>
                  <w:vMerge w:val="continue"/>
                  <w:tcBorders>
                    <w:left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93" w:type="pct"/>
                  <w:vMerge w:val="restart"/>
                  <w:tcBorders>
                    <w:left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14:textFill>
                        <w14:solidFill>
                          <w14:schemeClr w14:val="tx1"/>
                        </w14:solidFill>
                      </w14:textFill>
                    </w:rPr>
                    <w:t>医疗废物</w:t>
                  </w:r>
                  <w:r>
                    <w:rPr>
                      <w:rFonts w:hint="eastAsia"/>
                      <w:color w:val="000000" w:themeColor="text1"/>
                      <w14:textFill>
                        <w14:solidFill>
                          <w14:schemeClr w14:val="tx1"/>
                        </w14:solidFill>
                      </w14:textFill>
                    </w:rPr>
                    <w:t>泄露</w:t>
                  </w:r>
                </w:p>
              </w:tc>
              <w:tc>
                <w:tcPr>
                  <w:tcW w:w="241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大气污染</w:t>
                  </w:r>
                </w:p>
              </w:tc>
              <w:tc>
                <w:tcPr>
                  <w:tcW w:w="213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大气扩散</w:t>
                  </w:r>
                </w:p>
              </w:tc>
              <w:tc>
                <w:tcPr>
                  <w:tcW w:w="926" w:type="pct"/>
                  <w:vMerge w:val="continue"/>
                  <w:tcBorders>
                    <w:left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93" w:type="pct"/>
                  <w:vMerge w:val="continue"/>
                  <w:tcBorders>
                    <w:left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241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地表水、地下水污染</w:t>
                  </w:r>
                </w:p>
              </w:tc>
              <w:tc>
                <w:tcPr>
                  <w:tcW w:w="213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地表径流、下渗</w:t>
                  </w:r>
                </w:p>
              </w:tc>
              <w:tc>
                <w:tcPr>
                  <w:tcW w:w="926" w:type="pct"/>
                  <w:vMerge w:val="continue"/>
                  <w:tcBorders>
                    <w:left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93" w:type="pct"/>
                  <w:vMerge w:val="continue"/>
                  <w:tcBorders>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2417"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土壤污染</w:t>
                  </w:r>
                </w:p>
              </w:tc>
              <w:tc>
                <w:tcPr>
                  <w:tcW w:w="2134" w:type="dxa"/>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下渗</w:t>
                  </w:r>
                </w:p>
              </w:tc>
              <w:tc>
                <w:tcPr>
                  <w:tcW w:w="926" w:type="pct"/>
                  <w:vMerge w:val="continue"/>
                  <w:tcBorders>
                    <w:left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93" w:type="pct"/>
                  <w:vMerge w:val="restar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火灾事故及伴生/次生污染事故</w:t>
                  </w:r>
                </w:p>
              </w:tc>
              <w:tc>
                <w:tcPr>
                  <w:tcW w:w="1423" w:type="pc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地表水、地下水污染</w:t>
                  </w:r>
                </w:p>
              </w:tc>
              <w:tc>
                <w:tcPr>
                  <w:tcW w:w="1256" w:type="pc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地表径流、下渗</w:t>
                  </w:r>
                </w:p>
              </w:tc>
              <w:tc>
                <w:tcPr>
                  <w:tcW w:w="926" w:type="pct"/>
                  <w:vMerge w:val="continue"/>
                  <w:tcBorders>
                    <w:left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9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423" w:type="pc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土壤污染</w:t>
                  </w:r>
                </w:p>
              </w:tc>
              <w:tc>
                <w:tcPr>
                  <w:tcW w:w="1256" w:type="pc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下渗</w:t>
                  </w:r>
                </w:p>
              </w:tc>
              <w:tc>
                <w:tcPr>
                  <w:tcW w:w="926" w:type="pct"/>
                  <w:vMerge w:val="continue"/>
                  <w:tcBorders>
                    <w:left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1393" w:type="pct"/>
                  <w:vMerge w:val="continue"/>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c>
                <w:tcPr>
                  <w:tcW w:w="1423" w:type="pc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大气污染</w:t>
                  </w:r>
                </w:p>
              </w:tc>
              <w:tc>
                <w:tcPr>
                  <w:tcW w:w="1256" w:type="pc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大气扩散</w:t>
                  </w:r>
                </w:p>
              </w:tc>
              <w:tc>
                <w:tcPr>
                  <w:tcW w:w="926" w:type="pct"/>
                  <w:vMerge w:val="continue"/>
                  <w:tcBorders>
                    <w:left w:val="single" w:color="000000" w:sz="4" w:space="0"/>
                    <w:bottom w:val="single" w:color="000000" w:sz="4" w:space="0"/>
                    <w:right w:val="single" w:color="000000" w:sz="4" w:space="0"/>
                  </w:tcBorders>
                  <w:vAlign w:val="center"/>
                </w:tcPr>
                <w:p>
                  <w:pPr>
                    <w:jc w:val="center"/>
                    <w:rPr>
                      <w:color w:val="000000" w:themeColor="text1"/>
                      <w:szCs w:val="21"/>
                      <w14:textFill>
                        <w14:solidFill>
                          <w14:schemeClr w14:val="tx1"/>
                        </w14:solidFill>
                      </w14:textFill>
                    </w:rPr>
                  </w:pPr>
                </w:p>
              </w:tc>
            </w:tr>
          </w:tbl>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3、环境风险分析</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（1）泄漏事故环境风险分析</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1）地表水：有毒有害物质进入水体环境的方式主要有两种情况，一是液体泄漏直接进入水体的情况，二是火灾时含有毒有害化学物质的消防水由于处理措施不当直接排入地表水系统，引起环境污染。</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2）地下水、土壤：液体泄漏、消防水漫流至非防渗区，会导致泄漏物料及消防水中的污染物对地下水、土壤环境造成影响。</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（2）火灾事故及伴生/次生污染事故环境风险分析</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在发生火灾事故处理过程中，可能会产生以下伴生/次生污染：燃烧烟气、有毒废气、热辐射以及消防污水。</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1）火灾燃烧烟气：火灾产生的浓烟会以火源为中心在一定范围内降落烟尘，火源上空局部气温、气压、能见度等会产生明显的变化，对局部大气环境（包括下风向大气环境）造成短期的影响。</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2）热辐射：易燃物品由于其遇热挥发和易于流散，不但燃烧速度快、燃烧面积太，而且放出大量的辐射热。</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3）有毒废气：易燃物品火灾时在放出大量辐射热的同时，还散发出大量的浓烟，它是由燃烧物质释放出的高温蒸汽和毒气，被分解的未燃物质和被火加热而带入上升气流中的空气和污染物质的混合物。它不但含有大量的热量，而且还含有蒸汽，有毒气体和弥散的固体微粒，对火场周围的人员生命安全造成危害、对周围的大气环境质量造成污染。</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4）事故消防污水：主要是发生事故情况下没有及时切换雨水收集管网阀门，事故消防污水将可能经雨水管排入附近水体，对水体水质及生态环境将产生一定的影响。火灾事故对周围大气环境影响会产生短期局部影响基本无法控制，因此，落实完善风险减缓措施，加强运行管理，是避免火灾爆炸环境风险事故的根本保障。</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4、环境风险防范措施</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（1）防止火灾事故的风险防范措施</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仓库内禁止吸烟、禁止明火，加强对仓库的管理和安全知识教育，增强防范意识，防止火灾发生；加强对用电设备管理，电线线路及设备线路定期进行检查，严禁乱拉乱接电源电器，严防电器线路引起火灾。</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项目在仓库设置相应的报警措施，并按照相关规定设置消防逃生系统，配备消防器材及备用应急电源。一旦发生意外，可立即采取应急措施，并通过安全通道疏散人群。平时注意加强对单位职工的安全教育，由医院管理人员定期组织进行安全用电、安全用气和相关消防知识教育，增强医院职工的安全意识和处理突发事件的能力。</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）防止泄漏事故的风险防范措施</w:t>
            </w:r>
          </w:p>
          <w:p>
            <w:p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本项目涉及的危险化学试剂主要为84消毒液、75%酒精，进货后存放在仓库中，根据需要发放到各科室使用。在贮存和使用危险化学品的过程中，应做到以下几点： </w:t>
            </w:r>
          </w:p>
          <w:p>
            <w:pPr>
              <w:spacing w:line="360" w:lineRule="auto"/>
              <w:ind w:firstLine="420" w:firstLineChars="200"/>
              <w:rPr>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①</w:t>
            </w:r>
            <w:r>
              <w:rPr>
                <w:color w:val="000000" w:themeColor="text1"/>
                <w:kern w:val="0"/>
                <w14:textFill>
                  <w14:solidFill>
                    <w14:schemeClr w14:val="tx1"/>
                  </w14:solidFill>
                </w14:textFill>
              </w:rPr>
              <w:t>贮存仓库必须配备有专业知识的技术人员，库房及场所应设专人管理，管理人员必须配备可靠的个人安全防护用品；</w:t>
            </w:r>
          </w:p>
          <w:p>
            <w:pPr>
              <w:spacing w:line="360" w:lineRule="auto"/>
              <w:ind w:firstLine="420" w:firstLineChars="200"/>
              <w:rPr>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②</w:t>
            </w:r>
            <w:r>
              <w:rPr>
                <w:color w:val="000000" w:themeColor="text1"/>
                <w:kern w:val="0"/>
                <w14:textFill>
                  <w14:solidFill>
                    <w14:schemeClr w14:val="tx1"/>
                  </w14:solidFill>
                </w14:textFill>
              </w:rPr>
              <w:t>原料入库时，应严格检验物品质量、数量、包装情况、有无泄漏。入库后应采取适当的养护措施，在贮存期内，定期检查，发现其品质变化、包装破损、渗漏、稳定剂短缺等，应及时处理；</w:t>
            </w:r>
          </w:p>
          <w:p>
            <w:pPr>
              <w:spacing w:line="360" w:lineRule="auto"/>
              <w:ind w:firstLine="420" w:firstLineChars="200"/>
              <w:rPr>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③</w:t>
            </w:r>
            <w:r>
              <w:rPr>
                <w:color w:val="000000" w:themeColor="text1"/>
                <w:kern w:val="0"/>
                <w14:textFill>
                  <w14:solidFill>
                    <w14:schemeClr w14:val="tx1"/>
                  </w14:solidFill>
                </w14:textFill>
              </w:rPr>
              <w:t>库房温度、湿度应严格控制、经常检查，发现变化及时调整。并配备相应灭火器；</w:t>
            </w:r>
          </w:p>
          <w:p>
            <w:pPr>
              <w:spacing w:line="360" w:lineRule="auto"/>
              <w:ind w:firstLine="420" w:firstLineChars="200"/>
              <w:rPr>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④</w:t>
            </w:r>
            <w:r>
              <w:rPr>
                <w:color w:val="000000" w:themeColor="text1"/>
                <w:kern w:val="0"/>
                <w14:textFill>
                  <w14:solidFill>
                    <w14:schemeClr w14:val="tx1"/>
                  </w14:solidFill>
                </w14:textFill>
              </w:rPr>
              <w:t>装卸和使用</w:t>
            </w:r>
            <w:r>
              <w:rPr>
                <w:rFonts w:hint="eastAsia"/>
                <w:color w:val="000000" w:themeColor="text1"/>
                <w:kern w:val="0"/>
                <w14:textFill>
                  <w14:solidFill>
                    <w14:schemeClr w14:val="tx1"/>
                  </w14:solidFill>
                </w14:textFill>
              </w:rPr>
              <w:t>风险物质</w:t>
            </w:r>
            <w:r>
              <w:rPr>
                <w:color w:val="000000" w:themeColor="text1"/>
                <w:kern w:val="0"/>
                <w14:textFill>
                  <w14:solidFill>
                    <w14:schemeClr w14:val="tx1"/>
                  </w14:solidFill>
                </w14:textFill>
              </w:rPr>
              <w:t>时，操作人员应根据危险性，穿戴相应的防护用品；</w:t>
            </w:r>
          </w:p>
          <w:p>
            <w:pPr>
              <w:spacing w:line="360" w:lineRule="auto"/>
              <w:ind w:firstLine="420" w:firstLineChars="200"/>
              <w:rPr>
                <w:color w:val="000000" w:themeColor="text1"/>
                <w:kern w:val="0"/>
                <w14:textFill>
                  <w14:solidFill>
                    <w14:schemeClr w14:val="tx1"/>
                  </w14:solidFill>
                </w14:textFill>
              </w:rPr>
            </w:pPr>
            <w:r>
              <w:rPr>
                <w:rFonts w:hint="eastAsia" w:ascii="宋体" w:hAnsi="宋体" w:cs="宋体"/>
                <w:color w:val="000000" w:themeColor="text1"/>
                <w:kern w:val="0"/>
                <w14:textFill>
                  <w14:solidFill>
                    <w14:schemeClr w14:val="tx1"/>
                  </w14:solidFill>
                </w14:textFill>
              </w:rPr>
              <w:t>⑤</w:t>
            </w:r>
            <w:r>
              <w:rPr>
                <w:color w:val="000000" w:themeColor="text1"/>
                <w:kern w:val="0"/>
                <w14:textFill>
                  <w14:solidFill>
                    <w14:schemeClr w14:val="tx1"/>
                  </w14:solidFill>
                </w14:textFill>
              </w:rPr>
              <w:t>使用</w:t>
            </w:r>
            <w:r>
              <w:rPr>
                <w:rFonts w:hint="eastAsia"/>
                <w:color w:val="000000" w:themeColor="text1"/>
                <w:kern w:val="0"/>
                <w14:textFill>
                  <w14:solidFill>
                    <w14:schemeClr w14:val="tx1"/>
                  </w14:solidFill>
                </w14:textFill>
              </w:rPr>
              <w:t>风险物质</w:t>
            </w:r>
            <w:r>
              <w:rPr>
                <w:color w:val="000000" w:themeColor="text1"/>
                <w:kern w:val="0"/>
                <w14:textFill>
                  <w14:solidFill>
                    <w14:schemeClr w14:val="tx1"/>
                  </w14:solidFill>
                </w14:textFill>
              </w:rPr>
              <w:t>的过程中，泄漏或渗漏的包装容器应迅速移至安全区域；</w:t>
            </w:r>
          </w:p>
          <w:p>
            <w:pPr>
              <w:spacing w:line="360" w:lineRule="auto"/>
              <w:ind w:firstLine="420"/>
              <w:rPr>
                <w:color w:val="000000" w:themeColor="text1"/>
                <w14:textFill>
                  <w14:solidFill>
                    <w14:schemeClr w14:val="tx1"/>
                  </w14:solidFill>
                </w14:textFill>
              </w:rPr>
            </w:pPr>
            <w:r>
              <w:rPr>
                <w:rFonts w:hint="eastAsia" w:ascii="宋体" w:hAnsi="宋体" w:cs="宋体"/>
                <w:color w:val="000000" w:themeColor="text1"/>
                <w:kern w:val="0"/>
                <w14:textFill>
                  <w14:solidFill>
                    <w14:schemeClr w14:val="tx1"/>
                  </w14:solidFill>
                </w14:textFill>
              </w:rPr>
              <w:t>⑥</w:t>
            </w:r>
            <w:r>
              <w:rPr>
                <w:color w:val="000000" w:themeColor="text1"/>
                <w:kern w:val="0"/>
                <w14:textFill>
                  <w14:solidFill>
                    <w14:schemeClr w14:val="tx1"/>
                  </w14:solidFill>
                </w14:textFill>
              </w:rPr>
              <w:t>应制定应急处理措施，应对意外突发事件。</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采取有效的防渗、防腐措施，避免渗漏污染土壤和水环境；加强对贮存场所的日常检查，及时发现、及时处理，防止跑、冒、滴、漏现象发生；完善管理体制，将风险管理纳入日常管理之中；提高职工风险意识，加强职工安全教育；制定完善可行的事故应急预案，并定期对预案进行演练。</w:t>
            </w:r>
          </w:p>
          <w:p>
            <w:pPr>
              <w:numPr>
                <w:ilvl w:val="0"/>
                <w:numId w:val="3"/>
              </w:numPr>
              <w:spacing w:line="360" w:lineRule="auto"/>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医疗废物泄露处置措施</w:t>
            </w:r>
          </w:p>
          <w:p>
            <w:pPr>
              <w:spacing w:line="360" w:lineRule="auto"/>
              <w:ind w:firstLine="420" w:firstLineChars="200"/>
              <w:rPr>
                <w:color w:val="000000" w:themeColor="text1"/>
                <w:kern w:val="0"/>
                <w:lang w:val="zh-CN"/>
                <w14:textFill>
                  <w14:solidFill>
                    <w14:schemeClr w14:val="tx1"/>
                  </w14:solidFill>
                </w14:textFill>
              </w:rPr>
            </w:pPr>
            <w:r>
              <w:rPr>
                <w:color w:val="000000" w:themeColor="text1"/>
                <w:kern w:val="0"/>
                <w:lang w:val="zh-CN"/>
                <w14:textFill>
                  <w14:solidFill>
                    <w14:schemeClr w14:val="tx1"/>
                  </w14:solidFill>
                </w14:textFill>
              </w:rPr>
              <w:t>该项目</w:t>
            </w:r>
            <w:r>
              <w:rPr>
                <w:rFonts w:hint="eastAsia"/>
                <w:color w:val="000000" w:themeColor="text1"/>
                <w:kern w:val="0"/>
                <w:lang w:val="zh-CN"/>
                <w14:textFill>
                  <w14:solidFill>
                    <w14:schemeClr w14:val="tx1"/>
                  </w14:solidFill>
                </w14:textFill>
              </w:rPr>
              <w:t>设置危废暂存间用于</w:t>
            </w:r>
            <w:r>
              <w:rPr>
                <w:color w:val="000000" w:themeColor="text1"/>
                <w:kern w:val="0"/>
                <w:lang w:val="zh-CN"/>
                <w14:textFill>
                  <w14:solidFill>
                    <w14:schemeClr w14:val="tx1"/>
                  </w14:solidFill>
                </w14:textFill>
              </w:rPr>
              <w:t>暂时贮存医疗废物，</w:t>
            </w:r>
            <w:r>
              <w:rPr>
                <w:rFonts w:hint="eastAsia"/>
                <w:color w:val="000000" w:themeColor="text1"/>
                <w:kern w:val="0"/>
                <w:lang w:val="zh-CN"/>
                <w14:textFill>
                  <w14:solidFill>
                    <w14:schemeClr w14:val="tx1"/>
                  </w14:solidFill>
                </w14:textFill>
              </w:rPr>
              <w:t>杜绝</w:t>
            </w:r>
            <w:r>
              <w:rPr>
                <w:color w:val="000000" w:themeColor="text1"/>
                <w:kern w:val="0"/>
                <w:lang w:val="zh-CN"/>
                <w14:textFill>
                  <w14:solidFill>
                    <w14:schemeClr w14:val="tx1"/>
                  </w14:solidFill>
                </w14:textFill>
              </w:rPr>
              <w:t>露天存放</w:t>
            </w:r>
            <w:r>
              <w:rPr>
                <w:rFonts w:hint="eastAsia"/>
                <w:color w:val="000000" w:themeColor="text1"/>
                <w:kern w:val="0"/>
                <w:lang w:val="zh-CN"/>
                <w14:textFill>
                  <w14:solidFill>
                    <w14:schemeClr w14:val="tx1"/>
                  </w14:solidFill>
                </w14:textFill>
              </w:rPr>
              <w:t>医疗废物行为</w:t>
            </w:r>
            <w:r>
              <w:rPr>
                <w:color w:val="000000" w:themeColor="text1"/>
                <w:kern w:val="0"/>
                <w:lang w:val="zh-CN"/>
                <w14:textFill>
                  <w14:solidFill>
                    <w14:schemeClr w14:val="tx1"/>
                  </w14:solidFill>
                </w14:textFill>
              </w:rPr>
              <w:t>；医疗废物暂时贮存的时间不得超过</w:t>
            </w:r>
            <w:r>
              <w:rPr>
                <w:rFonts w:hint="eastAsia"/>
                <w:color w:val="000000" w:themeColor="text1"/>
                <w:kern w:val="0"/>
                <w:lang w:val="zh-CN"/>
                <w14:textFill>
                  <w14:solidFill>
                    <w14:schemeClr w14:val="tx1"/>
                  </w14:solidFill>
                </w14:textFill>
              </w:rPr>
              <w:t>暂存时间要求</w:t>
            </w:r>
            <w:r>
              <w:rPr>
                <w:color w:val="000000" w:themeColor="text1"/>
                <w:kern w:val="0"/>
                <w:lang w:val="zh-CN"/>
                <w14:textFill>
                  <w14:solidFill>
                    <w14:schemeClr w14:val="tx1"/>
                  </w14:solidFill>
                </w14:textFill>
              </w:rPr>
              <w:t>，及时、有效地处理。因为在医疗废物储存过程中，会有恶臭产生。医院医疗废物暂存间内将医疗废物转交出去后，对暂存间内地面进行清洁和消毒处理，清洁消毒产生的废水排入院区污水处理站处理。</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4</w:t>
            </w:r>
            <w:r>
              <w:rPr>
                <w:color w:val="000000" w:themeColor="text1"/>
                <w14:textFill>
                  <w14:solidFill>
                    <w14:schemeClr w14:val="tx1"/>
                  </w14:solidFill>
                </w14:textFill>
              </w:rPr>
              <w:t>）泄漏应急处置措施</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迅速撤离泄漏污染区人员至安全区，并进行隔离，严格限制出入。建议应急处理人员戴自给正压式呼吸器，穿防酸碱工作服。不要直接接触泄漏物。尽可能切断泄漏源。小量泄漏：用砂土、蛭石或其它惰性材料吸收。大量泄漏：构筑围堤或挖坑收容。用泡沫覆盖，降低蒸气灾害。用泵转移至槽车或专用收集器内，回收或运至废物处理场所处置。</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5、环境风险结论</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项目在设计中应充分考虑各种危险因素和可能造成的危害，并采取相应的预防措施，在建设单位严格落实环评提出的各项防范措施和应急预案后，其环境风险可防可控。</w:t>
            </w:r>
          </w:p>
          <w:p>
            <w:pPr>
              <w:spacing w:line="360" w:lineRule="auto"/>
              <w:ind w:firstLine="422" w:firstLineChars="200"/>
              <w:rPr>
                <w:b/>
                <w:color w:val="000000" w:themeColor="text1"/>
                <w14:textFill>
                  <w14:solidFill>
                    <w14:schemeClr w14:val="tx1"/>
                  </w14:solidFill>
                </w14:textFill>
              </w:rPr>
            </w:pPr>
            <w:r>
              <w:rPr>
                <w:rFonts w:hint="eastAsia"/>
                <w:b/>
                <w:color w:val="000000" w:themeColor="text1"/>
                <w14:textFill>
                  <w14:solidFill>
                    <w14:schemeClr w14:val="tx1"/>
                  </w14:solidFill>
                </w14:textFill>
              </w:rPr>
              <w:t>九</w:t>
            </w:r>
            <w:r>
              <w:rPr>
                <w:b/>
                <w:color w:val="000000" w:themeColor="text1"/>
                <w14:textFill>
                  <w14:solidFill>
                    <w14:schemeClr w14:val="tx1"/>
                  </w14:solidFill>
                </w14:textFill>
              </w:rPr>
              <w:t>、电磁辐射</w:t>
            </w:r>
          </w:p>
          <w:p>
            <w:pPr>
              <w:spacing w:line="360" w:lineRule="auto"/>
              <w:ind w:firstLine="420"/>
              <w:rPr>
                <w:color w:val="000000" w:themeColor="text1"/>
                <w14:textFill>
                  <w14:solidFill>
                    <w14:schemeClr w14:val="tx1"/>
                  </w14:solidFill>
                </w14:textFill>
              </w:rPr>
            </w:pPr>
            <w:r>
              <w:rPr>
                <w:color w:val="000000" w:themeColor="text1"/>
                <w14:textFill>
                  <w14:solidFill>
                    <w14:schemeClr w14:val="tx1"/>
                  </w14:solidFill>
                </w14:textFill>
              </w:rPr>
              <w:t>本项目涉及的辐射设备，需要由建设单位另行委托有资质的单位进行环境影响评价， 故本项目不再单独对电磁辐射进行评价</w:t>
            </w:r>
          </w:p>
          <w:p>
            <w:pPr>
              <w:spacing w:line="360" w:lineRule="auto"/>
              <w:ind w:firstLine="420"/>
              <w:rPr>
                <w:color w:val="000000" w:themeColor="text1"/>
                <w14:textFill>
                  <w14:solidFill>
                    <w14:schemeClr w14:val="tx1"/>
                  </w14:solidFill>
                </w14:textFill>
              </w:rPr>
            </w:pPr>
          </w:p>
          <w:p>
            <w:pPr>
              <w:spacing w:line="360" w:lineRule="auto"/>
              <w:ind w:firstLine="420"/>
              <w:rPr>
                <w:color w:val="000000" w:themeColor="text1"/>
                <w14:textFill>
                  <w14:solidFill>
                    <w14:schemeClr w14:val="tx1"/>
                  </w14:solidFill>
                </w14:textFill>
              </w:rPr>
            </w:pPr>
          </w:p>
          <w:p>
            <w:pPr>
              <w:spacing w:line="360" w:lineRule="auto"/>
              <w:ind w:firstLine="420"/>
              <w:rPr>
                <w:color w:val="000000" w:themeColor="text1"/>
                <w14:textFill>
                  <w14:solidFill>
                    <w14:schemeClr w14:val="tx1"/>
                  </w14:solidFill>
                </w14:textFill>
              </w:rPr>
            </w:pPr>
          </w:p>
          <w:p>
            <w:pPr>
              <w:spacing w:line="360" w:lineRule="auto"/>
              <w:ind w:firstLine="420"/>
              <w:rPr>
                <w:color w:val="000000" w:themeColor="text1"/>
                <w14:textFill>
                  <w14:solidFill>
                    <w14:schemeClr w14:val="tx1"/>
                  </w14:solidFill>
                </w14:textFill>
              </w:rPr>
            </w:pPr>
          </w:p>
          <w:p>
            <w:pPr>
              <w:spacing w:line="360" w:lineRule="auto"/>
              <w:ind w:firstLine="420"/>
              <w:rPr>
                <w:color w:val="000000" w:themeColor="text1"/>
                <w14:textFill>
                  <w14:solidFill>
                    <w14:schemeClr w14:val="tx1"/>
                  </w14:solidFill>
                </w14:textFill>
              </w:rPr>
            </w:pPr>
          </w:p>
          <w:p>
            <w:pPr>
              <w:spacing w:line="360" w:lineRule="auto"/>
              <w:ind w:firstLine="420"/>
              <w:rPr>
                <w:color w:val="000000" w:themeColor="text1"/>
                <w14:textFill>
                  <w14:solidFill>
                    <w14:schemeClr w14:val="tx1"/>
                  </w14:solidFill>
                </w14:textFill>
              </w:rPr>
            </w:pPr>
          </w:p>
          <w:p>
            <w:pPr>
              <w:spacing w:line="360" w:lineRule="auto"/>
              <w:ind w:firstLine="420"/>
              <w:rPr>
                <w:color w:val="000000" w:themeColor="text1"/>
                <w14:textFill>
                  <w14:solidFill>
                    <w14:schemeClr w14:val="tx1"/>
                  </w14:solidFill>
                </w14:textFill>
              </w:rPr>
            </w:pPr>
          </w:p>
          <w:p>
            <w:pPr>
              <w:spacing w:line="360" w:lineRule="auto"/>
              <w:ind w:firstLine="420"/>
              <w:rPr>
                <w:color w:val="000000" w:themeColor="text1"/>
                <w14:textFill>
                  <w14:solidFill>
                    <w14:schemeClr w14:val="tx1"/>
                  </w14:solidFill>
                </w14:textFill>
              </w:rPr>
            </w:pPr>
          </w:p>
          <w:p>
            <w:pPr>
              <w:spacing w:line="360" w:lineRule="auto"/>
              <w:ind w:firstLine="420"/>
              <w:rPr>
                <w:color w:val="000000" w:themeColor="text1"/>
                <w14:textFill>
                  <w14:solidFill>
                    <w14:schemeClr w14:val="tx1"/>
                  </w14:solidFill>
                </w14:textFill>
              </w:rPr>
            </w:pPr>
          </w:p>
          <w:p>
            <w:pPr>
              <w:spacing w:line="360" w:lineRule="auto"/>
              <w:ind w:firstLine="420"/>
              <w:rPr>
                <w:color w:val="000000" w:themeColor="text1"/>
                <w14:textFill>
                  <w14:solidFill>
                    <w14:schemeClr w14:val="tx1"/>
                  </w14:solidFill>
                </w14:textFill>
              </w:rPr>
            </w:pPr>
          </w:p>
          <w:p>
            <w:pPr>
              <w:spacing w:line="360" w:lineRule="auto"/>
              <w:ind w:firstLine="420"/>
              <w:rPr>
                <w:color w:val="000000" w:themeColor="text1"/>
                <w14:textFill>
                  <w14:solidFill>
                    <w14:schemeClr w14:val="tx1"/>
                  </w14:solidFill>
                </w14:textFill>
              </w:rPr>
            </w:pPr>
          </w:p>
          <w:p>
            <w:pPr>
              <w:spacing w:line="360" w:lineRule="auto"/>
              <w:ind w:firstLine="420"/>
              <w:rPr>
                <w:color w:val="000000" w:themeColor="text1"/>
                <w14:textFill>
                  <w14:solidFill>
                    <w14:schemeClr w14:val="tx1"/>
                  </w14:solidFill>
                </w14:textFill>
              </w:rPr>
            </w:pPr>
          </w:p>
          <w:p>
            <w:pPr>
              <w:spacing w:line="360" w:lineRule="auto"/>
              <w:ind w:firstLine="420"/>
              <w:rPr>
                <w:color w:val="000000" w:themeColor="text1"/>
                <w14:textFill>
                  <w14:solidFill>
                    <w14:schemeClr w14:val="tx1"/>
                  </w14:solidFill>
                </w14:textFill>
              </w:rPr>
            </w:pPr>
          </w:p>
          <w:p>
            <w:pPr>
              <w:spacing w:line="360" w:lineRule="auto"/>
              <w:ind w:firstLine="420"/>
              <w:rPr>
                <w:color w:val="000000" w:themeColor="text1"/>
                <w14:textFill>
                  <w14:solidFill>
                    <w14:schemeClr w14:val="tx1"/>
                  </w14:solidFill>
                </w14:textFill>
              </w:rPr>
            </w:pPr>
          </w:p>
          <w:p>
            <w:pPr>
              <w:spacing w:line="360" w:lineRule="auto"/>
              <w:ind w:firstLine="420"/>
              <w:rPr>
                <w:color w:val="000000" w:themeColor="text1"/>
                <w14:textFill>
                  <w14:solidFill>
                    <w14:schemeClr w14:val="tx1"/>
                  </w14:solidFill>
                </w14:textFill>
              </w:rPr>
            </w:pPr>
          </w:p>
          <w:p>
            <w:pPr>
              <w:spacing w:line="360" w:lineRule="auto"/>
              <w:ind w:firstLine="420"/>
              <w:rPr>
                <w:color w:val="000000" w:themeColor="text1"/>
                <w14:textFill>
                  <w14:solidFill>
                    <w14:schemeClr w14:val="tx1"/>
                  </w14:solidFill>
                </w14:textFill>
              </w:rPr>
            </w:pPr>
          </w:p>
          <w:p>
            <w:pPr>
              <w:spacing w:line="360" w:lineRule="auto"/>
              <w:ind w:firstLine="420"/>
              <w:rPr>
                <w:color w:val="000000" w:themeColor="text1"/>
                <w14:textFill>
                  <w14:solidFill>
                    <w14:schemeClr w14:val="tx1"/>
                  </w14:solidFill>
                </w14:textFill>
              </w:rPr>
            </w:pPr>
          </w:p>
          <w:p>
            <w:pPr>
              <w:spacing w:line="360" w:lineRule="auto"/>
              <w:ind w:firstLine="420"/>
              <w:rPr>
                <w:color w:val="000000" w:themeColor="text1"/>
                <w14:textFill>
                  <w14:solidFill>
                    <w14:schemeClr w14:val="tx1"/>
                  </w14:solidFill>
                </w14:textFill>
              </w:rPr>
            </w:pPr>
          </w:p>
          <w:p>
            <w:pPr>
              <w:spacing w:line="360" w:lineRule="auto"/>
              <w:ind w:firstLine="420"/>
              <w:rPr>
                <w:color w:val="000000" w:themeColor="text1"/>
                <w14:textFill>
                  <w14:solidFill>
                    <w14:schemeClr w14:val="tx1"/>
                  </w14:solidFill>
                </w14:textFill>
              </w:rPr>
            </w:pPr>
          </w:p>
          <w:p>
            <w:pPr>
              <w:spacing w:line="360" w:lineRule="auto"/>
              <w:ind w:firstLine="420"/>
              <w:rPr>
                <w:color w:val="000000" w:themeColor="text1"/>
                <w14:textFill>
                  <w14:solidFill>
                    <w14:schemeClr w14:val="tx1"/>
                  </w14:solidFill>
                </w14:textFill>
              </w:rPr>
            </w:pPr>
          </w:p>
          <w:p>
            <w:pPr>
              <w:spacing w:line="360" w:lineRule="auto"/>
              <w:ind w:firstLine="420"/>
              <w:rPr>
                <w:color w:val="000000" w:themeColor="text1"/>
                <w14:textFill>
                  <w14:solidFill>
                    <w14:schemeClr w14:val="tx1"/>
                  </w14:solidFill>
                </w14:textFill>
              </w:rPr>
            </w:pPr>
          </w:p>
          <w:p>
            <w:pPr>
              <w:spacing w:line="360" w:lineRule="auto"/>
              <w:ind w:firstLine="420"/>
              <w:rPr>
                <w:color w:val="000000" w:themeColor="text1"/>
                <w14:textFill>
                  <w14:solidFill>
                    <w14:schemeClr w14:val="tx1"/>
                  </w14:solidFill>
                </w14:textFill>
              </w:rPr>
            </w:pPr>
          </w:p>
          <w:p>
            <w:pPr>
              <w:spacing w:line="360" w:lineRule="auto"/>
              <w:ind w:firstLine="420"/>
              <w:rPr>
                <w:color w:val="000000" w:themeColor="text1"/>
                <w14:textFill>
                  <w14:solidFill>
                    <w14:schemeClr w14:val="tx1"/>
                  </w14:solidFill>
                </w14:textFill>
              </w:rPr>
            </w:pPr>
          </w:p>
          <w:p>
            <w:pPr>
              <w:spacing w:line="360" w:lineRule="auto"/>
              <w:ind w:firstLine="420"/>
              <w:rPr>
                <w:color w:val="000000" w:themeColor="text1"/>
                <w14:textFill>
                  <w14:solidFill>
                    <w14:schemeClr w14:val="tx1"/>
                  </w14:solidFill>
                </w14:textFill>
              </w:rPr>
            </w:pPr>
          </w:p>
          <w:p>
            <w:pPr>
              <w:spacing w:line="360" w:lineRule="auto"/>
              <w:ind w:firstLine="420"/>
              <w:rPr>
                <w:color w:val="000000" w:themeColor="text1"/>
                <w14:textFill>
                  <w14:solidFill>
                    <w14:schemeClr w14:val="tx1"/>
                  </w14:solidFill>
                </w14:textFill>
              </w:rPr>
            </w:pPr>
          </w:p>
          <w:p>
            <w:pPr>
              <w:spacing w:line="360" w:lineRule="auto"/>
              <w:rPr>
                <w:bCs/>
                <w:color w:val="000000" w:themeColor="text1"/>
                <w:spacing w:val="-10"/>
                <w:szCs w:val="21"/>
                <w14:textFill>
                  <w14:solidFill>
                    <w14:schemeClr w14:val="tx1"/>
                  </w14:solidFill>
                </w14:textFill>
              </w:rPr>
            </w:pPr>
          </w:p>
        </w:tc>
      </w:tr>
    </w:tbl>
    <w:p>
      <w:pPr>
        <w:pStyle w:val="21"/>
        <w:jc w:val="both"/>
        <w:outlineLvl w:val="0"/>
        <w:rPr>
          <w:rFonts w:ascii="Times New Roman" w:hAnsi="Times New Roman" w:eastAsia="黑体"/>
          <w:snapToGrid w:val="0"/>
          <w:color w:val="000000" w:themeColor="text1"/>
          <w:sz w:val="30"/>
          <w:szCs w:val="30"/>
          <w14:textFill>
            <w14:solidFill>
              <w14:schemeClr w14:val="tx1"/>
            </w14:solidFill>
          </w14:textFill>
        </w:rPr>
        <w:sectPr>
          <w:pgSz w:w="11907" w:h="16840"/>
          <w:pgMar w:top="1701" w:right="1531" w:bottom="2127" w:left="1531" w:header="851" w:footer="851" w:gutter="0"/>
          <w:pgNumType w:fmt="numberInDash"/>
          <w:cols w:space="720" w:num="1"/>
          <w:docGrid w:linePitch="312" w:charSpace="0"/>
        </w:sectPr>
      </w:pPr>
    </w:p>
    <w:p>
      <w:pPr>
        <w:pStyle w:val="21"/>
        <w:jc w:val="center"/>
        <w:outlineLvl w:val="0"/>
        <w:rPr>
          <w:rFonts w:ascii="Times New Roman" w:hAnsi="Times New Roman" w:eastAsia="黑体"/>
          <w:snapToGrid w:val="0"/>
          <w:color w:val="000000" w:themeColor="text1"/>
          <w:sz w:val="30"/>
          <w:szCs w:val="30"/>
          <w14:textFill>
            <w14:solidFill>
              <w14:schemeClr w14:val="tx1"/>
            </w14:solidFill>
          </w14:textFill>
        </w:rPr>
      </w:pPr>
      <w:r>
        <w:rPr>
          <w:rFonts w:ascii="Times New Roman" w:hAnsi="Times New Roman" w:eastAsia="黑体"/>
          <w:snapToGrid w:val="0"/>
          <w:color w:val="000000" w:themeColor="text1"/>
          <w:sz w:val="30"/>
          <w:szCs w:val="30"/>
          <w14:textFill>
            <w14:solidFill>
              <w14:schemeClr w14:val="tx1"/>
            </w14:solidFill>
          </w14:textFill>
        </w:rPr>
        <w:t>五、</w:t>
      </w:r>
      <w:bookmarkStart w:id="8" w:name="_Hlk54167917"/>
      <w:r>
        <w:rPr>
          <w:rFonts w:ascii="Times New Roman" w:hAnsi="Times New Roman" w:eastAsia="黑体"/>
          <w:snapToGrid w:val="0"/>
          <w:color w:val="000000" w:themeColor="text1"/>
          <w:sz w:val="30"/>
          <w:szCs w:val="30"/>
          <w14:textFill>
            <w14:solidFill>
              <w14:schemeClr w14:val="tx1"/>
            </w14:solidFill>
          </w14:textFill>
        </w:rPr>
        <w:t>环境保护措施监督检查清单</w:t>
      </w:r>
      <w:bookmarkEnd w:id="8"/>
    </w:p>
    <w:tbl>
      <w:tblPr>
        <w:tblStyle w:val="24"/>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988"/>
        <w:gridCol w:w="1194"/>
        <w:gridCol w:w="2021"/>
        <w:gridCol w:w="33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7" w:type="dxa"/>
            <w:tcBorders>
              <w:tl2br w:val="single" w:color="auto" w:sz="4" w:space="0"/>
            </w:tcBorders>
          </w:tcPr>
          <w:p>
            <w:pPr>
              <w:adjustRightInd w:val="0"/>
              <w:snapToGrid w:val="0"/>
              <w:ind w:firstLine="840"/>
              <w:rPr>
                <w:color w:val="000000" w:themeColor="text1"/>
                <w:szCs w:val="21"/>
                <w14:textFill>
                  <w14:solidFill>
                    <w14:schemeClr w14:val="tx1"/>
                  </w14:solidFill>
                </w14:textFill>
              </w:rPr>
            </w:pPr>
            <w:r>
              <w:rPr>
                <w:color w:val="000000" w:themeColor="text1"/>
                <w:szCs w:val="21"/>
                <w14:textFill>
                  <w14:solidFill>
                    <w14:schemeClr w14:val="tx1"/>
                  </w14:solidFill>
                </w14:textFill>
              </w:rPr>
              <w:t>内容</w:t>
            </w:r>
          </w:p>
          <w:p>
            <w:pPr>
              <w:adjustRightInd w:val="0"/>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要素</w:t>
            </w:r>
          </w:p>
        </w:tc>
        <w:tc>
          <w:tcPr>
            <w:tcW w:w="98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排放口</w:t>
            </w:r>
          </w:p>
        </w:tc>
        <w:tc>
          <w:tcPr>
            <w:tcW w:w="1194"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污染物项目</w:t>
            </w:r>
          </w:p>
        </w:tc>
        <w:tc>
          <w:tcPr>
            <w:tcW w:w="2021"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环境保护措施</w:t>
            </w:r>
          </w:p>
        </w:tc>
        <w:tc>
          <w:tcPr>
            <w:tcW w:w="333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大气环境</w:t>
            </w:r>
          </w:p>
        </w:tc>
        <w:tc>
          <w:tcPr>
            <w:tcW w:w="988" w:type="dxa"/>
            <w:vMerge w:val="restart"/>
            <w:vAlign w:val="center"/>
          </w:tcPr>
          <w:p>
            <w:pPr>
              <w:jc w:val="center"/>
              <w:rPr>
                <w:bCs/>
                <w:color w:val="000000" w:themeColor="text1"/>
                <w:szCs w:val="21"/>
                <w14:textFill>
                  <w14:solidFill>
                    <w14:schemeClr w14:val="tx1"/>
                  </w14:solidFill>
                </w14:textFill>
              </w:rPr>
            </w:pPr>
            <w:r>
              <w:rPr>
                <w:color w:val="000000" w:themeColor="text1"/>
                <w:szCs w:val="21"/>
                <w14:textFill>
                  <w14:solidFill>
                    <w14:schemeClr w14:val="tx1"/>
                  </w14:solidFill>
                </w14:textFill>
              </w:rPr>
              <w:t>污水站周界</w:t>
            </w:r>
          </w:p>
        </w:tc>
        <w:tc>
          <w:tcPr>
            <w:tcW w:w="1194"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NH</w:t>
            </w:r>
            <w:r>
              <w:rPr>
                <w:color w:val="000000" w:themeColor="text1"/>
                <w:szCs w:val="21"/>
                <w:vertAlign w:val="subscript"/>
                <w14:textFill>
                  <w14:solidFill>
                    <w14:schemeClr w14:val="tx1"/>
                  </w14:solidFill>
                </w14:textFill>
              </w:rPr>
              <w:t>3</w:t>
            </w:r>
          </w:p>
        </w:tc>
        <w:tc>
          <w:tcPr>
            <w:tcW w:w="2021" w:type="dxa"/>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采用地埋式污水站，加盖密闭，投放除臭剂</w:t>
            </w:r>
          </w:p>
        </w:tc>
        <w:tc>
          <w:tcPr>
            <w:tcW w:w="3330" w:type="dxa"/>
            <w:vMerge w:val="restart"/>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《山东省医疗机构污染物排放控制标准》（DB37/596-2020）中表2（氨0.2mg/m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、硫化氢0.02mg/m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，臭气浓度10无量纲）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continue"/>
            <w:vAlign w:val="center"/>
          </w:tcPr>
          <w:p>
            <w:pPr>
              <w:adjustRightInd w:val="0"/>
              <w:snapToGrid w:val="0"/>
              <w:jc w:val="center"/>
              <w:rPr>
                <w:color w:val="000000" w:themeColor="text1"/>
                <w:szCs w:val="21"/>
                <w14:textFill>
                  <w14:solidFill>
                    <w14:schemeClr w14:val="tx1"/>
                  </w14:solidFill>
                </w14:textFill>
              </w:rPr>
            </w:pPr>
          </w:p>
        </w:tc>
        <w:tc>
          <w:tcPr>
            <w:tcW w:w="988" w:type="dxa"/>
            <w:vMerge w:val="continue"/>
            <w:vAlign w:val="center"/>
          </w:tcPr>
          <w:p>
            <w:pPr>
              <w:jc w:val="center"/>
              <w:rPr>
                <w:bCs/>
                <w:color w:val="000000" w:themeColor="text1"/>
                <w:szCs w:val="21"/>
                <w14:textFill>
                  <w14:solidFill>
                    <w14:schemeClr w14:val="tx1"/>
                  </w14:solidFill>
                </w14:textFill>
              </w:rPr>
            </w:pPr>
          </w:p>
        </w:tc>
        <w:tc>
          <w:tcPr>
            <w:tcW w:w="1194"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H</w:t>
            </w:r>
            <w:r>
              <w:rPr>
                <w:color w:val="000000" w:themeColor="text1"/>
                <w:szCs w:val="21"/>
                <w:vertAlign w:val="subscript"/>
                <w14:textFill>
                  <w14:solidFill>
                    <w14:schemeClr w14:val="tx1"/>
                  </w14:solidFill>
                </w14:textFill>
              </w:rPr>
              <w:t>2</w:t>
            </w:r>
            <w:r>
              <w:rPr>
                <w:color w:val="000000" w:themeColor="text1"/>
                <w:szCs w:val="21"/>
                <w14:textFill>
                  <w14:solidFill>
                    <w14:schemeClr w14:val="tx1"/>
                  </w14:solidFill>
                </w14:textFill>
              </w:rPr>
              <w:t>S</w:t>
            </w:r>
          </w:p>
        </w:tc>
        <w:tc>
          <w:tcPr>
            <w:tcW w:w="2021" w:type="dxa"/>
            <w:vMerge w:val="continue"/>
            <w:vAlign w:val="center"/>
          </w:tcPr>
          <w:p>
            <w:pPr>
              <w:adjustRightInd w:val="0"/>
              <w:snapToGrid w:val="0"/>
              <w:jc w:val="center"/>
              <w:rPr>
                <w:color w:val="000000" w:themeColor="text1"/>
                <w:szCs w:val="21"/>
                <w14:textFill>
                  <w14:solidFill>
                    <w14:schemeClr w14:val="tx1"/>
                  </w14:solidFill>
                </w14:textFill>
              </w:rPr>
            </w:pPr>
          </w:p>
        </w:tc>
        <w:tc>
          <w:tcPr>
            <w:tcW w:w="3330" w:type="dxa"/>
            <w:vMerge w:val="continue"/>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7" w:type="dxa"/>
            <w:vMerge w:val="continue"/>
            <w:vAlign w:val="center"/>
          </w:tcPr>
          <w:p>
            <w:pPr>
              <w:adjustRightInd w:val="0"/>
              <w:snapToGrid w:val="0"/>
              <w:jc w:val="center"/>
              <w:rPr>
                <w:color w:val="000000" w:themeColor="text1"/>
                <w:szCs w:val="21"/>
                <w14:textFill>
                  <w14:solidFill>
                    <w14:schemeClr w14:val="tx1"/>
                  </w14:solidFill>
                </w14:textFill>
              </w:rPr>
            </w:pPr>
          </w:p>
        </w:tc>
        <w:tc>
          <w:tcPr>
            <w:tcW w:w="988" w:type="dxa"/>
            <w:vMerge w:val="continue"/>
            <w:vAlign w:val="center"/>
          </w:tcPr>
          <w:p>
            <w:pPr>
              <w:jc w:val="center"/>
              <w:rPr>
                <w:bCs/>
                <w:color w:val="000000" w:themeColor="text1"/>
                <w:szCs w:val="21"/>
                <w14:textFill>
                  <w14:solidFill>
                    <w14:schemeClr w14:val="tx1"/>
                  </w14:solidFill>
                </w14:textFill>
              </w:rPr>
            </w:pPr>
          </w:p>
        </w:tc>
        <w:tc>
          <w:tcPr>
            <w:tcW w:w="1194"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臭气浓度</w:t>
            </w:r>
          </w:p>
        </w:tc>
        <w:tc>
          <w:tcPr>
            <w:tcW w:w="2021" w:type="dxa"/>
            <w:vMerge w:val="continue"/>
            <w:vAlign w:val="center"/>
          </w:tcPr>
          <w:p>
            <w:pPr>
              <w:adjustRightInd w:val="0"/>
              <w:snapToGrid w:val="0"/>
              <w:jc w:val="center"/>
              <w:rPr>
                <w:color w:val="000000" w:themeColor="text1"/>
                <w:szCs w:val="21"/>
                <w14:textFill>
                  <w14:solidFill>
                    <w14:schemeClr w14:val="tx1"/>
                  </w14:solidFill>
                </w14:textFill>
              </w:rPr>
            </w:pPr>
          </w:p>
        </w:tc>
        <w:tc>
          <w:tcPr>
            <w:tcW w:w="3330" w:type="dxa"/>
            <w:vMerge w:val="continue"/>
            <w:vAlign w:val="center"/>
          </w:tcPr>
          <w:p>
            <w:pPr>
              <w:adjustRightInd w:val="0"/>
              <w:snapToGrid w:val="0"/>
              <w:jc w:val="center"/>
              <w:rPr>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27"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地表水环境</w:t>
            </w:r>
          </w:p>
        </w:tc>
        <w:tc>
          <w:tcPr>
            <w:tcW w:w="98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DW001</w:t>
            </w:r>
          </w:p>
        </w:tc>
        <w:tc>
          <w:tcPr>
            <w:tcW w:w="1194"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CODcr、BOD</w:t>
            </w:r>
            <w:r>
              <w:rPr>
                <w:color w:val="000000" w:themeColor="text1"/>
                <w:szCs w:val="21"/>
                <w:vertAlign w:val="subscript"/>
                <w14:textFill>
                  <w14:solidFill>
                    <w14:schemeClr w14:val="tx1"/>
                  </w14:solidFill>
                </w14:textFill>
              </w:rPr>
              <w:t>5</w:t>
            </w:r>
            <w:r>
              <w:rPr>
                <w:color w:val="000000" w:themeColor="text1"/>
                <w:szCs w:val="21"/>
                <w14:textFill>
                  <w14:solidFill>
                    <w14:schemeClr w14:val="tx1"/>
                  </w14:solidFill>
                </w14:textFill>
              </w:rPr>
              <w:t xml:space="preserve"> 、氨氮、SS</w:t>
            </w:r>
            <w:r>
              <w:rPr>
                <w:rFonts w:hint="eastAsia"/>
                <w:color w:val="000000" w:themeColor="text1"/>
                <w:szCs w:val="21"/>
                <w14:textFill>
                  <w14:solidFill>
                    <w14:schemeClr w14:val="tx1"/>
                  </w14:solidFill>
                </w14:textFill>
              </w:rPr>
              <w:t>、粪</w:t>
            </w:r>
            <w:r>
              <w:rPr>
                <w:color w:val="000000" w:themeColor="text1"/>
                <w:szCs w:val="21"/>
                <w14:textFill>
                  <w14:solidFill>
                    <w14:schemeClr w14:val="tx1"/>
                  </w14:solidFill>
                </w14:textFill>
              </w:rPr>
              <w:t>大肠菌群</w:t>
            </w:r>
            <w:r>
              <w:rPr>
                <w:rFonts w:hint="eastAsia"/>
                <w:color w:val="000000" w:themeColor="text1"/>
                <w:szCs w:val="21"/>
                <w14:textFill>
                  <w14:solidFill>
                    <w14:schemeClr w14:val="tx1"/>
                  </w14:solidFill>
                </w14:textFill>
              </w:rPr>
              <w:t>、总磷、阴离子表面活性剂、余氯、氟化物等</w:t>
            </w:r>
          </w:p>
        </w:tc>
        <w:tc>
          <w:tcPr>
            <w:tcW w:w="2021" w:type="dxa"/>
            <w:vAlign w:val="center"/>
          </w:tcPr>
          <w:p>
            <w:pPr>
              <w:adjustRightInd w:val="0"/>
              <w:snapToGrid w:val="0"/>
              <w:jc w:val="center"/>
              <w:rPr>
                <w:color w:val="000000" w:themeColor="text1"/>
                <w:szCs w:val="21"/>
                <w14:textFill>
                  <w14:solidFill>
                    <w14:schemeClr w14:val="tx1"/>
                  </w14:solidFill>
                </w14:textFill>
              </w:rPr>
            </w:pPr>
            <w:r>
              <w:rPr>
                <w:color w:val="000000" w:themeColor="text1"/>
                <w:kern w:val="24"/>
                <w:szCs w:val="21"/>
                <w14:textFill>
                  <w14:solidFill>
                    <w14:schemeClr w14:val="tx1"/>
                  </w14:solidFill>
                </w14:textFill>
              </w:rPr>
              <w:t>经园区内污水处理站（格栅+调节池+水解酸化池+接触氧化池+沉淀池+消毒池）处理后排入光大水务（淄博）有限公司水质净化三分厂深度处理</w:t>
            </w:r>
          </w:p>
        </w:tc>
        <w:tc>
          <w:tcPr>
            <w:tcW w:w="333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《山东省医疗机构污染物排放控制标准》（DB37/596-2020）二级标准</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COD</w:t>
            </w:r>
            <w:r>
              <w:rPr>
                <w:rFonts w:hint="eastAsia"/>
                <w:color w:val="000000" w:themeColor="text1"/>
                <w:szCs w:val="21"/>
                <w14:textFill>
                  <w14:solidFill>
                    <w14:schemeClr w14:val="tx1"/>
                  </w14:solidFill>
                </w14:textFill>
              </w:rPr>
              <w:t>:120mg/L</w:t>
            </w:r>
            <w:r>
              <w:rPr>
                <w:color w:val="000000" w:themeColor="text1"/>
                <w:szCs w:val="21"/>
                <w14:textFill>
                  <w14:solidFill>
                    <w14:schemeClr w14:val="tx1"/>
                  </w14:solidFill>
                </w14:textFill>
              </w:rPr>
              <w:t>、BOD</w:t>
            </w:r>
            <w:r>
              <w:rPr>
                <w:color w:val="000000" w:themeColor="text1"/>
                <w:szCs w:val="21"/>
                <w:vertAlign w:val="subscript"/>
                <w14:textFill>
                  <w14:solidFill>
                    <w14:schemeClr w14:val="tx1"/>
                  </w14:solidFill>
                </w14:textFill>
              </w:rPr>
              <w:t>5</w:t>
            </w:r>
            <w:r>
              <w:rPr>
                <w:rFonts w:hint="eastAsia"/>
                <w:color w:val="000000" w:themeColor="text1"/>
                <w:szCs w:val="21"/>
                <w14:textFill>
                  <w14:solidFill>
                    <w14:schemeClr w14:val="tx1"/>
                  </w14:solidFill>
                </w14:textFill>
              </w:rPr>
              <w:t>:30mg/L</w:t>
            </w:r>
            <w:r>
              <w:rPr>
                <w:color w:val="000000" w:themeColor="text1"/>
                <w:szCs w:val="21"/>
                <w14:textFill>
                  <w14:solidFill>
                    <w14:schemeClr w14:val="tx1"/>
                  </w14:solidFill>
                </w14:textFill>
              </w:rPr>
              <w:t>、氨氮</w:t>
            </w:r>
            <w:r>
              <w:rPr>
                <w:rFonts w:hint="eastAsia"/>
                <w:color w:val="000000" w:themeColor="text1"/>
                <w:szCs w:val="21"/>
                <w14:textFill>
                  <w14:solidFill>
                    <w14:schemeClr w14:val="tx1"/>
                  </w14:solidFill>
                </w14:textFill>
              </w:rPr>
              <w:t>:25mg/L</w:t>
            </w:r>
            <w:r>
              <w:rPr>
                <w:color w:val="000000" w:themeColor="text1"/>
                <w:szCs w:val="21"/>
                <w14:textFill>
                  <w14:solidFill>
                    <w14:schemeClr w14:val="tx1"/>
                  </w14:solidFill>
                </w14:textFill>
              </w:rPr>
              <w:t>、悬浮物</w:t>
            </w:r>
            <w:r>
              <w:rPr>
                <w:rFonts w:hint="eastAsia"/>
                <w:color w:val="000000" w:themeColor="text1"/>
                <w:szCs w:val="21"/>
                <w14:textFill>
                  <w14:solidFill>
                    <w14:schemeClr w14:val="tx1"/>
                  </w14:solidFill>
                </w14:textFill>
              </w:rPr>
              <w:t>:60mg/L、粪</w:t>
            </w:r>
            <w:r>
              <w:rPr>
                <w:color w:val="000000" w:themeColor="text1"/>
                <w:szCs w:val="21"/>
                <w14:textFill>
                  <w14:solidFill>
                    <w14:schemeClr w14:val="tx1"/>
                  </w14:solidFill>
                </w14:textFill>
              </w:rPr>
              <w:t>大肠菌群</w:t>
            </w:r>
            <w:r>
              <w:rPr>
                <w:rFonts w:hint="eastAsia"/>
                <w:color w:val="000000" w:themeColor="text1"/>
                <w:szCs w:val="21"/>
                <w14:textFill>
                  <w14:solidFill>
                    <w14:schemeClr w14:val="tx1"/>
                  </w14:solidFill>
                </w14:textFill>
              </w:rPr>
              <w:t>500MPN/L、总磷5mg/L、阴离子表面活性剂10mg/L、余氯8mg/L、氟化物20mg/L）</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527"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声环境</w:t>
            </w:r>
          </w:p>
        </w:tc>
        <w:tc>
          <w:tcPr>
            <w:tcW w:w="98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厂界</w:t>
            </w:r>
          </w:p>
        </w:tc>
        <w:tc>
          <w:tcPr>
            <w:tcW w:w="1194"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噪声</w:t>
            </w:r>
          </w:p>
        </w:tc>
        <w:tc>
          <w:tcPr>
            <w:tcW w:w="2021"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采用低噪声设备，采取隔振、减振措施</w:t>
            </w:r>
          </w:p>
        </w:tc>
        <w:tc>
          <w:tcPr>
            <w:tcW w:w="333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《工业企业厂界环境噪声排放标准》（GB 2348-2008）中1类标准（昼间≤55dB（A）、夜间≤45dB（A））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1527"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电磁辐射</w:t>
            </w:r>
          </w:p>
        </w:tc>
        <w:tc>
          <w:tcPr>
            <w:tcW w:w="988"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194"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2021"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3330"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1527"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固体废物</w:t>
            </w:r>
          </w:p>
        </w:tc>
        <w:tc>
          <w:tcPr>
            <w:tcW w:w="7533" w:type="dxa"/>
            <w:gridSpan w:val="4"/>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项目产生的医疗废物收集至危废暂存间暂存，委托有资质单位处理；</w:t>
            </w:r>
          </w:p>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污水处理站污泥及栅渣在危废暂存间暂存，委托有资质单位处理；</w:t>
            </w:r>
          </w:p>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一般生活垃圾统一由环卫部门清运处理；</w:t>
            </w:r>
          </w:p>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废包装物收集后外售处理。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1527"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土壤及地下水</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污染防治措施</w:t>
            </w:r>
          </w:p>
        </w:tc>
        <w:tc>
          <w:tcPr>
            <w:tcW w:w="7533" w:type="dxa"/>
            <w:gridSpan w:val="4"/>
            <w:vAlign w:val="center"/>
          </w:tcPr>
          <w:p>
            <w:pPr>
              <w:adjustRightInd w:val="0"/>
              <w:snapToGrid w:val="0"/>
              <w:jc w:val="center"/>
              <w:rPr>
                <w:color w:val="000000" w:themeColor="text1"/>
                <w:szCs w:val="21"/>
                <w14:textFill>
                  <w14:solidFill>
                    <w14:schemeClr w14:val="tx1"/>
                  </w14:solidFill>
                </w14:textFill>
              </w:rPr>
            </w:pPr>
            <w:r>
              <w:rPr>
                <w:color w:val="000000" w:themeColor="text1"/>
                <w14:textFill>
                  <w14:solidFill>
                    <w14:schemeClr w14:val="tx1"/>
                  </w14:solidFill>
                </w14:textFill>
              </w:rPr>
              <w:t>严格按照防渗分区要求，对各构筑物采取了相应的防渗措施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1527"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生态保护措施</w:t>
            </w:r>
          </w:p>
        </w:tc>
        <w:tc>
          <w:tcPr>
            <w:tcW w:w="7533" w:type="dxa"/>
            <w:gridSpan w:val="4"/>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527" w:type="dxa"/>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环境风险</w:t>
            </w:r>
          </w:p>
          <w:p>
            <w:pPr>
              <w:adjustRightInd w:val="0"/>
              <w:snapToGrid w:val="0"/>
              <w:jc w:val="center"/>
              <w:rPr>
                <w:color w:val="000000" w:themeColor="text1"/>
                <w:spacing w:val="-8"/>
                <w:szCs w:val="21"/>
                <w14:textFill>
                  <w14:solidFill>
                    <w14:schemeClr w14:val="tx1"/>
                  </w14:solidFill>
                </w14:textFill>
              </w:rPr>
            </w:pPr>
            <w:r>
              <w:rPr>
                <w:color w:val="000000" w:themeColor="text1"/>
                <w:szCs w:val="21"/>
                <w14:textFill>
                  <w14:solidFill>
                    <w14:schemeClr w14:val="tx1"/>
                  </w14:solidFill>
                </w14:textFill>
              </w:rPr>
              <w:t>防范措施</w:t>
            </w:r>
          </w:p>
        </w:tc>
        <w:tc>
          <w:tcPr>
            <w:tcW w:w="7533" w:type="dxa"/>
            <w:gridSpan w:val="4"/>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（1）防止火灾事故的风险防范措施</w:t>
            </w:r>
          </w:p>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仓库内禁止吸烟、禁止明火，加强对仓库的管理和安全知识教育，增强防范意识，防止火灾发生；加强对用电设备管理，电线线路及设备线路定期进行检查，严禁乱拉乱接电源电器，严防电器线路引起火灾。</w:t>
            </w:r>
          </w:p>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（2）防止泄漏事故的风险防范措施</w:t>
            </w:r>
          </w:p>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采取有效的防渗、防腐措施，避免渗漏污染土壤和水环境；加强对贮存场所的日常检查，及时发现、及时处理，防止跑、冒、滴、漏现象发生；完善管理体制，将风险管理纳入日常管理之中；提高职工风险意识，加强职工安全教育；制定完善可行的事故应急预案，并定期对预案进行演练。</w:t>
            </w:r>
          </w:p>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（3）泄漏应急处置措施</w:t>
            </w:r>
          </w:p>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迅速撤离泄漏污染区人员至安全区，并进行隔离，严格限制出入。建议应急处理人员戴自给正压式呼吸器，穿防酸碱工作服。不要直接接触泄漏物。尽可能切断泄漏源。小量泄漏：用砂土、蛭石或其它惰性材料吸收。大量泄漏：构筑围堤或挖坑收容。用泡沫覆盖，降低蒸气灾害。用泵转移至槽车或专用收集器内，回收或运至废物处理场所处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527" w:type="dxa"/>
            <w:vAlign w:val="center"/>
          </w:tcPr>
          <w:p>
            <w:pPr>
              <w:adjustRightInd w:val="0"/>
              <w:snapToGrid w:val="0"/>
              <w:jc w:val="center"/>
              <w:rPr>
                <w:color w:val="000000" w:themeColor="text1"/>
                <w:spacing w:val="-8"/>
                <w:szCs w:val="21"/>
                <w14:textFill>
                  <w14:solidFill>
                    <w14:schemeClr w14:val="tx1"/>
                  </w14:solidFill>
                </w14:textFill>
              </w:rPr>
            </w:pPr>
            <w:r>
              <w:rPr>
                <w:color w:val="000000" w:themeColor="text1"/>
                <w:spacing w:val="-8"/>
                <w:szCs w:val="21"/>
                <w14:textFill>
                  <w14:solidFill>
                    <w14:schemeClr w14:val="tx1"/>
                  </w14:solidFill>
                </w14:textFill>
              </w:rPr>
              <w:t>其他环境</w:t>
            </w:r>
          </w:p>
          <w:p>
            <w:pPr>
              <w:adjustRightInd w:val="0"/>
              <w:snapToGrid w:val="0"/>
              <w:jc w:val="center"/>
              <w:rPr>
                <w:color w:val="000000" w:themeColor="text1"/>
                <w:spacing w:val="-8"/>
                <w:szCs w:val="21"/>
                <w14:textFill>
                  <w14:solidFill>
                    <w14:schemeClr w14:val="tx1"/>
                  </w14:solidFill>
                </w14:textFill>
              </w:rPr>
            </w:pPr>
            <w:r>
              <w:rPr>
                <w:color w:val="000000" w:themeColor="text1"/>
                <w:spacing w:val="-8"/>
                <w:szCs w:val="21"/>
                <w14:textFill>
                  <w14:solidFill>
                    <w14:schemeClr w14:val="tx1"/>
                  </w14:solidFill>
                </w14:textFill>
              </w:rPr>
              <w:t>管理要求</w:t>
            </w:r>
          </w:p>
        </w:tc>
        <w:tc>
          <w:tcPr>
            <w:tcW w:w="7533" w:type="dxa"/>
            <w:gridSpan w:val="4"/>
            <w:vAlign w:val="center"/>
          </w:tcPr>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1、环境管理要求</w:t>
            </w:r>
          </w:p>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环境管理组织机构：公司内部设置专门环境管理部门，并设专门的环保专员主要负责公司的环境保护管理工作。</w:t>
            </w:r>
          </w:p>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环境保护管理制度：按生态环境部门有关规定与环保要求，制定各项环保管理制度和具体的岗位职责，岗位操作规程等。</w:t>
            </w:r>
          </w:p>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2、排污口规范化</w:t>
            </w:r>
          </w:p>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排污口标志：污染物排放口应按国家《环境保护图形标志》（GB15562.1-1995、GB15562.2-1995）的规定，设置国家环保总局统一制作的环境保护图形标志牌，并按要求填写有关内容。</w:t>
            </w:r>
          </w:p>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3、竣工环境保护验收</w:t>
            </w:r>
          </w:p>
          <w:p>
            <w:pPr>
              <w:adjustRightInd w:val="0"/>
              <w:snapToGrid w:val="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建设单位应按照生态环境部&lt;关于发布《建设项目竣工环境保护验收技术指南污染影响类》的公告&gt;（公告2018年第9号）及《建设项目竣工环境保护验收暂行办法》（国环规环评[2017]4号）要求进行验收。</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4、信息公开</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需要按照《企业事业单位环境信息公开办法》（环境保护部令 第31号）公开企业相关环保信息。</w:t>
            </w: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rPr>
                <w:color w:val="000000" w:themeColor="text1"/>
                <w:szCs w:val="21"/>
                <w14:textFill>
                  <w14:solidFill>
                    <w14:schemeClr w14:val="tx1"/>
                  </w14:solidFill>
                </w14:textFill>
              </w:rPr>
            </w:pPr>
          </w:p>
          <w:p>
            <w:pPr>
              <w:adjustRightInd w:val="0"/>
              <w:snapToGrid w:val="0"/>
              <w:rPr>
                <w:color w:val="000000" w:themeColor="text1"/>
                <w:szCs w:val="21"/>
                <w14:textFill>
                  <w14:solidFill>
                    <w14:schemeClr w14:val="tx1"/>
                  </w14:solidFill>
                </w14:textFill>
              </w:rPr>
            </w:pPr>
          </w:p>
        </w:tc>
      </w:tr>
    </w:tbl>
    <w:p>
      <w:pPr>
        <w:pStyle w:val="21"/>
        <w:jc w:val="center"/>
        <w:outlineLvl w:val="0"/>
        <w:rPr>
          <w:rFonts w:ascii="Times New Roman" w:hAnsi="Times New Roman" w:eastAsia="黑体"/>
          <w:snapToGrid w:val="0"/>
          <w:color w:val="000000" w:themeColor="text1"/>
          <w:sz w:val="30"/>
          <w:szCs w:val="30"/>
          <w14:textFill>
            <w14:solidFill>
              <w14:schemeClr w14:val="tx1"/>
            </w14:solidFill>
          </w14:textFill>
        </w:rPr>
      </w:pPr>
      <w:r>
        <w:rPr>
          <w:rFonts w:ascii="Times New Roman" w:hAnsi="Times New Roman"/>
          <w:snapToGrid w:val="0"/>
          <w:color w:val="000000" w:themeColor="text1"/>
          <w14:textFill>
            <w14:solidFill>
              <w14:schemeClr w14:val="tx1"/>
            </w14:solidFill>
          </w14:textFill>
        </w:rPr>
        <w:br w:type="page"/>
      </w:r>
      <w:r>
        <w:rPr>
          <w:rFonts w:ascii="Times New Roman" w:hAnsi="Times New Roman" w:eastAsia="黑体"/>
          <w:snapToGrid w:val="0"/>
          <w:color w:val="000000" w:themeColor="text1"/>
          <w:sz w:val="30"/>
          <w:szCs w:val="30"/>
          <w14:textFill>
            <w14:solidFill>
              <w14:schemeClr w14:val="tx1"/>
            </w14:solidFill>
          </w14:textFill>
        </w:rPr>
        <w:t>六、结论</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vAlign w:val="center"/>
          </w:tcPr>
          <w:p>
            <w:pPr>
              <w:spacing w:line="360" w:lineRule="auto"/>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淄博市张店区第二人民医院（淄博口腔医院）项目已建成，项目运行会对周围环境带来一定影响，通过落实报告表中提出的合理、有效环保措施，确保废气、废水达标排放</w:t>
            </w:r>
            <w:r>
              <w:rPr>
                <w:color w:val="000000" w:themeColor="text1"/>
                <w:szCs w:val="21"/>
                <w14:textFill>
                  <w14:solidFill>
                    <w14:schemeClr w14:val="tx1"/>
                  </w14:solidFill>
                </w14:textFill>
              </w:rPr>
              <w:t>，</w:t>
            </w:r>
            <w:r>
              <w:rPr>
                <w:color w:val="000000" w:themeColor="text1"/>
                <w:szCs w:val="21"/>
                <w14:textFill>
                  <w14:solidFill>
                    <w14:schemeClr w14:val="tx1"/>
                  </w14:solidFill>
                </w14:textFill>
              </w:rPr>
              <w:t>建设项目对周围环境影响程度可以接受，从环境保护角度分析，项目建设是可行的。</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sectPr>
          <w:pgSz w:w="11906" w:h="16838"/>
          <w:pgMar w:top="1701" w:right="1531" w:bottom="1701" w:left="1531" w:header="851" w:footer="851" w:gutter="0"/>
          <w:pgNumType w:fmt="numberInDash"/>
          <w:cols w:space="720" w:num="1"/>
          <w:docGrid w:linePitch="312" w:charSpace="0"/>
        </w:sectPr>
      </w:pPr>
    </w:p>
    <w:p>
      <w:pPr>
        <w:pStyle w:val="21"/>
        <w:adjustRightInd w:val="0"/>
        <w:snapToGrid w:val="0"/>
        <w:spacing w:before="0" w:beforeAutospacing="0" w:after="0" w:afterAutospacing="0"/>
        <w:outlineLvl w:val="0"/>
        <w:rPr>
          <w:rFonts w:ascii="Times New Roman" w:hAnsi="Times New Roman" w:eastAsia="黑体"/>
          <w:snapToGrid w:val="0"/>
          <w:color w:val="000000" w:themeColor="text1"/>
          <w:sz w:val="32"/>
          <w:szCs w:val="32"/>
          <w14:textFill>
            <w14:solidFill>
              <w14:schemeClr w14:val="tx1"/>
            </w14:solidFill>
          </w14:textFill>
        </w:rPr>
      </w:pPr>
      <w:r>
        <w:rPr>
          <w:rFonts w:ascii="Times New Roman" w:hAnsi="Times New Roman" w:eastAsia="黑体"/>
          <w:snapToGrid w:val="0"/>
          <w:color w:val="000000" w:themeColor="text1"/>
          <w:sz w:val="32"/>
          <w:szCs w:val="32"/>
          <w14:textFill>
            <w14:solidFill>
              <w14:schemeClr w14:val="tx1"/>
            </w14:solidFill>
          </w14:textFill>
        </w:rPr>
        <w:t>附表</w:t>
      </w:r>
    </w:p>
    <w:p>
      <w:pPr>
        <w:pStyle w:val="21"/>
        <w:adjustRightInd w:val="0"/>
        <w:snapToGrid w:val="0"/>
        <w:spacing w:before="0" w:beforeAutospacing="0" w:after="0" w:afterAutospacing="0" w:line="420" w:lineRule="exact"/>
        <w:jc w:val="center"/>
        <w:outlineLvl w:val="0"/>
        <w:rPr>
          <w:rFonts w:ascii="Times New Roman" w:hAnsi="Times New Roman" w:eastAsia="方正小标宋_GBK"/>
          <w:snapToGrid w:val="0"/>
          <w:color w:val="000000" w:themeColor="text1"/>
          <w:sz w:val="38"/>
          <w:szCs w:val="38"/>
          <w14:textFill>
            <w14:solidFill>
              <w14:schemeClr w14:val="tx1"/>
            </w14:solidFill>
          </w14:textFill>
        </w:rPr>
      </w:pPr>
      <w:r>
        <w:rPr>
          <w:rFonts w:ascii="Times New Roman" w:hAnsi="Times New Roman" w:eastAsia="方正小标宋_GBK"/>
          <w:snapToGrid w:val="0"/>
          <w:color w:val="000000" w:themeColor="text1"/>
          <w:sz w:val="38"/>
          <w:szCs w:val="38"/>
          <w14:textFill>
            <w14:solidFill>
              <w14:schemeClr w14:val="tx1"/>
            </w14:solidFill>
          </w14:textFill>
        </w:rPr>
        <w:t>建设项目污染物排放量汇总表</w:t>
      </w:r>
    </w:p>
    <w:tbl>
      <w:tblPr>
        <w:tblStyle w:val="24"/>
        <w:tblW w:w="1410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787"/>
        <w:gridCol w:w="1701"/>
        <w:gridCol w:w="1276"/>
        <w:gridCol w:w="1701"/>
        <w:gridCol w:w="1878"/>
        <w:gridCol w:w="1384"/>
        <w:gridCol w:w="1683"/>
        <w:gridCol w:w="14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tcBorders>
              <w:tl2br w:val="single" w:color="auto" w:sz="4" w:space="0"/>
            </w:tcBorders>
            <w:tcMar>
              <w:left w:w="28" w:type="dxa"/>
              <w:right w:w="28" w:type="dxa"/>
            </w:tcMar>
            <w:vAlign w:val="center"/>
          </w:tcPr>
          <w:p>
            <w:pPr>
              <w:pStyle w:val="51"/>
              <w:spacing w:beforeLines="0" w:afterLines="0" w:line="300" w:lineRule="exact"/>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t xml:space="preserve">      项目</w:t>
            </w:r>
          </w:p>
          <w:p>
            <w:pPr>
              <w:pStyle w:val="51"/>
              <w:spacing w:beforeLines="0" w:afterLines="0" w:line="300" w:lineRule="exact"/>
              <w:jc w:val="both"/>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t>分类</w:t>
            </w:r>
          </w:p>
        </w:tc>
        <w:tc>
          <w:tcPr>
            <w:tcW w:w="1787" w:type="dxa"/>
            <w:tcMar>
              <w:left w:w="28" w:type="dxa"/>
              <w:right w:w="28" w:type="dxa"/>
            </w:tcMar>
            <w:vAlign w:val="center"/>
          </w:tcPr>
          <w:p>
            <w:pPr>
              <w:pStyle w:val="51"/>
              <w:spacing w:beforeLines="0" w:afterLines="0" w:line="300" w:lineRule="exact"/>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t>污染物名称</w:t>
            </w:r>
          </w:p>
        </w:tc>
        <w:tc>
          <w:tcPr>
            <w:tcW w:w="1701" w:type="dxa"/>
            <w:tcMar>
              <w:left w:w="28" w:type="dxa"/>
              <w:right w:w="28" w:type="dxa"/>
            </w:tcMar>
            <w:vAlign w:val="center"/>
          </w:tcPr>
          <w:p>
            <w:pPr>
              <w:pStyle w:val="51"/>
              <w:spacing w:beforeLines="0" w:afterLines="0" w:line="300" w:lineRule="exact"/>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t>现有工程</w:t>
            </w:r>
          </w:p>
          <w:p>
            <w:pPr>
              <w:pStyle w:val="51"/>
              <w:spacing w:beforeLines="0" w:afterLines="0" w:line="300" w:lineRule="exact"/>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t>排放量（固体废物产生量）</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1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hint="eastAsia" w:hAnsi="宋体" w:cs="宋体"/>
                <w:color w:val="000000" w:themeColor="text1"/>
                <w:kern w:val="2"/>
                <w:szCs w:val="21"/>
                <w14:textFill>
                  <w14:solidFill>
                    <w14:schemeClr w14:val="tx1"/>
                  </w14:solidFill>
                </w14:textFill>
              </w:rPr>
              <w:t>①</w:t>
            </w:r>
            <w:r>
              <w:rPr>
                <w:rFonts w:ascii="Times New Roman"/>
                <w:snapToGrid w:val="0"/>
                <w:color w:val="000000" w:themeColor="text1"/>
                <w:spacing w:val="-6"/>
                <w:kern w:val="21"/>
                <w:szCs w:val="21"/>
                <w14:textFill>
                  <w14:solidFill>
                    <w14:schemeClr w14:val="tx1"/>
                  </w14:solidFill>
                </w14:textFill>
              </w:rPr>
              <w:fldChar w:fldCharType="end"/>
            </w:r>
          </w:p>
        </w:tc>
        <w:tc>
          <w:tcPr>
            <w:tcW w:w="1276" w:type="dxa"/>
            <w:tcMar>
              <w:left w:w="28" w:type="dxa"/>
              <w:right w:w="28" w:type="dxa"/>
            </w:tcMar>
            <w:vAlign w:val="center"/>
          </w:tcPr>
          <w:p>
            <w:pPr>
              <w:pStyle w:val="51"/>
              <w:spacing w:beforeLines="0" w:afterLines="0" w:line="300" w:lineRule="exact"/>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t>现有工程</w:t>
            </w:r>
          </w:p>
          <w:p>
            <w:pPr>
              <w:pStyle w:val="51"/>
              <w:spacing w:beforeLines="0" w:afterLines="0" w:line="300" w:lineRule="exact"/>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t>许可排放量</w:t>
            </w:r>
          </w:p>
          <w:p>
            <w:pPr>
              <w:pStyle w:val="51"/>
              <w:spacing w:beforeLines="0" w:afterLines="0" w:line="300" w:lineRule="exact"/>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2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hint="eastAsia" w:hAnsi="宋体" w:cs="宋体"/>
                <w:snapToGrid w:val="0"/>
                <w:color w:val="000000" w:themeColor="text1"/>
                <w:spacing w:val="-6"/>
                <w:kern w:val="21"/>
                <w:szCs w:val="21"/>
                <w14:textFill>
                  <w14:solidFill>
                    <w14:schemeClr w14:val="tx1"/>
                  </w14:solidFill>
                </w14:textFill>
              </w:rPr>
              <w:t>②</w:t>
            </w:r>
            <w:r>
              <w:rPr>
                <w:rFonts w:ascii="Times New Roman"/>
                <w:snapToGrid w:val="0"/>
                <w:color w:val="000000" w:themeColor="text1"/>
                <w:spacing w:val="-6"/>
                <w:kern w:val="21"/>
                <w:szCs w:val="21"/>
                <w14:textFill>
                  <w14:solidFill>
                    <w14:schemeClr w14:val="tx1"/>
                  </w14:solidFill>
                </w14:textFill>
              </w:rPr>
              <w:fldChar w:fldCharType="end"/>
            </w:r>
          </w:p>
        </w:tc>
        <w:tc>
          <w:tcPr>
            <w:tcW w:w="1701" w:type="dxa"/>
            <w:tcMar>
              <w:left w:w="28" w:type="dxa"/>
              <w:right w:w="28" w:type="dxa"/>
            </w:tcMar>
            <w:vAlign w:val="center"/>
          </w:tcPr>
          <w:p>
            <w:pPr>
              <w:pStyle w:val="51"/>
              <w:spacing w:beforeLines="0" w:afterLines="0" w:line="300" w:lineRule="exact"/>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t>在建工程</w:t>
            </w:r>
          </w:p>
          <w:p>
            <w:pPr>
              <w:pStyle w:val="51"/>
              <w:spacing w:beforeLines="0" w:afterLines="0" w:line="300" w:lineRule="exact"/>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t>排放量（固体废物产生量）</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3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hint="eastAsia" w:hAnsi="宋体" w:cs="宋体"/>
                <w:color w:val="000000" w:themeColor="text1"/>
                <w:kern w:val="2"/>
                <w:szCs w:val="21"/>
                <w14:textFill>
                  <w14:solidFill>
                    <w14:schemeClr w14:val="tx1"/>
                  </w14:solidFill>
                </w14:textFill>
              </w:rPr>
              <w:t>③</w:t>
            </w:r>
            <w:r>
              <w:rPr>
                <w:rFonts w:ascii="Times New Roman"/>
                <w:snapToGrid w:val="0"/>
                <w:color w:val="000000" w:themeColor="text1"/>
                <w:spacing w:val="-6"/>
                <w:kern w:val="21"/>
                <w:szCs w:val="21"/>
                <w14:textFill>
                  <w14:solidFill>
                    <w14:schemeClr w14:val="tx1"/>
                  </w14:solidFill>
                </w14:textFill>
              </w:rPr>
              <w:fldChar w:fldCharType="end"/>
            </w:r>
          </w:p>
        </w:tc>
        <w:tc>
          <w:tcPr>
            <w:tcW w:w="1878" w:type="dxa"/>
            <w:tcMar>
              <w:left w:w="28" w:type="dxa"/>
              <w:right w:w="28" w:type="dxa"/>
            </w:tcMar>
            <w:vAlign w:val="center"/>
          </w:tcPr>
          <w:p>
            <w:pPr>
              <w:pStyle w:val="51"/>
              <w:spacing w:beforeLines="0" w:afterLines="0" w:line="300" w:lineRule="exact"/>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t>本项目</w:t>
            </w:r>
          </w:p>
          <w:p>
            <w:pPr>
              <w:pStyle w:val="51"/>
              <w:spacing w:beforeLines="0" w:afterLines="0" w:line="300" w:lineRule="exact"/>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t>排放量（固体废物产生量）</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4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hint="eastAsia" w:hAnsi="宋体" w:cs="宋体"/>
                <w:color w:val="000000" w:themeColor="text1"/>
                <w:kern w:val="2"/>
                <w:szCs w:val="21"/>
                <w14:textFill>
                  <w14:solidFill>
                    <w14:schemeClr w14:val="tx1"/>
                  </w14:solidFill>
                </w14:textFill>
              </w:rPr>
              <w:t>④</w:t>
            </w:r>
            <w:r>
              <w:rPr>
                <w:rFonts w:ascii="Times New Roman"/>
                <w:snapToGrid w:val="0"/>
                <w:color w:val="000000" w:themeColor="text1"/>
                <w:spacing w:val="-6"/>
                <w:kern w:val="21"/>
                <w:szCs w:val="21"/>
                <w14:textFill>
                  <w14:solidFill>
                    <w14:schemeClr w14:val="tx1"/>
                  </w14:solidFill>
                </w14:textFill>
              </w:rPr>
              <w:fldChar w:fldCharType="end"/>
            </w:r>
          </w:p>
        </w:tc>
        <w:tc>
          <w:tcPr>
            <w:tcW w:w="1384" w:type="dxa"/>
            <w:tcMar>
              <w:left w:w="28" w:type="dxa"/>
              <w:right w:w="28" w:type="dxa"/>
            </w:tcMar>
            <w:vAlign w:val="center"/>
          </w:tcPr>
          <w:p>
            <w:pPr>
              <w:pStyle w:val="51"/>
              <w:spacing w:beforeLines="0" w:afterLines="0" w:line="300" w:lineRule="exact"/>
              <w:rPr>
                <w:rFonts w:ascii="Times New Roman"/>
                <w:snapToGrid w:val="0"/>
                <w:color w:val="000000" w:themeColor="text1"/>
                <w:spacing w:val="-16"/>
                <w:kern w:val="21"/>
                <w:szCs w:val="21"/>
                <w14:textFill>
                  <w14:solidFill>
                    <w14:schemeClr w14:val="tx1"/>
                  </w14:solidFill>
                </w14:textFill>
              </w:rPr>
            </w:pPr>
            <w:r>
              <w:rPr>
                <w:rFonts w:ascii="Times New Roman"/>
                <w:snapToGrid w:val="0"/>
                <w:color w:val="000000" w:themeColor="text1"/>
                <w:spacing w:val="-16"/>
                <w:kern w:val="21"/>
                <w:szCs w:val="21"/>
                <w14:textFill>
                  <w14:solidFill>
                    <w14:schemeClr w14:val="tx1"/>
                  </w14:solidFill>
                </w14:textFill>
              </w:rPr>
              <w:t>以新带老削减量</w:t>
            </w:r>
          </w:p>
          <w:p>
            <w:pPr>
              <w:pStyle w:val="51"/>
              <w:spacing w:beforeLines="0" w:afterLines="0" w:line="300" w:lineRule="exact"/>
              <w:rPr>
                <w:rFonts w:ascii="Times New Roman"/>
                <w:snapToGrid w:val="0"/>
                <w:color w:val="000000" w:themeColor="text1"/>
                <w:spacing w:val="-16"/>
                <w:kern w:val="21"/>
                <w:szCs w:val="21"/>
                <w14:textFill>
                  <w14:solidFill>
                    <w14:schemeClr w14:val="tx1"/>
                  </w14:solidFill>
                </w14:textFill>
              </w:rPr>
            </w:pPr>
            <w:r>
              <w:rPr>
                <w:rFonts w:ascii="Times New Roman"/>
                <w:snapToGrid w:val="0"/>
                <w:color w:val="000000" w:themeColor="text1"/>
                <w:spacing w:val="-16"/>
                <w:kern w:val="21"/>
                <w:szCs w:val="21"/>
                <w14:textFill>
                  <w14:solidFill>
                    <w14:schemeClr w14:val="tx1"/>
                  </w14:solidFill>
                </w14:textFill>
              </w:rPr>
              <w:t>（新建项目不填）</w:t>
            </w:r>
            <w:r>
              <w:rPr>
                <w:rFonts w:ascii="Times New Roman"/>
                <w:snapToGrid w:val="0"/>
                <w:color w:val="000000" w:themeColor="text1"/>
                <w:spacing w:val="-16"/>
                <w:kern w:val="21"/>
                <w:szCs w:val="21"/>
                <w14:textFill>
                  <w14:solidFill>
                    <w14:schemeClr w14:val="tx1"/>
                  </w14:solidFill>
                </w14:textFill>
              </w:rPr>
              <w:fldChar w:fldCharType="begin"/>
            </w:r>
            <w:r>
              <w:rPr>
                <w:rFonts w:ascii="Times New Roman"/>
                <w:snapToGrid w:val="0"/>
                <w:color w:val="000000" w:themeColor="text1"/>
                <w:spacing w:val="-16"/>
                <w:kern w:val="21"/>
                <w:szCs w:val="21"/>
                <w14:textFill>
                  <w14:solidFill>
                    <w14:schemeClr w14:val="tx1"/>
                  </w14:solidFill>
                </w14:textFill>
              </w:rPr>
              <w:instrText xml:space="preserve"> = 5 \* GB3 \* MERGEFORMAT </w:instrText>
            </w:r>
            <w:r>
              <w:rPr>
                <w:rFonts w:ascii="Times New Roman"/>
                <w:snapToGrid w:val="0"/>
                <w:color w:val="000000" w:themeColor="text1"/>
                <w:spacing w:val="-16"/>
                <w:kern w:val="21"/>
                <w:szCs w:val="21"/>
                <w14:textFill>
                  <w14:solidFill>
                    <w14:schemeClr w14:val="tx1"/>
                  </w14:solidFill>
                </w14:textFill>
              </w:rPr>
              <w:fldChar w:fldCharType="separate"/>
            </w:r>
            <w:r>
              <w:rPr>
                <w:rFonts w:hint="eastAsia" w:hAnsi="宋体" w:cs="宋体"/>
                <w:color w:val="000000" w:themeColor="text1"/>
                <w:kern w:val="2"/>
                <w:szCs w:val="21"/>
                <w14:textFill>
                  <w14:solidFill>
                    <w14:schemeClr w14:val="tx1"/>
                  </w14:solidFill>
                </w14:textFill>
              </w:rPr>
              <w:t>⑤</w:t>
            </w:r>
            <w:r>
              <w:rPr>
                <w:rFonts w:ascii="Times New Roman"/>
                <w:snapToGrid w:val="0"/>
                <w:color w:val="000000" w:themeColor="text1"/>
                <w:spacing w:val="-16"/>
                <w:kern w:val="21"/>
                <w:szCs w:val="21"/>
                <w14:textFill>
                  <w14:solidFill>
                    <w14:schemeClr w14:val="tx1"/>
                  </w14:solidFill>
                </w14:textFill>
              </w:rPr>
              <w:fldChar w:fldCharType="end"/>
            </w:r>
          </w:p>
        </w:tc>
        <w:tc>
          <w:tcPr>
            <w:tcW w:w="1683" w:type="dxa"/>
            <w:tcMar>
              <w:left w:w="28" w:type="dxa"/>
              <w:right w:w="28" w:type="dxa"/>
            </w:tcMar>
            <w:vAlign w:val="center"/>
          </w:tcPr>
          <w:p>
            <w:pPr>
              <w:pStyle w:val="51"/>
              <w:spacing w:beforeLines="0" w:afterLines="0" w:line="300" w:lineRule="exact"/>
              <w:rPr>
                <w:rFonts w:ascii="Times New Roman"/>
                <w:snapToGrid w:val="0"/>
                <w:color w:val="000000" w:themeColor="text1"/>
                <w:spacing w:val="-16"/>
                <w:kern w:val="21"/>
                <w:szCs w:val="21"/>
                <w14:textFill>
                  <w14:solidFill>
                    <w14:schemeClr w14:val="tx1"/>
                  </w14:solidFill>
                </w14:textFill>
              </w:rPr>
            </w:pPr>
            <w:r>
              <w:rPr>
                <w:rFonts w:ascii="Times New Roman"/>
                <w:snapToGrid w:val="0"/>
                <w:color w:val="000000" w:themeColor="text1"/>
                <w:spacing w:val="-16"/>
                <w:kern w:val="21"/>
                <w:szCs w:val="21"/>
                <w14:textFill>
                  <w14:solidFill>
                    <w14:schemeClr w14:val="tx1"/>
                  </w14:solidFill>
                </w14:textFill>
              </w:rPr>
              <w:t>本项目建成后</w:t>
            </w:r>
          </w:p>
          <w:p>
            <w:pPr>
              <w:pStyle w:val="51"/>
              <w:spacing w:beforeLines="0" w:afterLines="0" w:line="300" w:lineRule="exact"/>
              <w:rPr>
                <w:rFonts w:ascii="Times New Roman"/>
                <w:snapToGrid w:val="0"/>
                <w:color w:val="000000" w:themeColor="text1"/>
                <w:spacing w:val="-16"/>
                <w:kern w:val="21"/>
                <w:szCs w:val="21"/>
                <w14:textFill>
                  <w14:solidFill>
                    <w14:schemeClr w14:val="tx1"/>
                  </w14:solidFill>
                </w14:textFill>
              </w:rPr>
            </w:pPr>
            <w:r>
              <w:rPr>
                <w:rFonts w:ascii="Times New Roman"/>
                <w:snapToGrid w:val="0"/>
                <w:color w:val="000000" w:themeColor="text1"/>
                <w:spacing w:val="-16"/>
                <w:kern w:val="21"/>
                <w:szCs w:val="21"/>
                <w14:textFill>
                  <w14:solidFill>
                    <w14:schemeClr w14:val="tx1"/>
                  </w14:solidFill>
                </w14:textFill>
              </w:rPr>
              <w:t>全厂排放量（固体废物产生量）</w:t>
            </w:r>
            <w:r>
              <w:rPr>
                <w:rFonts w:ascii="Times New Roman"/>
                <w:snapToGrid w:val="0"/>
                <w:color w:val="000000" w:themeColor="text1"/>
                <w:spacing w:val="-16"/>
                <w:kern w:val="21"/>
                <w:szCs w:val="21"/>
                <w14:textFill>
                  <w14:solidFill>
                    <w14:schemeClr w14:val="tx1"/>
                  </w14:solidFill>
                </w14:textFill>
              </w:rPr>
              <w:fldChar w:fldCharType="begin"/>
            </w:r>
            <w:r>
              <w:rPr>
                <w:rFonts w:ascii="Times New Roman"/>
                <w:snapToGrid w:val="0"/>
                <w:color w:val="000000" w:themeColor="text1"/>
                <w:spacing w:val="-16"/>
                <w:kern w:val="21"/>
                <w:szCs w:val="21"/>
                <w14:textFill>
                  <w14:solidFill>
                    <w14:schemeClr w14:val="tx1"/>
                  </w14:solidFill>
                </w14:textFill>
              </w:rPr>
              <w:instrText xml:space="preserve"> = 6 \* GB3 \* MERGEFORMAT </w:instrText>
            </w:r>
            <w:r>
              <w:rPr>
                <w:rFonts w:ascii="Times New Roman"/>
                <w:snapToGrid w:val="0"/>
                <w:color w:val="000000" w:themeColor="text1"/>
                <w:spacing w:val="-16"/>
                <w:kern w:val="21"/>
                <w:szCs w:val="21"/>
                <w14:textFill>
                  <w14:solidFill>
                    <w14:schemeClr w14:val="tx1"/>
                  </w14:solidFill>
                </w14:textFill>
              </w:rPr>
              <w:fldChar w:fldCharType="separate"/>
            </w:r>
            <w:r>
              <w:rPr>
                <w:rFonts w:hint="eastAsia" w:hAnsi="宋体" w:cs="宋体"/>
                <w:color w:val="000000" w:themeColor="text1"/>
                <w:kern w:val="2"/>
                <w:szCs w:val="21"/>
                <w14:textFill>
                  <w14:solidFill>
                    <w14:schemeClr w14:val="tx1"/>
                  </w14:solidFill>
                </w14:textFill>
              </w:rPr>
              <w:t>⑥</w:t>
            </w:r>
            <w:r>
              <w:rPr>
                <w:rFonts w:ascii="Times New Roman"/>
                <w:snapToGrid w:val="0"/>
                <w:color w:val="000000" w:themeColor="text1"/>
                <w:spacing w:val="-16"/>
                <w:kern w:val="21"/>
                <w:szCs w:val="21"/>
                <w14:textFill>
                  <w14:solidFill>
                    <w14:schemeClr w14:val="tx1"/>
                  </w14:solidFill>
                </w14:textFill>
              </w:rPr>
              <w:fldChar w:fldCharType="end"/>
            </w:r>
          </w:p>
        </w:tc>
        <w:tc>
          <w:tcPr>
            <w:tcW w:w="1477" w:type="dxa"/>
            <w:tcMar>
              <w:left w:w="28" w:type="dxa"/>
              <w:right w:w="28" w:type="dxa"/>
            </w:tcMar>
            <w:vAlign w:val="center"/>
          </w:tcPr>
          <w:p>
            <w:pPr>
              <w:pStyle w:val="51"/>
              <w:spacing w:beforeLines="0" w:afterLines="0" w:line="300" w:lineRule="exact"/>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t>变化量</w:t>
            </w:r>
          </w:p>
          <w:p>
            <w:pPr>
              <w:pStyle w:val="51"/>
              <w:spacing w:beforeLines="0" w:afterLines="0" w:line="300" w:lineRule="exact"/>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7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hint="eastAsia" w:hAnsi="宋体" w:cs="宋体"/>
                <w:color w:val="000000" w:themeColor="text1"/>
                <w:kern w:val="2"/>
                <w:szCs w:val="21"/>
                <w14:textFill>
                  <w14:solidFill>
                    <w14:schemeClr w14:val="tx1"/>
                  </w14:solidFill>
                </w14:textFill>
              </w:rPr>
              <w:t>⑦</w:t>
            </w:r>
            <w:r>
              <w:rPr>
                <w:rFonts w:ascii="Times New Roman"/>
                <w:snapToGrid w:val="0"/>
                <w:color w:val="000000" w:themeColor="text1"/>
                <w:spacing w:val="-6"/>
                <w:kern w:val="21"/>
                <w:szCs w:val="21"/>
                <w14:textFill>
                  <w14:solidFill>
                    <w14:schemeClr w14:val="tx1"/>
                  </w14:solidFill>
                </w14:textFill>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restart"/>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废气</w:t>
            </w:r>
          </w:p>
        </w:tc>
        <w:tc>
          <w:tcPr>
            <w:tcW w:w="1787" w:type="dxa"/>
            <w:vAlign w:val="center"/>
          </w:tcPr>
          <w:p>
            <w:pPr>
              <w:pStyle w:val="51"/>
              <w:spacing w:beforeLines="0" w:afterLines="0" w:line="240" w:lineRule="auto"/>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NH</w:t>
            </w:r>
            <w:r>
              <w:rPr>
                <w:rFonts w:ascii="Times New Roman"/>
                <w:snapToGrid w:val="0"/>
                <w:color w:val="000000" w:themeColor="text1"/>
                <w:kern w:val="21"/>
                <w:szCs w:val="21"/>
                <w:vertAlign w:val="subscript"/>
                <w14:textFill>
                  <w14:solidFill>
                    <w14:schemeClr w14:val="tx1"/>
                  </w14:solidFill>
                </w14:textFill>
              </w:rPr>
              <w:t>3</w:t>
            </w: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276"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878"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0.0031</w:t>
            </w:r>
            <w:r>
              <w:rPr>
                <w:color w:val="000000" w:themeColor="text1"/>
                <w:szCs w:val="21"/>
                <w14:textFill>
                  <w14:solidFill>
                    <w14:schemeClr w14:val="tx1"/>
                  </w14:solidFill>
                </w14:textFill>
              </w:rPr>
              <w:t>t/a</w:t>
            </w:r>
          </w:p>
        </w:tc>
        <w:tc>
          <w:tcPr>
            <w:tcW w:w="1384" w:type="dxa"/>
            <w:vAlign w:val="center"/>
          </w:tcPr>
          <w:p>
            <w:pPr>
              <w:pStyle w:val="51"/>
              <w:spacing w:beforeLines="0" w:afterLines="0" w:line="300" w:lineRule="exact"/>
              <w:rPr>
                <w:rFonts w:ascii="Times New Roman"/>
                <w:color w:val="000000" w:themeColor="text1"/>
                <w:szCs w:val="21"/>
                <w14:textFill>
                  <w14:solidFill>
                    <w14:schemeClr w14:val="tx1"/>
                  </w14:solidFill>
                </w14:textFill>
              </w:rPr>
            </w:pPr>
          </w:p>
        </w:tc>
        <w:tc>
          <w:tcPr>
            <w:tcW w:w="168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0.0031</w:t>
            </w:r>
            <w:r>
              <w:rPr>
                <w:color w:val="000000" w:themeColor="text1"/>
                <w:szCs w:val="21"/>
                <w14:textFill>
                  <w14:solidFill>
                    <w14:schemeClr w14:val="tx1"/>
                  </w14:solidFill>
                </w14:textFill>
              </w:rPr>
              <w:t>t/a</w:t>
            </w:r>
          </w:p>
        </w:tc>
        <w:tc>
          <w:tcPr>
            <w:tcW w:w="147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0.0031</w:t>
            </w:r>
            <w:r>
              <w:rPr>
                <w:color w:val="000000" w:themeColor="text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87" w:type="dxa"/>
            <w:vAlign w:val="center"/>
          </w:tcPr>
          <w:p>
            <w:pPr>
              <w:pStyle w:val="51"/>
              <w:spacing w:beforeLines="0" w:afterLines="0" w:line="240" w:lineRule="auto"/>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H</w:t>
            </w:r>
            <w:r>
              <w:rPr>
                <w:rFonts w:ascii="Times New Roman"/>
                <w:snapToGrid w:val="0"/>
                <w:color w:val="000000" w:themeColor="text1"/>
                <w:kern w:val="21"/>
                <w:szCs w:val="21"/>
                <w:vertAlign w:val="subscript"/>
                <w14:textFill>
                  <w14:solidFill>
                    <w14:schemeClr w14:val="tx1"/>
                  </w14:solidFill>
                </w14:textFill>
              </w:rPr>
              <w:t>2</w:t>
            </w:r>
            <w:r>
              <w:rPr>
                <w:rFonts w:ascii="Times New Roman"/>
                <w:snapToGrid w:val="0"/>
                <w:color w:val="000000" w:themeColor="text1"/>
                <w:kern w:val="21"/>
                <w:szCs w:val="21"/>
                <w14:textFill>
                  <w14:solidFill>
                    <w14:schemeClr w14:val="tx1"/>
                  </w14:solidFill>
                </w14:textFill>
              </w:rPr>
              <w:t>S</w:t>
            </w:r>
          </w:p>
        </w:tc>
        <w:tc>
          <w:tcPr>
            <w:tcW w:w="1701" w:type="dxa"/>
            <w:vAlign w:val="center"/>
          </w:tcPr>
          <w:p>
            <w:pPr>
              <w:pStyle w:val="51"/>
              <w:spacing w:beforeLines="0" w:afterLines="0" w:line="300" w:lineRule="exact"/>
              <w:rPr>
                <w:rFonts w:ascii="Times New Roman"/>
                <w:color w:val="000000" w:themeColor="text1"/>
                <w:szCs w:val="21"/>
                <w14:textFill>
                  <w14:solidFill>
                    <w14:schemeClr w14:val="tx1"/>
                  </w14:solidFill>
                </w14:textFill>
              </w:rPr>
            </w:pPr>
          </w:p>
        </w:tc>
        <w:tc>
          <w:tcPr>
            <w:tcW w:w="1276"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01" w:type="dxa"/>
            <w:vAlign w:val="center"/>
          </w:tcPr>
          <w:p>
            <w:pPr>
              <w:pStyle w:val="51"/>
              <w:spacing w:beforeLines="0" w:afterLines="0" w:line="300" w:lineRule="exact"/>
              <w:rPr>
                <w:rFonts w:ascii="Times New Roman"/>
                <w:color w:val="000000" w:themeColor="text1"/>
                <w:szCs w:val="21"/>
                <w14:textFill>
                  <w14:solidFill>
                    <w14:schemeClr w14:val="tx1"/>
                  </w14:solidFill>
                </w14:textFill>
              </w:rPr>
            </w:pPr>
          </w:p>
        </w:tc>
        <w:tc>
          <w:tcPr>
            <w:tcW w:w="1878"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0.00012</w:t>
            </w:r>
            <w:r>
              <w:rPr>
                <w:color w:val="000000" w:themeColor="text1"/>
                <w:szCs w:val="21"/>
                <w14:textFill>
                  <w14:solidFill>
                    <w14:schemeClr w14:val="tx1"/>
                  </w14:solidFill>
                </w14:textFill>
              </w:rPr>
              <w:t>t/a</w:t>
            </w:r>
          </w:p>
        </w:tc>
        <w:tc>
          <w:tcPr>
            <w:tcW w:w="1384" w:type="dxa"/>
            <w:vAlign w:val="center"/>
          </w:tcPr>
          <w:p>
            <w:pPr>
              <w:pStyle w:val="51"/>
              <w:spacing w:beforeLines="0" w:afterLines="0" w:line="300" w:lineRule="exact"/>
              <w:rPr>
                <w:rFonts w:ascii="Times New Roman"/>
                <w:color w:val="000000" w:themeColor="text1"/>
                <w:szCs w:val="21"/>
                <w14:textFill>
                  <w14:solidFill>
                    <w14:schemeClr w14:val="tx1"/>
                  </w14:solidFill>
                </w14:textFill>
              </w:rPr>
            </w:pPr>
          </w:p>
        </w:tc>
        <w:tc>
          <w:tcPr>
            <w:tcW w:w="168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0.00012</w:t>
            </w:r>
            <w:r>
              <w:rPr>
                <w:color w:val="000000" w:themeColor="text1"/>
                <w:szCs w:val="21"/>
                <w14:textFill>
                  <w14:solidFill>
                    <w14:schemeClr w14:val="tx1"/>
                  </w14:solidFill>
                </w14:textFill>
              </w:rPr>
              <w:t>t/a</w:t>
            </w:r>
          </w:p>
        </w:tc>
        <w:tc>
          <w:tcPr>
            <w:tcW w:w="147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0.00012</w:t>
            </w:r>
            <w:r>
              <w:rPr>
                <w:color w:val="000000" w:themeColor="text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restart"/>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废水</w:t>
            </w:r>
          </w:p>
        </w:tc>
        <w:tc>
          <w:tcPr>
            <w:tcW w:w="178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废水量</w:t>
            </w: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276"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878"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7729.4</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/a</w:t>
            </w:r>
          </w:p>
        </w:tc>
        <w:tc>
          <w:tcPr>
            <w:tcW w:w="1384" w:type="dxa"/>
            <w:vAlign w:val="center"/>
          </w:tcPr>
          <w:p>
            <w:pPr>
              <w:pStyle w:val="51"/>
              <w:spacing w:beforeLines="0" w:afterLines="0" w:line="300" w:lineRule="exact"/>
              <w:rPr>
                <w:rFonts w:ascii="Times New Roman"/>
                <w:color w:val="000000" w:themeColor="text1"/>
                <w:szCs w:val="21"/>
                <w14:textFill>
                  <w14:solidFill>
                    <w14:schemeClr w14:val="tx1"/>
                  </w14:solidFill>
                </w14:textFill>
              </w:rPr>
            </w:pPr>
          </w:p>
        </w:tc>
        <w:tc>
          <w:tcPr>
            <w:tcW w:w="168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7729.4</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/a</w:t>
            </w:r>
          </w:p>
        </w:tc>
        <w:tc>
          <w:tcPr>
            <w:tcW w:w="147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7729.4</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8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五日生化需氧量</w:t>
            </w: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276"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878"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0.172</w:t>
            </w:r>
            <w:r>
              <w:rPr>
                <w:color w:val="000000" w:themeColor="text1"/>
                <w:szCs w:val="21"/>
                <w14:textFill>
                  <w14:solidFill>
                    <w14:schemeClr w14:val="tx1"/>
                  </w14:solidFill>
                </w14:textFill>
              </w:rPr>
              <w:t>t/a</w:t>
            </w:r>
          </w:p>
        </w:tc>
        <w:tc>
          <w:tcPr>
            <w:tcW w:w="1384" w:type="dxa"/>
            <w:vAlign w:val="center"/>
          </w:tcPr>
          <w:p>
            <w:pPr>
              <w:pStyle w:val="51"/>
              <w:spacing w:beforeLines="0" w:afterLines="0" w:line="300" w:lineRule="exact"/>
              <w:rPr>
                <w:rFonts w:ascii="Times New Roman"/>
                <w:color w:val="000000" w:themeColor="text1"/>
                <w:szCs w:val="21"/>
                <w14:textFill>
                  <w14:solidFill>
                    <w14:schemeClr w14:val="tx1"/>
                  </w14:solidFill>
                </w14:textFill>
              </w:rPr>
            </w:pPr>
          </w:p>
        </w:tc>
        <w:tc>
          <w:tcPr>
            <w:tcW w:w="168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0.172</w:t>
            </w:r>
            <w:r>
              <w:rPr>
                <w:color w:val="000000" w:themeColor="text1"/>
                <w:szCs w:val="21"/>
                <w14:textFill>
                  <w14:solidFill>
                    <w14:schemeClr w14:val="tx1"/>
                  </w14:solidFill>
                </w14:textFill>
              </w:rPr>
              <w:t>t/a</w:t>
            </w:r>
          </w:p>
        </w:tc>
        <w:tc>
          <w:tcPr>
            <w:tcW w:w="147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0.172</w:t>
            </w:r>
            <w:r>
              <w:rPr>
                <w:color w:val="000000" w:themeColor="text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8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化学需氧量</w:t>
            </w: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276"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878"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0.440</w:t>
            </w:r>
            <w:r>
              <w:rPr>
                <w:color w:val="000000" w:themeColor="text1"/>
                <w:szCs w:val="21"/>
                <w14:textFill>
                  <w14:solidFill>
                    <w14:schemeClr w14:val="tx1"/>
                  </w14:solidFill>
                </w14:textFill>
              </w:rPr>
              <w:t>t/a</w:t>
            </w:r>
          </w:p>
        </w:tc>
        <w:tc>
          <w:tcPr>
            <w:tcW w:w="1384" w:type="dxa"/>
            <w:vAlign w:val="center"/>
          </w:tcPr>
          <w:p>
            <w:pPr>
              <w:pStyle w:val="51"/>
              <w:spacing w:beforeLines="0" w:afterLines="0" w:line="300" w:lineRule="exact"/>
              <w:rPr>
                <w:rFonts w:ascii="Times New Roman"/>
                <w:color w:val="000000" w:themeColor="text1"/>
                <w:szCs w:val="21"/>
                <w14:textFill>
                  <w14:solidFill>
                    <w14:schemeClr w14:val="tx1"/>
                  </w14:solidFill>
                </w14:textFill>
              </w:rPr>
            </w:pPr>
          </w:p>
        </w:tc>
        <w:tc>
          <w:tcPr>
            <w:tcW w:w="168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0.440</w:t>
            </w:r>
            <w:r>
              <w:rPr>
                <w:color w:val="000000" w:themeColor="text1"/>
                <w:szCs w:val="21"/>
                <w14:textFill>
                  <w14:solidFill>
                    <w14:schemeClr w14:val="tx1"/>
                  </w14:solidFill>
                </w14:textFill>
              </w:rPr>
              <w:t>t/a</w:t>
            </w:r>
          </w:p>
        </w:tc>
        <w:tc>
          <w:tcPr>
            <w:tcW w:w="147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0.440</w:t>
            </w:r>
            <w:r>
              <w:rPr>
                <w:color w:val="000000" w:themeColor="text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8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总余氯</w:t>
            </w: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276"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878"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0.04</w:t>
            </w: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t/a</w:t>
            </w:r>
          </w:p>
        </w:tc>
        <w:tc>
          <w:tcPr>
            <w:tcW w:w="1384" w:type="dxa"/>
            <w:vAlign w:val="center"/>
          </w:tcPr>
          <w:p>
            <w:pPr>
              <w:pStyle w:val="51"/>
              <w:spacing w:beforeLines="0" w:afterLines="0" w:line="300" w:lineRule="exact"/>
              <w:rPr>
                <w:rFonts w:ascii="Times New Roman"/>
                <w:color w:val="000000" w:themeColor="text1"/>
                <w:szCs w:val="21"/>
                <w14:textFill>
                  <w14:solidFill>
                    <w14:schemeClr w14:val="tx1"/>
                  </w14:solidFill>
                </w14:textFill>
              </w:rPr>
            </w:pPr>
          </w:p>
        </w:tc>
        <w:tc>
          <w:tcPr>
            <w:tcW w:w="1683"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0.04</w:t>
            </w: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t/a</w:t>
            </w:r>
          </w:p>
        </w:tc>
        <w:tc>
          <w:tcPr>
            <w:tcW w:w="147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+0.04</w:t>
            </w: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8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悬浮物</w:t>
            </w: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276"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878"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w:t>
            </w:r>
            <w:r>
              <w:rPr>
                <w:rFonts w:hint="eastAsia"/>
                <w:color w:val="000000" w:themeColor="text1"/>
                <w:szCs w:val="21"/>
                <w14:textFill>
                  <w14:solidFill>
                    <w14:schemeClr w14:val="tx1"/>
                  </w14:solidFill>
                </w14:textFill>
              </w:rPr>
              <w:t>85</w:t>
            </w:r>
            <w:r>
              <w:rPr>
                <w:color w:val="000000" w:themeColor="text1"/>
                <w:szCs w:val="21"/>
                <w14:textFill>
                  <w14:solidFill>
                    <w14:schemeClr w14:val="tx1"/>
                  </w14:solidFill>
                </w14:textFill>
              </w:rPr>
              <w:t>t/a</w:t>
            </w:r>
          </w:p>
        </w:tc>
        <w:tc>
          <w:tcPr>
            <w:tcW w:w="1384" w:type="dxa"/>
            <w:vAlign w:val="center"/>
          </w:tcPr>
          <w:p>
            <w:pPr>
              <w:pStyle w:val="51"/>
              <w:spacing w:beforeLines="0" w:afterLines="0" w:line="300" w:lineRule="exact"/>
              <w:rPr>
                <w:rFonts w:ascii="Times New Roman"/>
                <w:color w:val="000000" w:themeColor="text1"/>
                <w:szCs w:val="21"/>
                <w14:textFill>
                  <w14:solidFill>
                    <w14:schemeClr w14:val="tx1"/>
                  </w14:solidFill>
                </w14:textFill>
              </w:rPr>
            </w:pPr>
          </w:p>
        </w:tc>
        <w:tc>
          <w:tcPr>
            <w:tcW w:w="1683"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w:t>
            </w:r>
            <w:r>
              <w:rPr>
                <w:rFonts w:hint="eastAsia"/>
                <w:color w:val="000000" w:themeColor="text1"/>
                <w:szCs w:val="21"/>
                <w14:textFill>
                  <w14:solidFill>
                    <w14:schemeClr w14:val="tx1"/>
                  </w14:solidFill>
                </w14:textFill>
              </w:rPr>
              <w:t>85</w:t>
            </w:r>
            <w:r>
              <w:rPr>
                <w:color w:val="000000" w:themeColor="text1"/>
                <w:szCs w:val="21"/>
                <w14:textFill>
                  <w14:solidFill>
                    <w14:schemeClr w14:val="tx1"/>
                  </w14:solidFill>
                </w14:textFill>
              </w:rPr>
              <w:t>t/a</w:t>
            </w:r>
          </w:p>
        </w:tc>
        <w:tc>
          <w:tcPr>
            <w:tcW w:w="147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w:t>
            </w:r>
            <w:r>
              <w:rPr>
                <w:rFonts w:hint="eastAsia"/>
                <w:color w:val="000000" w:themeColor="text1"/>
                <w:szCs w:val="21"/>
                <w14:textFill>
                  <w14:solidFill>
                    <w14:schemeClr w14:val="tx1"/>
                  </w14:solidFill>
                </w14:textFill>
              </w:rPr>
              <w:t>85</w:t>
            </w:r>
            <w:r>
              <w:rPr>
                <w:color w:val="000000" w:themeColor="text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8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氨氮</w:t>
            </w: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276"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878"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0.00</w:t>
            </w: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t/a</w:t>
            </w:r>
          </w:p>
        </w:tc>
        <w:tc>
          <w:tcPr>
            <w:tcW w:w="1384" w:type="dxa"/>
            <w:vAlign w:val="center"/>
          </w:tcPr>
          <w:p>
            <w:pPr>
              <w:pStyle w:val="51"/>
              <w:spacing w:beforeLines="0" w:afterLines="0" w:line="300" w:lineRule="exact"/>
              <w:rPr>
                <w:rFonts w:ascii="Times New Roman"/>
                <w:color w:val="000000" w:themeColor="text1"/>
                <w:szCs w:val="21"/>
                <w14:textFill>
                  <w14:solidFill>
                    <w14:schemeClr w14:val="tx1"/>
                  </w14:solidFill>
                </w14:textFill>
              </w:rPr>
            </w:pPr>
          </w:p>
        </w:tc>
        <w:tc>
          <w:tcPr>
            <w:tcW w:w="1683"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0.00</w:t>
            </w: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t/a</w:t>
            </w:r>
          </w:p>
        </w:tc>
        <w:tc>
          <w:tcPr>
            <w:tcW w:w="147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+0.00</w:t>
            </w: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8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阴离子表面活性剂</w:t>
            </w: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276"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878"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0.001t/a</w:t>
            </w:r>
          </w:p>
        </w:tc>
        <w:tc>
          <w:tcPr>
            <w:tcW w:w="1384" w:type="dxa"/>
            <w:vAlign w:val="center"/>
          </w:tcPr>
          <w:p>
            <w:pPr>
              <w:pStyle w:val="51"/>
              <w:spacing w:beforeLines="0" w:afterLines="0" w:line="300" w:lineRule="exact"/>
              <w:rPr>
                <w:rFonts w:ascii="Times New Roman"/>
                <w:color w:val="000000" w:themeColor="text1"/>
                <w:szCs w:val="21"/>
                <w14:textFill>
                  <w14:solidFill>
                    <w14:schemeClr w14:val="tx1"/>
                  </w14:solidFill>
                </w14:textFill>
              </w:rPr>
            </w:pPr>
          </w:p>
        </w:tc>
        <w:tc>
          <w:tcPr>
            <w:tcW w:w="1683"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0.001t/a</w:t>
            </w:r>
          </w:p>
        </w:tc>
        <w:tc>
          <w:tcPr>
            <w:tcW w:w="147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+0.001t/a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8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总磷</w:t>
            </w: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276"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878"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0.0001t/a</w:t>
            </w:r>
          </w:p>
        </w:tc>
        <w:tc>
          <w:tcPr>
            <w:tcW w:w="1384" w:type="dxa"/>
            <w:vAlign w:val="center"/>
          </w:tcPr>
          <w:p>
            <w:pPr>
              <w:pStyle w:val="51"/>
              <w:spacing w:beforeLines="0" w:afterLines="0" w:line="300" w:lineRule="exact"/>
              <w:rPr>
                <w:rFonts w:ascii="Times New Roman"/>
                <w:color w:val="000000" w:themeColor="text1"/>
                <w:szCs w:val="21"/>
                <w14:textFill>
                  <w14:solidFill>
                    <w14:schemeClr w14:val="tx1"/>
                  </w14:solidFill>
                </w14:textFill>
              </w:rPr>
            </w:pPr>
          </w:p>
        </w:tc>
        <w:tc>
          <w:tcPr>
            <w:tcW w:w="1683"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0.0001t/a</w:t>
            </w:r>
          </w:p>
        </w:tc>
        <w:tc>
          <w:tcPr>
            <w:tcW w:w="147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+0.0001t/a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8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氟化物</w:t>
            </w: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276"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878"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w:t>
            </w:r>
            <w:r>
              <w:rPr>
                <w:rFonts w:hint="eastAsia"/>
                <w:color w:val="000000" w:themeColor="text1"/>
                <w:szCs w:val="21"/>
                <w14:textFill>
                  <w14:solidFill>
                    <w14:schemeClr w14:val="tx1"/>
                  </w14:solidFill>
                </w14:textFill>
              </w:rPr>
              <w:t>11</w:t>
            </w:r>
            <w:r>
              <w:rPr>
                <w:color w:val="000000" w:themeColor="text1"/>
                <w:szCs w:val="21"/>
                <w14:textFill>
                  <w14:solidFill>
                    <w14:schemeClr w14:val="tx1"/>
                  </w14:solidFill>
                </w14:textFill>
              </w:rPr>
              <w:t>t/a</w:t>
            </w:r>
          </w:p>
        </w:tc>
        <w:tc>
          <w:tcPr>
            <w:tcW w:w="1384" w:type="dxa"/>
            <w:vAlign w:val="center"/>
          </w:tcPr>
          <w:p>
            <w:pPr>
              <w:pStyle w:val="51"/>
              <w:spacing w:beforeLines="0" w:afterLines="0" w:line="300" w:lineRule="exact"/>
              <w:rPr>
                <w:rFonts w:ascii="Times New Roman"/>
                <w:color w:val="000000" w:themeColor="text1"/>
                <w:szCs w:val="21"/>
                <w14:textFill>
                  <w14:solidFill>
                    <w14:schemeClr w14:val="tx1"/>
                  </w14:solidFill>
                </w14:textFill>
              </w:rPr>
            </w:pPr>
          </w:p>
        </w:tc>
        <w:tc>
          <w:tcPr>
            <w:tcW w:w="1683"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w:t>
            </w:r>
            <w:r>
              <w:rPr>
                <w:rFonts w:hint="eastAsia"/>
                <w:color w:val="000000" w:themeColor="text1"/>
                <w:szCs w:val="21"/>
                <w14:textFill>
                  <w14:solidFill>
                    <w14:schemeClr w14:val="tx1"/>
                  </w14:solidFill>
                </w14:textFill>
              </w:rPr>
              <w:t>11</w:t>
            </w:r>
            <w:r>
              <w:rPr>
                <w:color w:val="000000" w:themeColor="text1"/>
                <w:szCs w:val="21"/>
                <w14:textFill>
                  <w14:solidFill>
                    <w14:schemeClr w14:val="tx1"/>
                  </w14:solidFill>
                </w14:textFill>
              </w:rPr>
              <w:t>t/a</w:t>
            </w:r>
          </w:p>
        </w:tc>
        <w:tc>
          <w:tcPr>
            <w:tcW w:w="147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w:t>
            </w:r>
            <w:r>
              <w:rPr>
                <w:rFonts w:hint="eastAsia"/>
                <w:color w:val="000000" w:themeColor="text1"/>
                <w:szCs w:val="21"/>
                <w14:textFill>
                  <w14:solidFill>
                    <w14:schemeClr w14:val="tx1"/>
                  </w14:solidFill>
                </w14:textFill>
              </w:rPr>
              <w:t>11</w:t>
            </w:r>
            <w:r>
              <w:rPr>
                <w:color w:val="000000" w:themeColor="text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8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粪大肠菌群数</w:t>
            </w: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276"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878"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5.41</w:t>
            </w:r>
            <w:r>
              <w:rPr>
                <w:color w:val="000000" w:themeColor="text1"/>
                <w:szCs w:val="21"/>
                <w14:textFill>
                  <w14:solidFill>
                    <w14:schemeClr w14:val="tx1"/>
                  </w14:solidFill>
                </w14:textFill>
              </w:rPr>
              <w:t>×10</w:t>
            </w:r>
            <w:r>
              <w:rPr>
                <w:rFonts w:hint="eastAsia"/>
                <w:color w:val="000000" w:themeColor="text1"/>
                <w:szCs w:val="21"/>
                <w:vertAlign w:val="superscript"/>
                <w14:textFill>
                  <w14:solidFill>
                    <w14:schemeClr w14:val="tx1"/>
                  </w14:solidFill>
                </w14:textFill>
              </w:rPr>
              <w:t>8</w:t>
            </w:r>
            <w:r>
              <w:rPr>
                <w:color w:val="000000" w:themeColor="text1"/>
                <w:szCs w:val="21"/>
                <w14:textFill>
                  <w14:solidFill>
                    <w14:schemeClr w14:val="tx1"/>
                  </w14:solidFill>
                </w14:textFill>
              </w:rPr>
              <w:t>MPN</w:t>
            </w:r>
          </w:p>
        </w:tc>
        <w:tc>
          <w:tcPr>
            <w:tcW w:w="1384" w:type="dxa"/>
            <w:vAlign w:val="center"/>
          </w:tcPr>
          <w:p>
            <w:pPr>
              <w:pStyle w:val="51"/>
              <w:spacing w:beforeLines="0" w:afterLines="0" w:line="300" w:lineRule="exact"/>
              <w:rPr>
                <w:rFonts w:ascii="Times New Roman"/>
                <w:color w:val="000000" w:themeColor="text1"/>
                <w:szCs w:val="21"/>
                <w14:textFill>
                  <w14:solidFill>
                    <w14:schemeClr w14:val="tx1"/>
                  </w14:solidFill>
                </w14:textFill>
              </w:rPr>
            </w:pPr>
          </w:p>
        </w:tc>
        <w:tc>
          <w:tcPr>
            <w:tcW w:w="168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5.41</w:t>
            </w:r>
            <w:r>
              <w:rPr>
                <w:color w:val="000000" w:themeColor="text1"/>
                <w:szCs w:val="21"/>
                <w14:textFill>
                  <w14:solidFill>
                    <w14:schemeClr w14:val="tx1"/>
                  </w14:solidFill>
                </w14:textFill>
              </w:rPr>
              <w:t>×10</w:t>
            </w:r>
            <w:r>
              <w:rPr>
                <w:rFonts w:hint="eastAsia"/>
                <w:color w:val="000000" w:themeColor="text1"/>
                <w:szCs w:val="21"/>
                <w:vertAlign w:val="superscript"/>
                <w14:textFill>
                  <w14:solidFill>
                    <w14:schemeClr w14:val="tx1"/>
                  </w14:solidFill>
                </w14:textFill>
              </w:rPr>
              <w:t>8</w:t>
            </w:r>
            <w:r>
              <w:rPr>
                <w:color w:val="000000" w:themeColor="text1"/>
                <w:szCs w:val="21"/>
                <w14:textFill>
                  <w14:solidFill>
                    <w14:schemeClr w14:val="tx1"/>
                  </w14:solidFill>
                </w14:textFill>
              </w:rPr>
              <w:t>MPN</w:t>
            </w:r>
          </w:p>
        </w:tc>
        <w:tc>
          <w:tcPr>
            <w:tcW w:w="147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5.41</w:t>
            </w:r>
            <w:r>
              <w:rPr>
                <w:color w:val="000000" w:themeColor="text1"/>
                <w:szCs w:val="21"/>
                <w14:textFill>
                  <w14:solidFill>
                    <w14:schemeClr w14:val="tx1"/>
                  </w14:solidFill>
                </w14:textFill>
              </w:rPr>
              <w:t>×10</w:t>
            </w:r>
            <w:r>
              <w:rPr>
                <w:rFonts w:hint="eastAsia"/>
                <w:color w:val="000000" w:themeColor="text1"/>
                <w:szCs w:val="21"/>
                <w:vertAlign w:val="superscript"/>
                <w14:textFill>
                  <w14:solidFill>
                    <w14:schemeClr w14:val="tx1"/>
                  </w14:solidFill>
                </w14:textFill>
              </w:rPr>
              <w:t>8</w:t>
            </w:r>
            <w:r>
              <w:rPr>
                <w:color w:val="000000" w:themeColor="text1"/>
                <w:szCs w:val="21"/>
                <w14:textFill>
                  <w14:solidFill>
                    <w14:schemeClr w14:val="tx1"/>
                  </w14:solidFill>
                </w14:textFill>
              </w:rPr>
              <w:t>MPN</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restart"/>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一般工业</w:t>
            </w:r>
          </w:p>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固体废物</w:t>
            </w:r>
          </w:p>
        </w:tc>
        <w:tc>
          <w:tcPr>
            <w:tcW w:w="178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废包装物</w:t>
            </w:r>
          </w:p>
        </w:tc>
        <w:tc>
          <w:tcPr>
            <w:tcW w:w="1701" w:type="dxa"/>
            <w:vAlign w:val="center"/>
          </w:tcPr>
          <w:p>
            <w:pPr>
              <w:contextualSpacing/>
              <w:jc w:val="center"/>
              <w:rPr>
                <w:color w:val="000000" w:themeColor="text1"/>
                <w:szCs w:val="21"/>
                <w14:textFill>
                  <w14:solidFill>
                    <w14:schemeClr w14:val="tx1"/>
                  </w14:solidFill>
                </w14:textFill>
              </w:rPr>
            </w:pPr>
          </w:p>
        </w:tc>
        <w:tc>
          <w:tcPr>
            <w:tcW w:w="1276"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878"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0.1t/a</w:t>
            </w:r>
          </w:p>
        </w:tc>
        <w:tc>
          <w:tcPr>
            <w:tcW w:w="1384" w:type="dxa"/>
            <w:vAlign w:val="center"/>
          </w:tcPr>
          <w:p>
            <w:pPr>
              <w:contextualSpacing/>
              <w:jc w:val="center"/>
              <w:rPr>
                <w:color w:val="000000" w:themeColor="text1"/>
                <w:szCs w:val="21"/>
                <w14:textFill>
                  <w14:solidFill>
                    <w14:schemeClr w14:val="tx1"/>
                  </w14:solidFill>
                </w14:textFill>
              </w:rPr>
            </w:pPr>
          </w:p>
        </w:tc>
        <w:tc>
          <w:tcPr>
            <w:tcW w:w="1683"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0.1t/a</w:t>
            </w:r>
          </w:p>
        </w:tc>
        <w:tc>
          <w:tcPr>
            <w:tcW w:w="147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+0.1t/a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8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生活垃圾</w:t>
            </w:r>
          </w:p>
        </w:tc>
        <w:tc>
          <w:tcPr>
            <w:tcW w:w="1701" w:type="dxa"/>
            <w:vAlign w:val="center"/>
          </w:tcPr>
          <w:p>
            <w:pPr>
              <w:contextualSpacing/>
              <w:jc w:val="center"/>
              <w:rPr>
                <w:color w:val="000000" w:themeColor="text1"/>
                <w:szCs w:val="21"/>
                <w14:textFill>
                  <w14:solidFill>
                    <w14:schemeClr w14:val="tx1"/>
                  </w14:solidFill>
                </w14:textFill>
              </w:rPr>
            </w:pPr>
          </w:p>
        </w:tc>
        <w:tc>
          <w:tcPr>
            <w:tcW w:w="1276"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878"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52.377t/a</w:t>
            </w:r>
          </w:p>
        </w:tc>
        <w:tc>
          <w:tcPr>
            <w:tcW w:w="1384" w:type="dxa"/>
            <w:vAlign w:val="center"/>
          </w:tcPr>
          <w:p>
            <w:pPr>
              <w:contextualSpacing/>
              <w:jc w:val="center"/>
              <w:rPr>
                <w:color w:val="000000" w:themeColor="text1"/>
                <w:szCs w:val="21"/>
                <w14:textFill>
                  <w14:solidFill>
                    <w14:schemeClr w14:val="tx1"/>
                  </w14:solidFill>
                </w14:textFill>
              </w:rPr>
            </w:pPr>
          </w:p>
        </w:tc>
        <w:tc>
          <w:tcPr>
            <w:tcW w:w="1683"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52.377t/a</w:t>
            </w:r>
          </w:p>
        </w:tc>
        <w:tc>
          <w:tcPr>
            <w:tcW w:w="147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+52.377t/a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restart"/>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危险废物</w:t>
            </w:r>
          </w:p>
        </w:tc>
        <w:tc>
          <w:tcPr>
            <w:tcW w:w="178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医疗废物</w:t>
            </w:r>
          </w:p>
        </w:tc>
        <w:tc>
          <w:tcPr>
            <w:tcW w:w="1701" w:type="dxa"/>
            <w:vAlign w:val="center"/>
          </w:tcPr>
          <w:p>
            <w:pPr>
              <w:contextualSpacing/>
              <w:jc w:val="center"/>
              <w:rPr>
                <w:color w:val="000000" w:themeColor="text1"/>
                <w:szCs w:val="21"/>
                <w14:textFill>
                  <w14:solidFill>
                    <w14:schemeClr w14:val="tx1"/>
                  </w14:solidFill>
                </w14:textFill>
              </w:rPr>
            </w:pPr>
          </w:p>
        </w:tc>
        <w:tc>
          <w:tcPr>
            <w:tcW w:w="1276"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878"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10.09</w:t>
            </w:r>
            <w:r>
              <w:rPr>
                <w:color w:val="000000" w:themeColor="text1"/>
                <w:szCs w:val="21"/>
                <w14:textFill>
                  <w14:solidFill>
                    <w14:schemeClr w14:val="tx1"/>
                  </w14:solidFill>
                </w14:textFill>
              </w:rPr>
              <w:t>t/a</w:t>
            </w:r>
          </w:p>
        </w:tc>
        <w:tc>
          <w:tcPr>
            <w:tcW w:w="1384" w:type="dxa"/>
            <w:vAlign w:val="center"/>
          </w:tcPr>
          <w:p>
            <w:pPr>
              <w:contextualSpacing/>
              <w:jc w:val="center"/>
              <w:rPr>
                <w:color w:val="000000" w:themeColor="text1"/>
                <w:szCs w:val="21"/>
                <w14:textFill>
                  <w14:solidFill>
                    <w14:schemeClr w14:val="tx1"/>
                  </w14:solidFill>
                </w14:textFill>
              </w:rPr>
            </w:pPr>
          </w:p>
        </w:tc>
        <w:tc>
          <w:tcPr>
            <w:tcW w:w="1683"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10.09</w:t>
            </w:r>
            <w:r>
              <w:rPr>
                <w:color w:val="000000" w:themeColor="text1"/>
                <w:szCs w:val="21"/>
                <w14:textFill>
                  <w14:solidFill>
                    <w14:schemeClr w14:val="tx1"/>
                  </w14:solidFill>
                </w14:textFill>
              </w:rPr>
              <w:t>t/a</w:t>
            </w:r>
          </w:p>
        </w:tc>
        <w:tc>
          <w:tcPr>
            <w:tcW w:w="147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10.09</w:t>
            </w:r>
            <w:r>
              <w:rPr>
                <w:color w:val="000000" w:themeColor="text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8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污水处理站栅渣</w:t>
            </w:r>
          </w:p>
        </w:tc>
        <w:tc>
          <w:tcPr>
            <w:tcW w:w="1701" w:type="dxa"/>
            <w:vAlign w:val="center"/>
          </w:tcPr>
          <w:p>
            <w:pPr>
              <w:contextualSpacing/>
              <w:jc w:val="center"/>
              <w:rPr>
                <w:color w:val="000000" w:themeColor="text1"/>
                <w:szCs w:val="21"/>
                <w14:textFill>
                  <w14:solidFill>
                    <w14:schemeClr w14:val="tx1"/>
                  </w14:solidFill>
                </w14:textFill>
              </w:rPr>
            </w:pPr>
          </w:p>
        </w:tc>
        <w:tc>
          <w:tcPr>
            <w:tcW w:w="1276"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878"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0.2t/a</w:t>
            </w:r>
          </w:p>
        </w:tc>
        <w:tc>
          <w:tcPr>
            <w:tcW w:w="1384" w:type="dxa"/>
            <w:vAlign w:val="center"/>
          </w:tcPr>
          <w:p>
            <w:pPr>
              <w:contextualSpacing/>
              <w:jc w:val="center"/>
              <w:rPr>
                <w:color w:val="000000" w:themeColor="text1"/>
                <w:szCs w:val="21"/>
                <w14:textFill>
                  <w14:solidFill>
                    <w14:schemeClr w14:val="tx1"/>
                  </w14:solidFill>
                </w14:textFill>
              </w:rPr>
            </w:pPr>
          </w:p>
        </w:tc>
        <w:tc>
          <w:tcPr>
            <w:tcW w:w="1683"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0.2t/a</w:t>
            </w:r>
          </w:p>
        </w:tc>
        <w:tc>
          <w:tcPr>
            <w:tcW w:w="147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0.2t/a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218" w:type="dxa"/>
            <w:vMerge w:val="continue"/>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8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污水处理站污泥</w:t>
            </w:r>
          </w:p>
        </w:tc>
        <w:tc>
          <w:tcPr>
            <w:tcW w:w="1701" w:type="dxa"/>
            <w:vAlign w:val="center"/>
          </w:tcPr>
          <w:p>
            <w:pPr>
              <w:contextualSpacing/>
              <w:jc w:val="center"/>
              <w:rPr>
                <w:color w:val="000000" w:themeColor="text1"/>
                <w:szCs w:val="21"/>
                <w14:textFill>
                  <w14:solidFill>
                    <w14:schemeClr w14:val="tx1"/>
                  </w14:solidFill>
                </w14:textFill>
              </w:rPr>
            </w:pPr>
          </w:p>
        </w:tc>
        <w:tc>
          <w:tcPr>
            <w:tcW w:w="1276"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701" w:type="dxa"/>
            <w:vAlign w:val="center"/>
          </w:tcPr>
          <w:p>
            <w:pPr>
              <w:pStyle w:val="51"/>
              <w:spacing w:beforeLines="0" w:afterLines="0" w:line="300" w:lineRule="exact"/>
              <w:rPr>
                <w:rFonts w:ascii="Times New Roman"/>
                <w:snapToGrid w:val="0"/>
                <w:color w:val="000000" w:themeColor="text1"/>
                <w:kern w:val="21"/>
                <w:szCs w:val="21"/>
                <w14:textFill>
                  <w14:solidFill>
                    <w14:schemeClr w14:val="tx1"/>
                  </w14:solidFill>
                </w14:textFill>
              </w:rPr>
            </w:pPr>
          </w:p>
        </w:tc>
        <w:tc>
          <w:tcPr>
            <w:tcW w:w="1878"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0.3t/a</w:t>
            </w:r>
          </w:p>
        </w:tc>
        <w:tc>
          <w:tcPr>
            <w:tcW w:w="1384" w:type="dxa"/>
            <w:vAlign w:val="center"/>
          </w:tcPr>
          <w:p>
            <w:pPr>
              <w:contextualSpacing/>
              <w:jc w:val="center"/>
              <w:rPr>
                <w:color w:val="000000" w:themeColor="text1"/>
                <w:szCs w:val="21"/>
                <w14:textFill>
                  <w14:solidFill>
                    <w14:schemeClr w14:val="tx1"/>
                  </w14:solidFill>
                </w14:textFill>
              </w:rPr>
            </w:pPr>
          </w:p>
        </w:tc>
        <w:tc>
          <w:tcPr>
            <w:tcW w:w="1683"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0.3t/a</w:t>
            </w:r>
          </w:p>
        </w:tc>
        <w:tc>
          <w:tcPr>
            <w:tcW w:w="1477"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0.3t/a</w:t>
            </w:r>
          </w:p>
        </w:tc>
      </w:tr>
    </w:tbl>
    <w:p>
      <w:pPr>
        <w:pStyle w:val="51"/>
        <w:spacing w:beforeLines="0" w:afterLines="0" w:line="240" w:lineRule="auto"/>
        <w:jc w:val="left"/>
        <w:rPr>
          <w:rFonts w:ascii="Times New Roman" w:eastAsia="黑体"/>
          <w:color w:val="000000" w:themeColor="text1"/>
          <w14:textFill>
            <w14:solidFill>
              <w14:schemeClr w14:val="tx1"/>
            </w14:solidFill>
          </w14:textFill>
        </w:rPr>
      </w:pPr>
      <w:r>
        <w:rPr>
          <w:rFonts w:ascii="Times New Roman"/>
          <w:snapToGrid w:val="0"/>
          <w:color w:val="000000" w:themeColor="text1"/>
          <w:kern w:val="21"/>
          <w:szCs w:val="21"/>
          <w14:textFill>
            <w14:solidFill>
              <w14:schemeClr w14:val="tx1"/>
            </w14:solidFill>
          </w14:textFill>
        </w:rPr>
        <w:t>注：</w:t>
      </w:r>
      <w:r>
        <w:rPr>
          <w:rFonts w:ascii="Times New Roman"/>
          <w:snapToGrid w:val="0"/>
          <w:color w:val="000000" w:themeColor="text1"/>
          <w:spacing w:val="-16"/>
          <w:kern w:val="21"/>
          <w:szCs w:val="21"/>
          <w14:textFill>
            <w14:solidFill>
              <w14:schemeClr w14:val="tx1"/>
            </w14:solidFill>
          </w14:textFill>
        </w:rPr>
        <w:fldChar w:fldCharType="begin"/>
      </w:r>
      <w:r>
        <w:rPr>
          <w:rFonts w:ascii="Times New Roman"/>
          <w:snapToGrid w:val="0"/>
          <w:color w:val="000000" w:themeColor="text1"/>
          <w:spacing w:val="-16"/>
          <w:kern w:val="21"/>
          <w:szCs w:val="21"/>
          <w14:textFill>
            <w14:solidFill>
              <w14:schemeClr w14:val="tx1"/>
            </w14:solidFill>
          </w14:textFill>
        </w:rPr>
        <w:instrText xml:space="preserve"> = 6 \* GB3 \* MERGEFORMAT </w:instrText>
      </w:r>
      <w:r>
        <w:rPr>
          <w:rFonts w:ascii="Times New Roman"/>
          <w:snapToGrid w:val="0"/>
          <w:color w:val="000000" w:themeColor="text1"/>
          <w:spacing w:val="-16"/>
          <w:kern w:val="21"/>
          <w:szCs w:val="21"/>
          <w14:textFill>
            <w14:solidFill>
              <w14:schemeClr w14:val="tx1"/>
            </w14:solidFill>
          </w14:textFill>
        </w:rPr>
        <w:fldChar w:fldCharType="separate"/>
      </w:r>
      <w:r>
        <w:rPr>
          <w:rFonts w:hint="eastAsia" w:hAnsi="宋体" w:cs="宋体"/>
          <w:color w:val="000000" w:themeColor="text1"/>
          <w:szCs w:val="21"/>
          <w14:textFill>
            <w14:solidFill>
              <w14:schemeClr w14:val="tx1"/>
            </w14:solidFill>
          </w14:textFill>
        </w:rPr>
        <w:t>⑥</w:t>
      </w:r>
      <w:r>
        <w:rPr>
          <w:rFonts w:ascii="Times New Roman"/>
          <w:snapToGrid w:val="0"/>
          <w:color w:val="000000" w:themeColor="text1"/>
          <w:spacing w:val="-16"/>
          <w:kern w:val="21"/>
          <w:szCs w:val="21"/>
          <w14:textFill>
            <w14:solidFill>
              <w14:schemeClr w14:val="tx1"/>
            </w14:solidFill>
          </w14:textFill>
        </w:rPr>
        <w:fldChar w:fldCharType="end"/>
      </w:r>
      <w:r>
        <w:rPr>
          <w:rFonts w:ascii="Times New Roman"/>
          <w:snapToGrid w:val="0"/>
          <w:color w:val="000000" w:themeColor="text1"/>
          <w:spacing w:val="-16"/>
          <w:kern w:val="21"/>
          <w:szCs w:val="21"/>
          <w14:textFill>
            <w14:solidFill>
              <w14:schemeClr w14:val="tx1"/>
            </w14:solidFill>
          </w14:textFill>
        </w:rPr>
        <w:t>=</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1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hint="eastAsia" w:hAnsi="宋体" w:cs="宋体"/>
          <w:color w:val="000000" w:themeColor="text1"/>
          <w:szCs w:val="21"/>
          <w14:textFill>
            <w14:solidFill>
              <w14:schemeClr w14:val="tx1"/>
            </w14:solidFill>
          </w14:textFill>
        </w:rPr>
        <w:t>①</w:t>
      </w:r>
      <w:r>
        <w:rPr>
          <w:rFonts w:ascii="Times New Roman"/>
          <w:snapToGrid w:val="0"/>
          <w:color w:val="000000" w:themeColor="text1"/>
          <w:spacing w:val="-6"/>
          <w:kern w:val="21"/>
          <w:szCs w:val="21"/>
          <w14:textFill>
            <w14:solidFill>
              <w14:schemeClr w14:val="tx1"/>
            </w14:solidFill>
          </w14:textFill>
        </w:rPr>
        <w:fldChar w:fldCharType="end"/>
      </w:r>
      <w:r>
        <w:rPr>
          <w:rFonts w:ascii="Times New Roman"/>
          <w:snapToGrid w:val="0"/>
          <w:color w:val="000000" w:themeColor="text1"/>
          <w:spacing w:val="-6"/>
          <w:kern w:val="21"/>
          <w:szCs w:val="21"/>
          <w14:textFill>
            <w14:solidFill>
              <w14:schemeClr w14:val="tx1"/>
            </w14:solidFill>
          </w14:textFill>
        </w:rPr>
        <w:t>+</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3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hint="eastAsia" w:hAnsi="宋体" w:cs="宋体"/>
          <w:color w:val="000000" w:themeColor="text1"/>
          <w:szCs w:val="21"/>
          <w14:textFill>
            <w14:solidFill>
              <w14:schemeClr w14:val="tx1"/>
            </w14:solidFill>
          </w14:textFill>
        </w:rPr>
        <w:t>③</w:t>
      </w:r>
      <w:r>
        <w:rPr>
          <w:rFonts w:ascii="Times New Roman"/>
          <w:snapToGrid w:val="0"/>
          <w:color w:val="000000" w:themeColor="text1"/>
          <w:spacing w:val="-6"/>
          <w:kern w:val="21"/>
          <w:szCs w:val="21"/>
          <w14:textFill>
            <w14:solidFill>
              <w14:schemeClr w14:val="tx1"/>
            </w14:solidFill>
          </w14:textFill>
        </w:rPr>
        <w:fldChar w:fldCharType="end"/>
      </w:r>
      <w:r>
        <w:rPr>
          <w:rFonts w:ascii="Times New Roman"/>
          <w:snapToGrid w:val="0"/>
          <w:color w:val="000000" w:themeColor="text1"/>
          <w:spacing w:val="-6"/>
          <w:kern w:val="21"/>
          <w:szCs w:val="21"/>
          <w14:textFill>
            <w14:solidFill>
              <w14:schemeClr w14:val="tx1"/>
            </w14:solidFill>
          </w14:textFill>
        </w:rPr>
        <w:t>+</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4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hint="eastAsia" w:hAnsi="宋体" w:cs="宋体"/>
          <w:color w:val="000000" w:themeColor="text1"/>
          <w:szCs w:val="21"/>
          <w14:textFill>
            <w14:solidFill>
              <w14:schemeClr w14:val="tx1"/>
            </w14:solidFill>
          </w14:textFill>
        </w:rPr>
        <w:t>④</w:t>
      </w:r>
      <w:r>
        <w:rPr>
          <w:rFonts w:ascii="Times New Roman"/>
          <w:snapToGrid w:val="0"/>
          <w:color w:val="000000" w:themeColor="text1"/>
          <w:spacing w:val="-6"/>
          <w:kern w:val="21"/>
          <w:szCs w:val="21"/>
          <w14:textFill>
            <w14:solidFill>
              <w14:schemeClr w14:val="tx1"/>
            </w14:solidFill>
          </w14:textFill>
        </w:rPr>
        <w:fldChar w:fldCharType="end"/>
      </w:r>
      <w:r>
        <w:rPr>
          <w:rFonts w:ascii="Times New Roman"/>
          <w:snapToGrid w:val="0"/>
          <w:color w:val="000000" w:themeColor="text1"/>
          <w:spacing w:val="-6"/>
          <w:kern w:val="21"/>
          <w:szCs w:val="21"/>
          <w14:textFill>
            <w14:solidFill>
              <w14:schemeClr w14:val="tx1"/>
            </w14:solidFill>
          </w14:textFill>
        </w:rPr>
        <w:t>-</w:t>
      </w:r>
      <w:r>
        <w:rPr>
          <w:rFonts w:ascii="Times New Roman"/>
          <w:snapToGrid w:val="0"/>
          <w:color w:val="000000" w:themeColor="text1"/>
          <w:spacing w:val="-16"/>
          <w:kern w:val="21"/>
          <w:szCs w:val="21"/>
          <w14:textFill>
            <w14:solidFill>
              <w14:schemeClr w14:val="tx1"/>
            </w14:solidFill>
          </w14:textFill>
        </w:rPr>
        <w:fldChar w:fldCharType="begin"/>
      </w:r>
      <w:r>
        <w:rPr>
          <w:rFonts w:ascii="Times New Roman"/>
          <w:snapToGrid w:val="0"/>
          <w:color w:val="000000" w:themeColor="text1"/>
          <w:spacing w:val="-16"/>
          <w:kern w:val="21"/>
          <w:szCs w:val="21"/>
          <w14:textFill>
            <w14:solidFill>
              <w14:schemeClr w14:val="tx1"/>
            </w14:solidFill>
          </w14:textFill>
        </w:rPr>
        <w:instrText xml:space="preserve"> = 5 \* GB3 \* MERGEFORMAT </w:instrText>
      </w:r>
      <w:r>
        <w:rPr>
          <w:rFonts w:ascii="Times New Roman"/>
          <w:snapToGrid w:val="0"/>
          <w:color w:val="000000" w:themeColor="text1"/>
          <w:spacing w:val="-16"/>
          <w:kern w:val="21"/>
          <w:szCs w:val="21"/>
          <w14:textFill>
            <w14:solidFill>
              <w14:schemeClr w14:val="tx1"/>
            </w14:solidFill>
          </w14:textFill>
        </w:rPr>
        <w:fldChar w:fldCharType="separate"/>
      </w:r>
      <w:r>
        <w:rPr>
          <w:rFonts w:hint="eastAsia" w:hAnsi="宋体" w:cs="宋体"/>
          <w:color w:val="000000" w:themeColor="text1"/>
          <w:szCs w:val="21"/>
          <w14:textFill>
            <w14:solidFill>
              <w14:schemeClr w14:val="tx1"/>
            </w14:solidFill>
          </w14:textFill>
        </w:rPr>
        <w:t>⑤</w:t>
      </w:r>
      <w:r>
        <w:rPr>
          <w:rFonts w:ascii="Times New Roman"/>
          <w:snapToGrid w:val="0"/>
          <w:color w:val="000000" w:themeColor="text1"/>
          <w:spacing w:val="-16"/>
          <w:kern w:val="21"/>
          <w:szCs w:val="21"/>
          <w14:textFill>
            <w14:solidFill>
              <w14:schemeClr w14:val="tx1"/>
            </w14:solidFill>
          </w14:textFill>
        </w:rPr>
        <w:fldChar w:fldCharType="end"/>
      </w:r>
      <w:r>
        <w:rPr>
          <w:rFonts w:ascii="Times New Roman"/>
          <w:snapToGrid w:val="0"/>
          <w:color w:val="000000" w:themeColor="text1"/>
          <w:spacing w:val="-16"/>
          <w:kern w:val="21"/>
          <w:szCs w:val="21"/>
          <w14:textFill>
            <w14:solidFill>
              <w14:schemeClr w14:val="tx1"/>
            </w14:solidFill>
          </w14:textFill>
        </w:rPr>
        <w:t>；</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7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hint="eastAsia" w:hAnsi="宋体" w:cs="宋体"/>
          <w:color w:val="000000" w:themeColor="text1"/>
          <w:szCs w:val="21"/>
          <w14:textFill>
            <w14:solidFill>
              <w14:schemeClr w14:val="tx1"/>
            </w14:solidFill>
          </w14:textFill>
        </w:rPr>
        <w:t>⑦</w:t>
      </w:r>
      <w:r>
        <w:rPr>
          <w:rFonts w:ascii="Times New Roman"/>
          <w:snapToGrid w:val="0"/>
          <w:color w:val="000000" w:themeColor="text1"/>
          <w:spacing w:val="-6"/>
          <w:kern w:val="21"/>
          <w:szCs w:val="21"/>
          <w14:textFill>
            <w14:solidFill>
              <w14:schemeClr w14:val="tx1"/>
            </w14:solidFill>
          </w14:textFill>
        </w:rPr>
        <w:fldChar w:fldCharType="end"/>
      </w:r>
      <w:r>
        <w:rPr>
          <w:rFonts w:ascii="Times New Roman"/>
          <w:snapToGrid w:val="0"/>
          <w:color w:val="000000" w:themeColor="text1"/>
          <w:spacing w:val="-6"/>
          <w:kern w:val="21"/>
          <w:szCs w:val="21"/>
          <w14:textFill>
            <w14:solidFill>
              <w14:schemeClr w14:val="tx1"/>
            </w14:solidFill>
          </w14:textFill>
        </w:rPr>
        <w:t>=</w:t>
      </w:r>
      <w:r>
        <w:rPr>
          <w:rFonts w:ascii="Times New Roman"/>
          <w:snapToGrid w:val="0"/>
          <w:color w:val="000000" w:themeColor="text1"/>
          <w:spacing w:val="-16"/>
          <w:kern w:val="21"/>
          <w:szCs w:val="21"/>
          <w14:textFill>
            <w14:solidFill>
              <w14:schemeClr w14:val="tx1"/>
            </w14:solidFill>
          </w14:textFill>
        </w:rPr>
        <w:fldChar w:fldCharType="begin"/>
      </w:r>
      <w:r>
        <w:rPr>
          <w:rFonts w:ascii="Times New Roman"/>
          <w:snapToGrid w:val="0"/>
          <w:color w:val="000000" w:themeColor="text1"/>
          <w:spacing w:val="-16"/>
          <w:kern w:val="21"/>
          <w:szCs w:val="21"/>
          <w14:textFill>
            <w14:solidFill>
              <w14:schemeClr w14:val="tx1"/>
            </w14:solidFill>
          </w14:textFill>
        </w:rPr>
        <w:instrText xml:space="preserve"> = 6 \* GB3 \* MERGEFORMAT </w:instrText>
      </w:r>
      <w:r>
        <w:rPr>
          <w:rFonts w:ascii="Times New Roman"/>
          <w:snapToGrid w:val="0"/>
          <w:color w:val="000000" w:themeColor="text1"/>
          <w:spacing w:val="-16"/>
          <w:kern w:val="21"/>
          <w:szCs w:val="21"/>
          <w14:textFill>
            <w14:solidFill>
              <w14:schemeClr w14:val="tx1"/>
            </w14:solidFill>
          </w14:textFill>
        </w:rPr>
        <w:fldChar w:fldCharType="separate"/>
      </w:r>
      <w:r>
        <w:rPr>
          <w:rFonts w:hint="eastAsia" w:hAnsi="宋体" w:cs="宋体"/>
          <w:color w:val="000000" w:themeColor="text1"/>
          <w:szCs w:val="21"/>
          <w14:textFill>
            <w14:solidFill>
              <w14:schemeClr w14:val="tx1"/>
            </w14:solidFill>
          </w14:textFill>
        </w:rPr>
        <w:t>⑥</w:t>
      </w:r>
      <w:r>
        <w:rPr>
          <w:rFonts w:ascii="Times New Roman"/>
          <w:snapToGrid w:val="0"/>
          <w:color w:val="000000" w:themeColor="text1"/>
          <w:spacing w:val="-16"/>
          <w:kern w:val="21"/>
          <w:szCs w:val="21"/>
          <w14:textFill>
            <w14:solidFill>
              <w14:schemeClr w14:val="tx1"/>
            </w14:solidFill>
          </w14:textFill>
        </w:rPr>
        <w:fldChar w:fldCharType="end"/>
      </w:r>
      <w:r>
        <w:rPr>
          <w:rFonts w:ascii="Times New Roman"/>
          <w:snapToGrid w:val="0"/>
          <w:color w:val="000000" w:themeColor="text1"/>
          <w:spacing w:val="-16"/>
          <w:kern w:val="21"/>
          <w:szCs w:val="21"/>
          <w14:textFill>
            <w14:solidFill>
              <w14:schemeClr w14:val="tx1"/>
            </w14:solidFill>
          </w14:textFill>
        </w:rPr>
        <w:t>-</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1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hint="eastAsia" w:hAnsi="宋体" w:cs="宋体"/>
          <w:color w:val="000000" w:themeColor="text1"/>
          <w:szCs w:val="21"/>
          <w14:textFill>
            <w14:solidFill>
              <w14:schemeClr w14:val="tx1"/>
            </w14:solidFill>
          </w14:textFill>
        </w:rPr>
        <w:t>①</w:t>
      </w:r>
      <w:r>
        <w:rPr>
          <w:rFonts w:ascii="Times New Roman"/>
          <w:snapToGrid w:val="0"/>
          <w:color w:val="000000" w:themeColor="text1"/>
          <w:spacing w:val="-6"/>
          <w:kern w:val="21"/>
          <w:szCs w:val="21"/>
          <w14:textFill>
            <w14:solidFill>
              <w14:schemeClr w14:val="tx1"/>
            </w14:solidFill>
          </w14:textFill>
        </w:rPr>
        <w:fldChar w:fldCharType="end"/>
      </w:r>
    </w:p>
    <w:bookmarkEnd w:id="9"/>
    <w:sectPr>
      <w:footerReference r:id="rId5" w:type="default"/>
      <w:pgSz w:w="16838" w:h="11906" w:orient="landscape"/>
      <w:pgMar w:top="1531" w:right="1701" w:bottom="1531" w:left="1701" w:header="851" w:footer="851"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Microsoft JhengHei">
    <w:panose1 w:val="020B0604030504040204"/>
    <w:charset w:val="88"/>
    <w:family w:val="swiss"/>
    <w:pitch w:val="default"/>
    <w:sig w:usb0="00000087" w:usb1="28AF4000" w:usb2="00000016" w:usb3="00000000" w:csb0="00100009"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20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- 16 -</w:t>
                          </w:r>
                          <w:r>
                            <w:rPr>
                              <w:rFonts w:hint="eastAsia"/>
                            </w:rPr>
                            <w:fldChar w:fldCharType="end"/>
                          </w:r>
                        </w:p>
                      </w:txbxContent>
                    </wps:txbx>
                    <wps:bodyPr wrap="none" lIns="0" tIns="0" rIns="0" bIns="0">
                      <a:spAutoFit/>
                    </wps:bodyPr>
                  </wps:wsp>
                </a:graphicData>
              </a:graphic>
            </wp:anchor>
          </w:drawing>
        </mc:Choice>
        <mc:Fallback>
          <w:pict>
            <v:shape id="文本框 2050"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b/KLEwwEAAJADAAAOAAAAAAAAAAEAIAAAAB4BAABkcnMvZTJvRG9jLnhtbFBL&#10;BQYAAAAABgAGAFkBAABTBQ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- 16 -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360" w:firstLine="360"/>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20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wps:txbx>
                    <wps:bodyPr wrap="none" lIns="0" tIns="0" rIns="0" bIns="0">
                      <a:spAutoFit/>
                    </wps:bodyPr>
                  </wps:wsp>
                </a:graphicData>
              </a:graphic>
            </wp:anchor>
          </w:drawing>
        </mc:Choice>
        <mc:Fallback>
          <w:pict>
            <v:shape id="文本框 2052"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j9C5gsQBAACQAwAADgAAAAAAAAABACAAAAAeAQAAZHJzL2Uyb0RvYy54bWxQ&#10;SwUGAAAAAAYABgBZAQAAVAUAAAAA&#10;">
              <v:fill on="f" focussize="0,0"/>
              <v:stroke on="f"/>
              <v:imagedata o:title=""/>
              <o:lock v:ext="edit" aspectratio="f"/>
              <v:textbox inset="0mm,0mm,0mm,0mm" style="mso-fit-shape-to-text:t;">
                <w:txbxContent>
                  <w:p>
                    <w:pPr>
                      <w:pStyle w:val="18"/>
                    </w:pPr>
                    <w:r>
                      <w:rPr>
                        <w:rFonts w:hint="eastAsia"/>
                      </w:rPr>
                      <w:fldChar w:fldCharType="begin"/>
                    </w:r>
                    <w:r>
                      <w:rPr>
                        <w:rFonts w:hint="eastAsia"/>
                      </w:rPr>
                      <w:instrText xml:space="preserve"> PAGE  \* MERGEFORMAT </w:instrText>
                    </w:r>
                    <w:r>
                      <w:rPr>
                        <w:rFonts w:hint="eastAsia"/>
                      </w:rPr>
                      <w:fldChar w:fldCharType="separate"/>
                    </w:r>
                    <w:r>
                      <w:t>- 57 -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5CF12"/>
    <w:multiLevelType w:val="singleLevel"/>
    <w:tmpl w:val="9215CF12"/>
    <w:lvl w:ilvl="0" w:tentative="0">
      <w:start w:val="1"/>
      <w:numFmt w:val="bullet"/>
      <w:pStyle w:val="14"/>
      <w:lvlText w:val=""/>
      <w:lvlJc w:val="left"/>
      <w:pPr>
        <w:tabs>
          <w:tab w:val="left" w:pos="2040"/>
        </w:tabs>
        <w:ind w:left="2040" w:hanging="360"/>
      </w:pPr>
      <w:rPr>
        <w:rFonts w:hint="default" w:ascii="Wingdings" w:hAnsi="Wingdings"/>
      </w:rPr>
    </w:lvl>
  </w:abstractNum>
  <w:abstractNum w:abstractNumId="1">
    <w:nsid w:val="D7C72478"/>
    <w:multiLevelType w:val="singleLevel"/>
    <w:tmpl w:val="D7C72478"/>
    <w:lvl w:ilvl="0" w:tentative="0">
      <w:start w:val="4"/>
      <w:numFmt w:val="chineseCounting"/>
      <w:suff w:val="nothing"/>
      <w:lvlText w:val="%1、"/>
      <w:lvlJc w:val="left"/>
      <w:rPr>
        <w:rFonts w:hint="eastAsia"/>
      </w:rPr>
    </w:lvl>
  </w:abstractNum>
  <w:abstractNum w:abstractNumId="2">
    <w:nsid w:val="61E83F48"/>
    <w:multiLevelType w:val="singleLevel"/>
    <w:tmpl w:val="61E83F48"/>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lhNWI2NTUyNzYyNjkwYTg3YzNhZDk0NDk3NjRmZDMifQ=="/>
  </w:docVars>
  <w:rsids>
    <w:rsidRoot w:val="00172A27"/>
    <w:rsid w:val="000036CB"/>
    <w:rsid w:val="000060B3"/>
    <w:rsid w:val="00025B40"/>
    <w:rsid w:val="000316A3"/>
    <w:rsid w:val="0004364B"/>
    <w:rsid w:val="00061B1F"/>
    <w:rsid w:val="000733C4"/>
    <w:rsid w:val="00074783"/>
    <w:rsid w:val="0008070B"/>
    <w:rsid w:val="000810AC"/>
    <w:rsid w:val="00081A02"/>
    <w:rsid w:val="00082231"/>
    <w:rsid w:val="00092D38"/>
    <w:rsid w:val="0009377B"/>
    <w:rsid w:val="000A20C9"/>
    <w:rsid w:val="000A741C"/>
    <w:rsid w:val="000B058F"/>
    <w:rsid w:val="000B4467"/>
    <w:rsid w:val="000B4DB9"/>
    <w:rsid w:val="000C09AC"/>
    <w:rsid w:val="000C7457"/>
    <w:rsid w:val="000C767F"/>
    <w:rsid w:val="000D4FD6"/>
    <w:rsid w:val="000D5A44"/>
    <w:rsid w:val="000E3ED2"/>
    <w:rsid w:val="00111F5D"/>
    <w:rsid w:val="001165C3"/>
    <w:rsid w:val="00120E5D"/>
    <w:rsid w:val="00131346"/>
    <w:rsid w:val="00131F42"/>
    <w:rsid w:val="001357F1"/>
    <w:rsid w:val="00140FA8"/>
    <w:rsid w:val="00142FEB"/>
    <w:rsid w:val="00143A2D"/>
    <w:rsid w:val="00145A41"/>
    <w:rsid w:val="00151675"/>
    <w:rsid w:val="00154983"/>
    <w:rsid w:val="00157435"/>
    <w:rsid w:val="00167717"/>
    <w:rsid w:val="0017168D"/>
    <w:rsid w:val="00172A27"/>
    <w:rsid w:val="0017504D"/>
    <w:rsid w:val="0017671A"/>
    <w:rsid w:val="00177422"/>
    <w:rsid w:val="00184590"/>
    <w:rsid w:val="001870D1"/>
    <w:rsid w:val="0018781E"/>
    <w:rsid w:val="0019262D"/>
    <w:rsid w:val="001930DD"/>
    <w:rsid w:val="00196349"/>
    <w:rsid w:val="001A1B35"/>
    <w:rsid w:val="001A48A2"/>
    <w:rsid w:val="001A6F61"/>
    <w:rsid w:val="001B72B8"/>
    <w:rsid w:val="001C69B3"/>
    <w:rsid w:val="001D5595"/>
    <w:rsid w:val="001D7874"/>
    <w:rsid w:val="001D7F22"/>
    <w:rsid w:val="001F0F17"/>
    <w:rsid w:val="001F3347"/>
    <w:rsid w:val="001F69E4"/>
    <w:rsid w:val="002125B4"/>
    <w:rsid w:val="002155B8"/>
    <w:rsid w:val="00224839"/>
    <w:rsid w:val="002249B2"/>
    <w:rsid w:val="00226574"/>
    <w:rsid w:val="002278EC"/>
    <w:rsid w:val="0023280E"/>
    <w:rsid w:val="002377D1"/>
    <w:rsid w:val="002506BC"/>
    <w:rsid w:val="00254345"/>
    <w:rsid w:val="0026305B"/>
    <w:rsid w:val="00264557"/>
    <w:rsid w:val="00265063"/>
    <w:rsid w:val="002805AB"/>
    <w:rsid w:val="00284204"/>
    <w:rsid w:val="00291773"/>
    <w:rsid w:val="002A168C"/>
    <w:rsid w:val="002A3DC7"/>
    <w:rsid w:val="002A6D4D"/>
    <w:rsid w:val="002B408A"/>
    <w:rsid w:val="002B49E2"/>
    <w:rsid w:val="002B7B00"/>
    <w:rsid w:val="002B7C44"/>
    <w:rsid w:val="002C2B17"/>
    <w:rsid w:val="002D3DD0"/>
    <w:rsid w:val="002D63FA"/>
    <w:rsid w:val="002E1F3A"/>
    <w:rsid w:val="002E298A"/>
    <w:rsid w:val="002E4924"/>
    <w:rsid w:val="00301978"/>
    <w:rsid w:val="0030332C"/>
    <w:rsid w:val="003051C2"/>
    <w:rsid w:val="00307B70"/>
    <w:rsid w:val="0031061C"/>
    <w:rsid w:val="00312296"/>
    <w:rsid w:val="00314F0E"/>
    <w:rsid w:val="003215AB"/>
    <w:rsid w:val="00321D8E"/>
    <w:rsid w:val="00325928"/>
    <w:rsid w:val="00332863"/>
    <w:rsid w:val="003330DB"/>
    <w:rsid w:val="0033684D"/>
    <w:rsid w:val="00337B42"/>
    <w:rsid w:val="00341B42"/>
    <w:rsid w:val="00342DA4"/>
    <w:rsid w:val="0034348F"/>
    <w:rsid w:val="0034458B"/>
    <w:rsid w:val="00356653"/>
    <w:rsid w:val="0035743F"/>
    <w:rsid w:val="00357BE2"/>
    <w:rsid w:val="0036170C"/>
    <w:rsid w:val="00366E0F"/>
    <w:rsid w:val="00381A72"/>
    <w:rsid w:val="00384676"/>
    <w:rsid w:val="00390857"/>
    <w:rsid w:val="00396F5E"/>
    <w:rsid w:val="003A1B2F"/>
    <w:rsid w:val="003A4BF3"/>
    <w:rsid w:val="003B420D"/>
    <w:rsid w:val="003C1436"/>
    <w:rsid w:val="003C6C16"/>
    <w:rsid w:val="003D3E6B"/>
    <w:rsid w:val="003D794D"/>
    <w:rsid w:val="003E3058"/>
    <w:rsid w:val="003E76A9"/>
    <w:rsid w:val="003F0809"/>
    <w:rsid w:val="003F5316"/>
    <w:rsid w:val="003F6A8C"/>
    <w:rsid w:val="003F755C"/>
    <w:rsid w:val="00401A80"/>
    <w:rsid w:val="00406F01"/>
    <w:rsid w:val="0041236E"/>
    <w:rsid w:val="00416D50"/>
    <w:rsid w:val="00416FD5"/>
    <w:rsid w:val="00417772"/>
    <w:rsid w:val="00420E6A"/>
    <w:rsid w:val="00425A9E"/>
    <w:rsid w:val="00426D6B"/>
    <w:rsid w:val="00431E6C"/>
    <w:rsid w:val="00433CE7"/>
    <w:rsid w:val="00452738"/>
    <w:rsid w:val="00456091"/>
    <w:rsid w:val="00466321"/>
    <w:rsid w:val="00475240"/>
    <w:rsid w:val="00484B9B"/>
    <w:rsid w:val="004855F6"/>
    <w:rsid w:val="0048661E"/>
    <w:rsid w:val="00494670"/>
    <w:rsid w:val="004A06C1"/>
    <w:rsid w:val="004A1624"/>
    <w:rsid w:val="004A3823"/>
    <w:rsid w:val="004C0F72"/>
    <w:rsid w:val="004C4AC3"/>
    <w:rsid w:val="004E4E09"/>
    <w:rsid w:val="004E6946"/>
    <w:rsid w:val="004F1088"/>
    <w:rsid w:val="004F1AD8"/>
    <w:rsid w:val="004F2E2C"/>
    <w:rsid w:val="005039CB"/>
    <w:rsid w:val="0050558F"/>
    <w:rsid w:val="00506286"/>
    <w:rsid w:val="0050799C"/>
    <w:rsid w:val="00510813"/>
    <w:rsid w:val="00511990"/>
    <w:rsid w:val="00511DE0"/>
    <w:rsid w:val="00514870"/>
    <w:rsid w:val="00514B9B"/>
    <w:rsid w:val="00517169"/>
    <w:rsid w:val="00517F02"/>
    <w:rsid w:val="00524303"/>
    <w:rsid w:val="005258A2"/>
    <w:rsid w:val="005270F0"/>
    <w:rsid w:val="00535376"/>
    <w:rsid w:val="005401AE"/>
    <w:rsid w:val="00542E07"/>
    <w:rsid w:val="00545424"/>
    <w:rsid w:val="0054648C"/>
    <w:rsid w:val="00554A7B"/>
    <w:rsid w:val="0055572C"/>
    <w:rsid w:val="00555AD5"/>
    <w:rsid w:val="0056106A"/>
    <w:rsid w:val="005720AE"/>
    <w:rsid w:val="00585947"/>
    <w:rsid w:val="00594D77"/>
    <w:rsid w:val="005969E4"/>
    <w:rsid w:val="005A06B7"/>
    <w:rsid w:val="005A1759"/>
    <w:rsid w:val="005A68A7"/>
    <w:rsid w:val="005A7928"/>
    <w:rsid w:val="005B2704"/>
    <w:rsid w:val="005D36AB"/>
    <w:rsid w:val="005E6B89"/>
    <w:rsid w:val="00617CC3"/>
    <w:rsid w:val="006245B9"/>
    <w:rsid w:val="00635728"/>
    <w:rsid w:val="006377A6"/>
    <w:rsid w:val="00637A3D"/>
    <w:rsid w:val="006411EF"/>
    <w:rsid w:val="006430F5"/>
    <w:rsid w:val="006534CF"/>
    <w:rsid w:val="006623D0"/>
    <w:rsid w:val="00671349"/>
    <w:rsid w:val="006748B8"/>
    <w:rsid w:val="006775C3"/>
    <w:rsid w:val="0069290A"/>
    <w:rsid w:val="0069775A"/>
    <w:rsid w:val="00697813"/>
    <w:rsid w:val="006A00B6"/>
    <w:rsid w:val="006A3EE8"/>
    <w:rsid w:val="006A72BF"/>
    <w:rsid w:val="006B03F2"/>
    <w:rsid w:val="006B37DC"/>
    <w:rsid w:val="006B46F8"/>
    <w:rsid w:val="006B4F68"/>
    <w:rsid w:val="006C0592"/>
    <w:rsid w:val="006C272E"/>
    <w:rsid w:val="006C50B3"/>
    <w:rsid w:val="006C5479"/>
    <w:rsid w:val="006D13B5"/>
    <w:rsid w:val="006D685A"/>
    <w:rsid w:val="006E12FF"/>
    <w:rsid w:val="006E2E10"/>
    <w:rsid w:val="006E607E"/>
    <w:rsid w:val="006F72FB"/>
    <w:rsid w:val="00706C5D"/>
    <w:rsid w:val="00713FED"/>
    <w:rsid w:val="00717532"/>
    <w:rsid w:val="00725245"/>
    <w:rsid w:val="00732922"/>
    <w:rsid w:val="00735823"/>
    <w:rsid w:val="00747124"/>
    <w:rsid w:val="0075162E"/>
    <w:rsid w:val="00754034"/>
    <w:rsid w:val="00756357"/>
    <w:rsid w:val="00756556"/>
    <w:rsid w:val="007618C4"/>
    <w:rsid w:val="00767980"/>
    <w:rsid w:val="00770B19"/>
    <w:rsid w:val="00771F7F"/>
    <w:rsid w:val="0077463F"/>
    <w:rsid w:val="007836EA"/>
    <w:rsid w:val="00784CDA"/>
    <w:rsid w:val="007906C4"/>
    <w:rsid w:val="007940EA"/>
    <w:rsid w:val="007967E8"/>
    <w:rsid w:val="007A2170"/>
    <w:rsid w:val="007A22BF"/>
    <w:rsid w:val="007A3323"/>
    <w:rsid w:val="007B1D53"/>
    <w:rsid w:val="007B27B0"/>
    <w:rsid w:val="007B72B8"/>
    <w:rsid w:val="007B7A58"/>
    <w:rsid w:val="007C21B5"/>
    <w:rsid w:val="007E4BD2"/>
    <w:rsid w:val="007F045F"/>
    <w:rsid w:val="007F746C"/>
    <w:rsid w:val="00801393"/>
    <w:rsid w:val="00802F88"/>
    <w:rsid w:val="0081293E"/>
    <w:rsid w:val="00814220"/>
    <w:rsid w:val="00815465"/>
    <w:rsid w:val="00816779"/>
    <w:rsid w:val="00817E9A"/>
    <w:rsid w:val="00827C2B"/>
    <w:rsid w:val="008306BD"/>
    <w:rsid w:val="00831A80"/>
    <w:rsid w:val="00833743"/>
    <w:rsid w:val="008340A4"/>
    <w:rsid w:val="008426E2"/>
    <w:rsid w:val="008458E0"/>
    <w:rsid w:val="00855219"/>
    <w:rsid w:val="008670D4"/>
    <w:rsid w:val="00870C05"/>
    <w:rsid w:val="0087135F"/>
    <w:rsid w:val="00872D94"/>
    <w:rsid w:val="00880364"/>
    <w:rsid w:val="00880A7E"/>
    <w:rsid w:val="0088443C"/>
    <w:rsid w:val="00891592"/>
    <w:rsid w:val="00891E9E"/>
    <w:rsid w:val="00892E2D"/>
    <w:rsid w:val="008A2F68"/>
    <w:rsid w:val="008B4FA6"/>
    <w:rsid w:val="008B5282"/>
    <w:rsid w:val="008B7C17"/>
    <w:rsid w:val="008C2A34"/>
    <w:rsid w:val="008C2D01"/>
    <w:rsid w:val="008C40E6"/>
    <w:rsid w:val="008D0F7A"/>
    <w:rsid w:val="008D68E4"/>
    <w:rsid w:val="008E0506"/>
    <w:rsid w:val="008E0CFF"/>
    <w:rsid w:val="008E1546"/>
    <w:rsid w:val="008E5D6B"/>
    <w:rsid w:val="008E76F0"/>
    <w:rsid w:val="008F15FE"/>
    <w:rsid w:val="008F2D29"/>
    <w:rsid w:val="008F5187"/>
    <w:rsid w:val="008F60D8"/>
    <w:rsid w:val="00902727"/>
    <w:rsid w:val="0090312B"/>
    <w:rsid w:val="00912BD5"/>
    <w:rsid w:val="0091736D"/>
    <w:rsid w:val="0091747A"/>
    <w:rsid w:val="00925CF2"/>
    <w:rsid w:val="0093037A"/>
    <w:rsid w:val="0094154D"/>
    <w:rsid w:val="0095155F"/>
    <w:rsid w:val="00954429"/>
    <w:rsid w:val="0095451E"/>
    <w:rsid w:val="009563CE"/>
    <w:rsid w:val="00960191"/>
    <w:rsid w:val="0096702F"/>
    <w:rsid w:val="00976328"/>
    <w:rsid w:val="0097680D"/>
    <w:rsid w:val="00982438"/>
    <w:rsid w:val="0098404C"/>
    <w:rsid w:val="00985283"/>
    <w:rsid w:val="00993F77"/>
    <w:rsid w:val="00995992"/>
    <w:rsid w:val="009A03E5"/>
    <w:rsid w:val="009A0F3B"/>
    <w:rsid w:val="009A1BB4"/>
    <w:rsid w:val="009A2628"/>
    <w:rsid w:val="009A3200"/>
    <w:rsid w:val="009B0897"/>
    <w:rsid w:val="009B7BD9"/>
    <w:rsid w:val="009C6765"/>
    <w:rsid w:val="009C7DD5"/>
    <w:rsid w:val="009D6CA0"/>
    <w:rsid w:val="009E227D"/>
    <w:rsid w:val="009E5019"/>
    <w:rsid w:val="009E7313"/>
    <w:rsid w:val="009F5C29"/>
    <w:rsid w:val="00A04F1B"/>
    <w:rsid w:val="00A0501B"/>
    <w:rsid w:val="00A07668"/>
    <w:rsid w:val="00A14947"/>
    <w:rsid w:val="00A1565B"/>
    <w:rsid w:val="00A20AF9"/>
    <w:rsid w:val="00A27538"/>
    <w:rsid w:val="00A32A83"/>
    <w:rsid w:val="00A368DB"/>
    <w:rsid w:val="00A423AA"/>
    <w:rsid w:val="00A53EC6"/>
    <w:rsid w:val="00A54FBB"/>
    <w:rsid w:val="00A5596D"/>
    <w:rsid w:val="00A55C0F"/>
    <w:rsid w:val="00A7643A"/>
    <w:rsid w:val="00A80CC3"/>
    <w:rsid w:val="00A8713F"/>
    <w:rsid w:val="00A90BA1"/>
    <w:rsid w:val="00A96A8D"/>
    <w:rsid w:val="00A97A9A"/>
    <w:rsid w:val="00AA0671"/>
    <w:rsid w:val="00AA11B4"/>
    <w:rsid w:val="00AA2531"/>
    <w:rsid w:val="00AA37DF"/>
    <w:rsid w:val="00AB1E09"/>
    <w:rsid w:val="00AB5330"/>
    <w:rsid w:val="00AB7747"/>
    <w:rsid w:val="00AC14CE"/>
    <w:rsid w:val="00AC2A56"/>
    <w:rsid w:val="00AC4E0C"/>
    <w:rsid w:val="00AD055E"/>
    <w:rsid w:val="00AD47A7"/>
    <w:rsid w:val="00AD4D7C"/>
    <w:rsid w:val="00AF0CBF"/>
    <w:rsid w:val="00AF257F"/>
    <w:rsid w:val="00AF33CF"/>
    <w:rsid w:val="00AF4D50"/>
    <w:rsid w:val="00AF6179"/>
    <w:rsid w:val="00B00631"/>
    <w:rsid w:val="00B1295A"/>
    <w:rsid w:val="00B17CDE"/>
    <w:rsid w:val="00B20A45"/>
    <w:rsid w:val="00B22C5C"/>
    <w:rsid w:val="00B22FCC"/>
    <w:rsid w:val="00B24F30"/>
    <w:rsid w:val="00B31ABF"/>
    <w:rsid w:val="00B33BE3"/>
    <w:rsid w:val="00B3546B"/>
    <w:rsid w:val="00B469D8"/>
    <w:rsid w:val="00B53B5D"/>
    <w:rsid w:val="00B6055E"/>
    <w:rsid w:val="00B6317D"/>
    <w:rsid w:val="00B65C8E"/>
    <w:rsid w:val="00B7723F"/>
    <w:rsid w:val="00B80534"/>
    <w:rsid w:val="00B8433C"/>
    <w:rsid w:val="00B87491"/>
    <w:rsid w:val="00B948B3"/>
    <w:rsid w:val="00BA29E9"/>
    <w:rsid w:val="00BA7142"/>
    <w:rsid w:val="00BB237C"/>
    <w:rsid w:val="00BB41A3"/>
    <w:rsid w:val="00BC28DB"/>
    <w:rsid w:val="00BC29A5"/>
    <w:rsid w:val="00BC32DC"/>
    <w:rsid w:val="00BC35B6"/>
    <w:rsid w:val="00BD1B51"/>
    <w:rsid w:val="00BD4596"/>
    <w:rsid w:val="00BD7137"/>
    <w:rsid w:val="00BE1405"/>
    <w:rsid w:val="00BE304B"/>
    <w:rsid w:val="00BE312D"/>
    <w:rsid w:val="00BF1C20"/>
    <w:rsid w:val="00BF4108"/>
    <w:rsid w:val="00C10578"/>
    <w:rsid w:val="00C12D58"/>
    <w:rsid w:val="00C135BC"/>
    <w:rsid w:val="00C15C95"/>
    <w:rsid w:val="00C2596A"/>
    <w:rsid w:val="00C27537"/>
    <w:rsid w:val="00C328FE"/>
    <w:rsid w:val="00C33507"/>
    <w:rsid w:val="00C4409D"/>
    <w:rsid w:val="00C44E72"/>
    <w:rsid w:val="00C45A06"/>
    <w:rsid w:val="00C47E5B"/>
    <w:rsid w:val="00C52443"/>
    <w:rsid w:val="00C61E4B"/>
    <w:rsid w:val="00C64BFF"/>
    <w:rsid w:val="00C67AF9"/>
    <w:rsid w:val="00C704E9"/>
    <w:rsid w:val="00C763C9"/>
    <w:rsid w:val="00C80057"/>
    <w:rsid w:val="00C82232"/>
    <w:rsid w:val="00C82913"/>
    <w:rsid w:val="00C8775E"/>
    <w:rsid w:val="00C972B1"/>
    <w:rsid w:val="00CA2CCE"/>
    <w:rsid w:val="00CA43FD"/>
    <w:rsid w:val="00CA7EF8"/>
    <w:rsid w:val="00CC489B"/>
    <w:rsid w:val="00CD2BCD"/>
    <w:rsid w:val="00CD3A4C"/>
    <w:rsid w:val="00CD5206"/>
    <w:rsid w:val="00CE10E9"/>
    <w:rsid w:val="00CE2910"/>
    <w:rsid w:val="00CE4393"/>
    <w:rsid w:val="00CE5393"/>
    <w:rsid w:val="00CF36BE"/>
    <w:rsid w:val="00CF6000"/>
    <w:rsid w:val="00D003F3"/>
    <w:rsid w:val="00D0364F"/>
    <w:rsid w:val="00D06834"/>
    <w:rsid w:val="00D2393C"/>
    <w:rsid w:val="00D25701"/>
    <w:rsid w:val="00D308ED"/>
    <w:rsid w:val="00D36475"/>
    <w:rsid w:val="00D36D86"/>
    <w:rsid w:val="00D37384"/>
    <w:rsid w:val="00D428AA"/>
    <w:rsid w:val="00D50A34"/>
    <w:rsid w:val="00D53EFA"/>
    <w:rsid w:val="00D54F81"/>
    <w:rsid w:val="00D719B4"/>
    <w:rsid w:val="00D72945"/>
    <w:rsid w:val="00D94A7C"/>
    <w:rsid w:val="00D95896"/>
    <w:rsid w:val="00D97FB3"/>
    <w:rsid w:val="00DA3027"/>
    <w:rsid w:val="00DA63B3"/>
    <w:rsid w:val="00DB2983"/>
    <w:rsid w:val="00DC0F01"/>
    <w:rsid w:val="00DC1257"/>
    <w:rsid w:val="00DC3DC0"/>
    <w:rsid w:val="00DC5B2B"/>
    <w:rsid w:val="00DD17CD"/>
    <w:rsid w:val="00DD318D"/>
    <w:rsid w:val="00DF0BD6"/>
    <w:rsid w:val="00DF2E12"/>
    <w:rsid w:val="00DF514A"/>
    <w:rsid w:val="00DF6690"/>
    <w:rsid w:val="00DF6804"/>
    <w:rsid w:val="00E015BB"/>
    <w:rsid w:val="00E01FC7"/>
    <w:rsid w:val="00E02982"/>
    <w:rsid w:val="00E0358D"/>
    <w:rsid w:val="00E04323"/>
    <w:rsid w:val="00E070A2"/>
    <w:rsid w:val="00E120CB"/>
    <w:rsid w:val="00E14412"/>
    <w:rsid w:val="00E2656A"/>
    <w:rsid w:val="00E36A54"/>
    <w:rsid w:val="00E412D0"/>
    <w:rsid w:val="00E56322"/>
    <w:rsid w:val="00E60982"/>
    <w:rsid w:val="00E62C62"/>
    <w:rsid w:val="00E63456"/>
    <w:rsid w:val="00E654C1"/>
    <w:rsid w:val="00E65D97"/>
    <w:rsid w:val="00E71E84"/>
    <w:rsid w:val="00E72A5A"/>
    <w:rsid w:val="00E73354"/>
    <w:rsid w:val="00E82179"/>
    <w:rsid w:val="00E9242D"/>
    <w:rsid w:val="00EB5255"/>
    <w:rsid w:val="00EB5C47"/>
    <w:rsid w:val="00ED0639"/>
    <w:rsid w:val="00EE4FE7"/>
    <w:rsid w:val="00EF4755"/>
    <w:rsid w:val="00EF7135"/>
    <w:rsid w:val="00F027DB"/>
    <w:rsid w:val="00F03C99"/>
    <w:rsid w:val="00F14A7A"/>
    <w:rsid w:val="00F14AC7"/>
    <w:rsid w:val="00F16E01"/>
    <w:rsid w:val="00F22985"/>
    <w:rsid w:val="00F23DAF"/>
    <w:rsid w:val="00F3383E"/>
    <w:rsid w:val="00F465A7"/>
    <w:rsid w:val="00F50B7C"/>
    <w:rsid w:val="00F53709"/>
    <w:rsid w:val="00F550E6"/>
    <w:rsid w:val="00F74345"/>
    <w:rsid w:val="00F80A0A"/>
    <w:rsid w:val="00F82B19"/>
    <w:rsid w:val="00F9212D"/>
    <w:rsid w:val="00F965DA"/>
    <w:rsid w:val="00FA406A"/>
    <w:rsid w:val="00FB503A"/>
    <w:rsid w:val="00FB516C"/>
    <w:rsid w:val="00FD0236"/>
    <w:rsid w:val="00FD18F4"/>
    <w:rsid w:val="00FD54DB"/>
    <w:rsid w:val="00FD619F"/>
    <w:rsid w:val="00FD6811"/>
    <w:rsid w:val="00FE5557"/>
    <w:rsid w:val="00FF32B0"/>
    <w:rsid w:val="01290F7E"/>
    <w:rsid w:val="015D1E09"/>
    <w:rsid w:val="01656B88"/>
    <w:rsid w:val="018664DA"/>
    <w:rsid w:val="019E4418"/>
    <w:rsid w:val="01CE2FE4"/>
    <w:rsid w:val="01D822A7"/>
    <w:rsid w:val="01EA7438"/>
    <w:rsid w:val="01FD671F"/>
    <w:rsid w:val="020A12A5"/>
    <w:rsid w:val="022B6321"/>
    <w:rsid w:val="025249A8"/>
    <w:rsid w:val="02697903"/>
    <w:rsid w:val="026C771D"/>
    <w:rsid w:val="029E3017"/>
    <w:rsid w:val="02F96569"/>
    <w:rsid w:val="03355F3A"/>
    <w:rsid w:val="037E247E"/>
    <w:rsid w:val="038454C3"/>
    <w:rsid w:val="03C36EAD"/>
    <w:rsid w:val="03CE50AD"/>
    <w:rsid w:val="03EA7B21"/>
    <w:rsid w:val="041214FE"/>
    <w:rsid w:val="04143DC5"/>
    <w:rsid w:val="042F094C"/>
    <w:rsid w:val="046055B8"/>
    <w:rsid w:val="046B5DE7"/>
    <w:rsid w:val="04A835F3"/>
    <w:rsid w:val="0507129F"/>
    <w:rsid w:val="05CF5907"/>
    <w:rsid w:val="05F63C8E"/>
    <w:rsid w:val="05F83EAE"/>
    <w:rsid w:val="063E7D85"/>
    <w:rsid w:val="06936394"/>
    <w:rsid w:val="06A24F8D"/>
    <w:rsid w:val="06F80873"/>
    <w:rsid w:val="072719FF"/>
    <w:rsid w:val="07293586"/>
    <w:rsid w:val="07295285"/>
    <w:rsid w:val="073D08E2"/>
    <w:rsid w:val="074F6510"/>
    <w:rsid w:val="07636392"/>
    <w:rsid w:val="076B35D2"/>
    <w:rsid w:val="07722329"/>
    <w:rsid w:val="07770C56"/>
    <w:rsid w:val="07815960"/>
    <w:rsid w:val="07AF0EC7"/>
    <w:rsid w:val="08092675"/>
    <w:rsid w:val="084C7E7D"/>
    <w:rsid w:val="08594493"/>
    <w:rsid w:val="0859657B"/>
    <w:rsid w:val="0885532C"/>
    <w:rsid w:val="08A60314"/>
    <w:rsid w:val="092217DD"/>
    <w:rsid w:val="092B6E6A"/>
    <w:rsid w:val="093725EB"/>
    <w:rsid w:val="093A7294"/>
    <w:rsid w:val="09B37909"/>
    <w:rsid w:val="0A20063A"/>
    <w:rsid w:val="0A263993"/>
    <w:rsid w:val="0A27751A"/>
    <w:rsid w:val="0A2D3AC2"/>
    <w:rsid w:val="0A823B24"/>
    <w:rsid w:val="0AA32278"/>
    <w:rsid w:val="0AA755DF"/>
    <w:rsid w:val="0AEC4D43"/>
    <w:rsid w:val="0B033577"/>
    <w:rsid w:val="0B120D44"/>
    <w:rsid w:val="0BAD2EB8"/>
    <w:rsid w:val="0BD27BF6"/>
    <w:rsid w:val="0BFD163B"/>
    <w:rsid w:val="0C0332D9"/>
    <w:rsid w:val="0C105458"/>
    <w:rsid w:val="0C3B3C7D"/>
    <w:rsid w:val="0C5E3BA8"/>
    <w:rsid w:val="0CAB2EAE"/>
    <w:rsid w:val="0CE230AB"/>
    <w:rsid w:val="0CE36928"/>
    <w:rsid w:val="0CF06F2A"/>
    <w:rsid w:val="0D0E537E"/>
    <w:rsid w:val="0D2B14E0"/>
    <w:rsid w:val="0D45771C"/>
    <w:rsid w:val="0D621C7D"/>
    <w:rsid w:val="0D652E9A"/>
    <w:rsid w:val="0D897973"/>
    <w:rsid w:val="0DAA743C"/>
    <w:rsid w:val="0DE77D6C"/>
    <w:rsid w:val="0E0607F7"/>
    <w:rsid w:val="0E3B14DD"/>
    <w:rsid w:val="0E73034D"/>
    <w:rsid w:val="0EBB187C"/>
    <w:rsid w:val="0EEF08C4"/>
    <w:rsid w:val="0F0B39F1"/>
    <w:rsid w:val="0F13775A"/>
    <w:rsid w:val="0F4B34F0"/>
    <w:rsid w:val="0F5F45FE"/>
    <w:rsid w:val="0F885C95"/>
    <w:rsid w:val="0F9A112B"/>
    <w:rsid w:val="0F9C394C"/>
    <w:rsid w:val="0FE71DDE"/>
    <w:rsid w:val="10450FFB"/>
    <w:rsid w:val="106C36E4"/>
    <w:rsid w:val="106D2F64"/>
    <w:rsid w:val="10B63710"/>
    <w:rsid w:val="10CA1DBC"/>
    <w:rsid w:val="10DE065B"/>
    <w:rsid w:val="10EA5025"/>
    <w:rsid w:val="10F10820"/>
    <w:rsid w:val="10FD52B1"/>
    <w:rsid w:val="111C2F7A"/>
    <w:rsid w:val="115350A3"/>
    <w:rsid w:val="11665CA1"/>
    <w:rsid w:val="116D0416"/>
    <w:rsid w:val="11710FEE"/>
    <w:rsid w:val="11755470"/>
    <w:rsid w:val="11BC74D9"/>
    <w:rsid w:val="11CE159C"/>
    <w:rsid w:val="11F55616"/>
    <w:rsid w:val="122E0195"/>
    <w:rsid w:val="127660B5"/>
    <w:rsid w:val="127F4068"/>
    <w:rsid w:val="129C0D70"/>
    <w:rsid w:val="129C4FF0"/>
    <w:rsid w:val="12E10386"/>
    <w:rsid w:val="133636E4"/>
    <w:rsid w:val="136465B7"/>
    <w:rsid w:val="13951726"/>
    <w:rsid w:val="13B064FD"/>
    <w:rsid w:val="13D64ECC"/>
    <w:rsid w:val="13DF04B9"/>
    <w:rsid w:val="13E61EE3"/>
    <w:rsid w:val="14150209"/>
    <w:rsid w:val="1422359F"/>
    <w:rsid w:val="14396509"/>
    <w:rsid w:val="145423E3"/>
    <w:rsid w:val="146A28FC"/>
    <w:rsid w:val="14C233EA"/>
    <w:rsid w:val="14D629D8"/>
    <w:rsid w:val="14DD2C3C"/>
    <w:rsid w:val="14F46C80"/>
    <w:rsid w:val="151271BB"/>
    <w:rsid w:val="153B0F6D"/>
    <w:rsid w:val="154F3BB0"/>
    <w:rsid w:val="156634B9"/>
    <w:rsid w:val="159C39B8"/>
    <w:rsid w:val="15BC4B78"/>
    <w:rsid w:val="15BE2A8E"/>
    <w:rsid w:val="16087E1D"/>
    <w:rsid w:val="164C134E"/>
    <w:rsid w:val="16C6527D"/>
    <w:rsid w:val="16ED2879"/>
    <w:rsid w:val="17035B80"/>
    <w:rsid w:val="17701D14"/>
    <w:rsid w:val="17735226"/>
    <w:rsid w:val="17900F32"/>
    <w:rsid w:val="17AD2C11"/>
    <w:rsid w:val="17C17892"/>
    <w:rsid w:val="18336D27"/>
    <w:rsid w:val="189F624C"/>
    <w:rsid w:val="18C17FDE"/>
    <w:rsid w:val="18C325E6"/>
    <w:rsid w:val="18CC6E3B"/>
    <w:rsid w:val="18DA26E0"/>
    <w:rsid w:val="194E6FD1"/>
    <w:rsid w:val="19541D0B"/>
    <w:rsid w:val="19A60D7D"/>
    <w:rsid w:val="19BF1527"/>
    <w:rsid w:val="19DC7892"/>
    <w:rsid w:val="1A1C66C0"/>
    <w:rsid w:val="1A29294F"/>
    <w:rsid w:val="1A42393B"/>
    <w:rsid w:val="1A543233"/>
    <w:rsid w:val="1A682D40"/>
    <w:rsid w:val="1A845F10"/>
    <w:rsid w:val="1A872998"/>
    <w:rsid w:val="1A965DFF"/>
    <w:rsid w:val="1AAD45DE"/>
    <w:rsid w:val="1ADA26E1"/>
    <w:rsid w:val="1ADC4B37"/>
    <w:rsid w:val="1B046F80"/>
    <w:rsid w:val="1B150405"/>
    <w:rsid w:val="1B166EA2"/>
    <w:rsid w:val="1B3267B5"/>
    <w:rsid w:val="1B40161D"/>
    <w:rsid w:val="1B441859"/>
    <w:rsid w:val="1B4F50F1"/>
    <w:rsid w:val="1B6606B1"/>
    <w:rsid w:val="1B823239"/>
    <w:rsid w:val="1BDA459D"/>
    <w:rsid w:val="1C0A708D"/>
    <w:rsid w:val="1C285A35"/>
    <w:rsid w:val="1C3834F1"/>
    <w:rsid w:val="1C5E7925"/>
    <w:rsid w:val="1C846B6A"/>
    <w:rsid w:val="1C9E37F6"/>
    <w:rsid w:val="1CBB2C11"/>
    <w:rsid w:val="1CFD070F"/>
    <w:rsid w:val="1D5F6196"/>
    <w:rsid w:val="1D6132A5"/>
    <w:rsid w:val="1D7D4F09"/>
    <w:rsid w:val="1D8E56D5"/>
    <w:rsid w:val="1DB527B9"/>
    <w:rsid w:val="1DC37793"/>
    <w:rsid w:val="1DCC6C4B"/>
    <w:rsid w:val="1DED4B16"/>
    <w:rsid w:val="1DF14138"/>
    <w:rsid w:val="1E2A210D"/>
    <w:rsid w:val="1E5E2873"/>
    <w:rsid w:val="1E613CE0"/>
    <w:rsid w:val="1E720A80"/>
    <w:rsid w:val="1E7A43DA"/>
    <w:rsid w:val="1EFA5DDC"/>
    <w:rsid w:val="1F000B0A"/>
    <w:rsid w:val="1F363C01"/>
    <w:rsid w:val="1F550228"/>
    <w:rsid w:val="1F611413"/>
    <w:rsid w:val="1F61484E"/>
    <w:rsid w:val="1F967DEE"/>
    <w:rsid w:val="1FBE49B6"/>
    <w:rsid w:val="1FE7539E"/>
    <w:rsid w:val="1FF14863"/>
    <w:rsid w:val="201A706D"/>
    <w:rsid w:val="201E3793"/>
    <w:rsid w:val="20463694"/>
    <w:rsid w:val="20604C0D"/>
    <w:rsid w:val="20671BE0"/>
    <w:rsid w:val="20932D84"/>
    <w:rsid w:val="20963CB8"/>
    <w:rsid w:val="20A81A1B"/>
    <w:rsid w:val="20A860EC"/>
    <w:rsid w:val="20B07FB6"/>
    <w:rsid w:val="20B646FB"/>
    <w:rsid w:val="20D952EB"/>
    <w:rsid w:val="213B74B1"/>
    <w:rsid w:val="214211D4"/>
    <w:rsid w:val="215436FD"/>
    <w:rsid w:val="215A2310"/>
    <w:rsid w:val="219B0105"/>
    <w:rsid w:val="21DE318A"/>
    <w:rsid w:val="21E63FD7"/>
    <w:rsid w:val="21EF5B80"/>
    <w:rsid w:val="222F4B08"/>
    <w:rsid w:val="22437DA8"/>
    <w:rsid w:val="22576990"/>
    <w:rsid w:val="22B30090"/>
    <w:rsid w:val="22E50189"/>
    <w:rsid w:val="22F47480"/>
    <w:rsid w:val="2302598B"/>
    <w:rsid w:val="231D5302"/>
    <w:rsid w:val="232B142D"/>
    <w:rsid w:val="23371CBC"/>
    <w:rsid w:val="23553FBF"/>
    <w:rsid w:val="236E75C7"/>
    <w:rsid w:val="237B3491"/>
    <w:rsid w:val="23DE1C48"/>
    <w:rsid w:val="23E90EFA"/>
    <w:rsid w:val="23EA2FED"/>
    <w:rsid w:val="23F313D5"/>
    <w:rsid w:val="23F61C54"/>
    <w:rsid w:val="240210CD"/>
    <w:rsid w:val="24033868"/>
    <w:rsid w:val="241F3F60"/>
    <w:rsid w:val="249F705E"/>
    <w:rsid w:val="24BE6014"/>
    <w:rsid w:val="24BF09F7"/>
    <w:rsid w:val="24EA69AF"/>
    <w:rsid w:val="24F00A10"/>
    <w:rsid w:val="252D53FE"/>
    <w:rsid w:val="25561CB4"/>
    <w:rsid w:val="25907F0C"/>
    <w:rsid w:val="25AF0D85"/>
    <w:rsid w:val="25B45F6E"/>
    <w:rsid w:val="25EC2D81"/>
    <w:rsid w:val="266A20B2"/>
    <w:rsid w:val="266F404F"/>
    <w:rsid w:val="268E5E92"/>
    <w:rsid w:val="269B54C3"/>
    <w:rsid w:val="269C70BC"/>
    <w:rsid w:val="26AE619C"/>
    <w:rsid w:val="270E6273"/>
    <w:rsid w:val="272C4837"/>
    <w:rsid w:val="273B2362"/>
    <w:rsid w:val="27467172"/>
    <w:rsid w:val="275539CC"/>
    <w:rsid w:val="277057A2"/>
    <w:rsid w:val="277F694A"/>
    <w:rsid w:val="27862617"/>
    <w:rsid w:val="27965C8C"/>
    <w:rsid w:val="280A02DC"/>
    <w:rsid w:val="287E1E09"/>
    <w:rsid w:val="28A86689"/>
    <w:rsid w:val="28A8701E"/>
    <w:rsid w:val="28F82E94"/>
    <w:rsid w:val="29206EB8"/>
    <w:rsid w:val="294D7AA2"/>
    <w:rsid w:val="29595666"/>
    <w:rsid w:val="29617451"/>
    <w:rsid w:val="29874881"/>
    <w:rsid w:val="299F572F"/>
    <w:rsid w:val="29A51B93"/>
    <w:rsid w:val="29AE647F"/>
    <w:rsid w:val="29B56983"/>
    <w:rsid w:val="29E325E0"/>
    <w:rsid w:val="2A0C2D44"/>
    <w:rsid w:val="2A101CBA"/>
    <w:rsid w:val="2A452503"/>
    <w:rsid w:val="2A452EC3"/>
    <w:rsid w:val="2AC44033"/>
    <w:rsid w:val="2AE4328E"/>
    <w:rsid w:val="2B40369C"/>
    <w:rsid w:val="2B9E41EC"/>
    <w:rsid w:val="2BA936A8"/>
    <w:rsid w:val="2BAD367A"/>
    <w:rsid w:val="2BF13396"/>
    <w:rsid w:val="2C0C79B4"/>
    <w:rsid w:val="2C315A5A"/>
    <w:rsid w:val="2C4B1C25"/>
    <w:rsid w:val="2CD33E9C"/>
    <w:rsid w:val="2CE6265E"/>
    <w:rsid w:val="2D2259A3"/>
    <w:rsid w:val="2D33062F"/>
    <w:rsid w:val="2D566F04"/>
    <w:rsid w:val="2D6A4E8D"/>
    <w:rsid w:val="2D891ADF"/>
    <w:rsid w:val="2D9E56F5"/>
    <w:rsid w:val="2DE73AB7"/>
    <w:rsid w:val="2DFD3E84"/>
    <w:rsid w:val="2E446AB8"/>
    <w:rsid w:val="2E4C75EC"/>
    <w:rsid w:val="2E667F96"/>
    <w:rsid w:val="2E8226AB"/>
    <w:rsid w:val="2E871DEA"/>
    <w:rsid w:val="2EF20D4D"/>
    <w:rsid w:val="2F2C7FE9"/>
    <w:rsid w:val="2F3B2980"/>
    <w:rsid w:val="2F542F0F"/>
    <w:rsid w:val="2F9718AA"/>
    <w:rsid w:val="2FD065E6"/>
    <w:rsid w:val="2FD96870"/>
    <w:rsid w:val="300C36A8"/>
    <w:rsid w:val="3030781D"/>
    <w:rsid w:val="303E6F2D"/>
    <w:rsid w:val="30580BC9"/>
    <w:rsid w:val="30847B88"/>
    <w:rsid w:val="30947EA7"/>
    <w:rsid w:val="309E4F2A"/>
    <w:rsid w:val="30A62DF4"/>
    <w:rsid w:val="30BF0B8A"/>
    <w:rsid w:val="30C05956"/>
    <w:rsid w:val="311E2ED7"/>
    <w:rsid w:val="315619EE"/>
    <w:rsid w:val="315C449C"/>
    <w:rsid w:val="318C2537"/>
    <w:rsid w:val="31B82709"/>
    <w:rsid w:val="31D05482"/>
    <w:rsid w:val="31F063C0"/>
    <w:rsid w:val="31FE5135"/>
    <w:rsid w:val="32400B34"/>
    <w:rsid w:val="324D5B24"/>
    <w:rsid w:val="324E0124"/>
    <w:rsid w:val="32683B6D"/>
    <w:rsid w:val="327757DE"/>
    <w:rsid w:val="328A0BE4"/>
    <w:rsid w:val="328D7025"/>
    <w:rsid w:val="329E6876"/>
    <w:rsid w:val="32C64193"/>
    <w:rsid w:val="32CD0C7B"/>
    <w:rsid w:val="32D702A4"/>
    <w:rsid w:val="333015F2"/>
    <w:rsid w:val="333601DF"/>
    <w:rsid w:val="334B6320"/>
    <w:rsid w:val="33D934D4"/>
    <w:rsid w:val="33E01652"/>
    <w:rsid w:val="33FE2F6A"/>
    <w:rsid w:val="340E07E5"/>
    <w:rsid w:val="34235BF7"/>
    <w:rsid w:val="34282776"/>
    <w:rsid w:val="34D2413B"/>
    <w:rsid w:val="34D301B6"/>
    <w:rsid w:val="34ED79D7"/>
    <w:rsid w:val="351C65D0"/>
    <w:rsid w:val="35325A4D"/>
    <w:rsid w:val="354E798C"/>
    <w:rsid w:val="358C5FA8"/>
    <w:rsid w:val="359347CB"/>
    <w:rsid w:val="35973C42"/>
    <w:rsid w:val="359B039F"/>
    <w:rsid w:val="359D4FDB"/>
    <w:rsid w:val="35C15DF1"/>
    <w:rsid w:val="36074A7F"/>
    <w:rsid w:val="368B72FD"/>
    <w:rsid w:val="36923549"/>
    <w:rsid w:val="36A40AFC"/>
    <w:rsid w:val="36B75FBF"/>
    <w:rsid w:val="36BD0C45"/>
    <w:rsid w:val="374B44DA"/>
    <w:rsid w:val="37DC3C8C"/>
    <w:rsid w:val="37E00298"/>
    <w:rsid w:val="37EA50F6"/>
    <w:rsid w:val="381130CA"/>
    <w:rsid w:val="3811610E"/>
    <w:rsid w:val="382553F9"/>
    <w:rsid w:val="38280673"/>
    <w:rsid w:val="388F346E"/>
    <w:rsid w:val="389745CB"/>
    <w:rsid w:val="38B302F9"/>
    <w:rsid w:val="38CB234C"/>
    <w:rsid w:val="38F12CD3"/>
    <w:rsid w:val="38F62B27"/>
    <w:rsid w:val="38F94775"/>
    <w:rsid w:val="3910153A"/>
    <w:rsid w:val="391E768B"/>
    <w:rsid w:val="392971ED"/>
    <w:rsid w:val="39325651"/>
    <w:rsid w:val="398D673F"/>
    <w:rsid w:val="3A217CBC"/>
    <w:rsid w:val="3A226C1D"/>
    <w:rsid w:val="3A2E43A7"/>
    <w:rsid w:val="3A872856"/>
    <w:rsid w:val="3A8E0942"/>
    <w:rsid w:val="3AA53479"/>
    <w:rsid w:val="3AC27ABC"/>
    <w:rsid w:val="3AEA78D6"/>
    <w:rsid w:val="3B025AB9"/>
    <w:rsid w:val="3B3763D1"/>
    <w:rsid w:val="3B5F512B"/>
    <w:rsid w:val="3BD04DEC"/>
    <w:rsid w:val="3BDC7924"/>
    <w:rsid w:val="3BEF6435"/>
    <w:rsid w:val="3BF45B1D"/>
    <w:rsid w:val="3C1858AB"/>
    <w:rsid w:val="3C2F6E1E"/>
    <w:rsid w:val="3C4F64BA"/>
    <w:rsid w:val="3C694347"/>
    <w:rsid w:val="3CC11406"/>
    <w:rsid w:val="3CDA245A"/>
    <w:rsid w:val="3CF32C08"/>
    <w:rsid w:val="3CFD55FF"/>
    <w:rsid w:val="3D1E06B7"/>
    <w:rsid w:val="3D2A62DB"/>
    <w:rsid w:val="3D4E017E"/>
    <w:rsid w:val="3D9F70B5"/>
    <w:rsid w:val="3DB3016A"/>
    <w:rsid w:val="3DD34312"/>
    <w:rsid w:val="3E247CA4"/>
    <w:rsid w:val="3E370987"/>
    <w:rsid w:val="3E594E26"/>
    <w:rsid w:val="3E796883"/>
    <w:rsid w:val="3EB81181"/>
    <w:rsid w:val="3EDA0523"/>
    <w:rsid w:val="3F23552C"/>
    <w:rsid w:val="3F5408C8"/>
    <w:rsid w:val="3FA069AE"/>
    <w:rsid w:val="3FCD339A"/>
    <w:rsid w:val="3FFE43A2"/>
    <w:rsid w:val="40404740"/>
    <w:rsid w:val="407A6407"/>
    <w:rsid w:val="40A61E84"/>
    <w:rsid w:val="40CF7777"/>
    <w:rsid w:val="41061B8E"/>
    <w:rsid w:val="41207967"/>
    <w:rsid w:val="416F2D31"/>
    <w:rsid w:val="418278E0"/>
    <w:rsid w:val="41CF0E0E"/>
    <w:rsid w:val="41D83D98"/>
    <w:rsid w:val="4200449D"/>
    <w:rsid w:val="42340121"/>
    <w:rsid w:val="423A3BCC"/>
    <w:rsid w:val="424E57D2"/>
    <w:rsid w:val="42A535CE"/>
    <w:rsid w:val="42A7380D"/>
    <w:rsid w:val="42AF6247"/>
    <w:rsid w:val="42B26C49"/>
    <w:rsid w:val="42FA6EB8"/>
    <w:rsid w:val="4334348E"/>
    <w:rsid w:val="433A6FE6"/>
    <w:rsid w:val="43480868"/>
    <w:rsid w:val="43487FB5"/>
    <w:rsid w:val="4350713C"/>
    <w:rsid w:val="436653E0"/>
    <w:rsid w:val="43672D82"/>
    <w:rsid w:val="437E2835"/>
    <w:rsid w:val="43BC00B4"/>
    <w:rsid w:val="43C4431A"/>
    <w:rsid w:val="43C938A6"/>
    <w:rsid w:val="43DF7A72"/>
    <w:rsid w:val="4439524C"/>
    <w:rsid w:val="44936333"/>
    <w:rsid w:val="44B951CC"/>
    <w:rsid w:val="44CD14E0"/>
    <w:rsid w:val="44DD012B"/>
    <w:rsid w:val="44F20B0B"/>
    <w:rsid w:val="45184D5A"/>
    <w:rsid w:val="452E5F4C"/>
    <w:rsid w:val="454B4CB1"/>
    <w:rsid w:val="45612018"/>
    <w:rsid w:val="45616CAD"/>
    <w:rsid w:val="458946E9"/>
    <w:rsid w:val="45A44318"/>
    <w:rsid w:val="45A47C0E"/>
    <w:rsid w:val="45B32C09"/>
    <w:rsid w:val="45C4406F"/>
    <w:rsid w:val="45CB5D74"/>
    <w:rsid w:val="46302B6E"/>
    <w:rsid w:val="46577FD6"/>
    <w:rsid w:val="46857EEF"/>
    <w:rsid w:val="46B47115"/>
    <w:rsid w:val="46D955A7"/>
    <w:rsid w:val="47133957"/>
    <w:rsid w:val="47456B54"/>
    <w:rsid w:val="474659B7"/>
    <w:rsid w:val="47A07E0C"/>
    <w:rsid w:val="47E72E82"/>
    <w:rsid w:val="48003C68"/>
    <w:rsid w:val="48635A3E"/>
    <w:rsid w:val="4870272E"/>
    <w:rsid w:val="487B5D13"/>
    <w:rsid w:val="487F52A5"/>
    <w:rsid w:val="48EB0BB8"/>
    <w:rsid w:val="49101AAD"/>
    <w:rsid w:val="493B1E3D"/>
    <w:rsid w:val="497D77BD"/>
    <w:rsid w:val="49AB79A2"/>
    <w:rsid w:val="49BA1F3A"/>
    <w:rsid w:val="49DC7715"/>
    <w:rsid w:val="4A023139"/>
    <w:rsid w:val="4A206DCD"/>
    <w:rsid w:val="4A215834"/>
    <w:rsid w:val="4A5D540A"/>
    <w:rsid w:val="4A6F1B08"/>
    <w:rsid w:val="4A7220E7"/>
    <w:rsid w:val="4A7B576F"/>
    <w:rsid w:val="4A9F0385"/>
    <w:rsid w:val="4AC06DB3"/>
    <w:rsid w:val="4AF561A9"/>
    <w:rsid w:val="4B1C6B6D"/>
    <w:rsid w:val="4B2E4F65"/>
    <w:rsid w:val="4B734074"/>
    <w:rsid w:val="4B9559AD"/>
    <w:rsid w:val="4B984F42"/>
    <w:rsid w:val="4BA568D8"/>
    <w:rsid w:val="4BC92061"/>
    <w:rsid w:val="4C4A0649"/>
    <w:rsid w:val="4C7E5ECA"/>
    <w:rsid w:val="4C876AA5"/>
    <w:rsid w:val="4CB51348"/>
    <w:rsid w:val="4D0E00FB"/>
    <w:rsid w:val="4D176606"/>
    <w:rsid w:val="4D230C3D"/>
    <w:rsid w:val="4D453906"/>
    <w:rsid w:val="4D8A529A"/>
    <w:rsid w:val="4DBD5715"/>
    <w:rsid w:val="4DEB24EE"/>
    <w:rsid w:val="4DEC4FB0"/>
    <w:rsid w:val="4DEF09D9"/>
    <w:rsid w:val="4DF152AD"/>
    <w:rsid w:val="4E075D8A"/>
    <w:rsid w:val="4E2739C1"/>
    <w:rsid w:val="4E2B0C3A"/>
    <w:rsid w:val="4E360124"/>
    <w:rsid w:val="4E983EC9"/>
    <w:rsid w:val="4EB02AC0"/>
    <w:rsid w:val="4EB10B4F"/>
    <w:rsid w:val="4EC00FAD"/>
    <w:rsid w:val="4ED17C8D"/>
    <w:rsid w:val="4EE31BFA"/>
    <w:rsid w:val="4F014E47"/>
    <w:rsid w:val="4F32558A"/>
    <w:rsid w:val="4F330932"/>
    <w:rsid w:val="4F340186"/>
    <w:rsid w:val="4F47354A"/>
    <w:rsid w:val="4F5218F1"/>
    <w:rsid w:val="4F6A7CE3"/>
    <w:rsid w:val="4F9843DC"/>
    <w:rsid w:val="4F990AF8"/>
    <w:rsid w:val="4FC62A8C"/>
    <w:rsid w:val="4FD07816"/>
    <w:rsid w:val="4FD735A4"/>
    <w:rsid w:val="4FE20F0D"/>
    <w:rsid w:val="4FE51552"/>
    <w:rsid w:val="500B5D17"/>
    <w:rsid w:val="502138B9"/>
    <w:rsid w:val="502F7854"/>
    <w:rsid w:val="50504C4B"/>
    <w:rsid w:val="50723076"/>
    <w:rsid w:val="5086247D"/>
    <w:rsid w:val="509C6E7C"/>
    <w:rsid w:val="50CB3E03"/>
    <w:rsid w:val="50D54061"/>
    <w:rsid w:val="50EF5C2A"/>
    <w:rsid w:val="50F85666"/>
    <w:rsid w:val="512F4230"/>
    <w:rsid w:val="5162104E"/>
    <w:rsid w:val="517209CC"/>
    <w:rsid w:val="51A130CE"/>
    <w:rsid w:val="51C65836"/>
    <w:rsid w:val="51EB7E7A"/>
    <w:rsid w:val="522D1AF3"/>
    <w:rsid w:val="52AD5149"/>
    <w:rsid w:val="53114ACB"/>
    <w:rsid w:val="532F6CF2"/>
    <w:rsid w:val="534A5AE1"/>
    <w:rsid w:val="53A039CC"/>
    <w:rsid w:val="53A1505A"/>
    <w:rsid w:val="53D52A56"/>
    <w:rsid w:val="53EB602E"/>
    <w:rsid w:val="5404412A"/>
    <w:rsid w:val="54063E08"/>
    <w:rsid w:val="54214BEF"/>
    <w:rsid w:val="543437E8"/>
    <w:rsid w:val="545E5741"/>
    <w:rsid w:val="549C36E8"/>
    <w:rsid w:val="54BF0EAD"/>
    <w:rsid w:val="54E64DB3"/>
    <w:rsid w:val="54F73313"/>
    <w:rsid w:val="54F80955"/>
    <w:rsid w:val="54F911D0"/>
    <w:rsid w:val="554C264E"/>
    <w:rsid w:val="555170A7"/>
    <w:rsid w:val="557D771D"/>
    <w:rsid w:val="5587536D"/>
    <w:rsid w:val="558E1A41"/>
    <w:rsid w:val="559B174B"/>
    <w:rsid w:val="55CE0CF4"/>
    <w:rsid w:val="568B1705"/>
    <w:rsid w:val="569F23E2"/>
    <w:rsid w:val="56B22A9C"/>
    <w:rsid w:val="56C158B2"/>
    <w:rsid w:val="56F87E66"/>
    <w:rsid w:val="57196ED6"/>
    <w:rsid w:val="573C39BF"/>
    <w:rsid w:val="57A23A97"/>
    <w:rsid w:val="57B72A76"/>
    <w:rsid w:val="57C3426C"/>
    <w:rsid w:val="57CE1F93"/>
    <w:rsid w:val="57D24AD2"/>
    <w:rsid w:val="57E319FE"/>
    <w:rsid w:val="57E44564"/>
    <w:rsid w:val="57F36EA1"/>
    <w:rsid w:val="57F8018C"/>
    <w:rsid w:val="581C648B"/>
    <w:rsid w:val="584E3590"/>
    <w:rsid w:val="58800AF1"/>
    <w:rsid w:val="588743D1"/>
    <w:rsid w:val="5887701A"/>
    <w:rsid w:val="58D76E97"/>
    <w:rsid w:val="594B4252"/>
    <w:rsid w:val="596803C6"/>
    <w:rsid w:val="596D5091"/>
    <w:rsid w:val="59C0439F"/>
    <w:rsid w:val="5A240671"/>
    <w:rsid w:val="5A2D1204"/>
    <w:rsid w:val="5A94597A"/>
    <w:rsid w:val="5ABE2233"/>
    <w:rsid w:val="5AE323C2"/>
    <w:rsid w:val="5B1F54B3"/>
    <w:rsid w:val="5B3860F7"/>
    <w:rsid w:val="5B6A15EF"/>
    <w:rsid w:val="5B714667"/>
    <w:rsid w:val="5B852077"/>
    <w:rsid w:val="5BA347AD"/>
    <w:rsid w:val="5BDF5D95"/>
    <w:rsid w:val="5BFE7528"/>
    <w:rsid w:val="5C3044AE"/>
    <w:rsid w:val="5C6C693E"/>
    <w:rsid w:val="5C84193D"/>
    <w:rsid w:val="5C8443D4"/>
    <w:rsid w:val="5D106BAF"/>
    <w:rsid w:val="5D383031"/>
    <w:rsid w:val="5D4277BD"/>
    <w:rsid w:val="5D7A6FA5"/>
    <w:rsid w:val="5D931A12"/>
    <w:rsid w:val="5D98667E"/>
    <w:rsid w:val="5DAF0B0D"/>
    <w:rsid w:val="5DC1088E"/>
    <w:rsid w:val="5DCB262F"/>
    <w:rsid w:val="5E2467F1"/>
    <w:rsid w:val="5E811E1C"/>
    <w:rsid w:val="5E816777"/>
    <w:rsid w:val="5ED412FF"/>
    <w:rsid w:val="5EEC2304"/>
    <w:rsid w:val="5F1A2B43"/>
    <w:rsid w:val="5F201ABB"/>
    <w:rsid w:val="5F215A24"/>
    <w:rsid w:val="5F422A8B"/>
    <w:rsid w:val="5F47535F"/>
    <w:rsid w:val="5F494EAE"/>
    <w:rsid w:val="5FB837BB"/>
    <w:rsid w:val="605D008D"/>
    <w:rsid w:val="60C225B2"/>
    <w:rsid w:val="60CC405A"/>
    <w:rsid w:val="60F011FC"/>
    <w:rsid w:val="611E542A"/>
    <w:rsid w:val="612F7BF2"/>
    <w:rsid w:val="61462AEB"/>
    <w:rsid w:val="614A1305"/>
    <w:rsid w:val="61685B45"/>
    <w:rsid w:val="616D411F"/>
    <w:rsid w:val="61C85AB4"/>
    <w:rsid w:val="61D11ED1"/>
    <w:rsid w:val="61E215D8"/>
    <w:rsid w:val="62187003"/>
    <w:rsid w:val="621B3775"/>
    <w:rsid w:val="62364782"/>
    <w:rsid w:val="62481A39"/>
    <w:rsid w:val="62AE102E"/>
    <w:rsid w:val="62AE4300"/>
    <w:rsid w:val="62F279CD"/>
    <w:rsid w:val="63146C8D"/>
    <w:rsid w:val="63372CAF"/>
    <w:rsid w:val="63720D67"/>
    <w:rsid w:val="6394356A"/>
    <w:rsid w:val="63C61B2C"/>
    <w:rsid w:val="63D40BE9"/>
    <w:rsid w:val="63F6182E"/>
    <w:rsid w:val="64102431"/>
    <w:rsid w:val="6410327C"/>
    <w:rsid w:val="6429238E"/>
    <w:rsid w:val="648C3469"/>
    <w:rsid w:val="64A5243A"/>
    <w:rsid w:val="64BC5E38"/>
    <w:rsid w:val="64F531DE"/>
    <w:rsid w:val="65357F45"/>
    <w:rsid w:val="65373578"/>
    <w:rsid w:val="653906B6"/>
    <w:rsid w:val="655C6DCB"/>
    <w:rsid w:val="65635EC6"/>
    <w:rsid w:val="659C395F"/>
    <w:rsid w:val="65C95A03"/>
    <w:rsid w:val="66081F99"/>
    <w:rsid w:val="66372FAA"/>
    <w:rsid w:val="66455CBF"/>
    <w:rsid w:val="665500A4"/>
    <w:rsid w:val="66AF36EC"/>
    <w:rsid w:val="66F63E53"/>
    <w:rsid w:val="671F124A"/>
    <w:rsid w:val="67221D9B"/>
    <w:rsid w:val="676D6BAE"/>
    <w:rsid w:val="677A33C6"/>
    <w:rsid w:val="6790607D"/>
    <w:rsid w:val="67C073AB"/>
    <w:rsid w:val="67D21F0A"/>
    <w:rsid w:val="681F6961"/>
    <w:rsid w:val="682802D1"/>
    <w:rsid w:val="6851581E"/>
    <w:rsid w:val="68610A2F"/>
    <w:rsid w:val="68727FDF"/>
    <w:rsid w:val="68805514"/>
    <w:rsid w:val="689651BC"/>
    <w:rsid w:val="689C43A5"/>
    <w:rsid w:val="68C65C46"/>
    <w:rsid w:val="690375EA"/>
    <w:rsid w:val="69316E2F"/>
    <w:rsid w:val="694E2071"/>
    <w:rsid w:val="696F6F1B"/>
    <w:rsid w:val="6972186F"/>
    <w:rsid w:val="69766163"/>
    <w:rsid w:val="697A3B33"/>
    <w:rsid w:val="69D44760"/>
    <w:rsid w:val="6A0512B2"/>
    <w:rsid w:val="6A1B2DAD"/>
    <w:rsid w:val="6A520EC7"/>
    <w:rsid w:val="6A5B0D7D"/>
    <w:rsid w:val="6A655D3D"/>
    <w:rsid w:val="6AE0734E"/>
    <w:rsid w:val="6AE0751F"/>
    <w:rsid w:val="6AF87E20"/>
    <w:rsid w:val="6AFC5FFE"/>
    <w:rsid w:val="6B151354"/>
    <w:rsid w:val="6B322639"/>
    <w:rsid w:val="6B711CB1"/>
    <w:rsid w:val="6B760928"/>
    <w:rsid w:val="6B7653FC"/>
    <w:rsid w:val="6B823FC7"/>
    <w:rsid w:val="6C097B97"/>
    <w:rsid w:val="6C4D1392"/>
    <w:rsid w:val="6C636C38"/>
    <w:rsid w:val="6CAA7764"/>
    <w:rsid w:val="6CB173DF"/>
    <w:rsid w:val="6CBA676E"/>
    <w:rsid w:val="6CE30024"/>
    <w:rsid w:val="6D093858"/>
    <w:rsid w:val="6D1C5C4D"/>
    <w:rsid w:val="6D5B2446"/>
    <w:rsid w:val="6D74301A"/>
    <w:rsid w:val="6D7F1544"/>
    <w:rsid w:val="6D8A021E"/>
    <w:rsid w:val="6D993939"/>
    <w:rsid w:val="6DB34098"/>
    <w:rsid w:val="6DB545B6"/>
    <w:rsid w:val="6DE02FB4"/>
    <w:rsid w:val="6E514CED"/>
    <w:rsid w:val="6E8A1534"/>
    <w:rsid w:val="6EB563D5"/>
    <w:rsid w:val="6EBC7832"/>
    <w:rsid w:val="6EC15AFF"/>
    <w:rsid w:val="6ED24386"/>
    <w:rsid w:val="6ED92677"/>
    <w:rsid w:val="6F225983"/>
    <w:rsid w:val="6F315A27"/>
    <w:rsid w:val="6F5D145B"/>
    <w:rsid w:val="6F620BCE"/>
    <w:rsid w:val="6F73273F"/>
    <w:rsid w:val="6FA009B8"/>
    <w:rsid w:val="6FCB7F58"/>
    <w:rsid w:val="6FFC5590"/>
    <w:rsid w:val="6FFD7FFC"/>
    <w:rsid w:val="6FFE7A96"/>
    <w:rsid w:val="70572CB8"/>
    <w:rsid w:val="706D1DD0"/>
    <w:rsid w:val="70856B87"/>
    <w:rsid w:val="709F4D37"/>
    <w:rsid w:val="70B41CCC"/>
    <w:rsid w:val="70BE3E09"/>
    <w:rsid w:val="70D527EE"/>
    <w:rsid w:val="7102160C"/>
    <w:rsid w:val="71130099"/>
    <w:rsid w:val="712A3B86"/>
    <w:rsid w:val="714A36F3"/>
    <w:rsid w:val="71583DF1"/>
    <w:rsid w:val="715B5300"/>
    <w:rsid w:val="716D0318"/>
    <w:rsid w:val="717B4801"/>
    <w:rsid w:val="7195021E"/>
    <w:rsid w:val="71D27F8A"/>
    <w:rsid w:val="71EA6D93"/>
    <w:rsid w:val="71F11EDF"/>
    <w:rsid w:val="72553024"/>
    <w:rsid w:val="72587011"/>
    <w:rsid w:val="729E31CF"/>
    <w:rsid w:val="72AB1AAF"/>
    <w:rsid w:val="72AC1A60"/>
    <w:rsid w:val="72B16C06"/>
    <w:rsid w:val="731212C5"/>
    <w:rsid w:val="73122968"/>
    <w:rsid w:val="731F5D5E"/>
    <w:rsid w:val="73424DBB"/>
    <w:rsid w:val="735766C3"/>
    <w:rsid w:val="73841312"/>
    <w:rsid w:val="73C51AD5"/>
    <w:rsid w:val="73D353A6"/>
    <w:rsid w:val="741E793C"/>
    <w:rsid w:val="742A3F61"/>
    <w:rsid w:val="74413BF2"/>
    <w:rsid w:val="745E3944"/>
    <w:rsid w:val="74BF08ED"/>
    <w:rsid w:val="74C864DF"/>
    <w:rsid w:val="74CE189C"/>
    <w:rsid w:val="74D10D87"/>
    <w:rsid w:val="74D55C18"/>
    <w:rsid w:val="74EB2425"/>
    <w:rsid w:val="751B08FA"/>
    <w:rsid w:val="754E3892"/>
    <w:rsid w:val="755D78AD"/>
    <w:rsid w:val="75C62A6D"/>
    <w:rsid w:val="75E27DE1"/>
    <w:rsid w:val="7635099D"/>
    <w:rsid w:val="76662E6C"/>
    <w:rsid w:val="76990B6A"/>
    <w:rsid w:val="76B17BAE"/>
    <w:rsid w:val="76C84B8E"/>
    <w:rsid w:val="76E93FEB"/>
    <w:rsid w:val="77762421"/>
    <w:rsid w:val="77B56B1F"/>
    <w:rsid w:val="77BB474E"/>
    <w:rsid w:val="780F09F4"/>
    <w:rsid w:val="78A90480"/>
    <w:rsid w:val="78BC0675"/>
    <w:rsid w:val="78BF077B"/>
    <w:rsid w:val="797F5158"/>
    <w:rsid w:val="79C97FD4"/>
    <w:rsid w:val="79ED7CD7"/>
    <w:rsid w:val="7A2640BD"/>
    <w:rsid w:val="7A364017"/>
    <w:rsid w:val="7A8265E1"/>
    <w:rsid w:val="7B3F1A2A"/>
    <w:rsid w:val="7B3F5290"/>
    <w:rsid w:val="7B686D42"/>
    <w:rsid w:val="7B7E5751"/>
    <w:rsid w:val="7B841746"/>
    <w:rsid w:val="7B8E7E1C"/>
    <w:rsid w:val="7C6C5AC7"/>
    <w:rsid w:val="7C7A284C"/>
    <w:rsid w:val="7C9605A1"/>
    <w:rsid w:val="7CB20C0D"/>
    <w:rsid w:val="7CC6544B"/>
    <w:rsid w:val="7D0239FF"/>
    <w:rsid w:val="7D5E40CD"/>
    <w:rsid w:val="7DCD56F2"/>
    <w:rsid w:val="7E020D8B"/>
    <w:rsid w:val="7E1813F8"/>
    <w:rsid w:val="7E4D2E32"/>
    <w:rsid w:val="7E8B05B0"/>
    <w:rsid w:val="7E977DA5"/>
    <w:rsid w:val="7EA80552"/>
    <w:rsid w:val="7EC52F24"/>
    <w:rsid w:val="7F001CE7"/>
    <w:rsid w:val="7F5F396B"/>
    <w:rsid w:val="7F881C84"/>
    <w:rsid w:val="7F934C8F"/>
    <w:rsid w:val="7FE47E50"/>
    <w:rsid w:val="7FF62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nhideWhenUsed="0" w:uiPriority="0" w:semiHidden="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qFormat="1"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iPriority="99" w:semiHidden="0" w:name="Body Text First Indent" w:locked="1"/>
    <w:lsdException w:qFormat="1" w:uiPriority="99"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qFormat="1" w:uiPriority="99" w:semiHidden="0" w:name="Body Text Indent 2" w:locked="1"/>
    <w:lsdException w:qFormat="1" w:unhideWhenUsed="0" w:uiPriority="0" w:semiHidden="0" w:name="Body Text Indent 3" w:locked="1"/>
    <w:lsdException w:unhideWhenUsed="0" w:uiPriority="0" w:semiHidden="0" w:name="Block Text" w:locked="1"/>
    <w:lsdException w:qFormat="1" w:unhideWhenUsed="0" w:uiPriority="0" w:semiHidden="0" w:name="Hyperlink" w:locked="1"/>
    <w:lsdException w:qFormat="1"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uiPriority="99"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7">
    <w:name w:val="heading 3"/>
    <w:basedOn w:val="1"/>
    <w:next w:val="1"/>
    <w:qFormat/>
    <w:locked/>
    <w:uiPriority w:val="0"/>
    <w:pPr>
      <w:spacing w:before="100" w:beforeAutospacing="1" w:after="100" w:afterAutospacing="1"/>
      <w:jc w:val="left"/>
      <w:outlineLvl w:val="2"/>
    </w:pPr>
    <w:rPr>
      <w:rFonts w:hint="eastAsia" w:ascii="宋体" w:hAnsi="宋体"/>
      <w:b/>
      <w:kern w:val="0"/>
      <w:sz w:val="27"/>
      <w:szCs w:val="27"/>
    </w:rPr>
  </w:style>
  <w:style w:type="paragraph" w:styleId="8">
    <w:name w:val="heading 4"/>
    <w:basedOn w:val="1"/>
    <w:next w:val="9"/>
    <w:qFormat/>
    <w:locked/>
    <w:uiPriority w:val="0"/>
    <w:pPr>
      <w:keepNext/>
      <w:keepLines/>
      <w:spacing w:before="280" w:after="290" w:line="374" w:lineRule="auto"/>
      <w:outlineLvl w:val="3"/>
    </w:pPr>
    <w:rPr>
      <w:rFonts w:ascii="Arial" w:hAnsi="Arial" w:eastAsia="黑体"/>
      <w:b/>
      <w:sz w:val="28"/>
      <w:szCs w:val="20"/>
    </w:rPr>
  </w:style>
  <w:style w:type="character" w:default="1" w:styleId="26">
    <w:name w:val="Default Paragraph Font"/>
    <w:semiHidden/>
    <w:unhideWhenUsed/>
    <w:uiPriority w:val="1"/>
  </w:style>
  <w:style w:type="table" w:default="1" w:styleId="24">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unhideWhenUsed/>
    <w:qFormat/>
    <w:locked/>
    <w:uiPriority w:val="99"/>
    <w:pPr>
      <w:ind w:firstLine="420" w:firstLineChars="200"/>
    </w:pPr>
  </w:style>
  <w:style w:type="paragraph" w:styleId="3">
    <w:name w:val="Body Text Indent"/>
    <w:basedOn w:val="1"/>
    <w:next w:val="4"/>
    <w:link w:val="35"/>
    <w:qFormat/>
    <w:uiPriority w:val="0"/>
    <w:pPr>
      <w:spacing w:after="120"/>
      <w:ind w:left="420" w:leftChars="200"/>
    </w:pPr>
    <w:rPr>
      <w:kern w:val="0"/>
      <w:sz w:val="24"/>
      <w:szCs w:val="20"/>
    </w:rPr>
  </w:style>
  <w:style w:type="paragraph" w:customStyle="1" w:styleId="4">
    <w:name w:val="样式 正文文本缩进 + 行距: 1.5 倍行距"/>
    <w:basedOn w:val="5"/>
    <w:qFormat/>
    <w:uiPriority w:val="0"/>
    <w:pPr>
      <w:spacing w:line="360" w:lineRule="auto"/>
      <w:ind w:left="90" w:leftChars="32" w:firstLine="560" w:firstLineChars="200"/>
    </w:pPr>
    <w:rPr>
      <w:rFonts w:cs="宋体"/>
    </w:rPr>
  </w:style>
  <w:style w:type="paragraph" w:customStyle="1" w:styleId="5">
    <w:name w:val="正文文本缩进1"/>
    <w:basedOn w:val="1"/>
    <w:next w:val="4"/>
    <w:qFormat/>
    <w:uiPriority w:val="0"/>
    <w:pPr>
      <w:spacing w:after="120"/>
      <w:ind w:left="420"/>
    </w:pPr>
    <w:rPr>
      <w:szCs w:val="21"/>
    </w:rPr>
  </w:style>
  <w:style w:type="paragraph" w:styleId="9">
    <w:name w:val="Body Text"/>
    <w:basedOn w:val="1"/>
    <w:next w:val="10"/>
    <w:link w:val="33"/>
    <w:qFormat/>
    <w:uiPriority w:val="0"/>
    <w:pPr>
      <w:widowControl/>
      <w:snapToGrid w:val="0"/>
      <w:spacing w:before="60" w:after="160" w:line="259" w:lineRule="auto"/>
      <w:ind w:right="113"/>
    </w:pPr>
    <w:rPr>
      <w:kern w:val="0"/>
      <w:sz w:val="18"/>
      <w:szCs w:val="20"/>
    </w:rPr>
  </w:style>
  <w:style w:type="paragraph" w:customStyle="1" w:styleId="10">
    <w:name w:val="Date1"/>
    <w:basedOn w:val="1"/>
    <w:next w:val="1"/>
    <w:qFormat/>
    <w:uiPriority w:val="0"/>
    <w:rPr>
      <w:szCs w:val="20"/>
    </w:rPr>
  </w:style>
  <w:style w:type="paragraph" w:styleId="11">
    <w:name w:val="Normal Indent"/>
    <w:basedOn w:val="1"/>
    <w:qFormat/>
    <w:locked/>
    <w:uiPriority w:val="0"/>
    <w:pPr>
      <w:ind w:firstLine="420" w:firstLineChars="200"/>
    </w:pPr>
    <w:rPr>
      <w:sz w:val="24"/>
      <w:szCs w:val="20"/>
    </w:rPr>
  </w:style>
  <w:style w:type="paragraph" w:styleId="12">
    <w:name w:val="annotation text"/>
    <w:basedOn w:val="1"/>
    <w:link w:val="34"/>
    <w:semiHidden/>
    <w:qFormat/>
    <w:uiPriority w:val="0"/>
    <w:pPr>
      <w:jc w:val="left"/>
    </w:pPr>
    <w:rPr>
      <w:kern w:val="0"/>
      <w:sz w:val="24"/>
      <w:szCs w:val="20"/>
    </w:rPr>
  </w:style>
  <w:style w:type="paragraph" w:styleId="13">
    <w:name w:val="Plain Text"/>
    <w:basedOn w:val="1"/>
    <w:qFormat/>
    <w:locked/>
    <w:uiPriority w:val="0"/>
    <w:rPr>
      <w:rFonts w:ascii="宋体" w:hAnsi="Courier New"/>
      <w:szCs w:val="20"/>
    </w:rPr>
  </w:style>
  <w:style w:type="paragraph" w:styleId="14">
    <w:name w:val="List Bullet 5"/>
    <w:basedOn w:val="1"/>
    <w:qFormat/>
    <w:locked/>
    <w:uiPriority w:val="0"/>
    <w:pPr>
      <w:numPr>
        <w:ilvl w:val="0"/>
        <w:numId w:val="1"/>
      </w:numPr>
    </w:pPr>
  </w:style>
  <w:style w:type="paragraph" w:styleId="15">
    <w:name w:val="Date"/>
    <w:basedOn w:val="1"/>
    <w:next w:val="1"/>
    <w:link w:val="36"/>
    <w:qFormat/>
    <w:uiPriority w:val="0"/>
    <w:pPr>
      <w:ind w:left="100" w:leftChars="2500"/>
    </w:pPr>
    <w:rPr>
      <w:kern w:val="0"/>
      <w:sz w:val="24"/>
      <w:szCs w:val="20"/>
    </w:rPr>
  </w:style>
  <w:style w:type="paragraph" w:styleId="16">
    <w:name w:val="Body Text Indent 2"/>
    <w:basedOn w:val="1"/>
    <w:unhideWhenUsed/>
    <w:qFormat/>
    <w:locked/>
    <w:uiPriority w:val="99"/>
    <w:pPr>
      <w:spacing w:before="240" w:line="360" w:lineRule="auto"/>
      <w:ind w:firstLine="560" w:firstLineChars="200"/>
    </w:pPr>
    <w:rPr>
      <w:sz w:val="28"/>
    </w:rPr>
  </w:style>
  <w:style w:type="paragraph" w:styleId="17">
    <w:name w:val="Balloon Text"/>
    <w:basedOn w:val="1"/>
    <w:link w:val="37"/>
    <w:semiHidden/>
    <w:qFormat/>
    <w:uiPriority w:val="0"/>
    <w:rPr>
      <w:kern w:val="0"/>
      <w:sz w:val="18"/>
      <w:szCs w:val="20"/>
    </w:rPr>
  </w:style>
  <w:style w:type="paragraph" w:styleId="18">
    <w:name w:val="footer"/>
    <w:basedOn w:val="1"/>
    <w:link w:val="38"/>
    <w:qFormat/>
    <w:uiPriority w:val="99"/>
    <w:pPr>
      <w:tabs>
        <w:tab w:val="center" w:pos="4153"/>
        <w:tab w:val="right" w:pos="8306"/>
      </w:tabs>
      <w:snapToGrid w:val="0"/>
      <w:jc w:val="left"/>
    </w:pPr>
    <w:rPr>
      <w:kern w:val="0"/>
      <w:sz w:val="18"/>
      <w:szCs w:val="20"/>
    </w:rPr>
  </w:style>
  <w:style w:type="paragraph" w:styleId="19">
    <w:name w:val="header"/>
    <w:basedOn w:val="1"/>
    <w:link w:val="39"/>
    <w:qFormat/>
    <w:uiPriority w:val="0"/>
    <w:pPr>
      <w:pBdr>
        <w:bottom w:val="single" w:color="auto" w:sz="6" w:space="1"/>
      </w:pBdr>
      <w:tabs>
        <w:tab w:val="center" w:pos="4153"/>
        <w:tab w:val="right" w:pos="8306"/>
      </w:tabs>
      <w:snapToGrid w:val="0"/>
      <w:jc w:val="center"/>
    </w:pPr>
    <w:rPr>
      <w:kern w:val="0"/>
      <w:sz w:val="18"/>
      <w:szCs w:val="20"/>
    </w:rPr>
  </w:style>
  <w:style w:type="paragraph" w:styleId="20">
    <w:name w:val="Body Text Indent 3"/>
    <w:basedOn w:val="1"/>
    <w:qFormat/>
    <w:locked/>
    <w:uiPriority w:val="0"/>
    <w:pPr>
      <w:spacing w:after="120"/>
      <w:ind w:left="420" w:leftChars="200"/>
    </w:pPr>
    <w:rPr>
      <w:sz w:val="16"/>
      <w:szCs w:val="16"/>
    </w:rPr>
  </w:style>
  <w:style w:type="paragraph" w:styleId="21">
    <w:name w:val="Normal (Web)"/>
    <w:basedOn w:val="1"/>
    <w:link w:val="40"/>
    <w:qFormat/>
    <w:uiPriority w:val="0"/>
    <w:pPr>
      <w:widowControl/>
      <w:spacing w:before="100" w:beforeAutospacing="1" w:after="100" w:afterAutospacing="1"/>
      <w:jc w:val="left"/>
    </w:pPr>
    <w:rPr>
      <w:rFonts w:ascii="宋体" w:hAnsi="宋体"/>
      <w:kern w:val="0"/>
      <w:sz w:val="24"/>
      <w:szCs w:val="20"/>
    </w:rPr>
  </w:style>
  <w:style w:type="paragraph" w:styleId="22">
    <w:name w:val="annotation subject"/>
    <w:basedOn w:val="12"/>
    <w:next w:val="12"/>
    <w:link w:val="41"/>
    <w:semiHidden/>
    <w:qFormat/>
    <w:uiPriority w:val="0"/>
    <w:rPr>
      <w:b/>
    </w:rPr>
  </w:style>
  <w:style w:type="paragraph" w:styleId="23">
    <w:name w:val="Body Text First Indent"/>
    <w:basedOn w:val="9"/>
    <w:next w:val="1"/>
    <w:unhideWhenUsed/>
    <w:qFormat/>
    <w:locked/>
    <w:uiPriority w:val="99"/>
    <w:pPr>
      <w:ind w:firstLine="420" w:firstLineChars="100"/>
    </w:p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locked/>
    <w:uiPriority w:val="0"/>
    <w:rPr>
      <w:b/>
    </w:rPr>
  </w:style>
  <w:style w:type="character" w:styleId="28">
    <w:name w:val="page number"/>
    <w:qFormat/>
    <w:locked/>
    <w:uiPriority w:val="0"/>
  </w:style>
  <w:style w:type="character" w:styleId="29">
    <w:name w:val="FollowedHyperlink"/>
    <w:qFormat/>
    <w:locked/>
    <w:uiPriority w:val="0"/>
    <w:rPr>
      <w:color w:val="800080"/>
      <w:u w:val="none"/>
    </w:rPr>
  </w:style>
  <w:style w:type="character" w:styleId="30">
    <w:name w:val="Emphasis"/>
    <w:qFormat/>
    <w:locked/>
    <w:uiPriority w:val="0"/>
  </w:style>
  <w:style w:type="character" w:styleId="31">
    <w:name w:val="Hyperlink"/>
    <w:qFormat/>
    <w:locked/>
    <w:uiPriority w:val="0"/>
    <w:rPr>
      <w:color w:val="0000FF"/>
      <w:u w:val="none"/>
    </w:rPr>
  </w:style>
  <w:style w:type="character" w:styleId="32">
    <w:name w:val="annotation reference"/>
    <w:semiHidden/>
    <w:qFormat/>
    <w:uiPriority w:val="0"/>
    <w:rPr>
      <w:sz w:val="21"/>
    </w:rPr>
  </w:style>
  <w:style w:type="character" w:customStyle="1" w:styleId="33">
    <w:name w:val="正文文本 Char"/>
    <w:link w:val="9"/>
    <w:qFormat/>
    <w:locked/>
    <w:uiPriority w:val="0"/>
    <w:rPr>
      <w:sz w:val="18"/>
    </w:rPr>
  </w:style>
  <w:style w:type="character" w:customStyle="1" w:styleId="34">
    <w:name w:val="批注文字 Char"/>
    <w:link w:val="12"/>
    <w:qFormat/>
    <w:locked/>
    <w:uiPriority w:val="0"/>
    <w:rPr>
      <w:rFonts w:ascii="Times New Roman" w:hAnsi="Times New Roman" w:eastAsia="宋体"/>
      <w:sz w:val="24"/>
    </w:rPr>
  </w:style>
  <w:style w:type="character" w:customStyle="1" w:styleId="35">
    <w:name w:val="正文文本缩进 Char"/>
    <w:link w:val="3"/>
    <w:semiHidden/>
    <w:qFormat/>
    <w:locked/>
    <w:uiPriority w:val="0"/>
    <w:rPr>
      <w:rFonts w:ascii="Times New Roman" w:hAnsi="Times New Roman" w:eastAsia="宋体"/>
      <w:sz w:val="24"/>
    </w:rPr>
  </w:style>
  <w:style w:type="character" w:customStyle="1" w:styleId="36">
    <w:name w:val="日期 Char"/>
    <w:link w:val="15"/>
    <w:qFormat/>
    <w:locked/>
    <w:uiPriority w:val="0"/>
    <w:rPr>
      <w:rFonts w:ascii="Times New Roman" w:hAnsi="Times New Roman" w:eastAsia="宋体"/>
      <w:sz w:val="24"/>
    </w:rPr>
  </w:style>
  <w:style w:type="character" w:customStyle="1" w:styleId="37">
    <w:name w:val="批注框文本 Char"/>
    <w:link w:val="17"/>
    <w:semiHidden/>
    <w:qFormat/>
    <w:locked/>
    <w:uiPriority w:val="0"/>
    <w:rPr>
      <w:rFonts w:ascii="Times New Roman" w:hAnsi="Times New Roman" w:eastAsia="宋体"/>
      <w:sz w:val="18"/>
    </w:rPr>
  </w:style>
  <w:style w:type="character" w:customStyle="1" w:styleId="38">
    <w:name w:val="页脚 Char"/>
    <w:link w:val="18"/>
    <w:qFormat/>
    <w:locked/>
    <w:uiPriority w:val="99"/>
    <w:rPr>
      <w:sz w:val="18"/>
    </w:rPr>
  </w:style>
  <w:style w:type="character" w:customStyle="1" w:styleId="39">
    <w:name w:val="页眉 Char"/>
    <w:link w:val="19"/>
    <w:qFormat/>
    <w:locked/>
    <w:uiPriority w:val="0"/>
    <w:rPr>
      <w:sz w:val="18"/>
    </w:rPr>
  </w:style>
  <w:style w:type="character" w:customStyle="1" w:styleId="40">
    <w:name w:val="普通(网站) Char"/>
    <w:link w:val="21"/>
    <w:qFormat/>
    <w:locked/>
    <w:uiPriority w:val="0"/>
    <w:rPr>
      <w:rFonts w:ascii="宋体" w:hAnsi="宋体" w:eastAsia="宋体"/>
      <w:sz w:val="24"/>
    </w:rPr>
  </w:style>
  <w:style w:type="character" w:customStyle="1" w:styleId="41">
    <w:name w:val="批注主题 Char"/>
    <w:link w:val="22"/>
    <w:semiHidden/>
    <w:qFormat/>
    <w:locked/>
    <w:uiPriority w:val="0"/>
    <w:rPr>
      <w:rFonts w:ascii="Times New Roman" w:hAnsi="Times New Roman" w:eastAsia="宋体"/>
      <w:b/>
      <w:kern w:val="2"/>
      <w:sz w:val="24"/>
    </w:rPr>
  </w:style>
  <w:style w:type="character" w:customStyle="1" w:styleId="42">
    <w:name w:val="页脚 字符"/>
    <w:qFormat/>
    <w:uiPriority w:val="99"/>
  </w:style>
  <w:style w:type="character" w:customStyle="1" w:styleId="43">
    <w:name w:val="15"/>
    <w:qFormat/>
    <w:uiPriority w:val="0"/>
    <w:rPr>
      <w:rFonts w:hint="default" w:ascii="Times New Roman" w:hAnsi="Times New Roman" w:cs="Times New Roman"/>
    </w:rPr>
  </w:style>
  <w:style w:type="character" w:customStyle="1" w:styleId="44">
    <w:name w:val="znspantitle"/>
    <w:qFormat/>
    <w:uiPriority w:val="0"/>
    <w:rPr>
      <w:b/>
      <w:color w:val="333333"/>
    </w:rPr>
  </w:style>
  <w:style w:type="character" w:customStyle="1" w:styleId="45">
    <w:name w:val="bsharetext"/>
    <w:qFormat/>
    <w:uiPriority w:val="0"/>
  </w:style>
  <w:style w:type="character" w:customStyle="1" w:styleId="46">
    <w:name w:val="批注文字 字符1"/>
    <w:semiHidden/>
    <w:qFormat/>
    <w:uiPriority w:val="0"/>
    <w:rPr>
      <w:rFonts w:ascii="Times New Roman" w:hAnsi="Times New Roman" w:eastAsia="宋体"/>
      <w:sz w:val="24"/>
    </w:rPr>
  </w:style>
  <w:style w:type="character" w:customStyle="1" w:styleId="47">
    <w:name w:val="正文文本 字符1"/>
    <w:semiHidden/>
    <w:qFormat/>
    <w:uiPriority w:val="0"/>
    <w:rPr>
      <w:rFonts w:ascii="Times New Roman" w:hAnsi="Times New Roman" w:eastAsia="宋体"/>
      <w:sz w:val="24"/>
    </w:rPr>
  </w:style>
  <w:style w:type="character" w:customStyle="1" w:styleId="48">
    <w:name w:val="日期 字符"/>
    <w:semiHidden/>
    <w:qFormat/>
    <w:uiPriority w:val="0"/>
    <w:rPr>
      <w:rFonts w:ascii="Times New Roman" w:hAnsi="Times New Roman" w:eastAsia="宋体"/>
      <w:sz w:val="24"/>
    </w:rPr>
  </w:style>
  <w:style w:type="character" w:customStyle="1" w:styleId="49">
    <w:name w:val="disabled"/>
    <w:qFormat/>
    <w:uiPriority w:val="0"/>
    <w:rPr>
      <w:vanish/>
    </w:rPr>
  </w:style>
  <w:style w:type="character" w:customStyle="1" w:styleId="50">
    <w:name w:val="表格 Char"/>
    <w:link w:val="51"/>
    <w:qFormat/>
    <w:locked/>
    <w:uiPriority w:val="0"/>
    <w:rPr>
      <w:rFonts w:ascii="宋体"/>
      <w:sz w:val="21"/>
    </w:rPr>
  </w:style>
  <w:style w:type="paragraph" w:customStyle="1" w:styleId="51">
    <w:name w:val="表格"/>
    <w:basedOn w:val="1"/>
    <w:next w:val="1"/>
    <w:link w:val="50"/>
    <w:qFormat/>
    <w:uiPriority w:val="0"/>
    <w:pPr>
      <w:adjustRightInd w:val="0"/>
      <w:snapToGrid w:val="0"/>
      <w:spacing w:beforeLines="10" w:afterLines="10" w:line="259" w:lineRule="auto"/>
      <w:jc w:val="center"/>
    </w:pPr>
    <w:rPr>
      <w:rFonts w:ascii="宋体"/>
      <w:kern w:val="0"/>
      <w:szCs w:val="20"/>
    </w:rPr>
  </w:style>
  <w:style w:type="paragraph" w:customStyle="1" w:styleId="52">
    <w:name w:val="样式2"/>
    <w:basedOn w:val="1"/>
    <w:qFormat/>
    <w:uiPriority w:val="0"/>
    <w:pPr>
      <w:adjustRightInd w:val="0"/>
      <w:spacing w:line="410" w:lineRule="atLeast"/>
      <w:jc w:val="left"/>
      <w:textAlignment w:val="baseline"/>
    </w:pPr>
    <w:rPr>
      <w:kern w:val="0"/>
      <w:sz w:val="24"/>
      <w:szCs w:val="20"/>
    </w:rPr>
  </w:style>
  <w:style w:type="paragraph" w:customStyle="1" w:styleId="53">
    <w:name w:val="4444表格"/>
    <w:basedOn w:val="1"/>
    <w:qFormat/>
    <w:uiPriority w:val="0"/>
    <w:pPr>
      <w:spacing w:line="300" w:lineRule="exact"/>
      <w:jc w:val="center"/>
    </w:pPr>
    <w:rPr>
      <w:szCs w:val="21"/>
    </w:rPr>
  </w:style>
  <w:style w:type="paragraph" w:customStyle="1" w:styleId="54">
    <w:name w:val="正文+5"/>
    <w:basedOn w:val="55"/>
    <w:next w:val="55"/>
    <w:qFormat/>
    <w:uiPriority w:val="99"/>
    <w:rPr>
      <w:rFonts w:cs="Times New Roman"/>
      <w:color w:val="auto"/>
    </w:rPr>
  </w:style>
  <w:style w:type="paragraph" w:customStyle="1" w:styleId="5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6">
    <w:name w:val="表格内容"/>
    <w:basedOn w:val="1"/>
    <w:qFormat/>
    <w:uiPriority w:val="0"/>
    <w:pPr>
      <w:adjustRightInd w:val="0"/>
      <w:jc w:val="center"/>
      <w:textAlignment w:val="baseline"/>
    </w:pPr>
    <w:rPr>
      <w:szCs w:val="21"/>
    </w:rPr>
  </w:style>
  <w:style w:type="paragraph" w:customStyle="1" w:styleId="57">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58">
    <w:name w:val="正文55555"/>
    <w:basedOn w:val="1"/>
    <w:qFormat/>
    <w:uiPriority w:val="0"/>
    <w:pPr>
      <w:widowControl/>
      <w:spacing w:line="360" w:lineRule="auto"/>
      <w:ind w:firstLine="200" w:firstLineChars="200"/>
      <w:jc w:val="left"/>
    </w:pPr>
    <w:rPr>
      <w:kern w:val="0"/>
      <w:sz w:val="24"/>
    </w:rPr>
  </w:style>
  <w:style w:type="paragraph" w:customStyle="1" w:styleId="59">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0">
    <w:name w:val="Table Paragraph"/>
    <w:basedOn w:val="1"/>
    <w:qFormat/>
    <w:uiPriority w:val="1"/>
    <w:pPr>
      <w:widowControl/>
      <w:jc w:val="left"/>
    </w:pPr>
    <w:rPr>
      <w:rFonts w:ascii="Calibri" w:hAnsi="Calibri"/>
      <w:kern w:val="0"/>
      <w:sz w:val="22"/>
      <w:szCs w:val="22"/>
    </w:rPr>
  </w:style>
  <w:style w:type="paragraph" w:customStyle="1" w:styleId="61">
    <w:name w:val="样式 小四 行距: 1.5 倍行距 首行缩进:  2 字符"/>
    <w:basedOn w:val="1"/>
    <w:qFormat/>
    <w:uiPriority w:val="0"/>
    <w:pPr>
      <w:spacing w:line="360" w:lineRule="auto"/>
      <w:ind w:firstLine="480" w:firstLineChars="200"/>
    </w:pPr>
    <w:rPr>
      <w:sz w:val="24"/>
    </w:rPr>
  </w:style>
  <w:style w:type="paragraph" w:customStyle="1" w:styleId="62">
    <w:name w:val="报告书正文"/>
    <w:basedOn w:val="1"/>
    <w:qFormat/>
    <w:uiPriority w:val="0"/>
    <w:pPr>
      <w:adjustRightInd w:val="0"/>
      <w:snapToGrid w:val="0"/>
      <w:spacing w:line="360" w:lineRule="auto"/>
      <w:ind w:firstLine="425"/>
      <w:textAlignment w:val="baseline"/>
    </w:pPr>
    <w:rPr>
      <w:kern w:val="0"/>
      <w:sz w:val="24"/>
      <w:szCs w:val="20"/>
    </w:rPr>
  </w:style>
  <w:style w:type="paragraph" w:customStyle="1" w:styleId="63">
    <w:name w:val="表格文字"/>
    <w:basedOn w:val="11"/>
    <w:qFormat/>
    <w:uiPriority w:val="0"/>
    <w:pPr>
      <w:snapToGrid w:val="0"/>
      <w:ind w:firstLine="0" w:firstLineChars="0"/>
      <w:jc w:val="center"/>
    </w:pPr>
    <w:rPr>
      <w:sz w:val="21"/>
    </w:rPr>
  </w:style>
  <w:style w:type="paragraph" w:customStyle="1" w:styleId="64">
    <w:name w:val="列出段落1"/>
    <w:basedOn w:val="1"/>
    <w:next w:val="1"/>
    <w:qFormat/>
    <w:uiPriority w:val="34"/>
    <w:pPr>
      <w:ind w:firstLine="420" w:firstLineChars="200"/>
    </w:pPr>
  </w:style>
  <w:style w:type="paragraph" w:customStyle="1" w:styleId="65">
    <w:name w:val="li_正文"/>
    <w:basedOn w:val="1"/>
    <w:qFormat/>
    <w:uiPriority w:val="0"/>
    <w:pPr>
      <w:tabs>
        <w:tab w:val="left" w:pos="2340"/>
        <w:tab w:val="left" w:pos="4320"/>
      </w:tabs>
      <w:ind w:firstLine="530" w:firstLineChars="200"/>
      <w:jc w:val="left"/>
    </w:pPr>
    <w:rPr>
      <w:rFonts w:ascii="Calibri" w:hAnsi="Calibri"/>
      <w:sz w:val="28"/>
      <w:szCs w:val="28"/>
    </w:rPr>
  </w:style>
  <w:style w:type="paragraph" w:customStyle="1" w:styleId="66">
    <w:name w:val="样式5"/>
    <w:basedOn w:val="67"/>
    <w:qFormat/>
    <w:uiPriority w:val="0"/>
    <w:pPr>
      <w:snapToGrid w:val="0"/>
      <w:spacing w:line="360" w:lineRule="auto"/>
      <w:ind w:firstLine="510"/>
    </w:pPr>
    <w:rPr>
      <w:sz w:val="24"/>
    </w:rPr>
  </w:style>
  <w:style w:type="paragraph" w:customStyle="1" w:styleId="67">
    <w:name w:val="正文1"/>
    <w:basedOn w:val="1"/>
    <w:next w:val="1"/>
    <w:qFormat/>
    <w:uiPriority w:val="0"/>
    <w:pPr>
      <w:ind w:firstLine="200" w:firstLineChars="200"/>
    </w:pPr>
    <w:rPr>
      <w:rFonts w:hint="eastAsia" w:ascii="仿宋_GB2312" w:eastAsia="仿宋_GB2312"/>
      <w:szCs w:val="20"/>
    </w:rPr>
  </w:style>
  <w:style w:type="character" w:customStyle="1" w:styleId="68">
    <w:name w:val="font41"/>
    <w:qFormat/>
    <w:uiPriority w:val="0"/>
    <w:rPr>
      <w:rFonts w:hint="eastAsia" w:ascii="Microsoft JhengHei" w:hAnsi="Microsoft JhengHei" w:eastAsia="Microsoft JhengHei" w:cs="Microsoft JhengHei"/>
      <w:b/>
      <w:color w:val="000000"/>
      <w:sz w:val="22"/>
      <w:szCs w:val="22"/>
      <w:u w:val="none"/>
    </w:rPr>
  </w:style>
  <w:style w:type="paragraph" w:customStyle="1" w:styleId="69">
    <w:name w:val="图表名"/>
    <w:basedOn w:val="1"/>
    <w:qFormat/>
    <w:uiPriority w:val="0"/>
    <w:pPr>
      <w:tabs>
        <w:tab w:val="left" w:pos="7020"/>
      </w:tabs>
      <w:adjustRightInd w:val="0"/>
      <w:jc w:val="center"/>
      <w:textAlignment w:val="baseline"/>
    </w:pPr>
    <w:rPr>
      <w:rFonts w:cs="黑体"/>
      <w:b/>
      <w:color w:val="000000"/>
      <w:kern w:val="0"/>
      <w:szCs w:val="21"/>
    </w:rPr>
  </w:style>
  <w:style w:type="paragraph" w:customStyle="1" w:styleId="70">
    <w:name w:val="Char Char Char"/>
    <w:basedOn w:val="1"/>
    <w:qFormat/>
    <w:uiPriority w:val="0"/>
    <w:rPr>
      <w:sz w:val="24"/>
    </w:rPr>
  </w:style>
  <w:style w:type="paragraph" w:customStyle="1" w:styleId="71">
    <w:name w:val="表格内文字"/>
    <w:basedOn w:val="1"/>
    <w:qFormat/>
    <w:uiPriority w:val="0"/>
    <w:pPr>
      <w:tabs>
        <w:tab w:val="left" w:pos="0"/>
      </w:tabs>
      <w:adjustRightInd w:val="0"/>
      <w:snapToGrid w:val="0"/>
      <w:jc w:val="center"/>
    </w:pPr>
    <w:rPr>
      <w:rFonts w:eastAsia="仿宋_GB2312"/>
      <w:sz w:val="24"/>
    </w:rPr>
  </w:style>
  <w:style w:type="paragraph" w:styleId="72">
    <w:name w:val="List Paragraph"/>
    <w:basedOn w:val="1"/>
    <w:qFormat/>
    <w:uiPriority w:val="34"/>
    <w:pPr>
      <w:ind w:firstLine="420"/>
    </w:pPr>
  </w:style>
  <w:style w:type="paragraph" w:customStyle="1" w:styleId="73">
    <w:name w:val="正文_17"/>
    <w:qFormat/>
    <w:uiPriority w:val="0"/>
    <w:pPr>
      <w:widowControl w:val="0"/>
      <w:jc w:val="both"/>
    </w:pPr>
    <w:rPr>
      <w:rFonts w:ascii="Calibri" w:hAnsi="Calibri" w:eastAsia="宋体" w:cs="Times New Roman"/>
      <w:kern w:val="2"/>
      <w:sz w:val="21"/>
      <w:lang w:val="en-US" w:eastAsia="zh-CN" w:bidi="ar-SA"/>
    </w:rPr>
  </w:style>
  <w:style w:type="paragraph" w:customStyle="1" w:styleId="74">
    <w:name w:val="正文_19"/>
    <w:qFormat/>
    <w:uiPriority w:val="0"/>
    <w:pPr>
      <w:widowControl w:val="0"/>
      <w:jc w:val="both"/>
    </w:pPr>
    <w:rPr>
      <w:rFonts w:ascii="Calibri" w:hAnsi="Calibri" w:eastAsia="宋体" w:cs="Times New Roman"/>
      <w:kern w:val="2"/>
      <w:sz w:val="21"/>
      <w:lang w:val="en-US" w:eastAsia="zh-CN" w:bidi="ar-SA"/>
    </w:rPr>
  </w:style>
  <w:style w:type="paragraph" w:customStyle="1" w:styleId="75">
    <w:name w:val="正文_16"/>
    <w:qFormat/>
    <w:uiPriority w:val="0"/>
    <w:pPr>
      <w:widowControl w:val="0"/>
      <w:jc w:val="both"/>
    </w:pPr>
    <w:rPr>
      <w:rFonts w:ascii="Calibri" w:hAnsi="Calibri" w:eastAsia="宋体" w:cs="Times New Roman"/>
      <w:kern w:val="2"/>
      <w:sz w:val="21"/>
      <w:lang w:val="en-US" w:eastAsia="zh-CN" w:bidi="ar-SA"/>
    </w:rPr>
  </w:style>
  <w:style w:type="paragraph" w:customStyle="1" w:styleId="76">
    <w:name w:val="正文_20"/>
    <w:qFormat/>
    <w:uiPriority w:val="0"/>
    <w:pPr>
      <w:widowControl w:val="0"/>
      <w:jc w:val="both"/>
    </w:pPr>
    <w:rPr>
      <w:rFonts w:ascii="Calibri" w:hAnsi="Calibri" w:eastAsia="宋体" w:cs="Times New Roman"/>
      <w:kern w:val="2"/>
      <w:sz w:val="21"/>
      <w:lang w:val="en-US" w:eastAsia="zh-CN" w:bidi="ar-SA"/>
    </w:rPr>
  </w:style>
  <w:style w:type="paragraph" w:customStyle="1" w:styleId="77">
    <w:name w:val="正文 首行缩进:  2 字符"/>
    <w:basedOn w:val="1"/>
    <w:qFormat/>
    <w:uiPriority w:val="0"/>
    <w:pPr>
      <w:adjustRightInd w:val="0"/>
      <w:snapToGrid w:val="0"/>
      <w:spacing w:line="500" w:lineRule="exact"/>
      <w:ind w:firstLine="200" w:firstLineChars="200"/>
      <w:jc w:val="left"/>
    </w:pPr>
    <w:rPr>
      <w:rFonts w:cs="宋体"/>
      <w:sz w:val="24"/>
      <w:szCs w:val="20"/>
    </w:rPr>
  </w:style>
  <w:style w:type="paragraph" w:customStyle="1" w:styleId="78">
    <w:name w:val="三级"/>
    <w:basedOn w:val="1"/>
    <w:qFormat/>
    <w:uiPriority w:val="0"/>
    <w:pPr>
      <w:adjustRightInd w:val="0"/>
      <w:snapToGrid w:val="0"/>
      <w:jc w:val="left"/>
      <w:outlineLvl w:val="2"/>
    </w:pPr>
    <w:rPr>
      <w:b/>
      <w:kern w:val="0"/>
    </w:rPr>
  </w:style>
  <w:style w:type="paragraph" w:customStyle="1" w:styleId="79">
    <w:name w:val="表内容"/>
    <w:basedOn w:val="1"/>
    <w:qFormat/>
    <w:uiPriority w:val="0"/>
    <w:pPr>
      <w:adjustRightInd w:val="0"/>
      <w:snapToGrid w:val="0"/>
      <w:jc w:val="center"/>
    </w:pPr>
    <w:rPr>
      <w:rFonts w:eastAsia="Arial"/>
      <w:snapToGrid w:val="0"/>
      <w:kern w:val="0"/>
      <w:szCs w:val="21"/>
    </w:rPr>
  </w:style>
  <w:style w:type="paragraph" w:customStyle="1" w:styleId="80">
    <w:name w:val="店子正文"/>
    <w:basedOn w:val="1"/>
    <w:qFormat/>
    <w:uiPriority w:val="0"/>
    <w:pPr>
      <w:spacing w:line="360" w:lineRule="auto"/>
      <w:ind w:firstLine="200" w:firstLineChars="200"/>
    </w:pPr>
    <w:rPr>
      <w:sz w:val="24"/>
    </w:rPr>
  </w:style>
  <w:style w:type="paragraph" w:customStyle="1" w:styleId="81">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3">
    <w:name w:val="JJJJJJJ正文"/>
    <w:basedOn w:val="1"/>
    <w:qFormat/>
    <w:uiPriority w:val="0"/>
    <w:pPr>
      <w:spacing w:line="360" w:lineRule="auto"/>
      <w:ind w:firstLine="200" w:firstLineChars="200"/>
    </w:pPr>
    <w:rPr>
      <w:kern w:val="0"/>
      <w:sz w:val="24"/>
    </w:rPr>
  </w:style>
  <w:style w:type="paragraph" w:customStyle="1" w:styleId="84">
    <w:name w:val="表内"/>
    <w:basedOn w:val="1"/>
    <w:link w:val="89"/>
    <w:qFormat/>
    <w:uiPriority w:val="0"/>
    <w:pPr>
      <w:jc w:val="center"/>
    </w:pPr>
  </w:style>
  <w:style w:type="paragraph" w:customStyle="1" w:styleId="85">
    <w:name w:val="文本正文"/>
    <w:basedOn w:val="1"/>
    <w:link w:val="86"/>
    <w:qFormat/>
    <w:uiPriority w:val="0"/>
    <w:pPr>
      <w:autoSpaceDE w:val="0"/>
      <w:autoSpaceDN w:val="0"/>
      <w:spacing w:line="360" w:lineRule="auto"/>
      <w:ind w:firstLine="200" w:firstLineChars="200"/>
    </w:pPr>
    <w:rPr>
      <w:rFonts w:cs="宋体"/>
      <w:kern w:val="0"/>
      <w:sz w:val="24"/>
      <w:szCs w:val="21"/>
    </w:rPr>
  </w:style>
  <w:style w:type="character" w:customStyle="1" w:styleId="86">
    <w:name w:val="文本正文 Char"/>
    <w:basedOn w:val="26"/>
    <w:link w:val="85"/>
    <w:qFormat/>
    <w:uiPriority w:val="0"/>
    <w:rPr>
      <w:rFonts w:cs="宋体"/>
      <w:sz w:val="24"/>
      <w:szCs w:val="21"/>
    </w:rPr>
  </w:style>
  <w:style w:type="paragraph" w:customStyle="1" w:styleId="87">
    <w:name w:val="表头"/>
    <w:basedOn w:val="1"/>
    <w:link w:val="88"/>
    <w:qFormat/>
    <w:uiPriority w:val="0"/>
    <w:pPr>
      <w:spacing w:line="360" w:lineRule="auto"/>
      <w:jc w:val="center"/>
    </w:pPr>
    <w:rPr>
      <w:rFonts w:ascii="黑体" w:hAnsi="黑体" w:eastAsia="黑体"/>
      <w:b/>
    </w:rPr>
  </w:style>
  <w:style w:type="character" w:customStyle="1" w:styleId="88">
    <w:name w:val="表头 Char"/>
    <w:basedOn w:val="26"/>
    <w:link w:val="87"/>
    <w:qFormat/>
    <w:uiPriority w:val="0"/>
    <w:rPr>
      <w:rFonts w:ascii="黑体" w:hAnsi="黑体" w:eastAsia="黑体"/>
      <w:b/>
      <w:kern w:val="2"/>
      <w:sz w:val="21"/>
      <w:szCs w:val="24"/>
    </w:rPr>
  </w:style>
  <w:style w:type="character" w:customStyle="1" w:styleId="89">
    <w:name w:val="表内 Char"/>
    <w:link w:val="84"/>
    <w:qFormat/>
    <w:uiPriority w:val="0"/>
    <w:rPr>
      <w:kern w:val="2"/>
      <w:sz w:val="21"/>
      <w:szCs w:val="24"/>
    </w:rPr>
  </w:style>
  <w:style w:type="character" w:customStyle="1" w:styleId="90">
    <w:name w:val="表头 Char Char"/>
    <w:qFormat/>
    <w:uiPriority w:val="0"/>
    <w:rPr>
      <w:rFonts w:ascii="黑体" w:hAnsi="黑体" w:eastAsia="黑体" w:cs="宋体"/>
      <w:b/>
      <w:kern w:val="2"/>
      <w:sz w:val="21"/>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emf"/><Relationship Id="rId11" Type="http://schemas.openxmlformats.org/officeDocument/2006/relationships/image" Target="media/image3.png"/><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04565B-0D45-48E1-919A-167A8B08D1A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58</Pages>
  <Words>8009</Words>
  <Characters>45656</Characters>
  <Lines>380</Lines>
  <Paragraphs>107</Paragraphs>
  <TotalTime>451</TotalTime>
  <ScaleCrop>false</ScaleCrop>
  <LinksUpToDate>false</LinksUpToDate>
  <CharactersWithSpaces>53558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2022-10-28T11:57:00Z</dcterms:created>
  <dc:creator>lhj</dc:creator>
  <cp:lastModifiedBy>飞飞~~</cp:lastModifiedBy>
  <cp:lastPrinted>2022-11-07T06:00:00Z</cp:lastPrinted>
  <dcterms:modified xsi:type="dcterms:W3CDTF">2022-11-29T01:44:38Z</dcterms:modified>
  <dc:title>附件2</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E4AE402B8E9544DE80093995164556C0</vt:lpwstr>
  </property>
</Properties>
</file>