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3F" w:rsidRPr="00445890" w:rsidRDefault="00AD243F" w:rsidP="00AD243F">
      <w:pPr>
        <w:widowControl/>
        <w:shd w:val="clear" w:color="auto" w:fill="FFFFFF"/>
        <w:spacing w:line="795" w:lineRule="atLeast"/>
        <w:jc w:val="center"/>
        <w:outlineLvl w:val="1"/>
        <w:rPr>
          <w:rFonts w:ascii="方正小标宋简体" w:eastAsia="方正小标宋简体" w:hAnsi="微软雅黑" w:cs="宋体"/>
          <w:bCs/>
          <w:color w:val="333333"/>
          <w:kern w:val="36"/>
          <w:sz w:val="40"/>
          <w:szCs w:val="36"/>
          <w:lang/>
        </w:rPr>
      </w:pPr>
      <w:r w:rsidRPr="00445890">
        <w:rPr>
          <w:rFonts w:ascii="方正小标宋简体" w:eastAsia="方正小标宋简体" w:hAnsi="微软雅黑" w:cs="宋体" w:hint="eastAsia"/>
          <w:bCs/>
          <w:color w:val="333333"/>
          <w:kern w:val="36"/>
          <w:sz w:val="40"/>
          <w:szCs w:val="36"/>
          <w:lang/>
        </w:rPr>
        <w:t>国家税务总局关于企业所得税若干政策征管口径问题的公告</w:t>
      </w:r>
    </w:p>
    <w:p w:rsidR="00AD243F" w:rsidRPr="00445890" w:rsidRDefault="00AD243F" w:rsidP="00AD243F">
      <w:pPr>
        <w:widowControl/>
        <w:shd w:val="clear" w:color="auto" w:fill="FFFFFF"/>
        <w:spacing w:before="100" w:beforeAutospacing="1" w:after="100" w:afterAutospacing="1" w:line="675" w:lineRule="atLeast"/>
        <w:jc w:val="center"/>
        <w:rPr>
          <w:rFonts w:ascii="仿宋_GB2312" w:eastAsia="仿宋_GB2312" w:hAnsi="微软雅黑" w:cs="宋体" w:hint="eastAsia"/>
          <w:color w:val="666666"/>
          <w:kern w:val="0"/>
          <w:sz w:val="32"/>
          <w:szCs w:val="30"/>
          <w:lang/>
        </w:rPr>
      </w:pPr>
      <w:r w:rsidRPr="00445890">
        <w:rPr>
          <w:rFonts w:ascii="仿宋_GB2312" w:eastAsia="仿宋_GB2312" w:hAnsi="微软雅黑" w:cs="宋体" w:hint="eastAsia"/>
          <w:color w:val="666666"/>
          <w:kern w:val="0"/>
          <w:sz w:val="32"/>
          <w:szCs w:val="30"/>
          <w:lang/>
        </w:rPr>
        <w:t>国家税务总局公告2021年第17号</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为贯彻落实中办、国办印发的《关于进一步深化税收征管改革的意见》，深入开展2021年“我为纳税人缴费人办实事暨便民办税春风行动”，推进税收领域“放管服”改革，更好服务市场主体，根据《中华人民共和国企业所得税法》及其实施条例（以下简称税法）等相关规定，对企业所得税若干政策征管口径问题公告如下：</w:t>
      </w:r>
    </w:p>
    <w:p w:rsidR="00AD243F" w:rsidRPr="00482D11" w:rsidRDefault="00AD243F" w:rsidP="00AD243F">
      <w:pPr>
        <w:pStyle w:val="a5"/>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一、关于公益性捐赠支出相关费用的扣除问题</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企业在非货币性资产捐赠过程中发生的运费、保险费、人工费用等相关支出，凡纳入国家机关、公益性社会组织开具的公益捐赠票据记载的数额中的，作为公益性捐赠支出按照规定在税前扣除；上述费用未纳入公益性捐赠票据记载的数额中的，作为企业相关费用按照规定在税前扣除。</w:t>
      </w:r>
    </w:p>
    <w:p w:rsidR="00AD243F" w:rsidRPr="00482D11" w:rsidRDefault="00AD243F" w:rsidP="00AD243F">
      <w:pPr>
        <w:pStyle w:val="a5"/>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二、关于可转换债券转换为股权投资的税务处理问题</w:t>
      </w:r>
    </w:p>
    <w:p w:rsidR="00AD243F" w:rsidRPr="00482D11" w:rsidRDefault="00AD243F" w:rsidP="00AD243F">
      <w:pPr>
        <w:pStyle w:val="a5"/>
        <w:shd w:val="clear" w:color="auto" w:fill="FFFFFF"/>
        <w:ind w:firstLine="480"/>
        <w:jc w:val="both"/>
        <w:rPr>
          <w:rFonts w:ascii="楷体_GB2312" w:eastAsia="楷体_GB2312" w:hAnsi="微软雅黑"/>
          <w:color w:val="333333"/>
          <w:sz w:val="28"/>
          <w:szCs w:val="30"/>
        </w:rPr>
      </w:pPr>
      <w:r w:rsidRPr="00482D11">
        <w:rPr>
          <w:rFonts w:ascii="楷体_GB2312" w:eastAsia="楷体_GB2312" w:hAnsi="微软雅黑" w:hint="eastAsia"/>
          <w:color w:val="333333"/>
          <w:sz w:val="28"/>
          <w:szCs w:val="30"/>
        </w:rPr>
        <w:t>（一）购买方企业的税务处理</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1.购买方企业购买可转换债券，在其持有期间按照约定利率取得的利息收入，应当依法申报缴纳企业所得税。</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2.购买方企业可转换债券转换为股票时，将应收未收利息一并转为股票的，该应收未收利息即使会计上未确认收入，税收上也应当作为当期利息收入申报纳税；转换后以该债券购买价、应收未收利息和支付的相关税费为该股票投资成本。</w:t>
      </w:r>
    </w:p>
    <w:p w:rsidR="00AD243F" w:rsidRPr="00482D11" w:rsidRDefault="00AD243F" w:rsidP="00AD243F">
      <w:pPr>
        <w:pStyle w:val="a5"/>
        <w:shd w:val="clear" w:color="auto" w:fill="FFFFFF"/>
        <w:ind w:firstLine="480"/>
        <w:jc w:val="both"/>
        <w:rPr>
          <w:rFonts w:ascii="楷体_GB2312" w:eastAsia="楷体_GB2312" w:hAnsi="微软雅黑"/>
          <w:color w:val="333333"/>
          <w:sz w:val="28"/>
          <w:szCs w:val="30"/>
        </w:rPr>
      </w:pPr>
      <w:r w:rsidRPr="00482D11">
        <w:rPr>
          <w:rFonts w:ascii="楷体_GB2312" w:eastAsia="楷体_GB2312" w:hAnsi="微软雅黑" w:hint="eastAsia"/>
          <w:color w:val="333333"/>
          <w:sz w:val="28"/>
          <w:szCs w:val="30"/>
        </w:rPr>
        <w:lastRenderedPageBreak/>
        <w:t>（二）发行方企业的税务处理</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1.发行方企业发生的可转换债券的利息，按照规定在税前扣除。</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2.发行方企业按照约定将购买方持有的可转换债券和应付未付利息一并转为股票的，其应付未付利息视同已支付，按照规定在税前扣除。</w:t>
      </w:r>
    </w:p>
    <w:p w:rsidR="00AD243F" w:rsidRPr="00482D11" w:rsidRDefault="00AD243F" w:rsidP="00AD243F">
      <w:pPr>
        <w:pStyle w:val="a5"/>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三、关于跨境混合性投资业务企业所得税的处理问题</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境外投资者在境内从事混合性投资业务,满足《国家税务总局关于企业混合性投资业务企业所得税处理问题的公告》（2013年第41号）第一条规定的条件的，可以按照该公告第二条第一款的规定进行企业所得税处理，但同时符合以下两种情形的除外：</w:t>
      </w:r>
    </w:p>
    <w:p w:rsidR="00AD243F" w:rsidRPr="00482D11" w:rsidRDefault="00AD243F" w:rsidP="00AD243F">
      <w:pPr>
        <w:pStyle w:val="a5"/>
        <w:shd w:val="clear" w:color="auto" w:fill="FFFFFF"/>
        <w:ind w:firstLine="480"/>
        <w:jc w:val="both"/>
        <w:rPr>
          <w:rFonts w:ascii="楷体_GB2312" w:eastAsia="楷体_GB2312" w:hAnsi="微软雅黑"/>
          <w:color w:val="333333"/>
          <w:sz w:val="28"/>
          <w:szCs w:val="30"/>
        </w:rPr>
      </w:pPr>
      <w:r w:rsidRPr="00482D11">
        <w:rPr>
          <w:rFonts w:ascii="楷体_GB2312" w:eastAsia="楷体_GB2312" w:hAnsi="微软雅黑" w:hint="eastAsia"/>
          <w:color w:val="333333"/>
          <w:sz w:val="28"/>
          <w:szCs w:val="30"/>
        </w:rPr>
        <w:t>（一）该境外投资者与境内被投资企业构成关联关系；</w:t>
      </w:r>
    </w:p>
    <w:p w:rsidR="00AD243F" w:rsidRPr="00445890" w:rsidRDefault="00AD243F" w:rsidP="00AD243F">
      <w:pPr>
        <w:pStyle w:val="a5"/>
        <w:shd w:val="clear" w:color="auto" w:fill="FFFFFF"/>
        <w:ind w:firstLine="480"/>
        <w:jc w:val="both"/>
        <w:rPr>
          <w:rFonts w:ascii="楷体_GB2312" w:eastAsia="楷体_GB2312" w:hAnsi="微软雅黑"/>
          <w:color w:val="333333"/>
          <w:sz w:val="28"/>
          <w:szCs w:val="30"/>
        </w:rPr>
      </w:pPr>
      <w:r w:rsidRPr="00482D11">
        <w:rPr>
          <w:rFonts w:ascii="楷体_GB2312" w:eastAsia="楷体_GB2312" w:hAnsi="微软雅黑" w:hint="eastAsia"/>
          <w:color w:val="333333"/>
          <w:sz w:val="28"/>
          <w:szCs w:val="30"/>
        </w:rPr>
        <w:t>（二）境外投资者所在国家（地区）将该项投资收益认定为</w:t>
      </w:r>
      <w:r w:rsidRPr="00445890">
        <w:rPr>
          <w:rFonts w:ascii="楷体_GB2312" w:eastAsia="楷体_GB2312" w:hAnsi="微软雅黑" w:hint="eastAsia"/>
          <w:color w:val="333333"/>
          <w:sz w:val="28"/>
          <w:szCs w:val="30"/>
        </w:rPr>
        <w:t>权益性投资收益，且不征收企业所得税。</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同时符合上述第（一）项和第（二）项规定情形的，境内被投资企业向境外投资者支付的利息应视为股息，不得进行税前扣除。</w:t>
      </w:r>
    </w:p>
    <w:p w:rsidR="00AD243F" w:rsidRPr="00482D11" w:rsidRDefault="00AD243F" w:rsidP="00AD243F">
      <w:pPr>
        <w:pStyle w:val="a5"/>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四、企业所得税核定征收改为查账征收后有关资产的税务处理问题</w:t>
      </w:r>
    </w:p>
    <w:p w:rsidR="00AD243F" w:rsidRPr="00482D11" w:rsidRDefault="00AD243F" w:rsidP="00AD243F">
      <w:pPr>
        <w:pStyle w:val="a5"/>
        <w:shd w:val="clear" w:color="auto" w:fill="FFFFFF"/>
        <w:ind w:firstLine="480"/>
        <w:jc w:val="both"/>
        <w:rPr>
          <w:rFonts w:ascii="楷体_GB2312" w:eastAsia="楷体_GB2312" w:hAnsi="微软雅黑"/>
          <w:color w:val="333333"/>
          <w:sz w:val="28"/>
          <w:szCs w:val="30"/>
        </w:rPr>
      </w:pPr>
      <w:bookmarkStart w:id="0" w:name="_GoBack"/>
      <w:r w:rsidRPr="00482D11">
        <w:rPr>
          <w:rFonts w:ascii="楷体_GB2312" w:eastAsia="楷体_GB2312" w:hAnsi="微软雅黑" w:hint="eastAsia"/>
          <w:color w:val="333333"/>
          <w:sz w:val="28"/>
          <w:szCs w:val="30"/>
        </w:rPr>
        <w:t>（一）企业能够提供资产购置发票的，以发票载明金额为计</w:t>
      </w:r>
      <w:bookmarkEnd w:id="0"/>
      <w:r w:rsidRPr="00482D11">
        <w:rPr>
          <w:rFonts w:ascii="楷体_GB2312" w:eastAsia="楷体_GB2312" w:hAnsi="微软雅黑" w:hint="eastAsia"/>
          <w:color w:val="333333"/>
          <w:sz w:val="28"/>
          <w:szCs w:val="30"/>
        </w:rPr>
        <w:t>税基础；不能提供资产购置发票的，可以凭购置资产的合同（协议）、资金支付证明、会计核算资料等记载金额，作为计税基础。</w:t>
      </w:r>
    </w:p>
    <w:p w:rsidR="00AD243F" w:rsidRPr="00482D11" w:rsidRDefault="00AD243F" w:rsidP="00AD243F">
      <w:pPr>
        <w:pStyle w:val="a5"/>
        <w:shd w:val="clear" w:color="auto" w:fill="FFFFFF"/>
        <w:ind w:firstLine="480"/>
        <w:jc w:val="both"/>
        <w:rPr>
          <w:rFonts w:ascii="楷体_GB2312" w:eastAsia="楷体_GB2312" w:hAnsi="微软雅黑"/>
          <w:color w:val="333333"/>
          <w:sz w:val="28"/>
          <w:szCs w:val="30"/>
        </w:rPr>
      </w:pPr>
      <w:r w:rsidRPr="00482D11">
        <w:rPr>
          <w:rFonts w:ascii="楷体_GB2312" w:eastAsia="楷体_GB2312" w:hAnsi="微软雅黑" w:hint="eastAsia"/>
          <w:color w:val="333333"/>
          <w:sz w:val="28"/>
          <w:szCs w:val="30"/>
        </w:rPr>
        <w:t>（二）企业核定征税期间投入使用的资产，改为查账征税后，按照税法规定的折旧、摊销年限，扣除该资产投入使用年限后，就剩余年限继续计提折旧、摊销额并在税前扣除。</w:t>
      </w:r>
    </w:p>
    <w:p w:rsidR="00AD243F" w:rsidRPr="00482D11" w:rsidRDefault="00AD243F" w:rsidP="00AD243F">
      <w:pPr>
        <w:pStyle w:val="a5"/>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五、关于文物、艺术品资产的税务处理问题</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lastRenderedPageBreak/>
        <w:t>企业购买的文物、艺术品用于收藏、展示、保值增值的，作为投资资产进行税务处理。文物、艺术品资产在持有期间，计提的折旧、摊销费用，不得税前扣除。</w:t>
      </w:r>
    </w:p>
    <w:p w:rsidR="00AD243F" w:rsidRPr="00482D11" w:rsidRDefault="00AD243F" w:rsidP="00AD243F">
      <w:pPr>
        <w:pStyle w:val="a5"/>
        <w:shd w:val="clear" w:color="auto" w:fill="FFFFFF"/>
        <w:jc w:val="both"/>
        <w:rPr>
          <w:rFonts w:ascii="黑体" w:eastAsia="黑体" w:hAnsi="黑体"/>
          <w:bCs/>
          <w:color w:val="333333"/>
          <w:sz w:val="28"/>
          <w:szCs w:val="30"/>
        </w:rPr>
      </w:pPr>
      <w:r w:rsidRPr="00482D11">
        <w:rPr>
          <w:rFonts w:ascii="黑体" w:eastAsia="黑体" w:hAnsi="黑体" w:hint="eastAsia"/>
          <w:bCs/>
          <w:color w:val="333333"/>
          <w:sz w:val="28"/>
          <w:szCs w:val="30"/>
        </w:rPr>
        <w:t>六、关于企业取得政府财政资金的收入时间确认问题</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企业按照市场价格销售货物、提供劳务服务等，凡由政府财政部门根据企业销售货物、提供劳务服务的数量、金额的一定比例给予全部或部分资金支付的，应当按照权责发生制原则确认收入。</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除上述情形外，企业取得的各种政府财政支付，如财政补贴、补助、补偿、退税等，应当按照实际取得收入的时间确认收入。</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本公告适用于2021年及以后年度汇算清缴。</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特此公告。</w:t>
      </w:r>
    </w:p>
    <w:p w:rsidR="00AD243F" w:rsidRPr="00482D11" w:rsidRDefault="00AD243F" w:rsidP="00482D11">
      <w:pPr>
        <w:pStyle w:val="a5"/>
        <w:shd w:val="clear" w:color="auto" w:fill="FFFFFF"/>
        <w:spacing w:line="560" w:lineRule="exact"/>
        <w:ind w:firstLine="482"/>
        <w:jc w:val="both"/>
        <w:rPr>
          <w:rFonts w:ascii="仿宋_GB2312" w:eastAsia="仿宋_GB2312" w:hAnsi="微软雅黑"/>
          <w:color w:val="333333"/>
          <w:sz w:val="28"/>
          <w:szCs w:val="30"/>
        </w:rPr>
      </w:pPr>
    </w:p>
    <w:p w:rsidR="00AD243F" w:rsidRPr="00482D11" w:rsidRDefault="00AD243F" w:rsidP="00482D11">
      <w:pPr>
        <w:pStyle w:val="a5"/>
        <w:shd w:val="clear" w:color="auto" w:fill="FFFFFF"/>
        <w:spacing w:line="560" w:lineRule="exact"/>
        <w:ind w:firstLine="482"/>
        <w:jc w:val="right"/>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国家税务总局</w:t>
      </w:r>
    </w:p>
    <w:p w:rsidR="00AD243F" w:rsidRPr="00482D11" w:rsidRDefault="00AD243F" w:rsidP="00482D11">
      <w:pPr>
        <w:pStyle w:val="a5"/>
        <w:shd w:val="clear" w:color="auto" w:fill="FFFFFF"/>
        <w:spacing w:line="560" w:lineRule="exact"/>
        <w:ind w:firstLine="482"/>
        <w:jc w:val="right"/>
        <w:rPr>
          <w:rFonts w:ascii="仿宋_GB2312" w:eastAsia="仿宋_GB2312" w:hAnsi="微软雅黑"/>
          <w:color w:val="333333"/>
          <w:sz w:val="28"/>
          <w:szCs w:val="30"/>
        </w:rPr>
      </w:pPr>
      <w:r w:rsidRPr="00482D11">
        <w:rPr>
          <w:rFonts w:ascii="仿宋_GB2312" w:eastAsia="仿宋_GB2312" w:hAnsi="微软雅黑" w:hint="eastAsia"/>
          <w:color w:val="333333"/>
          <w:sz w:val="28"/>
          <w:szCs w:val="30"/>
        </w:rPr>
        <w:t>2021年6月22日</w:t>
      </w:r>
    </w:p>
    <w:p w:rsidR="001C4E0F" w:rsidRPr="00482D11" w:rsidRDefault="001C4E0F" w:rsidP="00482D11">
      <w:pPr>
        <w:pStyle w:val="a5"/>
        <w:shd w:val="clear" w:color="auto" w:fill="FFFFFF"/>
        <w:spacing w:line="560" w:lineRule="exact"/>
        <w:ind w:firstLine="482"/>
        <w:jc w:val="both"/>
        <w:rPr>
          <w:rFonts w:ascii="仿宋_GB2312" w:eastAsia="仿宋_GB2312" w:hAnsi="微软雅黑"/>
          <w:color w:val="333333"/>
          <w:sz w:val="28"/>
          <w:szCs w:val="30"/>
        </w:rPr>
      </w:pPr>
    </w:p>
    <w:sectPr w:rsidR="001C4E0F" w:rsidRPr="00482D11" w:rsidSect="00F413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92" w:rsidRDefault="004A6D92" w:rsidP="00AD243F">
      <w:r>
        <w:separator/>
      </w:r>
    </w:p>
  </w:endnote>
  <w:endnote w:type="continuationSeparator" w:id="1">
    <w:p w:rsidR="004A6D92" w:rsidRDefault="004A6D92" w:rsidP="00AD243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92" w:rsidRDefault="004A6D92" w:rsidP="00AD243F">
      <w:r>
        <w:separator/>
      </w:r>
    </w:p>
  </w:footnote>
  <w:footnote w:type="continuationSeparator" w:id="1">
    <w:p w:rsidR="004A6D92" w:rsidRDefault="004A6D92" w:rsidP="00AD24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450B"/>
    <w:rsid w:val="00021DA1"/>
    <w:rsid w:val="001B1C34"/>
    <w:rsid w:val="001C4E0F"/>
    <w:rsid w:val="00445890"/>
    <w:rsid w:val="00482D11"/>
    <w:rsid w:val="004A6D92"/>
    <w:rsid w:val="0069210B"/>
    <w:rsid w:val="00786D7E"/>
    <w:rsid w:val="0095450B"/>
    <w:rsid w:val="00AD243F"/>
    <w:rsid w:val="00BE6333"/>
    <w:rsid w:val="00EA4553"/>
    <w:rsid w:val="00EA7B6B"/>
    <w:rsid w:val="00F41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3F"/>
    <w:pPr>
      <w:widowControl w:val="0"/>
      <w:jc w:val="both"/>
    </w:pPr>
    <w:rPr>
      <w:szCs w:val="24"/>
    </w:rPr>
  </w:style>
  <w:style w:type="paragraph" w:styleId="1">
    <w:name w:val="heading 1"/>
    <w:basedOn w:val="a"/>
    <w:next w:val="a"/>
    <w:link w:val="1Char"/>
    <w:autoRedefine/>
    <w:uiPriority w:val="9"/>
    <w:qFormat/>
    <w:rsid w:val="00BE6333"/>
    <w:pPr>
      <w:keepNext/>
      <w:keepLines/>
      <w:spacing w:line="440" w:lineRule="exact"/>
      <w:outlineLvl w:val="0"/>
    </w:pPr>
    <w:rPr>
      <w:rFonts w:ascii="仿宋" w:eastAsia="仿宋" w:hAnsi="仿宋"/>
      <w:b/>
      <w:bCs/>
      <w:kern w:val="44"/>
      <w:sz w:val="24"/>
      <w:szCs w:val="44"/>
    </w:rPr>
  </w:style>
  <w:style w:type="paragraph" w:styleId="2">
    <w:name w:val="heading 2"/>
    <w:basedOn w:val="a"/>
    <w:next w:val="a"/>
    <w:link w:val="2Char"/>
    <w:autoRedefine/>
    <w:uiPriority w:val="9"/>
    <w:semiHidden/>
    <w:unhideWhenUsed/>
    <w:qFormat/>
    <w:rsid w:val="00BE6333"/>
    <w:pPr>
      <w:keepNext/>
      <w:keepLines/>
      <w:spacing w:line="440" w:lineRule="exact"/>
      <w:outlineLvl w:val="1"/>
    </w:pPr>
    <w:rPr>
      <w:rFonts w:asciiTheme="majorHAnsi" w:eastAsia="仿宋" w:hAnsiTheme="majorHAnsi" w:cstheme="majorBidi"/>
      <w:b/>
      <w:bCs/>
      <w:sz w:val="24"/>
      <w:szCs w:val="32"/>
    </w:rPr>
  </w:style>
  <w:style w:type="paragraph" w:styleId="3">
    <w:name w:val="heading 3"/>
    <w:basedOn w:val="a"/>
    <w:next w:val="a"/>
    <w:link w:val="3Char"/>
    <w:autoRedefine/>
    <w:uiPriority w:val="9"/>
    <w:semiHidden/>
    <w:unhideWhenUsed/>
    <w:qFormat/>
    <w:rsid w:val="00BE6333"/>
    <w:pPr>
      <w:keepNext/>
      <w:keepLines/>
      <w:spacing w:line="240" w:lineRule="exact"/>
      <w:outlineLvl w:val="2"/>
    </w:pPr>
    <w:rPr>
      <w:rFonts w:ascii="仿宋" w:eastAsia="仿宋" w:hAnsi="仿宋"/>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6333"/>
    <w:rPr>
      <w:rFonts w:ascii="Times New Roman" w:eastAsia="宋体" w:hAnsi="Times New Roman"/>
      <w:b/>
      <w:bCs/>
      <w:kern w:val="44"/>
      <w:sz w:val="24"/>
      <w:szCs w:val="44"/>
    </w:rPr>
  </w:style>
  <w:style w:type="character" w:customStyle="1" w:styleId="2Char">
    <w:name w:val="标题 2 Char"/>
    <w:basedOn w:val="a0"/>
    <w:link w:val="2"/>
    <w:uiPriority w:val="9"/>
    <w:semiHidden/>
    <w:rsid w:val="00BE6333"/>
    <w:rPr>
      <w:rFonts w:asciiTheme="majorHAnsi" w:eastAsia="宋体" w:hAnsiTheme="majorHAnsi" w:cstheme="majorBidi"/>
      <w:b/>
      <w:bCs/>
      <w:sz w:val="24"/>
      <w:szCs w:val="32"/>
    </w:rPr>
  </w:style>
  <w:style w:type="character" w:customStyle="1" w:styleId="3Char">
    <w:name w:val="标题 3 Char"/>
    <w:basedOn w:val="a0"/>
    <w:link w:val="3"/>
    <w:uiPriority w:val="9"/>
    <w:semiHidden/>
    <w:rsid w:val="00BE6333"/>
    <w:rPr>
      <w:rFonts w:ascii="Times New Roman" w:eastAsia="宋体" w:hAnsi="Times New Roman"/>
      <w:bCs/>
      <w:sz w:val="24"/>
      <w:szCs w:val="32"/>
    </w:rPr>
  </w:style>
  <w:style w:type="paragraph" w:styleId="a3">
    <w:name w:val="header"/>
    <w:basedOn w:val="a"/>
    <w:link w:val="Char"/>
    <w:uiPriority w:val="99"/>
    <w:unhideWhenUsed/>
    <w:rsid w:val="00AD243F"/>
    <w:pPr>
      <w:pBdr>
        <w:bottom w:val="single" w:sz="6" w:space="1" w:color="auto"/>
      </w:pBdr>
      <w:tabs>
        <w:tab w:val="center" w:pos="4153"/>
        <w:tab w:val="right" w:pos="8306"/>
      </w:tabs>
      <w:snapToGrid w:val="0"/>
      <w:jc w:val="center"/>
    </w:pPr>
    <w:rPr>
      <w:rFonts w:ascii="仿宋" w:eastAsia="仿宋" w:hAnsi="仿宋"/>
      <w:sz w:val="18"/>
      <w:szCs w:val="18"/>
    </w:rPr>
  </w:style>
  <w:style w:type="character" w:customStyle="1" w:styleId="Char">
    <w:name w:val="页眉 Char"/>
    <w:basedOn w:val="a0"/>
    <w:link w:val="a3"/>
    <w:uiPriority w:val="99"/>
    <w:rsid w:val="00AD243F"/>
    <w:rPr>
      <w:rFonts w:ascii="仿宋" w:eastAsia="仿宋" w:hAnsi="仿宋"/>
      <w:sz w:val="18"/>
      <w:szCs w:val="18"/>
    </w:rPr>
  </w:style>
  <w:style w:type="paragraph" w:styleId="a4">
    <w:name w:val="footer"/>
    <w:basedOn w:val="a"/>
    <w:link w:val="Char0"/>
    <w:uiPriority w:val="99"/>
    <w:unhideWhenUsed/>
    <w:rsid w:val="00AD243F"/>
    <w:pPr>
      <w:tabs>
        <w:tab w:val="center" w:pos="4153"/>
        <w:tab w:val="right" w:pos="8306"/>
      </w:tabs>
      <w:snapToGrid w:val="0"/>
      <w:jc w:val="left"/>
    </w:pPr>
    <w:rPr>
      <w:rFonts w:ascii="仿宋" w:eastAsia="仿宋" w:hAnsi="仿宋"/>
      <w:sz w:val="18"/>
      <w:szCs w:val="18"/>
    </w:rPr>
  </w:style>
  <w:style w:type="character" w:customStyle="1" w:styleId="Char0">
    <w:name w:val="页脚 Char"/>
    <w:basedOn w:val="a0"/>
    <w:link w:val="a4"/>
    <w:uiPriority w:val="99"/>
    <w:rsid w:val="00AD243F"/>
    <w:rPr>
      <w:rFonts w:ascii="仿宋" w:eastAsia="仿宋" w:hAnsi="仿宋"/>
      <w:sz w:val="18"/>
      <w:szCs w:val="18"/>
    </w:rPr>
  </w:style>
  <w:style w:type="paragraph" w:styleId="a5">
    <w:name w:val="Normal (Web)"/>
    <w:basedOn w:val="a"/>
    <w:uiPriority w:val="99"/>
    <w:unhideWhenUsed/>
    <w:rsid w:val="00AD243F"/>
    <w:pPr>
      <w:widowControl/>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文龙</dc:creator>
  <cp:keywords/>
  <dc:description/>
  <cp:lastModifiedBy>wwl</cp:lastModifiedBy>
  <cp:revision>5</cp:revision>
  <dcterms:created xsi:type="dcterms:W3CDTF">2021-12-13T07:28:00Z</dcterms:created>
  <dcterms:modified xsi:type="dcterms:W3CDTF">2021-12-30T08:36:00Z</dcterms:modified>
</cp:coreProperties>
</file>