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7075" w14:textId="77777777" w:rsidR="00AD243F" w:rsidRPr="00482D11" w:rsidRDefault="00AD243F" w:rsidP="00AD243F">
      <w:pPr>
        <w:widowControl/>
        <w:shd w:val="clear" w:color="auto" w:fill="FFFFFF"/>
        <w:spacing w:line="795" w:lineRule="atLeast"/>
        <w:jc w:val="center"/>
        <w:outlineLvl w:val="1"/>
        <w:rPr>
          <w:rFonts w:ascii="方正小标宋简体" w:eastAsia="方正小标宋简体" w:hAnsi="微软雅黑" w:cs="宋体" w:hint="eastAsia"/>
          <w:bCs/>
          <w:color w:val="333333"/>
          <w:kern w:val="36"/>
          <w:sz w:val="36"/>
          <w:szCs w:val="36"/>
          <w:lang w:val="en"/>
        </w:rPr>
      </w:pPr>
      <w:r w:rsidRPr="00482D11">
        <w:rPr>
          <w:rFonts w:ascii="方正小标宋简体" w:eastAsia="方正小标宋简体" w:hAnsi="微软雅黑" w:cs="宋体" w:hint="eastAsia"/>
          <w:bCs/>
          <w:color w:val="333333"/>
          <w:kern w:val="36"/>
          <w:sz w:val="36"/>
          <w:szCs w:val="36"/>
          <w:lang w:val="en"/>
        </w:rPr>
        <w:t>国家税务总局关于企业所得税若干</w:t>
      </w:r>
      <w:proofErr w:type="gramStart"/>
      <w:r w:rsidRPr="00482D11">
        <w:rPr>
          <w:rFonts w:ascii="方正小标宋简体" w:eastAsia="方正小标宋简体" w:hAnsi="微软雅黑" w:cs="宋体" w:hint="eastAsia"/>
          <w:bCs/>
          <w:color w:val="333333"/>
          <w:kern w:val="36"/>
          <w:sz w:val="36"/>
          <w:szCs w:val="36"/>
          <w:lang w:val="en"/>
        </w:rPr>
        <w:t>政策征管口径</w:t>
      </w:r>
      <w:proofErr w:type="gramEnd"/>
      <w:r w:rsidRPr="00482D11">
        <w:rPr>
          <w:rFonts w:ascii="方正小标宋简体" w:eastAsia="方正小标宋简体" w:hAnsi="微软雅黑" w:cs="宋体" w:hint="eastAsia"/>
          <w:bCs/>
          <w:color w:val="333333"/>
          <w:kern w:val="36"/>
          <w:sz w:val="36"/>
          <w:szCs w:val="36"/>
          <w:lang w:val="en"/>
        </w:rPr>
        <w:t>问题的公告</w:t>
      </w:r>
    </w:p>
    <w:p w14:paraId="74450804" w14:textId="77777777" w:rsidR="00AD243F" w:rsidRPr="00524A4B" w:rsidRDefault="00AD243F" w:rsidP="00AD243F">
      <w:pPr>
        <w:widowControl/>
        <w:shd w:val="clear" w:color="auto" w:fill="FFFFFF"/>
        <w:spacing w:before="100" w:beforeAutospacing="1" w:after="100" w:afterAutospacing="1" w:line="675" w:lineRule="atLeast"/>
        <w:jc w:val="center"/>
        <w:rPr>
          <w:rFonts w:ascii="微软雅黑" w:eastAsia="微软雅黑" w:hAnsi="微软雅黑" w:cs="宋体"/>
          <w:color w:val="666666"/>
          <w:kern w:val="0"/>
          <w:sz w:val="30"/>
          <w:szCs w:val="30"/>
          <w:lang w:val="en"/>
        </w:rPr>
      </w:pPr>
      <w:r w:rsidRPr="00524A4B">
        <w:rPr>
          <w:rFonts w:ascii="微软雅黑" w:eastAsia="微软雅黑" w:hAnsi="微软雅黑" w:cs="宋体" w:hint="eastAsia"/>
          <w:color w:val="666666"/>
          <w:kern w:val="0"/>
          <w:sz w:val="30"/>
          <w:szCs w:val="30"/>
          <w:lang w:val="en"/>
        </w:rPr>
        <w:t>国家税务总局公告2021年第17号</w:t>
      </w:r>
    </w:p>
    <w:p w14:paraId="1EC4B70E"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hint="eastAsia"/>
          <w:color w:val="333333"/>
          <w:sz w:val="28"/>
          <w:szCs w:val="30"/>
        </w:rPr>
      </w:pPr>
      <w:r w:rsidRPr="00482D11">
        <w:rPr>
          <w:rFonts w:ascii="仿宋_GB2312" w:eastAsia="仿宋_GB2312" w:hAnsi="微软雅黑" w:hint="eastAsia"/>
          <w:color w:val="333333"/>
          <w:sz w:val="28"/>
          <w:szCs w:val="30"/>
        </w:rPr>
        <w:t>为贯彻落实中办、国办印发的《关于进一步深化税收征管改革的意见》，深入开展2021年“我为纳税人缴费人办实事暨便民办税春风行动”，推进税收领域“放管服”改革，更好服务市场主体，根据《中华人民共和国企业所得税法》及其实施条例（以下简称税法）等相关规定，对企业所得税若干</w:t>
      </w:r>
      <w:proofErr w:type="gramStart"/>
      <w:r w:rsidRPr="00482D11">
        <w:rPr>
          <w:rFonts w:ascii="仿宋_GB2312" w:eastAsia="仿宋_GB2312" w:hAnsi="微软雅黑" w:hint="eastAsia"/>
          <w:color w:val="333333"/>
          <w:sz w:val="28"/>
          <w:szCs w:val="30"/>
        </w:rPr>
        <w:t>政策征管口径</w:t>
      </w:r>
      <w:proofErr w:type="gramEnd"/>
      <w:r w:rsidRPr="00482D11">
        <w:rPr>
          <w:rFonts w:ascii="仿宋_GB2312" w:eastAsia="仿宋_GB2312" w:hAnsi="微软雅黑" w:hint="eastAsia"/>
          <w:color w:val="333333"/>
          <w:sz w:val="28"/>
          <w:szCs w:val="30"/>
        </w:rPr>
        <w:t>问题公告如下：</w:t>
      </w:r>
    </w:p>
    <w:p w14:paraId="7BAF5E1D" w14:textId="77777777" w:rsidR="00AD243F" w:rsidRPr="00482D11" w:rsidRDefault="00AD243F" w:rsidP="00AD243F">
      <w:pPr>
        <w:pStyle w:val="a7"/>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一、关于公益性捐赠支出相关费用的扣除问题</w:t>
      </w:r>
    </w:p>
    <w:p w14:paraId="11BA6A0F"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企业在非货币性资产捐赠过程中发生的运费、保险费、人工费用等相关支出，凡纳入国家机关、公益性社会组织开具的公益捐赠票据记载的数额中的，作为公益性捐赠支出按照规定在税前扣除；上述费用未纳入公益性捐赠票据记载的数额中的，作为企业相关费用按照规定在税前扣除。</w:t>
      </w:r>
    </w:p>
    <w:p w14:paraId="37838E1A" w14:textId="77777777" w:rsidR="00AD243F" w:rsidRPr="00482D11" w:rsidRDefault="00AD243F" w:rsidP="00AD243F">
      <w:pPr>
        <w:pStyle w:val="a7"/>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二、关于可转换债券转换为股权投资的税务处理问题</w:t>
      </w:r>
    </w:p>
    <w:p w14:paraId="4CEF4E51" w14:textId="77777777" w:rsidR="00AD243F" w:rsidRPr="00482D11" w:rsidRDefault="00AD243F" w:rsidP="00AD243F">
      <w:pPr>
        <w:pStyle w:val="a7"/>
        <w:shd w:val="clear" w:color="auto" w:fill="FFFFFF"/>
        <w:ind w:firstLine="480"/>
        <w:jc w:val="both"/>
        <w:rPr>
          <w:rFonts w:ascii="楷体_GB2312" w:eastAsia="楷体_GB2312" w:hAnsi="微软雅黑" w:hint="eastAsia"/>
          <w:color w:val="333333"/>
          <w:sz w:val="28"/>
          <w:szCs w:val="30"/>
        </w:rPr>
      </w:pPr>
      <w:r w:rsidRPr="00482D11">
        <w:rPr>
          <w:rFonts w:ascii="楷体_GB2312" w:eastAsia="楷体_GB2312" w:hAnsi="微软雅黑" w:hint="eastAsia"/>
          <w:color w:val="333333"/>
          <w:sz w:val="28"/>
          <w:szCs w:val="30"/>
        </w:rPr>
        <w:t>（一）购买方企业的税务处理</w:t>
      </w:r>
    </w:p>
    <w:p w14:paraId="139C4F39"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1.购买方企业购买可转换债券，在其持有期间按照约定利率取得的利息收入，应当依法申报缴纳企业所得税。</w:t>
      </w:r>
    </w:p>
    <w:p w14:paraId="6E97F05B"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2.购买方企业可转换债券转换为股票时，将应收未收利息一并转为股票的，该应收未收利息即使会计上未确认收入，税收上也应当作为当期利息收入申报纳税；转换后以该债券购买价、应收未收利息和支付的相关税费为该股票投资成本。</w:t>
      </w:r>
    </w:p>
    <w:p w14:paraId="55ECCB2B" w14:textId="77777777" w:rsidR="00AD243F" w:rsidRPr="00482D11" w:rsidRDefault="00AD243F" w:rsidP="00AD243F">
      <w:pPr>
        <w:pStyle w:val="a7"/>
        <w:shd w:val="clear" w:color="auto" w:fill="FFFFFF"/>
        <w:ind w:firstLine="480"/>
        <w:jc w:val="both"/>
        <w:rPr>
          <w:rFonts w:ascii="楷体_GB2312" w:eastAsia="楷体_GB2312" w:hAnsi="微软雅黑"/>
          <w:color w:val="333333"/>
          <w:sz w:val="28"/>
          <w:szCs w:val="30"/>
        </w:rPr>
      </w:pPr>
      <w:r w:rsidRPr="00482D11">
        <w:rPr>
          <w:rFonts w:ascii="楷体_GB2312" w:eastAsia="楷体_GB2312" w:hAnsi="微软雅黑" w:hint="eastAsia"/>
          <w:color w:val="333333"/>
          <w:sz w:val="28"/>
          <w:szCs w:val="30"/>
        </w:rPr>
        <w:lastRenderedPageBreak/>
        <w:t>（二）发行方企业的税务处理</w:t>
      </w:r>
    </w:p>
    <w:p w14:paraId="783B110D"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1.发行方企业发生的可转换债券的利息，按照规定在税前扣除。</w:t>
      </w:r>
    </w:p>
    <w:p w14:paraId="0D0A1729"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2.发行方企业按照约定将购买方持有的可转换债券和应付未付利息一并转为股票的，其应付未付利息视同已支付，按照规定在税前扣除。</w:t>
      </w:r>
    </w:p>
    <w:p w14:paraId="5727480D" w14:textId="77777777" w:rsidR="00AD243F" w:rsidRPr="00482D11" w:rsidRDefault="00AD243F" w:rsidP="00AD243F">
      <w:pPr>
        <w:pStyle w:val="a7"/>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三、关于跨境混合性投资业务企业所得税的处理问题</w:t>
      </w:r>
    </w:p>
    <w:p w14:paraId="1903F17E"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境外投资者在境内从事混合性投资业务,满足《国家税务总局关于企业混合性投资业务企业所得税处理问题的公告》（2013年第41号）第一条规定的条件的，可以按照该公告第二条第一款的规定进行企业所得税处理，但同时符合以下两种情形的除外：</w:t>
      </w:r>
    </w:p>
    <w:p w14:paraId="47542F49" w14:textId="77777777" w:rsidR="00AD243F" w:rsidRPr="00482D11" w:rsidRDefault="00AD243F" w:rsidP="00AD243F">
      <w:pPr>
        <w:pStyle w:val="a7"/>
        <w:shd w:val="clear" w:color="auto" w:fill="FFFFFF"/>
        <w:ind w:firstLine="480"/>
        <w:jc w:val="both"/>
        <w:rPr>
          <w:rFonts w:ascii="楷体_GB2312" w:eastAsia="楷体_GB2312" w:hAnsi="微软雅黑"/>
          <w:color w:val="333333"/>
          <w:sz w:val="28"/>
          <w:szCs w:val="30"/>
        </w:rPr>
      </w:pPr>
      <w:r w:rsidRPr="00482D11">
        <w:rPr>
          <w:rFonts w:ascii="楷体_GB2312" w:eastAsia="楷体_GB2312" w:hAnsi="微软雅黑" w:hint="eastAsia"/>
          <w:color w:val="333333"/>
          <w:sz w:val="28"/>
          <w:szCs w:val="30"/>
        </w:rPr>
        <w:t>（一）该境外投资者与境内被投资企业构成关联关系；</w:t>
      </w:r>
    </w:p>
    <w:p w14:paraId="03A6EC6C" w14:textId="77777777" w:rsidR="00AD243F" w:rsidRPr="0081343E" w:rsidRDefault="00AD243F" w:rsidP="00AD243F">
      <w:pPr>
        <w:pStyle w:val="a7"/>
        <w:shd w:val="clear" w:color="auto" w:fill="FFFFFF"/>
        <w:ind w:firstLine="480"/>
        <w:jc w:val="both"/>
        <w:rPr>
          <w:rFonts w:ascii="微软雅黑" w:eastAsia="微软雅黑" w:hAnsi="微软雅黑"/>
          <w:color w:val="333333"/>
          <w:sz w:val="30"/>
          <w:szCs w:val="30"/>
        </w:rPr>
      </w:pPr>
      <w:r w:rsidRPr="00482D11">
        <w:rPr>
          <w:rFonts w:ascii="楷体_GB2312" w:eastAsia="楷体_GB2312" w:hAnsi="微软雅黑" w:hint="eastAsia"/>
          <w:color w:val="333333"/>
          <w:sz w:val="28"/>
          <w:szCs w:val="30"/>
        </w:rPr>
        <w:t>（二）境外投资者所在国家（地区）将该项投资收益认定为</w:t>
      </w:r>
      <w:r w:rsidRPr="0081343E">
        <w:rPr>
          <w:rFonts w:ascii="微软雅黑" w:eastAsia="微软雅黑" w:hAnsi="微软雅黑" w:hint="eastAsia"/>
          <w:color w:val="333333"/>
          <w:sz w:val="30"/>
          <w:szCs w:val="30"/>
        </w:rPr>
        <w:t>权益性投资收益，且不征收企业所得税。</w:t>
      </w:r>
    </w:p>
    <w:p w14:paraId="35C8AA1A"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同时符合上述第（一）项和第（二）项规定情形的，境内被投资企业向境外投资者支付的利息应视为股息，不得进行税前扣除。</w:t>
      </w:r>
    </w:p>
    <w:p w14:paraId="6E326A21" w14:textId="77777777" w:rsidR="00AD243F" w:rsidRPr="00482D11" w:rsidRDefault="00AD243F" w:rsidP="00AD243F">
      <w:pPr>
        <w:pStyle w:val="a7"/>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四、企业所得税核定征收改为查账征收后有关资产的税务处理问题</w:t>
      </w:r>
    </w:p>
    <w:p w14:paraId="1F1E6728" w14:textId="77777777" w:rsidR="00AD243F" w:rsidRPr="00482D11" w:rsidRDefault="00AD243F" w:rsidP="00AD243F">
      <w:pPr>
        <w:pStyle w:val="a7"/>
        <w:shd w:val="clear" w:color="auto" w:fill="FFFFFF"/>
        <w:ind w:firstLine="480"/>
        <w:jc w:val="both"/>
        <w:rPr>
          <w:rFonts w:ascii="楷体_GB2312" w:eastAsia="楷体_GB2312" w:hAnsi="微软雅黑"/>
          <w:color w:val="333333"/>
          <w:sz w:val="28"/>
          <w:szCs w:val="30"/>
        </w:rPr>
      </w:pPr>
      <w:bookmarkStart w:id="0" w:name="_GoBack"/>
      <w:r w:rsidRPr="00482D11">
        <w:rPr>
          <w:rFonts w:ascii="楷体_GB2312" w:eastAsia="楷体_GB2312" w:hAnsi="微软雅黑" w:hint="eastAsia"/>
          <w:color w:val="333333"/>
          <w:sz w:val="28"/>
          <w:szCs w:val="30"/>
        </w:rPr>
        <w:t>（一）企业能够提供资产购置发票的，以发票载明金额为计</w:t>
      </w:r>
      <w:bookmarkEnd w:id="0"/>
      <w:r w:rsidRPr="00482D11">
        <w:rPr>
          <w:rFonts w:ascii="楷体_GB2312" w:eastAsia="楷体_GB2312" w:hAnsi="微软雅黑" w:hint="eastAsia"/>
          <w:color w:val="333333"/>
          <w:sz w:val="28"/>
          <w:szCs w:val="30"/>
        </w:rPr>
        <w:t>税基础；不能提供资产购置发票的，可以凭购置资产的合同（协议）、资金支付证明、会计核算资料等记载金额，作为计税基础。</w:t>
      </w:r>
    </w:p>
    <w:p w14:paraId="6C68240C" w14:textId="77777777" w:rsidR="00AD243F" w:rsidRPr="00482D11" w:rsidRDefault="00AD243F" w:rsidP="00AD243F">
      <w:pPr>
        <w:pStyle w:val="a7"/>
        <w:shd w:val="clear" w:color="auto" w:fill="FFFFFF"/>
        <w:ind w:firstLine="480"/>
        <w:jc w:val="both"/>
        <w:rPr>
          <w:rFonts w:ascii="楷体_GB2312" w:eastAsia="楷体_GB2312" w:hAnsi="微软雅黑"/>
          <w:color w:val="333333"/>
          <w:sz w:val="28"/>
          <w:szCs w:val="30"/>
        </w:rPr>
      </w:pPr>
      <w:r w:rsidRPr="00482D11">
        <w:rPr>
          <w:rFonts w:ascii="楷体_GB2312" w:eastAsia="楷体_GB2312" w:hAnsi="微软雅黑" w:hint="eastAsia"/>
          <w:color w:val="333333"/>
          <w:sz w:val="28"/>
          <w:szCs w:val="30"/>
        </w:rPr>
        <w:t>（二）企业核定征税期间投入使用的资产，改为查账征税后，按照税法规定的折旧、摊销年限，扣除该资产投入使用年限后，就剩余年限继续计提折旧、摊销额并在税前扣除。</w:t>
      </w:r>
    </w:p>
    <w:p w14:paraId="723BDB3D" w14:textId="77777777" w:rsidR="00AD243F" w:rsidRPr="00482D11" w:rsidRDefault="00AD243F" w:rsidP="00AD243F">
      <w:pPr>
        <w:pStyle w:val="a7"/>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五、关于文物、艺术品资产的税务处理问题</w:t>
      </w:r>
    </w:p>
    <w:p w14:paraId="7D56AF2A"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lastRenderedPageBreak/>
        <w:t>企业购买的文物、艺术品用于收藏、展示、保值增值的，作为投资资产进行税务处理。文物、艺术品资产在持有期间，计提的折旧、摊销费用，不得税前扣除。</w:t>
      </w:r>
    </w:p>
    <w:p w14:paraId="018ACFC7" w14:textId="77777777" w:rsidR="00AD243F" w:rsidRPr="00482D11" w:rsidRDefault="00AD243F" w:rsidP="00AD243F">
      <w:pPr>
        <w:pStyle w:val="a7"/>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六、关于企业取得政府财政资金的收入时间确认问题</w:t>
      </w:r>
    </w:p>
    <w:p w14:paraId="4551BFF6"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企业按照市场价格销售货物、提供劳务服务等，凡由政府财政部门根据企业销售货物、提供劳务服务的数量、金额的一定比例给予全部或部分资金支付的，应当按照权责发生制原则确认收入。</w:t>
      </w:r>
    </w:p>
    <w:p w14:paraId="6C3E22D2"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除上述情形外，企业取得的各种政府财政支付，如财政补贴、补助、补偿、退税等，应当按照实际取得收入的时间确认收入。</w:t>
      </w:r>
    </w:p>
    <w:p w14:paraId="26CAD185"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本公告适用于2021年及以后年度汇算清缴。</w:t>
      </w:r>
    </w:p>
    <w:p w14:paraId="4DD49F47"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特此公告。</w:t>
      </w:r>
    </w:p>
    <w:p w14:paraId="70EF36F7" w14:textId="77777777" w:rsidR="00AD243F" w:rsidRPr="00482D11" w:rsidRDefault="00AD243F" w:rsidP="00482D11">
      <w:pPr>
        <w:pStyle w:val="a7"/>
        <w:shd w:val="clear" w:color="auto" w:fill="FFFFFF"/>
        <w:spacing w:line="560" w:lineRule="exact"/>
        <w:ind w:firstLine="482"/>
        <w:jc w:val="both"/>
        <w:rPr>
          <w:rFonts w:ascii="仿宋_GB2312" w:eastAsia="仿宋_GB2312" w:hAnsi="微软雅黑"/>
          <w:color w:val="333333"/>
          <w:sz w:val="28"/>
          <w:szCs w:val="30"/>
        </w:rPr>
      </w:pPr>
    </w:p>
    <w:p w14:paraId="241C8935" w14:textId="77777777" w:rsidR="00AD243F" w:rsidRPr="00482D11" w:rsidRDefault="00AD243F" w:rsidP="00482D11">
      <w:pPr>
        <w:pStyle w:val="a7"/>
        <w:shd w:val="clear" w:color="auto" w:fill="FFFFFF"/>
        <w:spacing w:line="560" w:lineRule="exact"/>
        <w:ind w:firstLine="482"/>
        <w:jc w:val="right"/>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国家税务总局</w:t>
      </w:r>
    </w:p>
    <w:p w14:paraId="75C88A3F" w14:textId="77777777" w:rsidR="00AD243F" w:rsidRPr="00482D11" w:rsidRDefault="00AD243F" w:rsidP="00482D11">
      <w:pPr>
        <w:pStyle w:val="a7"/>
        <w:shd w:val="clear" w:color="auto" w:fill="FFFFFF"/>
        <w:spacing w:line="560" w:lineRule="exact"/>
        <w:ind w:firstLine="482"/>
        <w:jc w:val="right"/>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2021年6月22日</w:t>
      </w:r>
    </w:p>
    <w:p w14:paraId="3411BD40" w14:textId="77777777" w:rsidR="001C4E0F" w:rsidRPr="00482D11" w:rsidRDefault="001C4E0F" w:rsidP="00482D11">
      <w:pPr>
        <w:pStyle w:val="a7"/>
        <w:shd w:val="clear" w:color="auto" w:fill="FFFFFF"/>
        <w:spacing w:line="560" w:lineRule="exact"/>
        <w:ind w:firstLine="482"/>
        <w:jc w:val="both"/>
        <w:rPr>
          <w:rFonts w:ascii="仿宋_GB2312" w:eastAsia="仿宋_GB2312" w:hAnsi="微软雅黑"/>
          <w:color w:val="333333"/>
          <w:sz w:val="28"/>
          <w:szCs w:val="30"/>
        </w:rPr>
      </w:pPr>
    </w:p>
    <w:sectPr w:rsidR="001C4E0F" w:rsidRPr="00482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65CBC" w14:textId="77777777" w:rsidR="00786D7E" w:rsidRDefault="00786D7E" w:rsidP="00AD243F">
      <w:r>
        <w:separator/>
      </w:r>
    </w:p>
  </w:endnote>
  <w:endnote w:type="continuationSeparator" w:id="0">
    <w:p w14:paraId="3CF1CF73" w14:textId="77777777" w:rsidR="00786D7E" w:rsidRDefault="00786D7E" w:rsidP="00AD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66235" w14:textId="77777777" w:rsidR="00786D7E" w:rsidRDefault="00786D7E" w:rsidP="00AD243F">
      <w:r>
        <w:separator/>
      </w:r>
    </w:p>
  </w:footnote>
  <w:footnote w:type="continuationSeparator" w:id="0">
    <w:p w14:paraId="56542AE9" w14:textId="77777777" w:rsidR="00786D7E" w:rsidRDefault="00786D7E" w:rsidP="00AD2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0B"/>
    <w:rsid w:val="00021DA1"/>
    <w:rsid w:val="001B1C34"/>
    <w:rsid w:val="001C4E0F"/>
    <w:rsid w:val="00482D11"/>
    <w:rsid w:val="0069210B"/>
    <w:rsid w:val="00786D7E"/>
    <w:rsid w:val="0095450B"/>
    <w:rsid w:val="00AD243F"/>
    <w:rsid w:val="00BE6333"/>
    <w:rsid w:val="00EA4553"/>
    <w:rsid w:val="00EA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CFB95D-7DA8-455B-A329-5A0ECD83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43F"/>
    <w:pPr>
      <w:widowControl w:val="0"/>
      <w:jc w:val="both"/>
    </w:pPr>
    <w:rPr>
      <w:szCs w:val="24"/>
    </w:rPr>
  </w:style>
  <w:style w:type="paragraph" w:styleId="1">
    <w:name w:val="heading 1"/>
    <w:basedOn w:val="a"/>
    <w:next w:val="a"/>
    <w:link w:val="10"/>
    <w:autoRedefine/>
    <w:uiPriority w:val="9"/>
    <w:qFormat/>
    <w:rsid w:val="00BE6333"/>
    <w:pPr>
      <w:keepNext/>
      <w:keepLines/>
      <w:spacing w:line="440" w:lineRule="exact"/>
      <w:outlineLvl w:val="0"/>
    </w:pPr>
    <w:rPr>
      <w:rFonts w:ascii="仿宋" w:eastAsia="仿宋" w:hAnsi="仿宋"/>
      <w:b/>
      <w:bCs/>
      <w:kern w:val="44"/>
      <w:sz w:val="24"/>
      <w:szCs w:val="44"/>
    </w:rPr>
  </w:style>
  <w:style w:type="paragraph" w:styleId="2">
    <w:name w:val="heading 2"/>
    <w:basedOn w:val="a"/>
    <w:next w:val="a"/>
    <w:link w:val="20"/>
    <w:autoRedefine/>
    <w:uiPriority w:val="9"/>
    <w:semiHidden/>
    <w:unhideWhenUsed/>
    <w:qFormat/>
    <w:rsid w:val="00BE6333"/>
    <w:pPr>
      <w:keepNext/>
      <w:keepLines/>
      <w:spacing w:line="440" w:lineRule="exact"/>
      <w:outlineLvl w:val="1"/>
    </w:pPr>
    <w:rPr>
      <w:rFonts w:asciiTheme="majorHAnsi" w:eastAsia="仿宋" w:hAnsiTheme="majorHAnsi" w:cstheme="majorBidi"/>
      <w:b/>
      <w:bCs/>
      <w:sz w:val="24"/>
      <w:szCs w:val="32"/>
    </w:rPr>
  </w:style>
  <w:style w:type="paragraph" w:styleId="3">
    <w:name w:val="heading 3"/>
    <w:basedOn w:val="a"/>
    <w:next w:val="a"/>
    <w:link w:val="30"/>
    <w:autoRedefine/>
    <w:uiPriority w:val="9"/>
    <w:semiHidden/>
    <w:unhideWhenUsed/>
    <w:qFormat/>
    <w:rsid w:val="00BE6333"/>
    <w:pPr>
      <w:keepNext/>
      <w:keepLines/>
      <w:spacing w:line="240" w:lineRule="exact"/>
      <w:outlineLvl w:val="2"/>
    </w:pPr>
    <w:rPr>
      <w:rFonts w:ascii="仿宋" w:eastAsia="仿宋" w:hAnsi="仿宋"/>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333"/>
    <w:rPr>
      <w:rFonts w:ascii="Times New Roman" w:eastAsia="宋体" w:hAnsi="Times New Roman"/>
      <w:b/>
      <w:bCs/>
      <w:kern w:val="44"/>
      <w:sz w:val="24"/>
      <w:szCs w:val="44"/>
    </w:rPr>
  </w:style>
  <w:style w:type="character" w:customStyle="1" w:styleId="20">
    <w:name w:val="标题 2 字符"/>
    <w:basedOn w:val="a0"/>
    <w:link w:val="2"/>
    <w:uiPriority w:val="9"/>
    <w:semiHidden/>
    <w:rsid w:val="00BE6333"/>
    <w:rPr>
      <w:rFonts w:asciiTheme="majorHAnsi" w:eastAsia="宋体" w:hAnsiTheme="majorHAnsi" w:cstheme="majorBidi"/>
      <w:b/>
      <w:bCs/>
      <w:sz w:val="24"/>
      <w:szCs w:val="32"/>
    </w:rPr>
  </w:style>
  <w:style w:type="character" w:customStyle="1" w:styleId="30">
    <w:name w:val="标题 3 字符"/>
    <w:basedOn w:val="a0"/>
    <w:link w:val="3"/>
    <w:uiPriority w:val="9"/>
    <w:semiHidden/>
    <w:rsid w:val="00BE6333"/>
    <w:rPr>
      <w:rFonts w:ascii="Times New Roman" w:eastAsia="宋体" w:hAnsi="Times New Roman"/>
      <w:bCs/>
      <w:sz w:val="24"/>
      <w:szCs w:val="32"/>
    </w:rPr>
  </w:style>
  <w:style w:type="paragraph" w:styleId="a3">
    <w:name w:val="header"/>
    <w:basedOn w:val="a"/>
    <w:link w:val="a4"/>
    <w:uiPriority w:val="99"/>
    <w:unhideWhenUsed/>
    <w:rsid w:val="00AD243F"/>
    <w:pPr>
      <w:pBdr>
        <w:bottom w:val="single" w:sz="6" w:space="1" w:color="auto"/>
      </w:pBdr>
      <w:tabs>
        <w:tab w:val="center" w:pos="4153"/>
        <w:tab w:val="right" w:pos="8306"/>
      </w:tabs>
      <w:snapToGrid w:val="0"/>
      <w:jc w:val="center"/>
    </w:pPr>
    <w:rPr>
      <w:rFonts w:ascii="仿宋" w:eastAsia="仿宋" w:hAnsi="仿宋"/>
      <w:sz w:val="18"/>
      <w:szCs w:val="18"/>
    </w:rPr>
  </w:style>
  <w:style w:type="character" w:customStyle="1" w:styleId="a4">
    <w:name w:val="页眉 字符"/>
    <w:basedOn w:val="a0"/>
    <w:link w:val="a3"/>
    <w:uiPriority w:val="99"/>
    <w:rsid w:val="00AD243F"/>
    <w:rPr>
      <w:rFonts w:ascii="仿宋" w:eastAsia="仿宋" w:hAnsi="仿宋"/>
      <w:sz w:val="18"/>
      <w:szCs w:val="18"/>
    </w:rPr>
  </w:style>
  <w:style w:type="paragraph" w:styleId="a5">
    <w:name w:val="footer"/>
    <w:basedOn w:val="a"/>
    <w:link w:val="a6"/>
    <w:uiPriority w:val="99"/>
    <w:unhideWhenUsed/>
    <w:rsid w:val="00AD243F"/>
    <w:pPr>
      <w:tabs>
        <w:tab w:val="center" w:pos="4153"/>
        <w:tab w:val="right" w:pos="8306"/>
      </w:tabs>
      <w:snapToGrid w:val="0"/>
      <w:jc w:val="left"/>
    </w:pPr>
    <w:rPr>
      <w:rFonts w:ascii="仿宋" w:eastAsia="仿宋" w:hAnsi="仿宋"/>
      <w:sz w:val="18"/>
      <w:szCs w:val="18"/>
    </w:rPr>
  </w:style>
  <w:style w:type="character" w:customStyle="1" w:styleId="a6">
    <w:name w:val="页脚 字符"/>
    <w:basedOn w:val="a0"/>
    <w:link w:val="a5"/>
    <w:uiPriority w:val="99"/>
    <w:rsid w:val="00AD243F"/>
    <w:rPr>
      <w:rFonts w:ascii="仿宋" w:eastAsia="仿宋" w:hAnsi="仿宋"/>
      <w:sz w:val="18"/>
      <w:szCs w:val="18"/>
    </w:rPr>
  </w:style>
  <w:style w:type="paragraph" w:styleId="a7">
    <w:name w:val="Normal (Web)"/>
    <w:basedOn w:val="a"/>
    <w:uiPriority w:val="99"/>
    <w:unhideWhenUsed/>
    <w:rsid w:val="00AD243F"/>
    <w:pPr>
      <w:widowControl/>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文龙</dc:creator>
  <cp:keywords/>
  <dc:description/>
  <cp:lastModifiedBy>文龙</cp:lastModifiedBy>
  <cp:revision>4</cp:revision>
  <dcterms:created xsi:type="dcterms:W3CDTF">2021-12-13T07:28:00Z</dcterms:created>
  <dcterms:modified xsi:type="dcterms:W3CDTF">2021-12-14T01:54:00Z</dcterms:modified>
</cp:coreProperties>
</file>