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sz w:val="44"/>
          <w:szCs w:val="44"/>
        </w:rPr>
      </w:pPr>
      <w:r>
        <w:rPr>
          <w:rFonts w:hint="eastAsia" w:ascii="方正小标宋简体" w:eastAsia="方正小标宋简体"/>
          <w:b w:val="0"/>
          <w:sz w:val="44"/>
          <w:szCs w:val="44"/>
        </w:rPr>
        <w:t>国家税务总局淄博市张店区税务局2022年政府信息公开工作年度报告</w:t>
      </w:r>
    </w:p>
    <w:p>
      <w:pPr>
        <w:widowControl/>
        <w:shd w:val="clear" w:color="auto" w:fill="FFFFFF"/>
        <w:spacing w:before="187" w:line="598" w:lineRule="atLeast"/>
        <w:ind w:firstLine="480"/>
        <w:jc w:val="left"/>
        <w:rPr>
          <w:rFonts w:ascii="微软雅黑" w:hAnsi="微软雅黑" w:eastAsia="微软雅黑" w:cs="宋体"/>
          <w:color w:val="333333"/>
          <w:kern w:val="0"/>
          <w:sz w:val="30"/>
          <w:szCs w:val="30"/>
        </w:rPr>
      </w:pPr>
    </w:p>
    <w:p>
      <w:pPr>
        <w:pStyle w:val="5"/>
        <w:spacing w:before="0" w:beforeAutospacing="0" w:after="0" w:afterAutospacing="0" w:line="560" w:lineRule="exact"/>
        <w:ind w:firstLine="640" w:firstLineChars="200"/>
        <w:jc w:val="both"/>
        <w:rPr>
          <w:rFonts w:ascii="仿宋_GB2312" w:eastAsia="仿宋_GB2312"/>
          <w:sz w:val="32"/>
        </w:rPr>
      </w:pPr>
      <w:r>
        <w:rPr>
          <w:rFonts w:hint="eastAsia" w:ascii="仿宋_GB2312" w:eastAsia="仿宋_GB2312"/>
          <w:sz w:val="32"/>
        </w:rPr>
        <w:t>根据《中华人民共和国政府信息公开条例》第五十条之规定，制作本报告。报告全文包括总体情况、主动公开政府信息情况、收到和处理政府信息公开申请情况、政府信息公开行政复议和行政诉讼情况、存在的主要问题及改进措施、其他需要报告的事项等六部分内容。</w:t>
      </w:r>
    </w:p>
    <w:p>
      <w:pPr>
        <w:pStyle w:val="5"/>
        <w:spacing w:before="0" w:beforeAutospacing="0" w:after="0" w:afterAutospacing="0" w:line="560" w:lineRule="exact"/>
        <w:ind w:firstLine="643" w:firstLineChars="200"/>
        <w:rPr>
          <w:rStyle w:val="8"/>
          <w:rFonts w:ascii="黑体" w:hAnsi="黑体" w:eastAsia="黑体"/>
          <w:sz w:val="32"/>
          <w:szCs w:val="32"/>
        </w:rPr>
      </w:pPr>
      <w:r>
        <w:rPr>
          <w:rStyle w:val="8"/>
          <w:rFonts w:hint="eastAsia" w:ascii="黑体" w:hAnsi="黑体" w:eastAsia="黑体"/>
          <w:bCs w:val="0"/>
          <w:sz w:val="32"/>
          <w:szCs w:val="32"/>
        </w:rPr>
        <w:t>一、总体情况</w:t>
      </w:r>
    </w:p>
    <w:p>
      <w:pPr>
        <w:pStyle w:val="5"/>
        <w:spacing w:before="0" w:beforeAutospacing="0" w:after="0" w:afterAutospacing="0" w:line="560" w:lineRule="exact"/>
        <w:ind w:firstLine="640" w:firstLineChars="200"/>
        <w:jc w:val="both"/>
        <w:rPr>
          <w:rFonts w:ascii="仿宋_GB2312" w:eastAsia="仿宋_GB2312"/>
          <w:sz w:val="32"/>
        </w:rPr>
      </w:pPr>
      <w:r>
        <w:rPr>
          <w:rFonts w:hint="eastAsia" w:ascii="仿宋_GB2312" w:eastAsia="仿宋_GB2312"/>
          <w:sz w:val="32"/>
        </w:rPr>
        <w:t>2022年，国家税务总局淄博市张店区税务局（以下简称“张店区税务局”）在总局、省局、市局和张店区委区政府的正确领导下，严格落实《中华人民共和国政府信息公开条例》要求，围绕税收工作实际与社会关切，抓实抓细政府信息公开工作，不断规范政府信息公开内容，进一步提高了政府信息公开工作的效率和水平。</w:t>
      </w:r>
    </w:p>
    <w:p>
      <w:pPr>
        <w:pStyle w:val="5"/>
        <w:spacing w:before="0" w:beforeAutospacing="0" w:after="0" w:afterAutospacing="0" w:line="560" w:lineRule="exact"/>
        <w:ind w:firstLine="643" w:firstLineChars="200"/>
        <w:jc w:val="both"/>
        <w:rPr>
          <w:rFonts w:ascii="仿宋_GB2312" w:eastAsia="仿宋_GB2312"/>
          <w:sz w:val="32"/>
        </w:rPr>
      </w:pPr>
      <w:r>
        <w:rPr>
          <w:rFonts w:hint="eastAsia" w:ascii="仿宋_GB2312" w:eastAsia="仿宋_GB2312"/>
          <w:b/>
          <w:sz w:val="32"/>
        </w:rPr>
        <w:t>（一）主动公开情况。</w:t>
      </w:r>
      <w:r>
        <w:rPr>
          <w:rFonts w:hint="eastAsia" w:ascii="仿宋_GB2312" w:eastAsia="仿宋_GB2312"/>
          <w:sz w:val="32"/>
        </w:rPr>
        <w:t>张店区税务局坚持“以公开为常态，不公开为例外”的原则，围绕政府信息公开工作重点，结合工作实际，积极推进政府信息公开工作。2022年度通过外部门户网站主动公开信息39条。</w:t>
      </w:r>
    </w:p>
    <w:p>
      <w:pPr>
        <w:pStyle w:val="5"/>
        <w:spacing w:before="0" w:beforeAutospacing="0" w:after="0" w:afterAutospacing="0" w:line="560" w:lineRule="exact"/>
        <w:ind w:firstLine="643" w:firstLineChars="200"/>
        <w:jc w:val="both"/>
        <w:rPr>
          <w:rFonts w:ascii="仿宋_GB2312" w:eastAsia="仿宋_GB2312"/>
          <w:sz w:val="32"/>
        </w:rPr>
      </w:pPr>
      <w:r>
        <w:rPr>
          <w:rFonts w:hint="eastAsia" w:ascii="仿宋_GB2312" w:eastAsia="仿宋_GB2312"/>
          <w:b/>
          <w:sz w:val="32"/>
        </w:rPr>
        <w:t>（二）依申请公开情况。</w:t>
      </w:r>
      <w:r>
        <w:rPr>
          <w:rFonts w:hint="eastAsia" w:ascii="仿宋_GB2312" w:eastAsia="仿宋_GB2312"/>
          <w:sz w:val="32"/>
        </w:rPr>
        <w:t>按照《税务机关政府信息公开申请办理规范》要求，严格执行政府信息依申请公开标准，依法依规做好政府信息依申请公开工作，切实保障纳税人缴费人合法权益。2022年度收到政府信息依申请公开事项12件，结转至下年度办理，未发生行政复议和行政诉讼事项。</w:t>
      </w:r>
    </w:p>
    <w:p>
      <w:pPr>
        <w:pStyle w:val="5"/>
        <w:spacing w:before="0" w:beforeAutospacing="0" w:after="0" w:afterAutospacing="0" w:line="560" w:lineRule="exact"/>
        <w:ind w:firstLine="643" w:firstLineChars="200"/>
        <w:jc w:val="both"/>
        <w:rPr>
          <w:rFonts w:ascii="仿宋_GB2312" w:eastAsia="仿宋_GB2312"/>
          <w:sz w:val="32"/>
        </w:rPr>
      </w:pPr>
      <w:r>
        <w:rPr>
          <w:rFonts w:hint="eastAsia" w:ascii="仿宋_GB2312" w:eastAsia="仿宋_GB2312"/>
          <w:b/>
          <w:sz w:val="32"/>
        </w:rPr>
        <w:t>（三）政府信息管理情况。</w:t>
      </w:r>
      <w:r>
        <w:rPr>
          <w:rFonts w:hint="eastAsia" w:ascii="仿宋_GB2312" w:eastAsia="仿宋_GB2312"/>
          <w:sz w:val="32"/>
        </w:rPr>
        <w:t>张店区税务局坚持“先审查、后公开”的原则，进一步规范政府信息公开审查机制，由政府信息公开工作领导小组对全局政府信息公开进行统一领导，确定专人具体开展政府信息公开工作，确保政府信息公开工作规范、及时、准确、有效。</w:t>
      </w:r>
    </w:p>
    <w:p>
      <w:pPr>
        <w:pStyle w:val="5"/>
        <w:spacing w:before="0" w:beforeAutospacing="0" w:after="0" w:afterAutospacing="0" w:line="560" w:lineRule="exact"/>
        <w:ind w:firstLine="643" w:firstLineChars="200"/>
        <w:jc w:val="both"/>
        <w:rPr>
          <w:rFonts w:ascii="仿宋_GB2312" w:eastAsia="仿宋_GB2312"/>
          <w:sz w:val="32"/>
        </w:rPr>
      </w:pPr>
      <w:r>
        <w:rPr>
          <w:rFonts w:hint="eastAsia" w:ascii="仿宋_GB2312" w:eastAsia="仿宋_GB2312"/>
          <w:b/>
          <w:sz w:val="32"/>
        </w:rPr>
        <w:t>（四）政府信息公开平台建设情况。</w:t>
      </w:r>
      <w:r>
        <w:rPr>
          <w:rFonts w:hint="eastAsia" w:ascii="仿宋_GB2312" w:eastAsia="仿宋_GB2312"/>
          <w:sz w:val="32"/>
        </w:rPr>
        <w:t>张店区税务局通过“线上线下”公开渠道，依托淄博市税务局官网、张店区税务局办税服务大厅、信息公开热线等不断丰富政府信息公开的载体和内容，全面反映各项工作动态。</w:t>
      </w:r>
    </w:p>
    <w:p>
      <w:pPr>
        <w:pStyle w:val="5"/>
        <w:spacing w:before="0" w:beforeAutospacing="0" w:after="0" w:afterAutospacing="0" w:line="560" w:lineRule="exact"/>
        <w:ind w:firstLine="643" w:firstLineChars="200"/>
        <w:jc w:val="both"/>
        <w:rPr>
          <w:rFonts w:ascii="仿宋_GB2312" w:eastAsia="仿宋_GB2312"/>
          <w:sz w:val="32"/>
        </w:rPr>
      </w:pPr>
      <w:r>
        <w:rPr>
          <w:rFonts w:hint="eastAsia" w:ascii="仿宋_GB2312" w:eastAsia="仿宋_GB2312"/>
          <w:b/>
          <w:sz w:val="32"/>
        </w:rPr>
        <w:t>（五）监督保障情况。</w:t>
      </w:r>
      <w:r>
        <w:rPr>
          <w:rFonts w:hint="eastAsia" w:ascii="仿宋_GB2312" w:eastAsia="仿宋_GB2312"/>
          <w:sz w:val="32"/>
        </w:rPr>
        <w:t>将政府信息公开工作纳入绩效考核，细化考核指标，强化政府信息公开的过程监督和检查，发现问题立即整改，以绩效管理推动政府信息公开工作高效落实。</w:t>
      </w:r>
    </w:p>
    <w:p>
      <w:pPr>
        <w:pStyle w:val="5"/>
        <w:spacing w:before="0" w:beforeAutospacing="0" w:after="0" w:afterAutospacing="0" w:line="560" w:lineRule="exact"/>
        <w:ind w:firstLine="643" w:firstLineChars="200"/>
        <w:rPr>
          <w:rStyle w:val="8"/>
          <w:rFonts w:ascii="黑体" w:hAnsi="黑体" w:eastAsia="黑体"/>
          <w:sz w:val="32"/>
          <w:szCs w:val="32"/>
        </w:rPr>
      </w:pPr>
      <w:r>
        <w:rPr>
          <w:rStyle w:val="8"/>
          <w:rFonts w:hint="eastAsia" w:ascii="黑体" w:hAnsi="黑体" w:eastAsia="黑体"/>
          <w:bCs w:val="0"/>
          <w:sz w:val="32"/>
          <w:szCs w:val="32"/>
        </w:rPr>
        <w:t>二、主动公开政府信息情况</w:t>
      </w:r>
    </w:p>
    <w:tbl>
      <w:tblPr>
        <w:tblStyle w:val="6"/>
        <w:tblW w:w="8820" w:type="dxa"/>
        <w:jc w:val="center"/>
        <w:tblLayout w:type="autofit"/>
        <w:tblCellMar>
          <w:top w:w="0" w:type="dxa"/>
          <w:left w:w="0" w:type="dxa"/>
          <w:bottom w:w="0" w:type="dxa"/>
          <w:right w:w="0" w:type="dxa"/>
        </w:tblCellMar>
      </w:tblPr>
      <w:tblGrid>
        <w:gridCol w:w="2201"/>
        <w:gridCol w:w="2201"/>
        <w:gridCol w:w="2201"/>
        <w:gridCol w:w="2217"/>
      </w:tblGrid>
      <w:tr>
        <w:tblPrEx>
          <w:tblCellMar>
            <w:top w:w="0" w:type="dxa"/>
            <w:left w:w="0" w:type="dxa"/>
            <w:bottom w:w="0" w:type="dxa"/>
            <w:right w:w="0" w:type="dxa"/>
          </w:tblCellMar>
        </w:tblPrEx>
        <w:trPr>
          <w:trHeight w:val="430" w:hRule="atLeast"/>
          <w:jc w:val="center"/>
        </w:trPr>
        <w:tc>
          <w:tcPr>
            <w:tcW w:w="882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第二十条第（一）项</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信息内容</w:t>
            </w:r>
          </w:p>
        </w:tc>
        <w:tc>
          <w:tcPr>
            <w:tcW w:w="2205" w:type="dxa"/>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本年</w:t>
            </w:r>
            <w:r>
              <w:rPr>
                <w:rFonts w:hint="eastAsia" w:ascii="宋体" w:hAnsi="宋体" w:eastAsia="宋体" w:cs="宋体"/>
                <w:color w:val="333333"/>
                <w:kern w:val="0"/>
                <w:sz w:val="24"/>
                <w:szCs w:val="24"/>
              </w:rPr>
              <w:t>制发件数</w:t>
            </w:r>
          </w:p>
        </w:tc>
        <w:tc>
          <w:tcPr>
            <w:tcW w:w="2205" w:type="dxa"/>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本年废止件数</w:t>
            </w:r>
          </w:p>
        </w:tc>
        <w:tc>
          <w:tcPr>
            <w:tcW w:w="2220" w:type="dxa"/>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现行有效件</w:t>
            </w:r>
            <w:r>
              <w:rPr>
                <w:rFonts w:hint="eastAsia" w:ascii="宋体" w:hAnsi="宋体" w:eastAsia="宋体" w:cs="宋体"/>
                <w:color w:val="333333"/>
                <w:kern w:val="0"/>
                <w:sz w:val="24"/>
                <w:szCs w:val="24"/>
              </w:rPr>
              <w:t>数</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规章</w:t>
            </w:r>
          </w:p>
        </w:tc>
        <w:tc>
          <w:tcPr>
            <w:tcW w:w="2205"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000000"/>
                <w:kern w:val="0"/>
                <w:sz w:val="24"/>
                <w:szCs w:val="24"/>
              </w:rPr>
              <w:t>0</w:t>
            </w:r>
          </w:p>
        </w:tc>
        <w:tc>
          <w:tcPr>
            <w:tcW w:w="2205"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000000"/>
                <w:kern w:val="0"/>
                <w:sz w:val="24"/>
                <w:szCs w:val="24"/>
              </w:rPr>
              <w:t>0</w:t>
            </w:r>
          </w:p>
        </w:tc>
        <w:tc>
          <w:tcPr>
            <w:tcW w:w="222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行政规范性文件</w:t>
            </w:r>
          </w:p>
        </w:tc>
        <w:tc>
          <w:tcPr>
            <w:tcW w:w="2205"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000000"/>
                <w:kern w:val="0"/>
                <w:sz w:val="24"/>
                <w:szCs w:val="24"/>
              </w:rPr>
              <w:t>0</w:t>
            </w:r>
          </w:p>
        </w:tc>
        <w:tc>
          <w:tcPr>
            <w:tcW w:w="2205"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000000"/>
                <w:kern w:val="0"/>
                <w:sz w:val="24"/>
                <w:szCs w:val="24"/>
              </w:rPr>
              <w:t>0</w:t>
            </w:r>
          </w:p>
        </w:tc>
        <w:tc>
          <w:tcPr>
            <w:tcW w:w="222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trHeight w:val="430" w:hRule="atLeast"/>
          <w:jc w:val="center"/>
        </w:trPr>
        <w:tc>
          <w:tcPr>
            <w:tcW w:w="8820" w:type="dxa"/>
            <w:gridSpan w:val="4"/>
            <w:tcBorders>
              <w:top w:val="nil"/>
              <w:left w:val="single" w:color="auto" w:sz="8" w:space="0"/>
              <w:bottom w:val="single" w:color="auto" w:sz="8" w:space="0"/>
              <w:right w:val="single" w:color="auto" w:sz="8" w:space="0"/>
            </w:tcBorders>
            <w:shd w:val="clear" w:color="auto" w:fill="C6D9F1"/>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第二十条第（五）项</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信息内容</w:t>
            </w:r>
          </w:p>
        </w:tc>
        <w:tc>
          <w:tcPr>
            <w:tcW w:w="6615" w:type="dxa"/>
            <w:gridSpan w:val="3"/>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本年处理决定数量</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行政许可</w:t>
            </w:r>
          </w:p>
        </w:tc>
        <w:tc>
          <w:tcPr>
            <w:tcW w:w="6615" w:type="dxa"/>
            <w:gridSpan w:val="3"/>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12390</w:t>
            </w:r>
          </w:p>
        </w:tc>
      </w:tr>
      <w:tr>
        <w:tblPrEx>
          <w:tblCellMar>
            <w:top w:w="0" w:type="dxa"/>
            <w:left w:w="0" w:type="dxa"/>
            <w:bottom w:w="0" w:type="dxa"/>
            <w:right w:w="0" w:type="dxa"/>
          </w:tblCellMar>
        </w:tblPrEx>
        <w:trPr>
          <w:trHeight w:val="430" w:hRule="atLeast"/>
          <w:jc w:val="center"/>
        </w:trPr>
        <w:tc>
          <w:tcPr>
            <w:tcW w:w="8820" w:type="dxa"/>
            <w:gridSpan w:val="4"/>
            <w:tcBorders>
              <w:top w:val="nil"/>
              <w:left w:val="single" w:color="auto" w:sz="8" w:space="0"/>
              <w:bottom w:val="single" w:color="auto" w:sz="8" w:space="0"/>
              <w:right w:val="single" w:color="auto" w:sz="8" w:space="0"/>
            </w:tcBorders>
            <w:shd w:val="clear" w:color="auto" w:fill="C6D9F1"/>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第二十条第（六）项</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信息内容</w:t>
            </w:r>
          </w:p>
        </w:tc>
        <w:tc>
          <w:tcPr>
            <w:tcW w:w="6615" w:type="dxa"/>
            <w:gridSpan w:val="3"/>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本年处理决定数量</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行政处罚</w:t>
            </w:r>
          </w:p>
        </w:tc>
        <w:tc>
          <w:tcPr>
            <w:tcW w:w="6615" w:type="dxa"/>
            <w:gridSpan w:val="3"/>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1055</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行政强制</w:t>
            </w:r>
          </w:p>
        </w:tc>
        <w:tc>
          <w:tcPr>
            <w:tcW w:w="6615" w:type="dxa"/>
            <w:gridSpan w:val="3"/>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trHeight w:val="430" w:hRule="atLeast"/>
          <w:jc w:val="center"/>
        </w:trPr>
        <w:tc>
          <w:tcPr>
            <w:tcW w:w="8820" w:type="dxa"/>
            <w:gridSpan w:val="4"/>
            <w:tcBorders>
              <w:top w:val="nil"/>
              <w:left w:val="single" w:color="auto" w:sz="8" w:space="0"/>
              <w:bottom w:val="single" w:color="auto" w:sz="8" w:space="0"/>
              <w:right w:val="single" w:color="auto" w:sz="8" w:space="0"/>
            </w:tcBorders>
            <w:shd w:val="clear" w:color="auto" w:fill="C6D9F1"/>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第二十条第（八）项</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信息内容</w:t>
            </w:r>
          </w:p>
        </w:tc>
        <w:tc>
          <w:tcPr>
            <w:tcW w:w="6615" w:type="dxa"/>
            <w:gridSpan w:val="3"/>
            <w:tcBorders>
              <w:top w:val="nil"/>
              <w:left w:val="nil"/>
              <w:bottom w:val="single" w:color="auto" w:sz="8" w:space="0"/>
              <w:right w:val="single" w:color="000000"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本年收费金额（单位：万元）</w:t>
            </w:r>
          </w:p>
        </w:tc>
      </w:tr>
      <w:tr>
        <w:tblPrEx>
          <w:tblCellMar>
            <w:top w:w="0" w:type="dxa"/>
            <w:left w:w="0" w:type="dxa"/>
            <w:bottom w:w="0" w:type="dxa"/>
            <w:right w:w="0" w:type="dxa"/>
          </w:tblCellMar>
        </w:tblPrEx>
        <w:trPr>
          <w:trHeight w:val="430" w:hRule="atLeast"/>
          <w:jc w:val="center"/>
        </w:trPr>
        <w:tc>
          <w:tcPr>
            <w:tcW w:w="2205" w:type="dxa"/>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行政事业性收费</w:t>
            </w:r>
          </w:p>
        </w:tc>
        <w:tc>
          <w:tcPr>
            <w:tcW w:w="6615" w:type="dxa"/>
            <w:gridSpan w:val="3"/>
            <w:tcBorders>
              <w:top w:val="nil"/>
              <w:left w:val="nil"/>
              <w:bottom w:val="single" w:color="auto" w:sz="8" w:space="0"/>
              <w:right w:val="single" w:color="000000"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bl>
    <w:p>
      <w:pPr>
        <w:pStyle w:val="5"/>
        <w:spacing w:before="0" w:beforeAutospacing="0" w:after="0" w:afterAutospacing="0" w:line="560" w:lineRule="exact"/>
        <w:ind w:firstLine="643" w:firstLineChars="200"/>
        <w:rPr>
          <w:rStyle w:val="8"/>
          <w:rFonts w:ascii="黑体" w:hAnsi="黑体" w:eastAsia="黑体"/>
          <w:sz w:val="32"/>
          <w:szCs w:val="32"/>
        </w:rPr>
      </w:pPr>
      <w:r>
        <w:rPr>
          <w:rStyle w:val="8"/>
          <w:rFonts w:hint="eastAsia" w:ascii="黑体" w:hAnsi="黑体" w:eastAsia="黑体"/>
          <w:bCs w:val="0"/>
          <w:sz w:val="32"/>
          <w:szCs w:val="32"/>
        </w:rPr>
        <w:t>三、收到和处理政府信息公开申请情况</w:t>
      </w:r>
    </w:p>
    <w:tbl>
      <w:tblPr>
        <w:tblStyle w:val="6"/>
        <w:tblW w:w="8835" w:type="dxa"/>
        <w:jc w:val="center"/>
        <w:tblLayout w:type="autofit"/>
        <w:tblCellMar>
          <w:top w:w="0" w:type="dxa"/>
          <w:left w:w="0" w:type="dxa"/>
          <w:bottom w:w="0" w:type="dxa"/>
          <w:right w:w="0" w:type="dxa"/>
        </w:tblCellMar>
      </w:tblPr>
      <w:tblGrid>
        <w:gridCol w:w="689"/>
        <w:gridCol w:w="870"/>
        <w:gridCol w:w="2892"/>
        <w:gridCol w:w="626"/>
        <w:gridCol w:w="626"/>
        <w:gridCol w:w="626"/>
        <w:gridCol w:w="626"/>
        <w:gridCol w:w="626"/>
        <w:gridCol w:w="627"/>
        <w:gridCol w:w="627"/>
      </w:tblGrid>
      <w:tr>
        <w:tblPrEx>
          <w:tblCellMar>
            <w:top w:w="0" w:type="dxa"/>
            <w:left w:w="0" w:type="dxa"/>
            <w:bottom w:w="0" w:type="dxa"/>
            <w:right w:w="0" w:type="dxa"/>
          </w:tblCellMar>
        </w:tblPrEx>
        <w:trPr>
          <w:jc w:val="center"/>
        </w:trPr>
        <w:tc>
          <w:tcPr>
            <w:tcW w:w="447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楷体" w:hAnsi="楷体" w:eastAsia="楷体" w:cs="宋体"/>
                <w:color w:val="333333"/>
                <w:kern w:val="0"/>
                <w:sz w:val="24"/>
                <w:szCs w:val="24"/>
              </w:rPr>
              <w:t>（本列数据的勾稽关系为：第一项加第二项之和，等于第三项加第四项之和）</w:t>
            </w:r>
          </w:p>
        </w:tc>
        <w:tc>
          <w:tcPr>
            <w:tcW w:w="4365" w:type="dxa"/>
            <w:gridSpan w:val="7"/>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630" w:type="dxa"/>
            <w:vMerge w:val="restart"/>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自然人</w:t>
            </w:r>
          </w:p>
        </w:tc>
        <w:tc>
          <w:tcPr>
            <w:tcW w:w="3105" w:type="dxa"/>
            <w:gridSpan w:val="5"/>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法人或其他组织</w:t>
            </w:r>
          </w:p>
        </w:tc>
        <w:tc>
          <w:tcPr>
            <w:tcW w:w="630" w:type="dxa"/>
            <w:vMerge w:val="restart"/>
            <w:tcBorders>
              <w:top w:val="single" w:color="auto" w:sz="8" w:space="0"/>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商业</w:t>
            </w:r>
          </w:p>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企业</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科研</w:t>
            </w:r>
          </w:p>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机构</w:t>
            </w:r>
          </w:p>
        </w:tc>
        <w:tc>
          <w:tcPr>
            <w:tcW w:w="630" w:type="dxa"/>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社会公益组织</w:t>
            </w:r>
          </w:p>
        </w:tc>
        <w:tc>
          <w:tcPr>
            <w:tcW w:w="630" w:type="dxa"/>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法律服务机构</w:t>
            </w:r>
          </w:p>
        </w:tc>
        <w:tc>
          <w:tcPr>
            <w:tcW w:w="630" w:type="dxa"/>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其他</w:t>
            </w:r>
          </w:p>
        </w:tc>
        <w:tc>
          <w:tcPr>
            <w:tcW w:w="0" w:type="auto"/>
            <w:vMerge w:val="continue"/>
            <w:tcBorders>
              <w:top w:val="single" w:color="auto" w:sz="8" w:space="0"/>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r>
      <w:tr>
        <w:tblPrEx>
          <w:tblCellMar>
            <w:top w:w="0" w:type="dxa"/>
            <w:left w:w="0" w:type="dxa"/>
            <w:bottom w:w="0" w:type="dxa"/>
            <w:right w:w="0" w:type="dxa"/>
          </w:tblCellMar>
        </w:tblPrEx>
        <w:trPr>
          <w:jc w:val="center"/>
        </w:trPr>
        <w:tc>
          <w:tcPr>
            <w:tcW w:w="4470" w:type="dxa"/>
            <w:gridSpan w:val="3"/>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一、本年新收政府信息公开申请数量</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12</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12</w:t>
            </w:r>
          </w:p>
        </w:tc>
      </w:tr>
      <w:tr>
        <w:tblPrEx>
          <w:tblCellMar>
            <w:top w:w="0" w:type="dxa"/>
            <w:left w:w="0" w:type="dxa"/>
            <w:bottom w:w="0" w:type="dxa"/>
            <w:right w:w="0" w:type="dxa"/>
          </w:tblCellMar>
        </w:tblPrEx>
        <w:trPr>
          <w:jc w:val="center"/>
        </w:trPr>
        <w:tc>
          <w:tcPr>
            <w:tcW w:w="4470" w:type="dxa"/>
            <w:gridSpan w:val="3"/>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二、上年结转政府信息公开申请数量</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690" w:type="dxa"/>
            <w:vMerge w:val="restart"/>
            <w:tcBorders>
              <w:top w:val="nil"/>
              <w:left w:val="single" w:color="auto" w:sz="8" w:space="0"/>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三、本年度办理结果</w:t>
            </w:r>
          </w:p>
        </w:tc>
        <w:tc>
          <w:tcPr>
            <w:tcW w:w="3780" w:type="dxa"/>
            <w:gridSpan w:val="2"/>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（一）予以公开</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3780" w:type="dxa"/>
            <w:gridSpan w:val="2"/>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（二）部分公开</w:t>
            </w:r>
            <w:r>
              <w:rPr>
                <w:rFonts w:hint="eastAsia" w:ascii="楷体" w:hAnsi="楷体" w:eastAsia="楷体" w:cs="宋体"/>
                <w:color w:val="333333"/>
                <w:kern w:val="0"/>
                <w:sz w:val="24"/>
                <w:szCs w:val="24"/>
              </w:rPr>
              <w:t>（区分处理的，只计这一情形，不计其他情形）</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855" w:type="dxa"/>
            <w:vMerge w:val="restart"/>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（三）不予公开</w:t>
            </w: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1.属于国家秘密</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single" w:color="auto" w:sz="8" w:space="0"/>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2.其他法律行政法规禁止公开</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3.危及“三安全一稳定”</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4.保护第三方合法权益</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5.属于三类内部事务信息</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6.属于四类过程性信息</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7.属于行政执法案卷</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8.属于行政查询事项</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855" w:type="dxa"/>
            <w:vMerge w:val="restart"/>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（四）无法提供</w:t>
            </w: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1.本机关不掌握相关政府信息</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2.没有现成信息需要另行制作</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3.补正后申请内容仍不明确</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855" w:type="dxa"/>
            <w:vMerge w:val="restart"/>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（五）不予处理</w:t>
            </w: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1.信访举报投诉类申请</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2.重复申请</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3.要求提供公开出版物</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4.无正当理由大量反复申请</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trHeight w:val="97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5.要求行政机关确认或重新出具已获取信息</w:t>
            </w:r>
          </w:p>
        </w:tc>
        <w:tc>
          <w:tcPr>
            <w:tcW w:w="630" w:type="dxa"/>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855" w:type="dxa"/>
            <w:vMerge w:val="restart"/>
            <w:tcBorders>
              <w:top w:val="nil"/>
              <w:left w:val="nil"/>
              <w:bottom w:val="outset"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（六）其他处理</w:t>
            </w: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1.申请人无正当理由逾期不补正、行政机关不再处理其政府信息公开申请</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2.申请人逾期未按收费通知要求缴纳费用、行政机关不再处理其政府信息公开申请</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2925"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3.其他</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3780" w:type="dxa"/>
            <w:gridSpan w:val="2"/>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（七）总计</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r>
      <w:tr>
        <w:tblPrEx>
          <w:tblCellMar>
            <w:top w:w="0" w:type="dxa"/>
            <w:left w:w="0" w:type="dxa"/>
            <w:bottom w:w="0" w:type="dxa"/>
            <w:right w:w="0" w:type="dxa"/>
          </w:tblCellMar>
        </w:tblPrEx>
        <w:trPr>
          <w:jc w:val="center"/>
        </w:trPr>
        <w:tc>
          <w:tcPr>
            <w:tcW w:w="4470" w:type="dxa"/>
            <w:gridSpan w:val="3"/>
            <w:tcBorders>
              <w:top w:val="nil"/>
              <w:left w:val="single" w:color="auto" w:sz="8" w:space="0"/>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四、结转下年度继续办理</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12</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630" w:type="dxa"/>
            <w:tcBorders>
              <w:top w:val="nil"/>
              <w:left w:val="nil"/>
              <w:bottom w:val="single" w:color="auto" w:sz="8" w:space="0"/>
              <w:right w:val="single" w:color="auto" w:sz="8" w:space="0"/>
            </w:tcBorders>
            <w:shd w:val="clear" w:color="auto" w:fill="auto"/>
            <w:tcMar>
              <w:top w:w="0" w:type="dxa"/>
              <w:left w:w="75" w:type="dxa"/>
              <w:bottom w:w="0" w:type="dxa"/>
              <w:right w:w="75"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12</w:t>
            </w:r>
          </w:p>
        </w:tc>
      </w:tr>
    </w:tbl>
    <w:p>
      <w:pPr>
        <w:pStyle w:val="5"/>
        <w:spacing w:before="0" w:beforeAutospacing="0" w:after="0" w:afterAutospacing="0" w:line="560" w:lineRule="exact"/>
        <w:ind w:firstLine="643" w:firstLineChars="200"/>
        <w:rPr>
          <w:rStyle w:val="8"/>
          <w:rFonts w:ascii="黑体" w:hAnsi="黑体" w:eastAsia="黑体"/>
          <w:sz w:val="32"/>
          <w:szCs w:val="32"/>
        </w:rPr>
      </w:pPr>
      <w:bookmarkStart w:id="0" w:name="_GoBack"/>
      <w:bookmarkEnd w:id="0"/>
      <w:r>
        <w:rPr>
          <w:rStyle w:val="8"/>
          <w:rFonts w:hint="eastAsia" w:ascii="黑体" w:hAnsi="黑体" w:eastAsia="黑体"/>
          <w:bCs w:val="0"/>
          <w:sz w:val="32"/>
          <w:szCs w:val="32"/>
        </w:rPr>
        <w:t>四、政府信息公开行政复议、行政诉讼情况 </w:t>
      </w:r>
    </w:p>
    <w:tbl>
      <w:tblPr>
        <w:tblStyle w:val="6"/>
        <w:tblW w:w="8835" w:type="dxa"/>
        <w:jc w:val="center"/>
        <w:tblLayout w:type="autofit"/>
        <w:tblCellMar>
          <w:top w:w="0" w:type="dxa"/>
          <w:left w:w="0" w:type="dxa"/>
          <w:bottom w:w="0" w:type="dxa"/>
          <w:right w:w="0" w:type="dxa"/>
        </w:tblCellMar>
      </w:tblPr>
      <w:tblGrid>
        <w:gridCol w:w="589"/>
        <w:gridCol w:w="589"/>
        <w:gridCol w:w="589"/>
        <w:gridCol w:w="589"/>
        <w:gridCol w:w="589"/>
        <w:gridCol w:w="589"/>
        <w:gridCol w:w="589"/>
        <w:gridCol w:w="589"/>
        <w:gridCol w:w="589"/>
        <w:gridCol w:w="589"/>
        <w:gridCol w:w="589"/>
        <w:gridCol w:w="589"/>
        <w:gridCol w:w="589"/>
        <w:gridCol w:w="589"/>
        <w:gridCol w:w="589"/>
      </w:tblGrid>
      <w:tr>
        <w:trPr>
          <w:jc w:val="center"/>
        </w:trPr>
        <w:tc>
          <w:tcPr>
            <w:tcW w:w="29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行政复议</w:t>
            </w:r>
          </w:p>
        </w:tc>
        <w:tc>
          <w:tcPr>
            <w:tcW w:w="5835" w:type="dxa"/>
            <w:gridSpan w:val="10"/>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行政诉讼</w:t>
            </w:r>
          </w:p>
        </w:tc>
      </w:tr>
      <w:tr>
        <w:tblPrEx>
          <w:tblCellMar>
            <w:top w:w="0" w:type="dxa"/>
            <w:left w:w="0" w:type="dxa"/>
            <w:bottom w:w="0" w:type="dxa"/>
            <w:right w:w="0" w:type="dxa"/>
          </w:tblCellMar>
        </w:tblPrEx>
        <w:trPr>
          <w:jc w:val="center"/>
        </w:trPr>
        <w:tc>
          <w:tcPr>
            <w:tcW w:w="585" w:type="dxa"/>
            <w:vMerge w:val="restart"/>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结果维持</w:t>
            </w:r>
          </w:p>
        </w:tc>
        <w:tc>
          <w:tcPr>
            <w:tcW w:w="585" w:type="dxa"/>
            <w:vMerge w:val="restart"/>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结果</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纠正</w:t>
            </w:r>
          </w:p>
        </w:tc>
        <w:tc>
          <w:tcPr>
            <w:tcW w:w="585" w:type="dxa"/>
            <w:vMerge w:val="restart"/>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其他</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结果</w:t>
            </w:r>
          </w:p>
        </w:tc>
        <w:tc>
          <w:tcPr>
            <w:tcW w:w="585" w:type="dxa"/>
            <w:vMerge w:val="restart"/>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尚未</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审结</w:t>
            </w:r>
          </w:p>
        </w:tc>
        <w:tc>
          <w:tcPr>
            <w:tcW w:w="585" w:type="dxa"/>
            <w:vMerge w:val="restart"/>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总计</w:t>
            </w:r>
          </w:p>
        </w:tc>
        <w:tc>
          <w:tcPr>
            <w:tcW w:w="2910" w:type="dxa"/>
            <w:gridSpan w:val="5"/>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未经复议直接起诉</w:t>
            </w:r>
          </w:p>
        </w:tc>
        <w:tc>
          <w:tcPr>
            <w:tcW w:w="2910" w:type="dxa"/>
            <w:gridSpan w:val="5"/>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333333"/>
                <w:kern w:val="0"/>
                <w:sz w:val="30"/>
                <w:szCs w:val="30"/>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333333"/>
                <w:kern w:val="0"/>
                <w:sz w:val="30"/>
                <w:szCs w:val="30"/>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333333"/>
                <w:kern w:val="0"/>
                <w:sz w:val="30"/>
                <w:szCs w:val="30"/>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333333"/>
                <w:kern w:val="0"/>
                <w:sz w:val="26"/>
                <w:szCs w:val="26"/>
              </w:rPr>
            </w:pP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结果</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维持</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结果</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纠正</w:t>
            </w:r>
          </w:p>
        </w:tc>
        <w:tc>
          <w:tcPr>
            <w:tcW w:w="585"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其他</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结果</w:t>
            </w:r>
          </w:p>
        </w:tc>
        <w:tc>
          <w:tcPr>
            <w:tcW w:w="585"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尚未</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审结</w:t>
            </w:r>
          </w:p>
        </w:tc>
        <w:tc>
          <w:tcPr>
            <w:tcW w:w="585"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总计</w:t>
            </w:r>
          </w:p>
        </w:tc>
        <w:tc>
          <w:tcPr>
            <w:tcW w:w="585"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结果</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维持</w:t>
            </w:r>
          </w:p>
        </w:tc>
        <w:tc>
          <w:tcPr>
            <w:tcW w:w="585"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结果</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纠正</w:t>
            </w:r>
          </w:p>
        </w:tc>
        <w:tc>
          <w:tcPr>
            <w:tcW w:w="585"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其他</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000000"/>
                <w:kern w:val="0"/>
                <w:sz w:val="24"/>
                <w:szCs w:val="24"/>
              </w:rPr>
              <w:t>结果</w:t>
            </w:r>
          </w:p>
        </w:tc>
        <w:tc>
          <w:tcPr>
            <w:tcW w:w="585"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尚未</w:t>
            </w:r>
          </w:p>
          <w:p>
            <w:pPr>
              <w:widowControl/>
              <w:spacing w:line="598" w:lineRule="atLeast"/>
              <w:jc w:val="left"/>
              <w:rPr>
                <w:rFonts w:ascii="微软雅黑" w:hAnsi="微软雅黑" w:eastAsia="微软雅黑" w:cs="宋体"/>
                <w:color w:val="333333"/>
                <w:kern w:val="0"/>
                <w:sz w:val="30"/>
                <w:szCs w:val="30"/>
              </w:rPr>
            </w:pPr>
            <w:r>
              <w:rPr>
                <w:rFonts w:hint="eastAsia" w:ascii="宋体" w:hAnsi="宋体" w:eastAsia="宋体" w:cs="宋体"/>
                <w:color w:val="333333"/>
                <w:kern w:val="0"/>
                <w:sz w:val="24"/>
                <w:szCs w:val="24"/>
              </w:rPr>
              <w:t>审结</w:t>
            </w:r>
          </w:p>
        </w:tc>
        <w:tc>
          <w:tcPr>
            <w:tcW w:w="585" w:type="dxa"/>
            <w:tcBorders>
              <w:top w:val="single" w:color="auto" w:sz="8" w:space="0"/>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000000"/>
                <w:kern w:val="0"/>
                <w:sz w:val="24"/>
                <w:szCs w:val="24"/>
              </w:rPr>
              <w:t>总计</w:t>
            </w:r>
          </w:p>
        </w:tc>
      </w:tr>
      <w:tr>
        <w:trPr>
          <w:trHeight w:val="842" w:hRule="atLeast"/>
          <w:jc w:val="center"/>
        </w:trPr>
        <w:tc>
          <w:tcPr>
            <w:tcW w:w="585" w:type="dxa"/>
            <w:tcBorders>
              <w:top w:val="nil"/>
              <w:left w:val="single" w:color="auto" w:sz="8" w:space="0"/>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ascii="Calibri" w:hAnsi="Calibri" w:eastAsia="微软雅黑" w:cs="Calibri"/>
                <w:color w:val="333333"/>
                <w:kern w:val="0"/>
                <w:sz w:val="24"/>
                <w:szCs w:val="24"/>
              </w:rPr>
              <w:t>0</w:t>
            </w:r>
          </w:p>
        </w:tc>
        <w:tc>
          <w:tcPr>
            <w:tcW w:w="585" w:type="dxa"/>
            <w:tcBorders>
              <w:top w:val="nil"/>
              <w:left w:val="nil"/>
              <w:bottom w:val="single" w:color="auto" w:sz="8" w:space="0"/>
              <w:right w:val="single" w:color="auto" w:sz="8" w:space="0"/>
            </w:tcBorders>
            <w:shd w:val="clear" w:color="auto" w:fill="auto"/>
            <w:tcMar>
              <w:top w:w="0" w:type="dxa"/>
              <w:left w:w="131" w:type="dxa"/>
              <w:bottom w:w="0" w:type="dxa"/>
              <w:right w:w="131" w:type="dxa"/>
            </w:tcMar>
            <w:vAlign w:val="center"/>
          </w:tcPr>
          <w:p>
            <w:pPr>
              <w:widowControl/>
              <w:spacing w:beforeAutospacing="1" w:afterAutospacing="1" w:line="524"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30"/>
                <w:szCs w:val="30"/>
              </w:rPr>
              <w:t>0</w:t>
            </w:r>
          </w:p>
        </w:tc>
      </w:tr>
    </w:tbl>
    <w:p>
      <w:pPr>
        <w:pStyle w:val="5"/>
        <w:spacing w:before="0" w:beforeAutospacing="0" w:after="0" w:afterAutospacing="0" w:line="560" w:lineRule="exact"/>
        <w:ind w:firstLine="643" w:firstLineChars="200"/>
        <w:rPr>
          <w:rStyle w:val="8"/>
          <w:rFonts w:ascii="黑体" w:hAnsi="黑体" w:eastAsia="黑体"/>
          <w:sz w:val="32"/>
          <w:szCs w:val="32"/>
        </w:rPr>
      </w:pPr>
      <w:r>
        <w:rPr>
          <w:rStyle w:val="8"/>
          <w:rFonts w:hint="eastAsia" w:ascii="黑体" w:hAnsi="黑体" w:eastAsia="黑体"/>
          <w:bCs w:val="0"/>
          <w:sz w:val="32"/>
          <w:szCs w:val="32"/>
        </w:rPr>
        <w:t>五、存在的主要问题及改进情况</w:t>
      </w:r>
    </w:p>
    <w:p>
      <w:pPr>
        <w:pStyle w:val="5"/>
        <w:spacing w:before="0" w:beforeAutospacing="0" w:after="0" w:afterAutospacing="0" w:line="560" w:lineRule="exact"/>
        <w:ind w:firstLine="640" w:firstLineChars="200"/>
        <w:jc w:val="both"/>
        <w:rPr>
          <w:rFonts w:ascii="仿宋_GB2312" w:eastAsia="仿宋_GB2312"/>
          <w:sz w:val="32"/>
        </w:rPr>
      </w:pPr>
      <w:r>
        <w:rPr>
          <w:rFonts w:hint="eastAsia" w:ascii="仿宋_GB2312" w:eastAsia="仿宋_GB2312"/>
          <w:sz w:val="32"/>
        </w:rPr>
        <w:t>针对存在的政府信息公开的深度和广度不够、政府信息公开队伍建设亟待加强等问题，张店区税务局采取了以下措施：一是拓宽政府信息公开渠道，丰富政府信息公开内容，切实提升纳税人缴费人获取政府信息的便利程度以及公开内容的针对性和实用性；二是加强培训学习，提升政府信息公开业务能力，重视政府信息公开人才储备，提高政府信息公开工作人员综合素质，更好地适应新形势对政府信息公开工作的新要求。</w:t>
      </w:r>
    </w:p>
    <w:p>
      <w:pPr>
        <w:pStyle w:val="5"/>
        <w:spacing w:before="0" w:beforeAutospacing="0" w:after="0" w:afterAutospacing="0" w:line="560" w:lineRule="exact"/>
        <w:ind w:firstLine="643" w:firstLineChars="200"/>
        <w:rPr>
          <w:rStyle w:val="8"/>
          <w:rFonts w:ascii="黑体" w:hAnsi="黑体" w:eastAsia="黑体"/>
          <w:sz w:val="32"/>
          <w:szCs w:val="32"/>
        </w:rPr>
      </w:pPr>
      <w:r>
        <w:rPr>
          <w:rStyle w:val="8"/>
          <w:rFonts w:hint="eastAsia" w:ascii="黑体" w:hAnsi="黑体" w:eastAsia="黑体"/>
          <w:bCs w:val="0"/>
          <w:sz w:val="32"/>
          <w:szCs w:val="32"/>
        </w:rPr>
        <w:t>六、其他需要报告的事项</w:t>
      </w:r>
    </w:p>
    <w:p>
      <w:pPr>
        <w:pStyle w:val="5"/>
        <w:spacing w:before="0" w:beforeAutospacing="0" w:after="0" w:afterAutospacing="0" w:line="560" w:lineRule="exact"/>
        <w:ind w:firstLine="640" w:firstLineChars="200"/>
        <w:jc w:val="both"/>
        <w:rPr>
          <w:rFonts w:ascii="仿宋_GB2312" w:eastAsia="仿宋_GB2312"/>
          <w:sz w:val="32"/>
        </w:rPr>
      </w:pPr>
      <w:r>
        <w:rPr>
          <w:rFonts w:hint="eastAsia" w:ascii="仿宋_GB2312" w:eastAsia="仿宋_GB2312"/>
          <w:sz w:val="32"/>
        </w:rPr>
        <w:t>本报告中数据的统计期限为2022年1月1日至2022年12月31日。</w:t>
      </w:r>
    </w:p>
    <w:p>
      <w:pPr>
        <w:pStyle w:val="5"/>
        <w:spacing w:before="0" w:beforeAutospacing="0" w:after="0" w:afterAutospacing="0" w:line="560" w:lineRule="exact"/>
        <w:ind w:firstLine="640" w:firstLineChars="200"/>
        <w:jc w:val="both"/>
        <w:rPr>
          <w:rFonts w:ascii="仿宋_GB2312" w:eastAsia="仿宋_GB2312"/>
          <w:sz w:val="32"/>
        </w:rPr>
      </w:pPr>
      <w:r>
        <w:rPr>
          <w:rFonts w:hint="eastAsia" w:ascii="仿宋_GB2312" w:eastAsia="仿宋_GB2312"/>
          <w:sz w:val="32"/>
        </w:rPr>
        <w:t>本单位不存在收取信息处理费情况。</w:t>
      </w:r>
    </w:p>
    <w:p>
      <w:pPr>
        <w:pStyle w:val="5"/>
        <w:spacing w:before="0" w:beforeAutospacing="0" w:after="0" w:afterAutospacing="0" w:line="560" w:lineRule="exact"/>
        <w:ind w:firstLine="640" w:firstLineChars="200"/>
        <w:jc w:val="both"/>
        <w:rPr>
          <w:rFonts w:ascii="仿宋_GB2312" w:eastAsia="仿宋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mZTM1YWQyNmI4NDUwYzY2YjNjZGM5MzVhMjkyYzYifQ=="/>
  </w:docVars>
  <w:rsids>
    <w:rsidRoot w:val="00354691"/>
    <w:rsid w:val="00354691"/>
    <w:rsid w:val="006261AD"/>
    <w:rsid w:val="00667949"/>
    <w:rsid w:val="007F3E57"/>
    <w:rsid w:val="00A84A5D"/>
    <w:rsid w:val="4AC34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1941</Words>
  <Characters>1993</Characters>
  <Lines>17</Lines>
  <Paragraphs>4</Paragraphs>
  <TotalTime>18</TotalTime>
  <ScaleCrop>false</ScaleCrop>
  <LinksUpToDate>false</LinksUpToDate>
  <CharactersWithSpaces>1994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2023-01-30T08:54:00Z</dcterms:created>
  <dc:creator>wwl</dc:creator>
  <cp:lastModifiedBy>Administrator</cp:lastModifiedBy>
  <dcterms:modified xsi:type="dcterms:W3CDTF">2023-01-30T09:44:20Z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7CFC62E6CFFF4B78BB8EC6854340FCF0</vt:lpwstr>
  </property>
</Properties>
</file>