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4F55B">
      <w:pPr>
        <w:widowControl/>
        <w:shd w:val="clear" w:color="auto" w:fill="FFFFFF"/>
        <w:ind w:firstLine="0" w:firstLineChars="0"/>
        <w:jc w:val="center"/>
        <w:rPr>
          <w:rFonts w:ascii="楷体_GB2312" w:hAnsi="黑体" w:eastAsia="楷体_GB2312" w:cs="黑体"/>
          <w:b/>
          <w:kern w:val="0"/>
          <w:sz w:val="44"/>
          <w:szCs w:val="44"/>
          <w:highlight w:val="none"/>
        </w:rPr>
      </w:pPr>
    </w:p>
    <w:p w14:paraId="5FAF848B">
      <w:pPr>
        <w:widowControl/>
        <w:shd w:val="clear" w:color="auto" w:fill="FFFFFF"/>
        <w:ind w:firstLine="0" w:firstLineChars="0"/>
        <w:jc w:val="center"/>
        <w:rPr>
          <w:rFonts w:ascii="楷体_GB2312" w:hAnsi="黑体" w:eastAsia="楷体_GB2312" w:cs="黑体"/>
          <w:b/>
          <w:kern w:val="0"/>
          <w:sz w:val="44"/>
          <w:szCs w:val="44"/>
          <w:highlight w:val="none"/>
        </w:rPr>
      </w:pPr>
      <w:bookmarkStart w:id="38" w:name="_GoBack"/>
      <w:bookmarkEnd w:id="38"/>
    </w:p>
    <w:p w14:paraId="6C6575AD">
      <w:pPr>
        <w:widowControl/>
        <w:shd w:val="clear" w:color="auto" w:fill="FFFFFF"/>
        <w:ind w:firstLine="0" w:firstLineChars="0"/>
        <w:jc w:val="center"/>
        <w:rPr>
          <w:rFonts w:ascii="楷体_GB2312" w:hAnsi="黑体" w:eastAsia="楷体_GB2312" w:cs="黑体"/>
          <w:b/>
          <w:kern w:val="0"/>
          <w:sz w:val="44"/>
          <w:szCs w:val="44"/>
          <w:highlight w:val="none"/>
        </w:rPr>
      </w:pPr>
      <w:r>
        <w:rPr>
          <w:rFonts w:hint="eastAsia" w:ascii="楷体_GB2312" w:hAnsi="黑体" w:eastAsia="楷体_GB2312" w:cs="黑体"/>
          <w:b/>
          <w:kern w:val="0"/>
          <w:sz w:val="44"/>
          <w:szCs w:val="44"/>
          <w:highlight w:val="none"/>
        </w:rPr>
        <w:t>淄博市张店区国土空间生态修复规划</w:t>
      </w:r>
    </w:p>
    <w:p w14:paraId="792B4253">
      <w:pPr>
        <w:widowControl/>
        <w:shd w:val="clear" w:color="auto" w:fill="FFFFFF"/>
        <w:ind w:firstLine="0" w:firstLineChars="0"/>
        <w:jc w:val="center"/>
        <w:rPr>
          <w:rFonts w:ascii="楷体_GB2312" w:hAnsi="黑体" w:eastAsia="楷体_GB2312"/>
          <w:b/>
          <w:sz w:val="44"/>
          <w:szCs w:val="44"/>
          <w:highlight w:val="none"/>
        </w:rPr>
      </w:pPr>
      <w:r>
        <w:rPr>
          <w:rFonts w:hint="eastAsia" w:ascii="楷体_GB2312" w:hAnsi="黑体" w:eastAsia="楷体_GB2312" w:cs="黑体"/>
          <w:b/>
          <w:kern w:val="0"/>
          <w:sz w:val="44"/>
          <w:szCs w:val="44"/>
          <w:highlight w:val="none"/>
        </w:rPr>
        <w:t>（2021—2035年）</w:t>
      </w:r>
    </w:p>
    <w:p w14:paraId="268F2074">
      <w:pPr>
        <w:pStyle w:val="16"/>
        <w:spacing w:after="0"/>
        <w:ind w:left="0" w:leftChars="0" w:firstLine="0" w:firstLineChars="0"/>
        <w:jc w:val="center"/>
        <w:rPr>
          <w:rFonts w:ascii="仿宋" w:hAnsi="仿宋" w:eastAsia="仿宋" w:cs="仿宋"/>
          <w:color w:val="FF0000"/>
          <w:kern w:val="0"/>
          <w:sz w:val="44"/>
          <w:szCs w:val="44"/>
          <w:highlight w:val="none"/>
        </w:rPr>
      </w:pPr>
    </w:p>
    <w:p w14:paraId="60D636A5">
      <w:pPr>
        <w:pStyle w:val="16"/>
        <w:spacing w:after="0"/>
        <w:ind w:left="0" w:leftChars="0" w:firstLine="0" w:firstLineChars="0"/>
        <w:jc w:val="center"/>
        <w:rPr>
          <w:rFonts w:ascii="仿宋" w:hAnsi="仿宋" w:eastAsia="仿宋" w:cs="仿宋"/>
          <w:color w:val="FF0000"/>
          <w:kern w:val="0"/>
          <w:sz w:val="44"/>
          <w:szCs w:val="44"/>
          <w:highlight w:val="none"/>
        </w:rPr>
      </w:pPr>
    </w:p>
    <w:p w14:paraId="36FB20F2">
      <w:pPr>
        <w:pStyle w:val="16"/>
        <w:spacing w:after="0"/>
        <w:ind w:left="0" w:leftChars="0" w:firstLine="0" w:firstLineChars="0"/>
        <w:jc w:val="center"/>
        <w:rPr>
          <w:rFonts w:ascii="仿宋" w:hAnsi="仿宋" w:eastAsia="仿宋" w:cs="仿宋"/>
          <w:color w:val="FF0000"/>
          <w:kern w:val="0"/>
          <w:sz w:val="44"/>
          <w:szCs w:val="44"/>
          <w:highlight w:val="none"/>
        </w:rPr>
      </w:pPr>
    </w:p>
    <w:p w14:paraId="1485D87E">
      <w:pPr>
        <w:widowControl/>
        <w:ind w:firstLine="0" w:firstLineChars="0"/>
        <w:jc w:val="center"/>
        <w:rPr>
          <w:rFonts w:ascii="仿宋" w:hAnsi="仿宋" w:eastAsia="仿宋" w:cs="仿宋"/>
          <w:color w:val="FF0000"/>
          <w:kern w:val="0"/>
          <w:sz w:val="44"/>
          <w:szCs w:val="44"/>
          <w:highlight w:val="none"/>
        </w:rPr>
      </w:pPr>
    </w:p>
    <w:p w14:paraId="2962A65E">
      <w:pPr>
        <w:pStyle w:val="16"/>
        <w:spacing w:after="0"/>
        <w:ind w:left="0" w:leftChars="0" w:firstLine="0" w:firstLineChars="0"/>
        <w:jc w:val="center"/>
        <w:rPr>
          <w:rFonts w:ascii="仿宋" w:hAnsi="仿宋" w:eastAsia="仿宋" w:cs="仿宋"/>
          <w:color w:val="FF0000"/>
          <w:sz w:val="44"/>
          <w:szCs w:val="44"/>
          <w:highlight w:val="none"/>
        </w:rPr>
      </w:pPr>
    </w:p>
    <w:p w14:paraId="0868327E">
      <w:pPr>
        <w:widowControl/>
        <w:ind w:firstLine="0" w:firstLineChars="0"/>
        <w:jc w:val="center"/>
        <w:rPr>
          <w:rFonts w:ascii="华文楷体" w:hAnsi="华文楷体" w:eastAsia="华文楷体" w:cs="华文楷体"/>
          <w:color w:val="FF0000"/>
          <w:kern w:val="0"/>
          <w:sz w:val="44"/>
          <w:szCs w:val="44"/>
          <w:highlight w:val="none"/>
        </w:rPr>
      </w:pPr>
    </w:p>
    <w:p w14:paraId="06DA252E">
      <w:pPr>
        <w:pStyle w:val="16"/>
        <w:spacing w:after="0"/>
        <w:ind w:left="0" w:leftChars="0" w:firstLine="0" w:firstLineChars="0"/>
        <w:jc w:val="center"/>
        <w:rPr>
          <w:sz w:val="44"/>
          <w:szCs w:val="44"/>
          <w:highlight w:val="none"/>
        </w:rPr>
      </w:pPr>
    </w:p>
    <w:p w14:paraId="55B1CCE4">
      <w:pPr>
        <w:pStyle w:val="16"/>
        <w:spacing w:after="0"/>
        <w:ind w:left="0" w:leftChars="0" w:firstLine="0" w:firstLineChars="0"/>
        <w:jc w:val="center"/>
        <w:rPr>
          <w:sz w:val="44"/>
          <w:szCs w:val="44"/>
          <w:highlight w:val="none"/>
        </w:rPr>
      </w:pPr>
    </w:p>
    <w:p w14:paraId="57EC9EE0">
      <w:pPr>
        <w:pStyle w:val="16"/>
        <w:spacing w:after="0"/>
        <w:ind w:left="0" w:leftChars="0" w:firstLine="0" w:firstLineChars="0"/>
        <w:jc w:val="center"/>
        <w:rPr>
          <w:sz w:val="44"/>
          <w:szCs w:val="44"/>
          <w:highlight w:val="none"/>
        </w:rPr>
      </w:pPr>
    </w:p>
    <w:p w14:paraId="25829EA0">
      <w:pPr>
        <w:widowControl/>
        <w:ind w:firstLine="0" w:firstLineChars="0"/>
        <w:jc w:val="center"/>
        <w:rPr>
          <w:rFonts w:ascii="楷体_GB2312" w:hAnsi="华文楷体" w:eastAsia="楷体_GB2312" w:cs="华文楷体"/>
          <w:kern w:val="0"/>
          <w:sz w:val="32"/>
          <w:szCs w:val="32"/>
          <w:highlight w:val="none"/>
        </w:rPr>
      </w:pPr>
      <w:r>
        <w:rPr>
          <w:rFonts w:hint="eastAsia" w:ascii="楷体_GB2312" w:hAnsi="华文楷体" w:eastAsia="楷体_GB2312" w:cs="华文楷体"/>
          <w:kern w:val="0"/>
          <w:sz w:val="32"/>
          <w:szCs w:val="32"/>
          <w:highlight w:val="none"/>
        </w:rPr>
        <w:t>淄博市张店区人民政府</w:t>
      </w:r>
    </w:p>
    <w:p w14:paraId="1EF180DB">
      <w:pPr>
        <w:widowControl/>
        <w:ind w:firstLine="0" w:firstLineChars="0"/>
        <w:jc w:val="center"/>
        <w:rPr>
          <w:rFonts w:hint="eastAsia" w:ascii="楷体_GB2312" w:hAnsi="华文楷体" w:eastAsia="楷体_GB2312" w:cs="华文楷体"/>
          <w:kern w:val="0"/>
          <w:sz w:val="32"/>
          <w:szCs w:val="32"/>
          <w:highlight w:val="none"/>
        </w:rPr>
        <w:sectPr>
          <w:headerReference r:id="rId5" w:type="default"/>
          <w:footerReference r:id="rId6" w:type="default"/>
          <w:pgSz w:w="11906" w:h="16838"/>
          <w:pgMar w:top="1134" w:right="1418" w:bottom="1134" w:left="1701" w:header="851" w:footer="992" w:gutter="0"/>
          <w:pgNumType w:fmt="numberInDash" w:start="1"/>
          <w:cols w:space="720" w:num="1"/>
          <w:docGrid w:type="lines" w:linePitch="312" w:charSpace="0"/>
        </w:sectPr>
      </w:pPr>
      <w:r>
        <w:rPr>
          <w:rFonts w:hint="eastAsia" w:ascii="楷体_GB2312" w:hAnsi="华文楷体" w:eastAsia="楷体_GB2312" w:cs="华文楷体"/>
          <w:kern w:val="0"/>
          <w:sz w:val="32"/>
          <w:szCs w:val="32"/>
          <w:highlight w:val="none"/>
        </w:rPr>
        <w:t>2023年9月</w:t>
      </w:r>
    </w:p>
    <w:p w14:paraId="3D716758">
      <w:pPr>
        <w:widowControl/>
        <w:ind w:firstLine="0" w:firstLineChars="0"/>
        <w:jc w:val="center"/>
        <w:rPr>
          <w:rFonts w:hint="eastAsia" w:ascii="楷体_GB2312" w:hAnsi="华文楷体" w:eastAsia="楷体_GB2312" w:cs="华文楷体"/>
          <w:kern w:val="0"/>
          <w:sz w:val="32"/>
          <w:szCs w:val="32"/>
          <w:highlight w:val="none"/>
          <w:lang w:eastAsia="zh-CN"/>
        </w:rPr>
        <w:sectPr>
          <w:pgSz w:w="11906" w:h="16838"/>
          <w:pgMar w:top="1134" w:right="1418" w:bottom="1134" w:left="1701" w:header="851" w:footer="992" w:gutter="0"/>
          <w:pgNumType w:fmt="numberInDash" w:start="1"/>
          <w:cols w:space="720" w:num="1"/>
          <w:docGrid w:type="lines" w:linePitch="312" w:charSpace="0"/>
        </w:sectPr>
      </w:pPr>
      <w:r>
        <w:rPr>
          <w:rFonts w:hint="eastAsia" w:ascii="楷体_GB2312" w:hAnsi="华文楷体" w:eastAsia="楷体_GB2312" w:cs="华文楷体"/>
          <w:kern w:val="0"/>
          <w:sz w:val="32"/>
          <w:szCs w:val="32"/>
          <w:highlight w:val="none"/>
          <w:lang w:eastAsia="zh-CN"/>
        </w:rPr>
        <w:drawing>
          <wp:inline distT="0" distB="0" distL="114300" distR="114300">
            <wp:extent cx="5578475" cy="7889875"/>
            <wp:effectExtent l="0" t="0" r="14605" b="4445"/>
            <wp:docPr id="5" name="图片 5" descr="张店国土空间生态修复规划意见(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张店国土空间生态修复规划意见(1)_01"/>
                    <pic:cNvPicPr>
                      <a:picLocks noChangeAspect="1"/>
                    </pic:cNvPicPr>
                  </pic:nvPicPr>
                  <pic:blipFill>
                    <a:blip r:embed="rId9"/>
                    <a:stretch>
                      <a:fillRect/>
                    </a:stretch>
                  </pic:blipFill>
                  <pic:spPr>
                    <a:xfrm>
                      <a:off x="0" y="0"/>
                      <a:ext cx="5578475" cy="7889875"/>
                    </a:xfrm>
                    <a:prstGeom prst="rect">
                      <a:avLst/>
                    </a:prstGeom>
                  </pic:spPr>
                </pic:pic>
              </a:graphicData>
            </a:graphic>
          </wp:inline>
        </w:drawing>
      </w:r>
      <w:r>
        <w:rPr>
          <w:rFonts w:hint="eastAsia" w:ascii="楷体_GB2312" w:hAnsi="华文楷体" w:eastAsia="楷体_GB2312" w:cs="华文楷体"/>
          <w:kern w:val="0"/>
          <w:sz w:val="32"/>
          <w:szCs w:val="32"/>
          <w:highlight w:val="none"/>
          <w:lang w:eastAsia="zh-CN"/>
        </w:rPr>
        <w:drawing>
          <wp:inline distT="0" distB="0" distL="114300" distR="114300">
            <wp:extent cx="5578475" cy="7889875"/>
            <wp:effectExtent l="0" t="0" r="14605" b="4445"/>
            <wp:docPr id="6" name="图片 6" descr="张店国土空间生态修复规划意见(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店国土空间生态修复规划意见(1)_02"/>
                    <pic:cNvPicPr>
                      <a:picLocks noChangeAspect="1"/>
                    </pic:cNvPicPr>
                  </pic:nvPicPr>
                  <pic:blipFill>
                    <a:blip r:embed="rId10"/>
                    <a:stretch>
                      <a:fillRect/>
                    </a:stretch>
                  </pic:blipFill>
                  <pic:spPr>
                    <a:xfrm>
                      <a:off x="0" y="0"/>
                      <a:ext cx="5578475" cy="7889875"/>
                    </a:xfrm>
                    <a:prstGeom prst="rect">
                      <a:avLst/>
                    </a:prstGeom>
                  </pic:spPr>
                </pic:pic>
              </a:graphicData>
            </a:graphic>
          </wp:inline>
        </w:drawing>
      </w:r>
      <w:r>
        <w:rPr>
          <w:rFonts w:hint="eastAsia" w:ascii="楷体_GB2312" w:hAnsi="华文楷体" w:eastAsia="楷体_GB2312" w:cs="华文楷体"/>
          <w:kern w:val="0"/>
          <w:sz w:val="32"/>
          <w:szCs w:val="32"/>
          <w:highlight w:val="none"/>
          <w:lang w:eastAsia="zh-CN"/>
        </w:rPr>
        <w:drawing>
          <wp:inline distT="0" distB="0" distL="114300" distR="114300">
            <wp:extent cx="5578475" cy="7889875"/>
            <wp:effectExtent l="0" t="0" r="14605" b="4445"/>
            <wp:docPr id="7" name="图片 7" descr="张店生态修复规划专家名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店生态修复规划专家名单_01"/>
                    <pic:cNvPicPr>
                      <a:picLocks noChangeAspect="1"/>
                    </pic:cNvPicPr>
                  </pic:nvPicPr>
                  <pic:blipFill>
                    <a:blip r:embed="rId11"/>
                    <a:stretch>
                      <a:fillRect/>
                    </a:stretch>
                  </pic:blipFill>
                  <pic:spPr>
                    <a:xfrm rot="10800000">
                      <a:off x="0" y="0"/>
                      <a:ext cx="5578475" cy="7889875"/>
                    </a:xfrm>
                    <a:prstGeom prst="rect">
                      <a:avLst/>
                    </a:prstGeom>
                  </pic:spPr>
                </pic:pic>
              </a:graphicData>
            </a:graphic>
          </wp:inline>
        </w:drawing>
      </w:r>
    </w:p>
    <w:p w14:paraId="4C7F33F8">
      <w:pPr>
        <w:ind w:firstLine="0" w:firstLineChars="0"/>
        <w:jc w:val="center"/>
        <w:rPr>
          <w:rFonts w:ascii="黑体" w:hAnsi="黑体" w:eastAsia="黑体" w:cs="黑体"/>
          <w:sz w:val="32"/>
          <w:szCs w:val="32"/>
          <w:highlight w:val="none"/>
        </w:rPr>
      </w:pPr>
      <w:r>
        <w:rPr>
          <w:rFonts w:hint="eastAsia" w:ascii="黑体" w:hAnsi="黑体" w:eastAsia="黑体" w:cs="黑体"/>
          <w:sz w:val="32"/>
          <w:szCs w:val="32"/>
          <w:highlight w:val="none"/>
        </w:rPr>
        <w:t>目  录</w:t>
      </w:r>
    </w:p>
    <w:p w14:paraId="2C6BBC50">
      <w:pPr>
        <w:pStyle w:val="13"/>
        <w:tabs>
          <w:tab w:val="right" w:leader="dot" w:pos="8787"/>
        </w:tabs>
      </w:pPr>
      <w:r>
        <w:rPr>
          <w:rFonts w:cs="Times New Roman"/>
          <w:b w:val="0"/>
          <w:bCs w:val="0"/>
          <w:caps w:val="0"/>
          <w:sz w:val="28"/>
          <w:szCs w:val="28"/>
          <w:highlight w:val="none"/>
        </w:rPr>
        <w:fldChar w:fldCharType="begin"/>
      </w:r>
      <w:r>
        <w:rPr>
          <w:rFonts w:cs="Times New Roman"/>
          <w:b w:val="0"/>
          <w:bCs w:val="0"/>
          <w:caps w:val="0"/>
          <w:sz w:val="28"/>
          <w:szCs w:val="28"/>
          <w:highlight w:val="none"/>
        </w:rPr>
        <w:instrText xml:space="preserve"> TOC \o "1-2" \h \z \u </w:instrText>
      </w:r>
      <w:r>
        <w:rPr>
          <w:rFonts w:cs="Times New Roman"/>
          <w:b w:val="0"/>
          <w:bCs w:val="0"/>
          <w:caps w:val="0"/>
          <w:sz w:val="28"/>
          <w:szCs w:val="28"/>
          <w:highlight w:val="none"/>
        </w:rPr>
        <w:fldChar w:fldCharType="separate"/>
      </w:r>
      <w:r>
        <w:rPr>
          <w:rFonts w:cs="Times New Roman"/>
          <w:bCs w:val="0"/>
          <w:caps w:val="0"/>
          <w:szCs w:val="28"/>
          <w:highlight w:val="none"/>
        </w:rPr>
        <w:fldChar w:fldCharType="begin"/>
      </w:r>
      <w:r>
        <w:rPr>
          <w:rFonts w:cs="Times New Roman"/>
          <w:bCs w:val="0"/>
          <w:caps w:val="0"/>
          <w:szCs w:val="28"/>
          <w:highlight w:val="none"/>
        </w:rPr>
        <w:instrText xml:space="preserve"> HYPERLINK \l _Toc5252 </w:instrText>
      </w:r>
      <w:r>
        <w:rPr>
          <w:rFonts w:cs="Times New Roman"/>
          <w:bCs w:val="0"/>
          <w:caps w:val="0"/>
          <w:szCs w:val="28"/>
          <w:highlight w:val="none"/>
        </w:rPr>
        <w:fldChar w:fldCharType="separate"/>
      </w:r>
      <w:r>
        <w:rPr>
          <w:highlight w:val="none"/>
        </w:rPr>
        <w:t>前</w:t>
      </w:r>
      <w:r>
        <w:rPr>
          <w:rFonts w:hint="eastAsia"/>
          <w:highlight w:val="none"/>
        </w:rPr>
        <w:t xml:space="preserve">  </w:t>
      </w:r>
      <w:r>
        <w:rPr>
          <w:highlight w:val="none"/>
        </w:rPr>
        <w:t>言</w:t>
      </w:r>
      <w:r>
        <w:tab/>
      </w:r>
      <w:r>
        <w:fldChar w:fldCharType="begin"/>
      </w:r>
      <w:r>
        <w:instrText xml:space="preserve"> PAGEREF _Toc5252 \h </w:instrText>
      </w:r>
      <w:r>
        <w:fldChar w:fldCharType="separate"/>
      </w:r>
      <w:r>
        <w:t>1</w:t>
      </w:r>
      <w:r>
        <w:fldChar w:fldCharType="end"/>
      </w:r>
      <w:r>
        <w:rPr>
          <w:rFonts w:cs="Times New Roman"/>
          <w:bCs w:val="0"/>
          <w:caps w:val="0"/>
          <w:szCs w:val="28"/>
          <w:highlight w:val="none"/>
        </w:rPr>
        <w:fldChar w:fldCharType="end"/>
      </w:r>
    </w:p>
    <w:p w14:paraId="75C99A1E">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_Toc20830 </w:instrText>
      </w:r>
      <w:r>
        <w:rPr>
          <w:rFonts w:cs="Times New Roman"/>
          <w:bCs w:val="0"/>
          <w:caps w:val="0"/>
          <w:szCs w:val="28"/>
          <w:highlight w:val="none"/>
        </w:rPr>
        <w:fldChar w:fldCharType="separate"/>
      </w:r>
      <w:r>
        <w:rPr>
          <w:highlight w:val="none"/>
        </w:rPr>
        <w:t>第一章</w:t>
      </w:r>
      <w:r>
        <w:rPr>
          <w:rFonts w:hint="eastAsia"/>
          <w:highlight w:val="none"/>
        </w:rPr>
        <w:t xml:space="preserve">   面临的</w:t>
      </w:r>
      <w:r>
        <w:rPr>
          <w:highlight w:val="none"/>
        </w:rPr>
        <w:t>形势</w:t>
      </w:r>
      <w:r>
        <w:tab/>
      </w:r>
      <w:r>
        <w:fldChar w:fldCharType="begin"/>
      </w:r>
      <w:r>
        <w:instrText xml:space="preserve"> PAGEREF _Toc20830 \h </w:instrText>
      </w:r>
      <w:r>
        <w:fldChar w:fldCharType="separate"/>
      </w:r>
      <w:r>
        <w:t>3</w:t>
      </w:r>
      <w:r>
        <w:fldChar w:fldCharType="end"/>
      </w:r>
      <w:r>
        <w:rPr>
          <w:rFonts w:cs="Times New Roman"/>
          <w:bCs w:val="0"/>
          <w:caps w:val="0"/>
          <w:szCs w:val="28"/>
          <w:highlight w:val="none"/>
        </w:rPr>
        <w:fldChar w:fldCharType="end"/>
      </w:r>
    </w:p>
    <w:p w14:paraId="7E691D68">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_Toc9693 </w:instrText>
      </w:r>
      <w:r>
        <w:rPr>
          <w:rFonts w:cs="Times New Roman"/>
          <w:bCs w:val="0"/>
          <w:caps w:val="0"/>
          <w:szCs w:val="28"/>
          <w:highlight w:val="none"/>
        </w:rPr>
        <w:fldChar w:fldCharType="separate"/>
      </w:r>
      <w:r>
        <w:rPr>
          <w:rFonts w:ascii="仿宋_GB2312" w:hAnsi="楷体" w:cs="楷体"/>
          <w:bCs/>
          <w:szCs w:val="32"/>
          <w:highlight w:val="none"/>
        </w:rPr>
        <w:t>第一节</w:t>
      </w:r>
      <w:r>
        <w:rPr>
          <w:rFonts w:hint="eastAsia" w:ascii="仿宋_GB2312" w:hAnsi="楷体" w:cs="楷体"/>
          <w:bCs/>
          <w:szCs w:val="32"/>
          <w:highlight w:val="none"/>
        </w:rPr>
        <w:t xml:space="preserve">   形势</w:t>
      </w:r>
      <w:r>
        <w:rPr>
          <w:rFonts w:ascii="仿宋_GB2312" w:hAnsi="楷体" w:cs="楷体"/>
          <w:bCs/>
          <w:szCs w:val="32"/>
          <w:highlight w:val="none"/>
        </w:rPr>
        <w:t>与要求</w:t>
      </w:r>
      <w:r>
        <w:tab/>
      </w:r>
      <w:r>
        <w:fldChar w:fldCharType="begin"/>
      </w:r>
      <w:r>
        <w:instrText xml:space="preserve"> PAGEREF _Toc9693 \h </w:instrText>
      </w:r>
      <w:r>
        <w:fldChar w:fldCharType="separate"/>
      </w:r>
      <w:r>
        <w:t>3</w:t>
      </w:r>
      <w:r>
        <w:fldChar w:fldCharType="end"/>
      </w:r>
      <w:r>
        <w:rPr>
          <w:rFonts w:cs="Times New Roman"/>
          <w:bCs w:val="0"/>
          <w:caps w:val="0"/>
          <w:szCs w:val="28"/>
          <w:highlight w:val="none"/>
        </w:rPr>
        <w:fldChar w:fldCharType="end"/>
      </w:r>
    </w:p>
    <w:p w14:paraId="57E2929B">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_Toc4780 </w:instrText>
      </w:r>
      <w:r>
        <w:rPr>
          <w:rFonts w:cs="Times New Roman"/>
          <w:bCs w:val="0"/>
          <w:caps w:val="0"/>
          <w:szCs w:val="28"/>
          <w:highlight w:val="none"/>
        </w:rPr>
        <w:fldChar w:fldCharType="separate"/>
      </w:r>
      <w:r>
        <w:rPr>
          <w:rFonts w:hint="eastAsia" w:ascii="仿宋_GB2312" w:hAnsi="楷体" w:cs="楷体"/>
          <w:bCs/>
          <w:szCs w:val="32"/>
          <w:highlight w:val="none"/>
        </w:rPr>
        <w:t>第二节   生态修复工作成效</w:t>
      </w:r>
      <w:r>
        <w:tab/>
      </w:r>
      <w:r>
        <w:fldChar w:fldCharType="begin"/>
      </w:r>
      <w:r>
        <w:instrText xml:space="preserve"> PAGEREF _Toc4780 \h </w:instrText>
      </w:r>
      <w:r>
        <w:fldChar w:fldCharType="separate"/>
      </w:r>
      <w:r>
        <w:t>5</w:t>
      </w:r>
      <w:r>
        <w:fldChar w:fldCharType="end"/>
      </w:r>
      <w:r>
        <w:rPr>
          <w:rFonts w:cs="Times New Roman"/>
          <w:bCs w:val="0"/>
          <w:caps w:val="0"/>
          <w:szCs w:val="28"/>
          <w:highlight w:val="none"/>
        </w:rPr>
        <w:fldChar w:fldCharType="end"/>
      </w:r>
    </w:p>
    <w:p w14:paraId="07D3B1D9">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_Toc11020 </w:instrText>
      </w:r>
      <w:r>
        <w:rPr>
          <w:rFonts w:cs="Times New Roman"/>
          <w:bCs w:val="0"/>
          <w:caps w:val="0"/>
          <w:szCs w:val="28"/>
          <w:highlight w:val="none"/>
        </w:rPr>
        <w:fldChar w:fldCharType="separate"/>
      </w:r>
      <w:r>
        <w:rPr>
          <w:rFonts w:hint="eastAsia" w:ascii="仿宋_GB2312" w:hAnsi="楷体" w:cs="楷体"/>
          <w:bCs/>
          <w:szCs w:val="32"/>
          <w:highlight w:val="none"/>
        </w:rPr>
        <w:t>第三节   机遇与挑战</w:t>
      </w:r>
      <w:r>
        <w:tab/>
      </w:r>
      <w:r>
        <w:fldChar w:fldCharType="begin"/>
      </w:r>
      <w:r>
        <w:instrText xml:space="preserve"> PAGEREF _Toc11020 \h </w:instrText>
      </w:r>
      <w:r>
        <w:fldChar w:fldCharType="separate"/>
      </w:r>
      <w:r>
        <w:t>7</w:t>
      </w:r>
      <w:r>
        <w:fldChar w:fldCharType="end"/>
      </w:r>
      <w:r>
        <w:rPr>
          <w:rFonts w:cs="Times New Roman"/>
          <w:bCs w:val="0"/>
          <w:caps w:val="0"/>
          <w:szCs w:val="28"/>
          <w:highlight w:val="none"/>
        </w:rPr>
        <w:fldChar w:fldCharType="end"/>
      </w:r>
    </w:p>
    <w:p w14:paraId="71BE0443">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_Toc11381 </w:instrText>
      </w:r>
      <w:r>
        <w:rPr>
          <w:rFonts w:cs="Times New Roman"/>
          <w:bCs w:val="0"/>
          <w:caps w:val="0"/>
          <w:szCs w:val="28"/>
          <w:highlight w:val="none"/>
        </w:rPr>
        <w:fldChar w:fldCharType="separate"/>
      </w:r>
      <w:r>
        <w:rPr>
          <w:highlight w:val="none"/>
        </w:rPr>
        <w:t>第二章</w:t>
      </w:r>
      <w:r>
        <w:rPr>
          <w:rFonts w:hint="eastAsia"/>
          <w:highlight w:val="none"/>
        </w:rPr>
        <w:t xml:space="preserve">   生态</w:t>
      </w:r>
      <w:r>
        <w:rPr>
          <w:highlight w:val="none"/>
        </w:rPr>
        <w:t>现状与主要问题</w:t>
      </w:r>
      <w:r>
        <w:tab/>
      </w:r>
      <w:r>
        <w:fldChar w:fldCharType="begin"/>
      </w:r>
      <w:r>
        <w:instrText xml:space="preserve"> PAGEREF _Toc11381 \h </w:instrText>
      </w:r>
      <w:r>
        <w:fldChar w:fldCharType="separate"/>
      </w:r>
      <w:r>
        <w:t>9</w:t>
      </w:r>
      <w:r>
        <w:fldChar w:fldCharType="end"/>
      </w:r>
      <w:r>
        <w:rPr>
          <w:rFonts w:cs="Times New Roman"/>
          <w:bCs w:val="0"/>
          <w:caps w:val="0"/>
          <w:szCs w:val="28"/>
          <w:highlight w:val="none"/>
        </w:rPr>
        <w:fldChar w:fldCharType="end"/>
      </w:r>
    </w:p>
    <w:p w14:paraId="1D31E8EB">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_Toc21455 </w:instrText>
      </w:r>
      <w:r>
        <w:rPr>
          <w:rFonts w:cs="Times New Roman"/>
          <w:bCs w:val="0"/>
          <w:caps w:val="0"/>
          <w:szCs w:val="28"/>
          <w:highlight w:val="none"/>
        </w:rPr>
        <w:fldChar w:fldCharType="separate"/>
      </w:r>
      <w:r>
        <w:rPr>
          <w:rFonts w:ascii="仿宋_GB2312" w:hAnsi="楷体" w:cs="楷体"/>
          <w:bCs/>
          <w:szCs w:val="32"/>
          <w:highlight w:val="none"/>
        </w:rPr>
        <w:t>第一节</w:t>
      </w:r>
      <w:r>
        <w:rPr>
          <w:rFonts w:hint="eastAsia" w:ascii="仿宋_GB2312" w:hAnsi="楷体" w:cs="楷体"/>
          <w:bCs/>
          <w:szCs w:val="32"/>
          <w:highlight w:val="none"/>
        </w:rPr>
        <w:t xml:space="preserve">   自然地理</w:t>
      </w:r>
      <w:r>
        <w:rPr>
          <w:rFonts w:ascii="仿宋_GB2312" w:hAnsi="楷体" w:cs="楷体"/>
          <w:bCs/>
          <w:szCs w:val="32"/>
          <w:highlight w:val="none"/>
        </w:rPr>
        <w:t>和生态现状</w:t>
      </w:r>
      <w:r>
        <w:tab/>
      </w:r>
      <w:r>
        <w:fldChar w:fldCharType="begin"/>
      </w:r>
      <w:r>
        <w:instrText xml:space="preserve"> PAGEREF _Toc21455 \h </w:instrText>
      </w:r>
      <w:r>
        <w:fldChar w:fldCharType="separate"/>
      </w:r>
      <w:r>
        <w:t>9</w:t>
      </w:r>
      <w:r>
        <w:fldChar w:fldCharType="end"/>
      </w:r>
      <w:r>
        <w:rPr>
          <w:rFonts w:cs="Times New Roman"/>
          <w:bCs w:val="0"/>
          <w:caps w:val="0"/>
          <w:szCs w:val="28"/>
          <w:highlight w:val="none"/>
        </w:rPr>
        <w:fldChar w:fldCharType="end"/>
      </w:r>
    </w:p>
    <w:p w14:paraId="35195720">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_Toc31089 </w:instrText>
      </w:r>
      <w:r>
        <w:rPr>
          <w:rFonts w:cs="Times New Roman"/>
          <w:bCs w:val="0"/>
          <w:caps w:val="0"/>
          <w:szCs w:val="28"/>
          <w:highlight w:val="none"/>
        </w:rPr>
        <w:fldChar w:fldCharType="separate"/>
      </w:r>
      <w:r>
        <w:rPr>
          <w:rFonts w:ascii="仿宋_GB2312" w:hAnsi="楷体" w:cs="楷体"/>
          <w:bCs/>
          <w:szCs w:val="32"/>
          <w:highlight w:val="none"/>
        </w:rPr>
        <w:t>第二节</w:t>
      </w:r>
      <w:r>
        <w:rPr>
          <w:rFonts w:hint="eastAsia" w:ascii="仿宋_GB2312" w:hAnsi="楷体" w:cs="楷体"/>
          <w:bCs/>
          <w:szCs w:val="32"/>
          <w:highlight w:val="none"/>
        </w:rPr>
        <w:t xml:space="preserve">   存在</w:t>
      </w:r>
      <w:r>
        <w:rPr>
          <w:rFonts w:ascii="仿宋_GB2312" w:hAnsi="楷体" w:cs="楷体"/>
          <w:bCs/>
          <w:szCs w:val="32"/>
          <w:highlight w:val="none"/>
        </w:rPr>
        <w:t>的主要问题和风险</w:t>
      </w:r>
      <w:r>
        <w:tab/>
      </w:r>
      <w:r>
        <w:fldChar w:fldCharType="begin"/>
      </w:r>
      <w:r>
        <w:instrText xml:space="preserve"> PAGEREF _Toc31089 \h </w:instrText>
      </w:r>
      <w:r>
        <w:fldChar w:fldCharType="separate"/>
      </w:r>
      <w:r>
        <w:t>16</w:t>
      </w:r>
      <w:r>
        <w:fldChar w:fldCharType="end"/>
      </w:r>
      <w:r>
        <w:rPr>
          <w:rFonts w:cs="Times New Roman"/>
          <w:bCs w:val="0"/>
          <w:caps w:val="0"/>
          <w:szCs w:val="28"/>
          <w:highlight w:val="none"/>
        </w:rPr>
        <w:fldChar w:fldCharType="end"/>
      </w:r>
    </w:p>
    <w:p w14:paraId="278FF77A">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_Toc6695 </w:instrText>
      </w:r>
      <w:r>
        <w:rPr>
          <w:rFonts w:cs="Times New Roman"/>
          <w:bCs w:val="0"/>
          <w:caps w:val="0"/>
          <w:szCs w:val="28"/>
          <w:highlight w:val="none"/>
        </w:rPr>
        <w:fldChar w:fldCharType="separate"/>
      </w:r>
      <w:r>
        <w:rPr>
          <w:highlight w:val="none"/>
        </w:rPr>
        <w:t>第三章</w:t>
      </w:r>
      <w:r>
        <w:rPr>
          <w:rFonts w:hint="eastAsia"/>
          <w:highlight w:val="none"/>
        </w:rPr>
        <w:t xml:space="preserve">   总体</w:t>
      </w:r>
      <w:r>
        <w:rPr>
          <w:highlight w:val="none"/>
        </w:rPr>
        <w:t>要求与规划目标</w:t>
      </w:r>
      <w:r>
        <w:tab/>
      </w:r>
      <w:r>
        <w:fldChar w:fldCharType="begin"/>
      </w:r>
      <w:r>
        <w:instrText xml:space="preserve"> PAGEREF _Toc6695 \h </w:instrText>
      </w:r>
      <w:r>
        <w:fldChar w:fldCharType="separate"/>
      </w:r>
      <w:r>
        <w:t>20</w:t>
      </w:r>
      <w:r>
        <w:fldChar w:fldCharType="end"/>
      </w:r>
      <w:r>
        <w:rPr>
          <w:rFonts w:cs="Times New Roman"/>
          <w:bCs w:val="0"/>
          <w:caps w:val="0"/>
          <w:szCs w:val="28"/>
          <w:highlight w:val="none"/>
        </w:rPr>
        <w:fldChar w:fldCharType="end"/>
      </w:r>
    </w:p>
    <w:p w14:paraId="6054DFBB">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_Toc5410 </w:instrText>
      </w:r>
      <w:r>
        <w:rPr>
          <w:rFonts w:cs="Times New Roman"/>
          <w:bCs w:val="0"/>
          <w:caps w:val="0"/>
          <w:szCs w:val="28"/>
          <w:highlight w:val="none"/>
        </w:rPr>
        <w:fldChar w:fldCharType="separate"/>
      </w:r>
      <w:r>
        <w:rPr>
          <w:rFonts w:ascii="仿宋_GB2312" w:hAnsi="楷体" w:cs="楷体"/>
          <w:bCs/>
          <w:szCs w:val="32"/>
          <w:highlight w:val="none"/>
        </w:rPr>
        <w:t>第一节</w:t>
      </w:r>
      <w:r>
        <w:rPr>
          <w:rFonts w:hint="eastAsia" w:ascii="仿宋_GB2312" w:hAnsi="楷体" w:cs="楷体"/>
          <w:bCs/>
          <w:szCs w:val="32"/>
          <w:highlight w:val="none"/>
        </w:rPr>
        <w:t xml:space="preserve">   指导</w:t>
      </w:r>
      <w:r>
        <w:rPr>
          <w:rFonts w:ascii="仿宋_GB2312" w:hAnsi="楷体" w:cs="楷体"/>
          <w:bCs/>
          <w:szCs w:val="32"/>
          <w:highlight w:val="none"/>
        </w:rPr>
        <w:t>思想</w:t>
      </w:r>
      <w:r>
        <w:tab/>
      </w:r>
      <w:r>
        <w:fldChar w:fldCharType="begin"/>
      </w:r>
      <w:r>
        <w:instrText xml:space="preserve"> PAGEREF _Toc5410 \h </w:instrText>
      </w:r>
      <w:r>
        <w:fldChar w:fldCharType="separate"/>
      </w:r>
      <w:r>
        <w:t>20</w:t>
      </w:r>
      <w:r>
        <w:fldChar w:fldCharType="end"/>
      </w:r>
      <w:r>
        <w:rPr>
          <w:rFonts w:cs="Times New Roman"/>
          <w:bCs w:val="0"/>
          <w:caps w:val="0"/>
          <w:szCs w:val="28"/>
          <w:highlight w:val="none"/>
        </w:rPr>
        <w:fldChar w:fldCharType="end"/>
      </w:r>
    </w:p>
    <w:p w14:paraId="43459B61">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_Toc5900 </w:instrText>
      </w:r>
      <w:r>
        <w:rPr>
          <w:rFonts w:cs="Times New Roman"/>
          <w:bCs w:val="0"/>
          <w:caps w:val="0"/>
          <w:szCs w:val="28"/>
          <w:highlight w:val="none"/>
        </w:rPr>
        <w:fldChar w:fldCharType="separate"/>
      </w:r>
      <w:r>
        <w:rPr>
          <w:rFonts w:ascii="仿宋_GB2312" w:hAnsi="楷体" w:cs="楷体"/>
          <w:bCs/>
          <w:szCs w:val="32"/>
          <w:highlight w:val="none"/>
        </w:rPr>
        <w:t>第二节</w:t>
      </w:r>
      <w:r>
        <w:rPr>
          <w:rFonts w:hint="eastAsia" w:ascii="仿宋_GB2312" w:hAnsi="楷体" w:cs="楷体"/>
          <w:bCs/>
          <w:szCs w:val="32"/>
          <w:highlight w:val="none"/>
        </w:rPr>
        <w:t xml:space="preserve">   基本</w:t>
      </w:r>
      <w:r>
        <w:rPr>
          <w:rFonts w:ascii="仿宋_GB2312" w:hAnsi="楷体" w:cs="楷体"/>
          <w:bCs/>
          <w:szCs w:val="32"/>
          <w:highlight w:val="none"/>
        </w:rPr>
        <w:t>原则</w:t>
      </w:r>
      <w:r>
        <w:tab/>
      </w:r>
      <w:r>
        <w:fldChar w:fldCharType="begin"/>
      </w:r>
      <w:r>
        <w:instrText xml:space="preserve"> PAGEREF _Toc5900 \h </w:instrText>
      </w:r>
      <w:r>
        <w:fldChar w:fldCharType="separate"/>
      </w:r>
      <w:r>
        <w:t>20</w:t>
      </w:r>
      <w:r>
        <w:fldChar w:fldCharType="end"/>
      </w:r>
      <w:r>
        <w:rPr>
          <w:rFonts w:cs="Times New Roman"/>
          <w:bCs w:val="0"/>
          <w:caps w:val="0"/>
          <w:szCs w:val="28"/>
          <w:highlight w:val="none"/>
        </w:rPr>
        <w:fldChar w:fldCharType="end"/>
      </w:r>
    </w:p>
    <w:p w14:paraId="1EFD0286">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_Toc23087 </w:instrText>
      </w:r>
      <w:r>
        <w:rPr>
          <w:rFonts w:cs="Times New Roman"/>
          <w:bCs w:val="0"/>
          <w:caps w:val="0"/>
          <w:szCs w:val="28"/>
          <w:highlight w:val="none"/>
        </w:rPr>
        <w:fldChar w:fldCharType="separate"/>
      </w:r>
      <w:r>
        <w:rPr>
          <w:rFonts w:ascii="仿宋_GB2312" w:hAnsi="楷体" w:cs="楷体"/>
          <w:bCs/>
          <w:szCs w:val="32"/>
          <w:highlight w:val="none"/>
        </w:rPr>
        <w:t>第三节</w:t>
      </w:r>
      <w:r>
        <w:rPr>
          <w:rFonts w:hint="eastAsia" w:ascii="仿宋_GB2312" w:hAnsi="楷体" w:cs="楷体"/>
          <w:bCs/>
          <w:szCs w:val="32"/>
          <w:highlight w:val="none"/>
        </w:rPr>
        <w:t xml:space="preserve">   </w:t>
      </w:r>
      <w:r>
        <w:rPr>
          <w:rFonts w:ascii="仿宋_GB2312" w:hAnsi="楷体" w:cs="楷体"/>
          <w:bCs/>
          <w:szCs w:val="32"/>
          <w:highlight w:val="none"/>
        </w:rPr>
        <w:t>规划目标</w:t>
      </w:r>
      <w:r>
        <w:tab/>
      </w:r>
      <w:r>
        <w:fldChar w:fldCharType="begin"/>
      </w:r>
      <w:r>
        <w:instrText xml:space="preserve"> PAGEREF _Toc23087 \h </w:instrText>
      </w:r>
      <w:r>
        <w:fldChar w:fldCharType="separate"/>
      </w:r>
      <w:r>
        <w:t>21</w:t>
      </w:r>
      <w:r>
        <w:fldChar w:fldCharType="end"/>
      </w:r>
      <w:r>
        <w:rPr>
          <w:rFonts w:cs="Times New Roman"/>
          <w:bCs w:val="0"/>
          <w:caps w:val="0"/>
          <w:szCs w:val="28"/>
          <w:highlight w:val="none"/>
        </w:rPr>
        <w:fldChar w:fldCharType="end"/>
      </w:r>
    </w:p>
    <w:p w14:paraId="1E7C549E">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_Toc4556 </w:instrText>
      </w:r>
      <w:r>
        <w:rPr>
          <w:rFonts w:cs="Times New Roman"/>
          <w:bCs w:val="0"/>
          <w:caps w:val="0"/>
          <w:szCs w:val="28"/>
          <w:highlight w:val="none"/>
        </w:rPr>
        <w:fldChar w:fldCharType="separate"/>
      </w:r>
      <w:r>
        <w:rPr>
          <w:highlight w:val="none"/>
        </w:rPr>
        <w:t>第四章</w:t>
      </w:r>
      <w:r>
        <w:rPr>
          <w:rFonts w:hint="eastAsia"/>
          <w:highlight w:val="none"/>
        </w:rPr>
        <w:t xml:space="preserve">   国土</w:t>
      </w:r>
      <w:r>
        <w:rPr>
          <w:highlight w:val="none"/>
        </w:rPr>
        <w:t>空间生态修复格局</w:t>
      </w:r>
      <w:r>
        <w:tab/>
      </w:r>
      <w:r>
        <w:fldChar w:fldCharType="begin"/>
      </w:r>
      <w:r>
        <w:instrText xml:space="preserve"> PAGEREF _Toc4556 \h </w:instrText>
      </w:r>
      <w:r>
        <w:fldChar w:fldCharType="separate"/>
      </w:r>
      <w:r>
        <w:t>23</w:t>
      </w:r>
      <w:r>
        <w:fldChar w:fldCharType="end"/>
      </w:r>
      <w:r>
        <w:rPr>
          <w:rFonts w:cs="Times New Roman"/>
          <w:bCs w:val="0"/>
          <w:caps w:val="0"/>
          <w:szCs w:val="28"/>
          <w:highlight w:val="none"/>
        </w:rPr>
        <w:fldChar w:fldCharType="end"/>
      </w:r>
    </w:p>
    <w:p w14:paraId="6C416CC2">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_Toc5330 </w:instrText>
      </w:r>
      <w:r>
        <w:rPr>
          <w:rFonts w:cs="Times New Roman"/>
          <w:bCs w:val="0"/>
          <w:caps w:val="0"/>
          <w:szCs w:val="28"/>
          <w:highlight w:val="none"/>
        </w:rPr>
        <w:fldChar w:fldCharType="separate"/>
      </w:r>
      <w:r>
        <w:rPr>
          <w:rFonts w:ascii="仿宋_GB2312" w:hAnsi="楷体" w:cs="楷体"/>
          <w:bCs/>
          <w:szCs w:val="32"/>
          <w:highlight w:val="none"/>
        </w:rPr>
        <w:t>第一节</w:t>
      </w:r>
      <w:r>
        <w:rPr>
          <w:rFonts w:hint="eastAsia" w:ascii="仿宋_GB2312" w:hAnsi="楷体" w:cs="楷体"/>
          <w:bCs/>
          <w:szCs w:val="32"/>
          <w:highlight w:val="none"/>
        </w:rPr>
        <w:t xml:space="preserve">   总体</w:t>
      </w:r>
      <w:r>
        <w:rPr>
          <w:rFonts w:ascii="仿宋_GB2312" w:hAnsi="楷体" w:cs="楷体"/>
          <w:bCs/>
          <w:szCs w:val="32"/>
          <w:highlight w:val="none"/>
        </w:rPr>
        <w:t>格局</w:t>
      </w:r>
      <w:r>
        <w:tab/>
      </w:r>
      <w:r>
        <w:fldChar w:fldCharType="begin"/>
      </w:r>
      <w:r>
        <w:instrText xml:space="preserve"> PAGEREF _Toc5330 \h </w:instrText>
      </w:r>
      <w:r>
        <w:fldChar w:fldCharType="separate"/>
      </w:r>
      <w:r>
        <w:t>23</w:t>
      </w:r>
      <w:r>
        <w:fldChar w:fldCharType="end"/>
      </w:r>
      <w:r>
        <w:rPr>
          <w:rFonts w:cs="Times New Roman"/>
          <w:bCs w:val="0"/>
          <w:caps w:val="0"/>
          <w:szCs w:val="28"/>
          <w:highlight w:val="none"/>
        </w:rPr>
        <w:fldChar w:fldCharType="end"/>
      </w:r>
    </w:p>
    <w:p w14:paraId="40F09CA1">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_Toc18267 </w:instrText>
      </w:r>
      <w:r>
        <w:rPr>
          <w:rFonts w:cs="Times New Roman"/>
          <w:bCs w:val="0"/>
          <w:caps w:val="0"/>
          <w:szCs w:val="28"/>
          <w:highlight w:val="none"/>
        </w:rPr>
        <w:fldChar w:fldCharType="separate"/>
      </w:r>
      <w:r>
        <w:rPr>
          <w:rFonts w:ascii="仿宋_GB2312" w:hAnsi="楷体" w:cs="楷体"/>
          <w:bCs/>
          <w:szCs w:val="32"/>
          <w:highlight w:val="none"/>
        </w:rPr>
        <w:t>第二节</w:t>
      </w:r>
      <w:r>
        <w:rPr>
          <w:rFonts w:hint="eastAsia" w:ascii="仿宋_GB2312" w:hAnsi="楷体" w:cs="楷体"/>
          <w:bCs/>
          <w:szCs w:val="32"/>
          <w:highlight w:val="none"/>
        </w:rPr>
        <w:t xml:space="preserve">   </w:t>
      </w:r>
      <w:r>
        <w:rPr>
          <w:rFonts w:ascii="仿宋_GB2312" w:hAnsi="楷体" w:cs="楷体"/>
          <w:bCs/>
          <w:szCs w:val="32"/>
          <w:highlight w:val="none"/>
        </w:rPr>
        <w:t>生态修复分区</w:t>
      </w:r>
      <w:r>
        <w:tab/>
      </w:r>
      <w:r>
        <w:fldChar w:fldCharType="begin"/>
      </w:r>
      <w:r>
        <w:instrText xml:space="preserve"> PAGEREF _Toc18267 \h </w:instrText>
      </w:r>
      <w:r>
        <w:fldChar w:fldCharType="separate"/>
      </w:r>
      <w:r>
        <w:t>24</w:t>
      </w:r>
      <w:r>
        <w:fldChar w:fldCharType="end"/>
      </w:r>
      <w:r>
        <w:rPr>
          <w:rFonts w:cs="Times New Roman"/>
          <w:bCs w:val="0"/>
          <w:caps w:val="0"/>
          <w:szCs w:val="28"/>
          <w:highlight w:val="none"/>
        </w:rPr>
        <w:fldChar w:fldCharType="end"/>
      </w:r>
    </w:p>
    <w:p w14:paraId="29DB72D8">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_Toc4451 </w:instrText>
      </w:r>
      <w:r>
        <w:rPr>
          <w:rFonts w:cs="Times New Roman"/>
          <w:bCs w:val="0"/>
          <w:caps w:val="0"/>
          <w:szCs w:val="28"/>
          <w:highlight w:val="none"/>
        </w:rPr>
        <w:fldChar w:fldCharType="separate"/>
      </w:r>
      <w:r>
        <w:rPr>
          <w:rFonts w:ascii="仿宋_GB2312" w:hAnsi="楷体" w:cs="楷体"/>
          <w:bCs/>
          <w:szCs w:val="32"/>
          <w:highlight w:val="none"/>
        </w:rPr>
        <w:t>第三节</w:t>
      </w:r>
      <w:r>
        <w:rPr>
          <w:rFonts w:hint="eastAsia" w:ascii="仿宋_GB2312" w:hAnsi="楷体" w:cs="楷体"/>
          <w:bCs/>
          <w:szCs w:val="32"/>
          <w:highlight w:val="none"/>
        </w:rPr>
        <w:t xml:space="preserve">   </w:t>
      </w:r>
      <w:r>
        <w:rPr>
          <w:rFonts w:ascii="仿宋_GB2312" w:hAnsi="楷体" w:cs="楷体"/>
          <w:bCs/>
          <w:szCs w:val="32"/>
          <w:highlight w:val="none"/>
        </w:rPr>
        <w:t>生态修复重点区域</w:t>
      </w:r>
      <w:r>
        <w:tab/>
      </w:r>
      <w:r>
        <w:fldChar w:fldCharType="begin"/>
      </w:r>
      <w:r>
        <w:instrText xml:space="preserve"> PAGEREF _Toc4451 \h </w:instrText>
      </w:r>
      <w:r>
        <w:fldChar w:fldCharType="separate"/>
      </w:r>
      <w:r>
        <w:t>26</w:t>
      </w:r>
      <w:r>
        <w:fldChar w:fldCharType="end"/>
      </w:r>
      <w:r>
        <w:rPr>
          <w:rFonts w:cs="Times New Roman"/>
          <w:bCs w:val="0"/>
          <w:caps w:val="0"/>
          <w:szCs w:val="28"/>
          <w:highlight w:val="none"/>
        </w:rPr>
        <w:fldChar w:fldCharType="end"/>
      </w:r>
    </w:p>
    <w:p w14:paraId="0FCF6F43">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_Toc4375 </w:instrText>
      </w:r>
      <w:r>
        <w:rPr>
          <w:rFonts w:cs="Times New Roman"/>
          <w:bCs w:val="0"/>
          <w:caps w:val="0"/>
          <w:szCs w:val="28"/>
          <w:highlight w:val="none"/>
        </w:rPr>
        <w:fldChar w:fldCharType="separate"/>
      </w:r>
      <w:r>
        <w:rPr>
          <w:rFonts w:hint="eastAsia"/>
          <w:highlight w:val="none"/>
        </w:rPr>
        <w:t>第五章   主要</w:t>
      </w:r>
      <w:r>
        <w:rPr>
          <w:highlight w:val="none"/>
        </w:rPr>
        <w:t>任务</w:t>
      </w:r>
      <w:r>
        <w:tab/>
      </w:r>
      <w:r>
        <w:fldChar w:fldCharType="begin"/>
      </w:r>
      <w:r>
        <w:instrText xml:space="preserve"> PAGEREF _Toc4375 \h </w:instrText>
      </w:r>
      <w:r>
        <w:fldChar w:fldCharType="separate"/>
      </w:r>
      <w:r>
        <w:t>28</w:t>
      </w:r>
      <w:r>
        <w:fldChar w:fldCharType="end"/>
      </w:r>
      <w:r>
        <w:rPr>
          <w:rFonts w:cs="Times New Roman"/>
          <w:bCs w:val="0"/>
          <w:caps w:val="0"/>
          <w:szCs w:val="28"/>
          <w:highlight w:val="none"/>
        </w:rPr>
        <w:fldChar w:fldCharType="end"/>
      </w:r>
    </w:p>
    <w:p w14:paraId="16DE78C6">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_Toc12418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第一节 </w:t>
      </w:r>
      <w:r>
        <w:rPr>
          <w:rFonts w:ascii="仿宋_GB2312" w:hAnsi="楷体" w:cs="楷体"/>
          <w:bCs/>
          <w:szCs w:val="32"/>
          <w:highlight w:val="none"/>
        </w:rPr>
        <w:t xml:space="preserve"> </w:t>
      </w:r>
      <w:r>
        <w:rPr>
          <w:rFonts w:hint="eastAsia" w:ascii="仿宋_GB2312" w:hAnsi="楷体" w:cs="楷体"/>
          <w:bCs/>
          <w:szCs w:val="32"/>
          <w:highlight w:val="none"/>
        </w:rPr>
        <w:t>人居环境提升保护区生态修复</w:t>
      </w:r>
      <w:r>
        <w:tab/>
      </w:r>
      <w:r>
        <w:fldChar w:fldCharType="begin"/>
      </w:r>
      <w:r>
        <w:instrText xml:space="preserve"> PAGEREF _Toc12418 \h </w:instrText>
      </w:r>
      <w:r>
        <w:fldChar w:fldCharType="separate"/>
      </w:r>
      <w:r>
        <w:t>28</w:t>
      </w:r>
      <w:r>
        <w:fldChar w:fldCharType="end"/>
      </w:r>
      <w:r>
        <w:rPr>
          <w:rFonts w:cs="Times New Roman"/>
          <w:bCs w:val="0"/>
          <w:caps w:val="0"/>
          <w:szCs w:val="28"/>
          <w:highlight w:val="none"/>
        </w:rPr>
        <w:fldChar w:fldCharType="end"/>
      </w:r>
    </w:p>
    <w:p w14:paraId="1D4D62DB">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_Toc3801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第二节 </w:t>
      </w:r>
      <w:r>
        <w:rPr>
          <w:rFonts w:ascii="仿宋_GB2312" w:hAnsi="楷体" w:cs="楷体"/>
          <w:bCs/>
          <w:szCs w:val="32"/>
          <w:highlight w:val="none"/>
        </w:rPr>
        <w:t xml:space="preserve"> </w:t>
      </w:r>
      <w:r>
        <w:rPr>
          <w:rFonts w:hint="eastAsia" w:ascii="仿宋_GB2312" w:hAnsi="楷体" w:cs="楷体"/>
          <w:bCs/>
          <w:szCs w:val="32"/>
          <w:highlight w:val="none"/>
        </w:rPr>
        <w:t>土壤风险管控及土地综合整治区生态修复</w:t>
      </w:r>
      <w:r>
        <w:tab/>
      </w:r>
      <w:r>
        <w:fldChar w:fldCharType="begin"/>
      </w:r>
      <w:r>
        <w:instrText xml:space="preserve"> PAGEREF _Toc3801 \h </w:instrText>
      </w:r>
      <w:r>
        <w:fldChar w:fldCharType="separate"/>
      </w:r>
      <w:r>
        <w:t>28</w:t>
      </w:r>
      <w:r>
        <w:fldChar w:fldCharType="end"/>
      </w:r>
      <w:r>
        <w:rPr>
          <w:rFonts w:cs="Times New Roman"/>
          <w:bCs w:val="0"/>
          <w:caps w:val="0"/>
          <w:szCs w:val="28"/>
          <w:highlight w:val="none"/>
        </w:rPr>
        <w:fldChar w:fldCharType="end"/>
      </w:r>
    </w:p>
    <w:p w14:paraId="791FCD7B">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_Toc13694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第三节 </w:t>
      </w:r>
      <w:r>
        <w:rPr>
          <w:rFonts w:ascii="仿宋_GB2312" w:hAnsi="楷体" w:cs="楷体"/>
          <w:bCs/>
          <w:szCs w:val="32"/>
          <w:highlight w:val="none"/>
        </w:rPr>
        <w:t xml:space="preserve"> </w:t>
      </w:r>
      <w:r>
        <w:rPr>
          <w:rFonts w:hint="eastAsia" w:ascii="仿宋_GB2312" w:hAnsi="楷体" w:cs="楷体"/>
          <w:bCs/>
          <w:szCs w:val="32"/>
          <w:highlight w:val="none"/>
        </w:rPr>
        <w:t>重要生态廊道和生态网络构建</w:t>
      </w:r>
      <w:r>
        <w:tab/>
      </w:r>
      <w:r>
        <w:fldChar w:fldCharType="begin"/>
      </w:r>
      <w:r>
        <w:instrText xml:space="preserve"> PAGEREF _Toc13694 \h </w:instrText>
      </w:r>
      <w:r>
        <w:fldChar w:fldCharType="separate"/>
      </w:r>
      <w:r>
        <w:t>29</w:t>
      </w:r>
      <w:r>
        <w:fldChar w:fldCharType="end"/>
      </w:r>
      <w:r>
        <w:rPr>
          <w:rFonts w:cs="Times New Roman"/>
          <w:bCs w:val="0"/>
          <w:caps w:val="0"/>
          <w:szCs w:val="28"/>
          <w:highlight w:val="none"/>
        </w:rPr>
        <w:fldChar w:fldCharType="end"/>
      </w:r>
    </w:p>
    <w:p w14:paraId="2AB9ADE5">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_Toc22079 </w:instrText>
      </w:r>
      <w:r>
        <w:rPr>
          <w:rFonts w:cs="Times New Roman"/>
          <w:bCs w:val="0"/>
          <w:caps w:val="0"/>
          <w:szCs w:val="28"/>
          <w:highlight w:val="none"/>
        </w:rPr>
        <w:fldChar w:fldCharType="separate"/>
      </w:r>
      <w:r>
        <w:rPr>
          <w:rFonts w:hint="eastAsia" w:ascii="仿宋_GB2312" w:hAnsi="楷体" w:cs="楷体"/>
          <w:bCs/>
          <w:szCs w:val="32"/>
          <w:highlight w:val="none"/>
        </w:rPr>
        <w:t>第</w:t>
      </w:r>
      <w:r>
        <w:rPr>
          <w:rFonts w:hint="eastAsia" w:ascii="仿宋_GB2312" w:hAnsi="楷体" w:cs="楷体"/>
          <w:bCs/>
          <w:szCs w:val="32"/>
          <w:highlight w:val="none"/>
          <w:lang w:val="en-US" w:eastAsia="zh-CN"/>
        </w:rPr>
        <w:t>四</w:t>
      </w:r>
      <w:r>
        <w:rPr>
          <w:rFonts w:hint="eastAsia" w:ascii="仿宋_GB2312" w:hAnsi="楷体" w:cs="楷体"/>
          <w:bCs/>
          <w:szCs w:val="32"/>
          <w:highlight w:val="none"/>
        </w:rPr>
        <w:t xml:space="preserve">节 </w:t>
      </w:r>
      <w:r>
        <w:rPr>
          <w:rFonts w:ascii="仿宋_GB2312" w:hAnsi="楷体" w:cs="楷体"/>
          <w:bCs/>
          <w:szCs w:val="32"/>
          <w:highlight w:val="none"/>
        </w:rPr>
        <w:t xml:space="preserve"> </w:t>
      </w:r>
      <w:r>
        <w:rPr>
          <w:rFonts w:hint="eastAsia" w:ascii="仿宋_GB2312" w:hAnsi="楷体" w:cs="楷体"/>
          <w:bCs/>
          <w:szCs w:val="32"/>
          <w:highlight w:val="none"/>
          <w:lang w:val="en-US" w:eastAsia="zh-CN"/>
        </w:rPr>
        <w:t>历史遗留废弃露天矿山治理</w:t>
      </w:r>
      <w:r>
        <w:tab/>
      </w:r>
      <w:r>
        <w:fldChar w:fldCharType="begin"/>
      </w:r>
      <w:r>
        <w:instrText xml:space="preserve"> PAGEREF _Toc22079 \h </w:instrText>
      </w:r>
      <w:r>
        <w:fldChar w:fldCharType="separate"/>
      </w:r>
      <w:r>
        <w:t>29</w:t>
      </w:r>
      <w:r>
        <w:fldChar w:fldCharType="end"/>
      </w:r>
      <w:r>
        <w:rPr>
          <w:rFonts w:cs="Times New Roman"/>
          <w:bCs w:val="0"/>
          <w:caps w:val="0"/>
          <w:szCs w:val="28"/>
          <w:highlight w:val="none"/>
        </w:rPr>
        <w:fldChar w:fldCharType="end"/>
      </w:r>
    </w:p>
    <w:p w14:paraId="57498F3D">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_Toc26845 </w:instrText>
      </w:r>
      <w:r>
        <w:rPr>
          <w:rFonts w:cs="Times New Roman"/>
          <w:bCs w:val="0"/>
          <w:caps w:val="0"/>
          <w:szCs w:val="28"/>
          <w:highlight w:val="none"/>
        </w:rPr>
        <w:fldChar w:fldCharType="separate"/>
      </w:r>
      <w:r>
        <w:rPr>
          <w:highlight w:val="none"/>
        </w:rPr>
        <w:t>第六章</w:t>
      </w:r>
      <w:r>
        <w:rPr>
          <w:rFonts w:hint="eastAsia"/>
          <w:highlight w:val="none"/>
        </w:rPr>
        <w:t xml:space="preserve">   </w:t>
      </w:r>
      <w:r>
        <w:rPr>
          <w:highlight w:val="none"/>
        </w:rPr>
        <w:t>重点工程</w:t>
      </w:r>
      <w:r>
        <w:tab/>
      </w:r>
      <w:r>
        <w:fldChar w:fldCharType="begin"/>
      </w:r>
      <w:r>
        <w:instrText xml:space="preserve"> PAGEREF _Toc26845 \h </w:instrText>
      </w:r>
      <w:r>
        <w:fldChar w:fldCharType="separate"/>
      </w:r>
      <w:r>
        <w:t>30</w:t>
      </w:r>
      <w:r>
        <w:fldChar w:fldCharType="end"/>
      </w:r>
      <w:r>
        <w:rPr>
          <w:rFonts w:cs="Times New Roman"/>
          <w:bCs w:val="0"/>
          <w:caps w:val="0"/>
          <w:szCs w:val="28"/>
          <w:highlight w:val="none"/>
        </w:rPr>
        <w:fldChar w:fldCharType="end"/>
      </w:r>
    </w:p>
    <w:p w14:paraId="7A387E04">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_Toc31123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第一节 </w:t>
      </w:r>
      <w:r>
        <w:rPr>
          <w:rFonts w:ascii="仿宋_GB2312" w:hAnsi="楷体" w:cs="楷体"/>
          <w:bCs/>
          <w:szCs w:val="32"/>
          <w:highlight w:val="none"/>
        </w:rPr>
        <w:t xml:space="preserve"> </w:t>
      </w:r>
      <w:r>
        <w:rPr>
          <w:rFonts w:hint="eastAsia" w:ascii="仿宋_GB2312" w:hAnsi="楷体" w:cs="楷体"/>
          <w:bCs/>
          <w:szCs w:val="32"/>
          <w:highlight w:val="none"/>
        </w:rPr>
        <w:t>土地综合整治重点工程</w:t>
      </w:r>
      <w:r>
        <w:tab/>
      </w:r>
      <w:r>
        <w:fldChar w:fldCharType="begin"/>
      </w:r>
      <w:r>
        <w:instrText xml:space="preserve"> PAGEREF _Toc31123 \h </w:instrText>
      </w:r>
      <w:r>
        <w:fldChar w:fldCharType="separate"/>
      </w:r>
      <w:r>
        <w:t>30</w:t>
      </w:r>
      <w:r>
        <w:fldChar w:fldCharType="end"/>
      </w:r>
      <w:r>
        <w:rPr>
          <w:rFonts w:cs="Times New Roman"/>
          <w:bCs w:val="0"/>
          <w:caps w:val="0"/>
          <w:szCs w:val="28"/>
          <w:highlight w:val="none"/>
        </w:rPr>
        <w:fldChar w:fldCharType="end"/>
      </w:r>
    </w:p>
    <w:p w14:paraId="452DF919">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_Toc14384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第二节 </w:t>
      </w:r>
      <w:r>
        <w:rPr>
          <w:rFonts w:ascii="仿宋_GB2312" w:hAnsi="楷体" w:cs="楷体"/>
          <w:bCs/>
          <w:szCs w:val="32"/>
          <w:highlight w:val="none"/>
        </w:rPr>
        <w:t xml:space="preserve"> </w:t>
      </w:r>
      <w:r>
        <w:rPr>
          <w:rFonts w:hint="eastAsia" w:ascii="仿宋_GB2312" w:hAnsi="楷体" w:cs="楷体"/>
          <w:bCs/>
          <w:szCs w:val="32"/>
          <w:highlight w:val="none"/>
        </w:rPr>
        <w:t>林网水网生态廊道重点工程</w:t>
      </w:r>
      <w:r>
        <w:tab/>
      </w:r>
      <w:r>
        <w:fldChar w:fldCharType="begin"/>
      </w:r>
      <w:r>
        <w:instrText xml:space="preserve"> PAGEREF _Toc14384 \h </w:instrText>
      </w:r>
      <w:r>
        <w:fldChar w:fldCharType="separate"/>
      </w:r>
      <w:r>
        <w:t>30</w:t>
      </w:r>
      <w:r>
        <w:fldChar w:fldCharType="end"/>
      </w:r>
      <w:r>
        <w:rPr>
          <w:rFonts w:cs="Times New Roman"/>
          <w:bCs w:val="0"/>
          <w:caps w:val="0"/>
          <w:szCs w:val="28"/>
          <w:highlight w:val="none"/>
        </w:rPr>
        <w:fldChar w:fldCharType="end"/>
      </w:r>
    </w:p>
    <w:p w14:paraId="09DDCF60">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_Toc2760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第三节 </w:t>
      </w:r>
      <w:r>
        <w:rPr>
          <w:rFonts w:ascii="仿宋_GB2312" w:hAnsi="楷体" w:cs="楷体"/>
          <w:bCs/>
          <w:szCs w:val="32"/>
          <w:highlight w:val="none"/>
        </w:rPr>
        <w:t xml:space="preserve"> </w:t>
      </w:r>
      <w:r>
        <w:rPr>
          <w:rFonts w:hint="eastAsia" w:ascii="仿宋_GB2312" w:hAnsi="楷体" w:cs="楷体"/>
          <w:bCs/>
          <w:szCs w:val="32"/>
          <w:highlight w:val="none"/>
          <w:lang w:val="en-US" w:eastAsia="zh-CN"/>
        </w:rPr>
        <w:t>历史遗留废弃露天矿山处置</w:t>
      </w:r>
      <w:r>
        <w:rPr>
          <w:rFonts w:hint="eastAsia" w:ascii="仿宋_GB2312" w:hAnsi="楷体" w:cs="楷体"/>
          <w:bCs/>
          <w:szCs w:val="32"/>
          <w:highlight w:val="none"/>
        </w:rPr>
        <w:t>重点工程</w:t>
      </w:r>
      <w:r>
        <w:tab/>
      </w:r>
      <w:r>
        <w:fldChar w:fldCharType="begin"/>
      </w:r>
      <w:r>
        <w:instrText xml:space="preserve"> PAGEREF _Toc2760 \h </w:instrText>
      </w:r>
      <w:r>
        <w:fldChar w:fldCharType="separate"/>
      </w:r>
      <w:r>
        <w:t>31</w:t>
      </w:r>
      <w:r>
        <w:fldChar w:fldCharType="end"/>
      </w:r>
      <w:r>
        <w:rPr>
          <w:rFonts w:cs="Times New Roman"/>
          <w:bCs w:val="0"/>
          <w:caps w:val="0"/>
          <w:szCs w:val="28"/>
          <w:highlight w:val="none"/>
        </w:rPr>
        <w:fldChar w:fldCharType="end"/>
      </w:r>
    </w:p>
    <w:p w14:paraId="1829D8EE">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_Toc1444 </w:instrText>
      </w:r>
      <w:r>
        <w:rPr>
          <w:rFonts w:cs="Times New Roman"/>
          <w:bCs w:val="0"/>
          <w:caps w:val="0"/>
          <w:szCs w:val="28"/>
          <w:highlight w:val="none"/>
        </w:rPr>
        <w:fldChar w:fldCharType="separate"/>
      </w:r>
      <w:r>
        <w:rPr>
          <w:rFonts w:hint="eastAsia" w:ascii="仿宋_GB2312" w:hAnsi="楷体" w:cs="楷体"/>
          <w:bCs/>
          <w:szCs w:val="32"/>
          <w:highlight w:val="none"/>
        </w:rPr>
        <w:t>第</w:t>
      </w:r>
      <w:r>
        <w:rPr>
          <w:rFonts w:hint="eastAsia" w:ascii="仿宋_GB2312" w:hAnsi="楷体" w:cs="楷体"/>
          <w:bCs/>
          <w:szCs w:val="32"/>
          <w:highlight w:val="none"/>
          <w:lang w:val="en-US" w:eastAsia="zh-CN"/>
        </w:rPr>
        <w:t>四</w:t>
      </w:r>
      <w:r>
        <w:rPr>
          <w:rFonts w:hint="eastAsia" w:ascii="仿宋_GB2312" w:hAnsi="楷体" w:cs="楷体"/>
          <w:bCs/>
          <w:szCs w:val="32"/>
          <w:highlight w:val="none"/>
        </w:rPr>
        <w:t xml:space="preserve">节 </w:t>
      </w:r>
      <w:r>
        <w:rPr>
          <w:rFonts w:ascii="仿宋_GB2312" w:hAnsi="楷体" w:cs="楷体"/>
          <w:bCs/>
          <w:szCs w:val="32"/>
          <w:highlight w:val="none"/>
        </w:rPr>
        <w:t xml:space="preserve"> </w:t>
      </w:r>
      <w:r>
        <w:rPr>
          <w:rFonts w:hint="eastAsia" w:ascii="仿宋_GB2312" w:hAnsi="楷体" w:cs="楷体"/>
          <w:bCs/>
          <w:szCs w:val="32"/>
          <w:highlight w:val="none"/>
        </w:rPr>
        <w:t>国土空间调查与数字化重点工程</w:t>
      </w:r>
      <w:r>
        <w:tab/>
      </w:r>
      <w:r>
        <w:fldChar w:fldCharType="begin"/>
      </w:r>
      <w:r>
        <w:instrText xml:space="preserve"> PAGEREF _Toc1444 \h </w:instrText>
      </w:r>
      <w:r>
        <w:fldChar w:fldCharType="separate"/>
      </w:r>
      <w:r>
        <w:t>31</w:t>
      </w:r>
      <w:r>
        <w:fldChar w:fldCharType="end"/>
      </w:r>
      <w:r>
        <w:rPr>
          <w:rFonts w:cs="Times New Roman"/>
          <w:bCs w:val="0"/>
          <w:caps w:val="0"/>
          <w:szCs w:val="28"/>
          <w:highlight w:val="none"/>
        </w:rPr>
        <w:fldChar w:fldCharType="end"/>
      </w:r>
    </w:p>
    <w:p w14:paraId="795D9942">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_Toc9044 </w:instrText>
      </w:r>
      <w:r>
        <w:rPr>
          <w:rFonts w:cs="Times New Roman"/>
          <w:bCs w:val="0"/>
          <w:caps w:val="0"/>
          <w:szCs w:val="28"/>
          <w:highlight w:val="none"/>
        </w:rPr>
        <w:fldChar w:fldCharType="separate"/>
      </w:r>
      <w:r>
        <w:rPr>
          <w:highlight w:val="none"/>
        </w:rPr>
        <w:t>第七章</w:t>
      </w:r>
      <w:r>
        <w:rPr>
          <w:rFonts w:hint="eastAsia"/>
          <w:highlight w:val="none"/>
        </w:rPr>
        <w:t xml:space="preserve">   </w:t>
      </w:r>
      <w:r>
        <w:rPr>
          <w:highlight w:val="none"/>
        </w:rPr>
        <w:t>效益</w:t>
      </w:r>
      <w:r>
        <w:rPr>
          <w:rFonts w:hint="eastAsia"/>
          <w:highlight w:val="none"/>
          <w:lang w:val="en-US" w:eastAsia="zh-CN"/>
        </w:rPr>
        <w:t>分析</w:t>
      </w:r>
      <w:r>
        <w:tab/>
      </w:r>
      <w:r>
        <w:fldChar w:fldCharType="begin"/>
      </w:r>
      <w:r>
        <w:instrText xml:space="preserve"> PAGEREF _Toc9044 \h </w:instrText>
      </w:r>
      <w:r>
        <w:fldChar w:fldCharType="separate"/>
      </w:r>
      <w:r>
        <w:t>33</w:t>
      </w:r>
      <w:r>
        <w:fldChar w:fldCharType="end"/>
      </w:r>
      <w:r>
        <w:rPr>
          <w:rFonts w:cs="Times New Roman"/>
          <w:bCs w:val="0"/>
          <w:caps w:val="0"/>
          <w:szCs w:val="28"/>
          <w:highlight w:val="none"/>
        </w:rPr>
        <w:fldChar w:fldCharType="end"/>
      </w:r>
    </w:p>
    <w:p w14:paraId="24866B3C">
      <w:pPr>
        <w:pStyle w:val="13"/>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_Toc11494 </w:instrText>
      </w:r>
      <w:r>
        <w:rPr>
          <w:rFonts w:cs="Times New Roman"/>
          <w:bCs w:val="0"/>
          <w:caps w:val="0"/>
          <w:szCs w:val="28"/>
          <w:highlight w:val="none"/>
        </w:rPr>
        <w:fldChar w:fldCharType="separate"/>
      </w:r>
      <w:r>
        <w:rPr>
          <w:highlight w:val="none"/>
        </w:rPr>
        <w:t>第</w:t>
      </w:r>
      <w:r>
        <w:rPr>
          <w:rFonts w:hint="eastAsia"/>
          <w:highlight w:val="none"/>
        </w:rPr>
        <w:t>八</w:t>
      </w:r>
      <w:r>
        <w:rPr>
          <w:highlight w:val="none"/>
        </w:rPr>
        <w:t>章</w:t>
      </w:r>
      <w:r>
        <w:rPr>
          <w:rFonts w:hint="eastAsia"/>
          <w:highlight w:val="none"/>
        </w:rPr>
        <w:t xml:space="preserve">   </w:t>
      </w:r>
      <w:r>
        <w:rPr>
          <w:highlight w:val="none"/>
        </w:rPr>
        <w:t>保障措施</w:t>
      </w:r>
      <w:r>
        <w:tab/>
      </w:r>
      <w:r>
        <w:fldChar w:fldCharType="begin"/>
      </w:r>
      <w:r>
        <w:instrText xml:space="preserve"> PAGEREF _Toc11494 \h </w:instrText>
      </w:r>
      <w:r>
        <w:fldChar w:fldCharType="separate"/>
      </w:r>
      <w:r>
        <w:t>35</w:t>
      </w:r>
      <w:r>
        <w:fldChar w:fldCharType="end"/>
      </w:r>
      <w:r>
        <w:rPr>
          <w:rFonts w:cs="Times New Roman"/>
          <w:bCs w:val="0"/>
          <w:caps w:val="0"/>
          <w:szCs w:val="28"/>
          <w:highlight w:val="none"/>
        </w:rPr>
        <w:fldChar w:fldCharType="end"/>
      </w:r>
    </w:p>
    <w:p w14:paraId="5DA148A9">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_Toc32762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第一节 </w:t>
      </w:r>
      <w:r>
        <w:rPr>
          <w:rFonts w:ascii="仿宋_GB2312" w:hAnsi="楷体" w:cs="楷体"/>
          <w:bCs/>
          <w:szCs w:val="32"/>
          <w:highlight w:val="none"/>
        </w:rPr>
        <w:t xml:space="preserve"> </w:t>
      </w:r>
      <w:r>
        <w:rPr>
          <w:rFonts w:hint="eastAsia" w:ascii="仿宋_GB2312" w:hAnsi="楷体" w:cs="楷体"/>
          <w:bCs/>
          <w:szCs w:val="32"/>
          <w:highlight w:val="none"/>
        </w:rPr>
        <w:t>组织领导</w:t>
      </w:r>
      <w:r>
        <w:tab/>
      </w:r>
      <w:r>
        <w:fldChar w:fldCharType="begin"/>
      </w:r>
      <w:r>
        <w:instrText xml:space="preserve"> PAGEREF _Toc32762 \h </w:instrText>
      </w:r>
      <w:r>
        <w:fldChar w:fldCharType="separate"/>
      </w:r>
      <w:r>
        <w:t>35</w:t>
      </w:r>
      <w:r>
        <w:fldChar w:fldCharType="end"/>
      </w:r>
      <w:r>
        <w:rPr>
          <w:rFonts w:cs="Times New Roman"/>
          <w:bCs w:val="0"/>
          <w:caps w:val="0"/>
          <w:szCs w:val="28"/>
          <w:highlight w:val="none"/>
        </w:rPr>
        <w:fldChar w:fldCharType="end"/>
      </w:r>
    </w:p>
    <w:p w14:paraId="0C18C358">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_Toc12371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第二节 </w:t>
      </w:r>
      <w:r>
        <w:rPr>
          <w:rFonts w:ascii="仿宋_GB2312" w:hAnsi="楷体" w:cs="楷体"/>
          <w:bCs/>
          <w:szCs w:val="32"/>
          <w:highlight w:val="none"/>
        </w:rPr>
        <w:t xml:space="preserve"> </w:t>
      </w:r>
      <w:r>
        <w:rPr>
          <w:rFonts w:hint="eastAsia" w:ascii="仿宋_GB2312" w:hAnsi="楷体" w:cs="楷体"/>
          <w:bCs/>
          <w:szCs w:val="32"/>
          <w:highlight w:val="none"/>
        </w:rPr>
        <w:t>强化政策制度</w:t>
      </w:r>
      <w:r>
        <w:tab/>
      </w:r>
      <w:r>
        <w:fldChar w:fldCharType="begin"/>
      </w:r>
      <w:r>
        <w:instrText xml:space="preserve"> PAGEREF _Toc12371 \h </w:instrText>
      </w:r>
      <w:r>
        <w:fldChar w:fldCharType="separate"/>
      </w:r>
      <w:r>
        <w:t>35</w:t>
      </w:r>
      <w:r>
        <w:fldChar w:fldCharType="end"/>
      </w:r>
      <w:r>
        <w:rPr>
          <w:rFonts w:cs="Times New Roman"/>
          <w:bCs w:val="0"/>
          <w:caps w:val="0"/>
          <w:szCs w:val="28"/>
          <w:highlight w:val="none"/>
        </w:rPr>
        <w:fldChar w:fldCharType="end"/>
      </w:r>
    </w:p>
    <w:p w14:paraId="6A13B882">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_Toc30652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第三节 </w:t>
      </w:r>
      <w:r>
        <w:rPr>
          <w:rFonts w:ascii="仿宋_GB2312" w:hAnsi="楷体" w:cs="楷体"/>
          <w:bCs/>
          <w:szCs w:val="32"/>
          <w:highlight w:val="none"/>
        </w:rPr>
        <w:t xml:space="preserve"> </w:t>
      </w:r>
      <w:r>
        <w:rPr>
          <w:rFonts w:hint="eastAsia" w:ascii="仿宋_GB2312" w:hAnsi="楷体" w:cs="楷体"/>
          <w:bCs/>
          <w:szCs w:val="32"/>
          <w:highlight w:val="none"/>
        </w:rPr>
        <w:t>加强技术支持</w:t>
      </w:r>
      <w:r>
        <w:tab/>
      </w:r>
      <w:r>
        <w:fldChar w:fldCharType="begin"/>
      </w:r>
      <w:r>
        <w:instrText xml:space="preserve"> PAGEREF _Toc30652 \h </w:instrText>
      </w:r>
      <w:r>
        <w:fldChar w:fldCharType="separate"/>
      </w:r>
      <w:r>
        <w:t>35</w:t>
      </w:r>
      <w:r>
        <w:fldChar w:fldCharType="end"/>
      </w:r>
      <w:r>
        <w:rPr>
          <w:rFonts w:cs="Times New Roman"/>
          <w:bCs w:val="0"/>
          <w:caps w:val="0"/>
          <w:szCs w:val="28"/>
          <w:highlight w:val="none"/>
        </w:rPr>
        <w:fldChar w:fldCharType="end"/>
      </w:r>
    </w:p>
    <w:p w14:paraId="42D584CC">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_Toc22674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第四节 </w:t>
      </w:r>
      <w:r>
        <w:rPr>
          <w:rFonts w:ascii="仿宋_GB2312" w:hAnsi="楷体" w:cs="楷体"/>
          <w:bCs/>
          <w:szCs w:val="32"/>
          <w:highlight w:val="none"/>
        </w:rPr>
        <w:t xml:space="preserve"> </w:t>
      </w:r>
      <w:r>
        <w:rPr>
          <w:rFonts w:hint="eastAsia" w:ascii="仿宋_GB2312" w:hAnsi="楷体" w:cs="楷体"/>
          <w:bCs/>
          <w:szCs w:val="32"/>
          <w:highlight w:val="none"/>
        </w:rPr>
        <w:t>强化资金保障</w:t>
      </w:r>
      <w:r>
        <w:tab/>
      </w:r>
      <w:r>
        <w:fldChar w:fldCharType="begin"/>
      </w:r>
      <w:r>
        <w:instrText xml:space="preserve"> PAGEREF _Toc22674 \h </w:instrText>
      </w:r>
      <w:r>
        <w:fldChar w:fldCharType="separate"/>
      </w:r>
      <w:r>
        <w:t>35</w:t>
      </w:r>
      <w:r>
        <w:fldChar w:fldCharType="end"/>
      </w:r>
      <w:r>
        <w:rPr>
          <w:rFonts w:cs="Times New Roman"/>
          <w:bCs w:val="0"/>
          <w:caps w:val="0"/>
          <w:szCs w:val="28"/>
          <w:highlight w:val="none"/>
        </w:rPr>
        <w:fldChar w:fldCharType="end"/>
      </w:r>
    </w:p>
    <w:p w14:paraId="45E72E22">
      <w:pPr>
        <w:pStyle w:val="14"/>
        <w:tabs>
          <w:tab w:val="right" w:leader="dot" w:pos="8787"/>
        </w:tabs>
      </w:pPr>
      <w:r>
        <w:rPr>
          <w:rFonts w:cs="Times New Roman"/>
          <w:bCs w:val="0"/>
          <w:caps w:val="0"/>
          <w:szCs w:val="28"/>
          <w:highlight w:val="none"/>
        </w:rPr>
        <w:fldChar w:fldCharType="begin"/>
      </w:r>
      <w:r>
        <w:rPr>
          <w:rFonts w:cs="Times New Roman"/>
          <w:bCs w:val="0"/>
          <w:caps w:val="0"/>
          <w:szCs w:val="28"/>
          <w:highlight w:val="none"/>
        </w:rPr>
        <w:instrText xml:space="preserve"> HYPERLINK \l _Toc3985 </w:instrText>
      </w:r>
      <w:r>
        <w:rPr>
          <w:rFonts w:cs="Times New Roman"/>
          <w:bCs w:val="0"/>
          <w:caps w:val="0"/>
          <w:szCs w:val="28"/>
          <w:highlight w:val="none"/>
        </w:rPr>
        <w:fldChar w:fldCharType="separate"/>
      </w:r>
      <w:r>
        <w:rPr>
          <w:rFonts w:hint="eastAsia" w:ascii="仿宋_GB2312" w:hAnsi="楷体" w:cs="楷体"/>
          <w:bCs/>
          <w:szCs w:val="32"/>
          <w:highlight w:val="none"/>
        </w:rPr>
        <w:t xml:space="preserve">第五节 </w:t>
      </w:r>
      <w:r>
        <w:rPr>
          <w:rFonts w:ascii="仿宋_GB2312" w:hAnsi="楷体" w:cs="楷体"/>
          <w:bCs/>
          <w:szCs w:val="32"/>
          <w:highlight w:val="none"/>
        </w:rPr>
        <w:t xml:space="preserve"> </w:t>
      </w:r>
      <w:r>
        <w:rPr>
          <w:rFonts w:hint="eastAsia" w:ascii="仿宋_GB2312" w:hAnsi="楷体" w:cs="楷体"/>
          <w:bCs/>
          <w:szCs w:val="32"/>
          <w:highlight w:val="none"/>
        </w:rPr>
        <w:t>鼓励公众参与</w:t>
      </w:r>
      <w:r>
        <w:tab/>
      </w:r>
      <w:r>
        <w:fldChar w:fldCharType="begin"/>
      </w:r>
      <w:r>
        <w:instrText xml:space="preserve"> PAGEREF _Toc3985 \h </w:instrText>
      </w:r>
      <w:r>
        <w:fldChar w:fldCharType="separate"/>
      </w:r>
      <w:r>
        <w:t>36</w:t>
      </w:r>
      <w:r>
        <w:fldChar w:fldCharType="end"/>
      </w:r>
      <w:r>
        <w:rPr>
          <w:rFonts w:cs="Times New Roman"/>
          <w:bCs w:val="0"/>
          <w:caps w:val="0"/>
          <w:szCs w:val="28"/>
          <w:highlight w:val="none"/>
        </w:rPr>
        <w:fldChar w:fldCharType="end"/>
      </w:r>
    </w:p>
    <w:p w14:paraId="52292E1A">
      <w:pPr>
        <w:pStyle w:val="13"/>
        <w:tabs>
          <w:tab w:val="right" w:leader="dot" w:pos="8777"/>
        </w:tabs>
        <w:spacing w:before="0" w:after="0" w:line="348" w:lineRule="auto"/>
        <w:ind w:firstLine="666" w:firstLineChars="221"/>
        <w:jc w:val="both"/>
        <w:rPr>
          <w:rFonts w:ascii="黑体" w:hAnsi="黑体" w:eastAsia="黑体" w:cs="黑体"/>
          <w:color w:val="FF0000"/>
          <w:sz w:val="32"/>
          <w:szCs w:val="32"/>
          <w:highlight w:val="none"/>
        </w:rPr>
      </w:pPr>
      <w:r>
        <w:rPr>
          <w:rFonts w:cs="Times New Roman"/>
          <w:bCs w:val="0"/>
          <w:caps w:val="0"/>
          <w:szCs w:val="28"/>
          <w:highlight w:val="none"/>
        </w:rPr>
        <w:fldChar w:fldCharType="end"/>
      </w:r>
    </w:p>
    <w:p w14:paraId="3A4BE055">
      <w:pPr>
        <w:ind w:firstLine="0" w:firstLineChars="0"/>
        <w:jc w:val="center"/>
        <w:rPr>
          <w:rFonts w:ascii="黑体" w:hAnsi="黑体" w:eastAsia="黑体" w:cs="黑体"/>
          <w:sz w:val="32"/>
          <w:szCs w:val="32"/>
          <w:highlight w:val="none"/>
        </w:rPr>
      </w:pPr>
    </w:p>
    <w:p w14:paraId="2D75C97E">
      <w:pPr>
        <w:ind w:firstLine="600"/>
        <w:rPr>
          <w:highlight w:val="none"/>
        </w:rPr>
        <w:sectPr>
          <w:pgSz w:w="11906" w:h="16838"/>
          <w:pgMar w:top="1134" w:right="1418" w:bottom="1134" w:left="1701" w:header="851" w:footer="992" w:gutter="0"/>
          <w:pgNumType w:fmt="numberInDash" w:start="1"/>
          <w:cols w:space="720" w:num="1"/>
          <w:docGrid w:type="lines" w:linePitch="312" w:charSpace="0"/>
        </w:sectPr>
      </w:pPr>
    </w:p>
    <w:p w14:paraId="071E90C8">
      <w:pPr>
        <w:pStyle w:val="2"/>
        <w:rPr>
          <w:highlight w:val="none"/>
        </w:rPr>
      </w:pPr>
      <w:bookmarkStart w:id="0" w:name="_Toc5252"/>
      <w:r>
        <w:rPr>
          <w:highlight w:val="none"/>
        </w:rPr>
        <w:t>前</w:t>
      </w:r>
      <w:r>
        <w:rPr>
          <w:rFonts w:hint="eastAsia"/>
          <w:highlight w:val="none"/>
        </w:rPr>
        <w:t xml:space="preserve">  </w:t>
      </w:r>
      <w:r>
        <w:rPr>
          <w:highlight w:val="none"/>
        </w:rPr>
        <w:t>言</w:t>
      </w:r>
      <w:bookmarkEnd w:id="0"/>
    </w:p>
    <w:p w14:paraId="66242B43">
      <w:pPr>
        <w:ind w:firstLine="600"/>
        <w:rPr>
          <w:rFonts w:hint="eastAsia" w:hAnsi="Calibri"/>
          <w:kern w:val="0"/>
          <w:highlight w:val="none"/>
        </w:rPr>
      </w:pPr>
      <w:r>
        <w:rPr>
          <w:rFonts w:hint="eastAsia" w:hAnsi="Calibri"/>
          <w:kern w:val="0"/>
          <w:highlight w:val="none"/>
        </w:rPr>
        <w:t>国土空间生态修复规划是国土空间规划的重要专项规划，是</w:t>
      </w:r>
      <w:r>
        <w:rPr>
          <w:rFonts w:hint="eastAsia"/>
          <w:kern w:val="0"/>
          <w:highlight w:val="none"/>
        </w:rPr>
        <w:t>区</w:t>
      </w:r>
      <w:r>
        <w:rPr>
          <w:rFonts w:hint="eastAsia" w:hAnsi="Calibri"/>
          <w:kern w:val="0"/>
          <w:highlight w:val="none"/>
        </w:rPr>
        <w:t>域国土空间生态修复项目立项、实施、验收的重要依据。国土空间生态修复是我国生态文明建设的重大举措，是关系国家生态安全和民生福祉的重要战略任务。根据党的十九届五中全会</w:t>
      </w:r>
      <w:r>
        <w:rPr>
          <w:rFonts w:hint="eastAsia"/>
          <w:kern w:val="0"/>
          <w:highlight w:val="none"/>
        </w:rPr>
        <w:t>及二十大</w:t>
      </w:r>
      <w:r>
        <w:rPr>
          <w:rFonts w:hint="eastAsia" w:hAnsi="Calibri"/>
          <w:kern w:val="0"/>
          <w:highlight w:val="none"/>
        </w:rPr>
        <w:t>精神、习近平总书记视察山东重要讲话、重要指示批示精神及省、市、区委全会精神，立足新发展阶段、贯彻新发展理念、融入新发展格局，突出强化大循环、双循环意识，主动融入全省、全市区域开放发展大战略大格局，统筹推进</w:t>
      </w:r>
      <w:r>
        <w:rPr>
          <w:rFonts w:hint="eastAsia"/>
          <w:kern w:val="0"/>
          <w:highlight w:val="none"/>
        </w:rPr>
        <w:t>张店区</w:t>
      </w:r>
      <w:r>
        <w:rPr>
          <w:rFonts w:hint="eastAsia" w:hAnsi="Calibri"/>
          <w:kern w:val="0"/>
          <w:highlight w:val="none"/>
        </w:rPr>
        <w:t>国土空间生态修复。202</w:t>
      </w:r>
      <w:r>
        <w:rPr>
          <w:rFonts w:hint="eastAsia"/>
          <w:kern w:val="0"/>
          <w:highlight w:val="none"/>
        </w:rPr>
        <w:t>1—</w:t>
      </w:r>
      <w:r>
        <w:rPr>
          <w:rFonts w:hint="eastAsia" w:hAnsi="Calibri"/>
          <w:kern w:val="0"/>
          <w:highlight w:val="none"/>
        </w:rPr>
        <w:t>203</w:t>
      </w:r>
      <w:r>
        <w:rPr>
          <w:rFonts w:hint="eastAsia"/>
          <w:kern w:val="0"/>
          <w:highlight w:val="none"/>
        </w:rPr>
        <w:t>5</w:t>
      </w:r>
      <w:r>
        <w:rPr>
          <w:rFonts w:hint="eastAsia" w:hAnsi="Calibri"/>
          <w:kern w:val="0"/>
          <w:highlight w:val="none"/>
        </w:rPr>
        <w:t>年，是我</w:t>
      </w:r>
      <w:r>
        <w:rPr>
          <w:rFonts w:hint="eastAsia"/>
          <w:kern w:val="0"/>
          <w:highlight w:val="none"/>
        </w:rPr>
        <w:t>区</w:t>
      </w:r>
      <w:r>
        <w:rPr>
          <w:rFonts w:hint="eastAsia" w:hAnsi="Calibri"/>
          <w:kern w:val="0"/>
          <w:highlight w:val="none"/>
        </w:rPr>
        <w:t>由全面建成小康社会向</w:t>
      </w:r>
      <w:r>
        <w:rPr>
          <w:rFonts w:hint="eastAsia"/>
          <w:kern w:val="0"/>
          <w:highlight w:val="none"/>
        </w:rPr>
        <w:t>全面</w:t>
      </w:r>
      <w:r>
        <w:rPr>
          <w:rFonts w:hint="eastAsia" w:hAnsi="Calibri"/>
          <w:kern w:val="0"/>
          <w:highlight w:val="none"/>
        </w:rPr>
        <w:t>建</w:t>
      </w:r>
      <w:r>
        <w:rPr>
          <w:rFonts w:hint="eastAsia"/>
          <w:kern w:val="0"/>
          <w:highlight w:val="none"/>
        </w:rPr>
        <w:t>设社会主义</w:t>
      </w:r>
      <w:r>
        <w:rPr>
          <w:rFonts w:hint="eastAsia" w:hAnsi="Calibri"/>
          <w:kern w:val="0"/>
          <w:highlight w:val="none"/>
        </w:rPr>
        <w:t>现代化的关键时期，坚持绿水青山就是金山银山理念，统筹山水林田湖草系统治理，加快推进全</w:t>
      </w:r>
      <w:r>
        <w:rPr>
          <w:rFonts w:hint="eastAsia"/>
          <w:kern w:val="0"/>
          <w:highlight w:val="none"/>
        </w:rPr>
        <w:t>区</w:t>
      </w:r>
      <w:r>
        <w:rPr>
          <w:rFonts w:hint="eastAsia" w:hAnsi="Calibri"/>
          <w:kern w:val="0"/>
          <w:highlight w:val="none"/>
        </w:rPr>
        <w:t>国土空间生态修复，构建生态安全格局，提升生态系统服务功能，守牢自然生态安全边界，将为建设人与自然和谐、生态</w:t>
      </w:r>
      <w:r>
        <w:rPr>
          <w:rFonts w:hint="eastAsia"/>
          <w:kern w:val="0"/>
          <w:highlight w:val="none"/>
        </w:rPr>
        <w:t>张店</w:t>
      </w:r>
      <w:r>
        <w:rPr>
          <w:rFonts w:hint="eastAsia" w:hAnsi="Calibri"/>
          <w:kern w:val="0"/>
          <w:highlight w:val="none"/>
        </w:rPr>
        <w:t>提供重要生态保障。</w:t>
      </w:r>
    </w:p>
    <w:p w14:paraId="149C976A">
      <w:pPr>
        <w:ind w:firstLine="600"/>
        <w:rPr>
          <w:rFonts w:hint="eastAsia" w:hAnsi="Calibri"/>
          <w:kern w:val="0"/>
          <w:highlight w:val="none"/>
        </w:rPr>
      </w:pPr>
      <w:r>
        <w:rPr>
          <w:rFonts w:hint="eastAsia" w:hAnsi="Calibri"/>
          <w:kern w:val="0"/>
          <w:highlight w:val="none"/>
        </w:rPr>
        <w:t>根据《自然资源部办公厅关于开展省级国土空间生态修复规划编制工作的通知》（自然资办〔</w:t>
      </w:r>
      <w:r>
        <w:rPr>
          <w:rFonts w:hint="eastAsia"/>
          <w:kern w:val="0"/>
          <w:highlight w:val="none"/>
        </w:rPr>
        <w:t>2020〕45</w:t>
      </w:r>
      <w:r>
        <w:rPr>
          <w:rFonts w:hint="eastAsia" w:hAnsi="Calibri"/>
          <w:kern w:val="0"/>
          <w:highlight w:val="none"/>
        </w:rPr>
        <w:t>号）</w:t>
      </w:r>
      <w:r>
        <w:rPr>
          <w:rFonts w:hint="eastAsia" w:hAnsi="Calibri"/>
          <w:kern w:val="0"/>
          <w:highlight w:val="none"/>
          <w:lang w:eastAsia="zh-CN"/>
        </w:rPr>
        <w:t>、</w:t>
      </w:r>
      <w:r>
        <w:rPr>
          <w:rFonts w:hint="eastAsia" w:hAnsi="Calibri"/>
          <w:kern w:val="0"/>
          <w:highlight w:val="none"/>
        </w:rPr>
        <w:t>《山东省自然资源厅关于开展市县级国土空间生态修复规划编制工作的通知》（鲁自然资字</w:t>
      </w:r>
      <w:r>
        <w:rPr>
          <w:rFonts w:hint="eastAsia"/>
          <w:kern w:val="0"/>
          <w:highlight w:val="none"/>
        </w:rPr>
        <w:t>〔2020〕123号</w:t>
      </w:r>
      <w:r>
        <w:rPr>
          <w:rFonts w:hint="eastAsia" w:hAnsi="Calibri"/>
          <w:kern w:val="0"/>
          <w:highlight w:val="none"/>
        </w:rPr>
        <w:t>）要求，为贯彻落实习总书记的重要指示精神，守住发展和生态两条底线，正确处理发展和生态环境保护的关系，顺应新形势新环境，积极应对</w:t>
      </w:r>
      <w:r>
        <w:rPr>
          <w:rFonts w:hint="eastAsia"/>
          <w:kern w:val="0"/>
          <w:highlight w:val="none"/>
        </w:rPr>
        <w:t>张店区</w:t>
      </w:r>
      <w:r>
        <w:rPr>
          <w:rFonts w:hint="eastAsia" w:hAnsi="Calibri"/>
          <w:kern w:val="0"/>
          <w:highlight w:val="none"/>
        </w:rPr>
        <w:t>国土空间生态修复的各类现实问题，特编制《</w:t>
      </w:r>
      <w:r>
        <w:rPr>
          <w:rFonts w:hint="eastAsia" w:hAnsi="Calibri"/>
          <w:kern w:val="0"/>
          <w:highlight w:val="none"/>
          <w:lang w:val="en-US" w:eastAsia="zh-CN"/>
        </w:rPr>
        <w:t>淄博市</w:t>
      </w:r>
      <w:r>
        <w:rPr>
          <w:rFonts w:hint="eastAsia"/>
          <w:kern w:val="0"/>
          <w:highlight w:val="none"/>
        </w:rPr>
        <w:t>张店区</w:t>
      </w:r>
      <w:r>
        <w:rPr>
          <w:rFonts w:hint="eastAsia" w:hAnsi="Calibri"/>
          <w:kern w:val="0"/>
          <w:highlight w:val="none"/>
        </w:rPr>
        <w:t>国土空间生态修复规划（202</w:t>
      </w:r>
      <w:r>
        <w:rPr>
          <w:rFonts w:hint="eastAsia"/>
          <w:kern w:val="0"/>
          <w:highlight w:val="none"/>
        </w:rPr>
        <w:t>1—</w:t>
      </w:r>
      <w:r>
        <w:rPr>
          <w:rFonts w:hint="eastAsia" w:hAnsi="Calibri"/>
          <w:kern w:val="0"/>
          <w:highlight w:val="none"/>
        </w:rPr>
        <w:t>203</w:t>
      </w:r>
      <w:r>
        <w:rPr>
          <w:rFonts w:hint="eastAsia"/>
          <w:kern w:val="0"/>
          <w:highlight w:val="none"/>
        </w:rPr>
        <w:t>5</w:t>
      </w:r>
      <w:r>
        <w:rPr>
          <w:rFonts w:hint="eastAsia" w:hAnsi="Calibri"/>
          <w:kern w:val="0"/>
          <w:highlight w:val="none"/>
        </w:rPr>
        <w:t>年）》（以下简称《规划》）。</w:t>
      </w:r>
    </w:p>
    <w:p w14:paraId="56696A77">
      <w:pPr>
        <w:ind w:firstLine="600"/>
        <w:rPr>
          <w:rFonts w:hint="eastAsia" w:hAnsi="Calibri"/>
          <w:kern w:val="0"/>
          <w:highlight w:val="none"/>
        </w:rPr>
      </w:pPr>
      <w:r>
        <w:rPr>
          <w:rFonts w:hint="eastAsia" w:hAnsi="Calibri"/>
          <w:kern w:val="0"/>
          <w:highlight w:val="none"/>
        </w:rPr>
        <w:t>《规划》充分衔接《山东省国土空间生态修复规划（2021—2035年）》《淄博市国土空间总体规划（2021—2035 年）》《淄博市国土空间生态修复规划（2021—2035年）》《张店区国民经济和社会发展第十四个五年规划和2035年远景目标纲要》等上位规划。结合我</w:t>
      </w:r>
      <w:r>
        <w:rPr>
          <w:rFonts w:hint="eastAsia"/>
          <w:kern w:val="0"/>
          <w:highlight w:val="none"/>
        </w:rPr>
        <w:t>区</w:t>
      </w:r>
      <w:r>
        <w:rPr>
          <w:rFonts w:hint="eastAsia" w:hAnsi="Calibri"/>
          <w:kern w:val="0"/>
          <w:highlight w:val="none"/>
        </w:rPr>
        <w:t>实际，贯彻落实主功能区战略，研究提出</w:t>
      </w:r>
      <w:r>
        <w:rPr>
          <w:rFonts w:hint="eastAsia"/>
          <w:kern w:val="0"/>
          <w:highlight w:val="none"/>
        </w:rPr>
        <w:t>2021—2035</w:t>
      </w:r>
      <w:r>
        <w:rPr>
          <w:rFonts w:hint="eastAsia" w:hAnsi="Calibri"/>
          <w:kern w:val="0"/>
          <w:highlight w:val="none"/>
        </w:rPr>
        <w:t>年我</w:t>
      </w:r>
      <w:r>
        <w:rPr>
          <w:rFonts w:hint="eastAsia"/>
          <w:kern w:val="0"/>
          <w:highlight w:val="none"/>
        </w:rPr>
        <w:t>区</w:t>
      </w:r>
      <w:r>
        <w:rPr>
          <w:rFonts w:hint="eastAsia" w:hAnsi="Calibri"/>
          <w:kern w:val="0"/>
          <w:highlight w:val="none"/>
        </w:rPr>
        <w:t>国土空间生态修复的指导思想、主要目标、修复格局，重点工程和实施保障，是我</w:t>
      </w:r>
      <w:r>
        <w:rPr>
          <w:rFonts w:hint="eastAsia"/>
          <w:kern w:val="0"/>
          <w:highlight w:val="none"/>
        </w:rPr>
        <w:t>区</w:t>
      </w:r>
      <w:r>
        <w:rPr>
          <w:rFonts w:hint="eastAsia" w:hAnsi="Calibri"/>
          <w:kern w:val="0"/>
          <w:highlight w:val="none"/>
        </w:rPr>
        <w:t>2022</w:t>
      </w:r>
      <w:r>
        <w:rPr>
          <w:rFonts w:hint="eastAsia"/>
          <w:kern w:val="0"/>
          <w:highlight w:val="none"/>
        </w:rPr>
        <w:t>—</w:t>
      </w:r>
      <w:r>
        <w:rPr>
          <w:rFonts w:hint="eastAsia" w:hAnsi="Calibri"/>
          <w:kern w:val="0"/>
          <w:highlight w:val="none"/>
        </w:rPr>
        <w:t>203</w:t>
      </w:r>
      <w:r>
        <w:rPr>
          <w:rFonts w:hint="eastAsia"/>
          <w:kern w:val="0"/>
          <w:highlight w:val="none"/>
        </w:rPr>
        <w:t>5</w:t>
      </w:r>
      <w:r>
        <w:rPr>
          <w:rFonts w:hint="eastAsia" w:hAnsi="Calibri"/>
          <w:kern w:val="0"/>
          <w:highlight w:val="none"/>
        </w:rPr>
        <w:t>年开展国土空间生态修复工作的指导性、纲领性文件。</w:t>
      </w:r>
    </w:p>
    <w:p w14:paraId="50CA60E8">
      <w:pPr>
        <w:ind w:firstLine="600"/>
        <w:rPr>
          <w:rFonts w:hAnsi="Calibri"/>
          <w:kern w:val="0"/>
          <w:highlight w:val="none"/>
        </w:rPr>
      </w:pPr>
      <w:r>
        <w:rPr>
          <w:rFonts w:hint="eastAsia" w:hAnsi="Calibri"/>
          <w:kern w:val="0"/>
          <w:highlight w:val="none"/>
        </w:rPr>
        <w:t>规划范围包括张店区的房镇镇、马尚街道、和平街道、公园街道、杏园街道、科苑街道</w:t>
      </w:r>
      <w:r>
        <w:rPr>
          <w:rFonts w:hint="eastAsia" w:hAnsi="Calibri"/>
          <w:kern w:val="0"/>
          <w:highlight w:val="none"/>
          <w:lang w:eastAsia="zh-CN"/>
        </w:rPr>
        <w:t>、</w:t>
      </w:r>
      <w:r>
        <w:rPr>
          <w:rFonts w:hint="eastAsia" w:hAnsi="Calibri"/>
          <w:kern w:val="0"/>
          <w:highlight w:val="none"/>
          <w:lang w:val="en-US" w:eastAsia="zh-CN"/>
        </w:rPr>
        <w:t>湖田街道</w:t>
      </w:r>
      <w:r>
        <w:rPr>
          <w:rFonts w:hint="eastAsia" w:hAnsi="Calibri"/>
          <w:kern w:val="0"/>
          <w:highlight w:val="none"/>
        </w:rPr>
        <w:t>和体育场街道，</w:t>
      </w:r>
      <w:r>
        <w:rPr>
          <w:rFonts w:hint="eastAsia" w:hAnsi="Calibri"/>
          <w:kern w:val="0"/>
          <w:highlight w:val="none"/>
          <w:lang w:val="en-US" w:eastAsia="zh-CN"/>
        </w:rPr>
        <w:t>不包括淄博市高新区和经开区范围，</w:t>
      </w:r>
      <w:r>
        <w:rPr>
          <w:rFonts w:hint="eastAsia" w:hAnsi="Calibri"/>
          <w:kern w:val="0"/>
          <w:highlight w:val="none"/>
        </w:rPr>
        <w:t>涉及国土空间总面积为123.06平方公里。规划基准年为202</w:t>
      </w:r>
      <w:r>
        <w:rPr>
          <w:rFonts w:hAnsi="Calibri"/>
          <w:kern w:val="0"/>
          <w:highlight w:val="none"/>
        </w:rPr>
        <w:t>0</w:t>
      </w:r>
      <w:r>
        <w:rPr>
          <w:rFonts w:hint="eastAsia" w:hAnsi="Calibri"/>
          <w:kern w:val="0"/>
          <w:highlight w:val="none"/>
        </w:rPr>
        <w:t>年，规划目标年为2035年，近期目标年为2025年。</w:t>
      </w:r>
    </w:p>
    <w:p w14:paraId="49489819">
      <w:pPr>
        <w:ind w:firstLine="600"/>
        <w:rPr>
          <w:rFonts w:hAnsi="Calibri"/>
          <w:kern w:val="0"/>
          <w:highlight w:val="none"/>
        </w:rPr>
        <w:sectPr>
          <w:footerReference r:id="rId7" w:type="default"/>
          <w:pgSz w:w="11906" w:h="16838"/>
          <w:pgMar w:top="1418" w:right="1418" w:bottom="1418" w:left="1418" w:header="851" w:footer="851" w:gutter="0"/>
          <w:pgNumType w:start="1"/>
          <w:cols w:space="720" w:num="1"/>
          <w:docGrid w:type="lines" w:linePitch="381" w:charSpace="0"/>
        </w:sectPr>
      </w:pPr>
    </w:p>
    <w:p w14:paraId="329F4136">
      <w:pPr>
        <w:pStyle w:val="2"/>
        <w:rPr>
          <w:highlight w:val="none"/>
        </w:rPr>
      </w:pPr>
      <w:bookmarkStart w:id="1" w:name="_Toc20830"/>
      <w:r>
        <w:rPr>
          <w:highlight w:val="none"/>
        </w:rPr>
        <w:t>第一章</w:t>
      </w:r>
      <w:r>
        <w:rPr>
          <w:rFonts w:hint="eastAsia"/>
          <w:highlight w:val="none"/>
        </w:rPr>
        <w:t xml:space="preserve">   面临的</w:t>
      </w:r>
      <w:r>
        <w:rPr>
          <w:highlight w:val="none"/>
        </w:rPr>
        <w:t>形势</w:t>
      </w:r>
      <w:bookmarkEnd w:id="1"/>
    </w:p>
    <w:p w14:paraId="2B83DD55">
      <w:pPr>
        <w:keepNext/>
        <w:keepLines/>
        <w:ind w:firstLine="0" w:firstLineChars="0"/>
        <w:jc w:val="center"/>
        <w:outlineLvl w:val="1"/>
        <w:rPr>
          <w:rFonts w:ascii="仿宋_GB2312" w:hAnsi="楷体" w:cs="楷体"/>
          <w:b/>
          <w:bCs/>
          <w:sz w:val="32"/>
          <w:szCs w:val="32"/>
          <w:highlight w:val="none"/>
        </w:rPr>
      </w:pPr>
      <w:bookmarkStart w:id="2" w:name="_Toc9693"/>
      <w:r>
        <w:rPr>
          <w:rFonts w:ascii="仿宋_GB2312" w:hAnsi="楷体" w:cs="楷体"/>
          <w:b/>
          <w:bCs/>
          <w:sz w:val="32"/>
          <w:szCs w:val="32"/>
          <w:highlight w:val="none"/>
        </w:rPr>
        <w:t>第一节</w:t>
      </w:r>
      <w:r>
        <w:rPr>
          <w:rFonts w:hint="eastAsia" w:ascii="仿宋_GB2312" w:hAnsi="楷体" w:cs="楷体"/>
          <w:b/>
          <w:bCs/>
          <w:sz w:val="32"/>
          <w:szCs w:val="32"/>
          <w:highlight w:val="none"/>
        </w:rPr>
        <w:t xml:space="preserve">   形势</w:t>
      </w:r>
      <w:r>
        <w:rPr>
          <w:rFonts w:ascii="仿宋_GB2312" w:hAnsi="楷体" w:cs="楷体"/>
          <w:b/>
          <w:bCs/>
          <w:sz w:val="32"/>
          <w:szCs w:val="32"/>
          <w:highlight w:val="none"/>
        </w:rPr>
        <w:t>与要求</w:t>
      </w:r>
      <w:bookmarkEnd w:id="2"/>
    </w:p>
    <w:p w14:paraId="77CFA14E">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一、规划实施背景</w:t>
      </w:r>
    </w:p>
    <w:p w14:paraId="5151CEB8">
      <w:pPr>
        <w:ind w:firstLine="600"/>
        <w:rPr>
          <w:rFonts w:hAnsi="Calibri"/>
          <w:highlight w:val="none"/>
        </w:rPr>
      </w:pPr>
      <w:r>
        <w:rPr>
          <w:highlight w:val="none"/>
        </w:rPr>
        <w:t>2013年11月，习近平总书记指出山水林田湖是生命共同体，用途管制和生态修复需遵循自然规律，否则易造成生态系统性破坏。2015年10月，党的十八届五中全会提出实施山水林田湖生态保护和修复工程，贯彻新发展理念。2016年9月，三部委联合发文指出开展山水林田湖草生态保护修复是生态文明建设重要内容等。根据国家在生态安全战略核心区域取得系统修复经验。2020年9月，自然资源部通知要求国土空间生态修复规划遵循基本国策和方针，“十三五”期间我国生态保护修复成绩显著，为规划制定实施提供支撑。2020年11月，省自然资源厅要求市县级贯彻相关通知总体思路，同步做好规划，明确坚持实事求是探索创新、统筹协调科学修复、问题导向突出重点、因地制宜分类施策四项基本原则，合理配置措施，严控相关工程。</w:t>
      </w:r>
    </w:p>
    <w:p w14:paraId="4B11464B">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二、规划内涵边界</w:t>
      </w:r>
    </w:p>
    <w:p w14:paraId="1CE012CD">
      <w:pPr>
        <w:ind w:firstLine="600"/>
        <w:rPr>
          <w:rFonts w:hAnsi="Calibri"/>
          <w:highlight w:val="none"/>
        </w:rPr>
      </w:pPr>
      <w:r>
        <w:rPr>
          <w:rFonts w:hint="eastAsia" w:hAnsi="Calibri"/>
          <w:highlight w:val="none"/>
        </w:rPr>
        <w:t>国土空间生态修复，是指遵循生态系统演替规律和内在机理，基于自然地理格局，适应气候变化趋势，依据国土空间规划，对生态功能退化、生态系统受损、空间格局失衡、自然资源开发利用不合理的生态、农业、城镇国土空间，统筹和科学开展山水林田湖草一体化保护修复的活动，是维护国家与区域生态安全、强化农田生态功能、提升城市生态品质的重要举措，是提升生态系统质量和稳定性、增强生态系统固碳能力、助力国土空间格局优化、提供优良生态产品的重要途径，是生态文明建设、加快建设人与自然和谐共生的现代化的重要支撑，通过实行国土空间生态整治、生态修复、生态重建等，构建“山为骨、水为脉、林为表、田为魂、湖为心、草为皮”的国土空间生态安全体系。</w:t>
      </w:r>
    </w:p>
    <w:p w14:paraId="7CDC9146">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三、规划定位、任务</w:t>
      </w:r>
    </w:p>
    <w:p w14:paraId="41A31BFE">
      <w:pPr>
        <w:pStyle w:val="5"/>
        <w:ind w:firstLine="600"/>
        <w:rPr>
          <w:highlight w:val="none"/>
        </w:rPr>
      </w:pPr>
      <w:r>
        <w:rPr>
          <w:rFonts w:hint="eastAsia"/>
          <w:highlight w:val="none"/>
        </w:rPr>
        <w:t>（一）规划定位</w:t>
      </w:r>
    </w:p>
    <w:p w14:paraId="67911F12">
      <w:pPr>
        <w:ind w:firstLine="600"/>
        <w:rPr>
          <w:rFonts w:hAnsi="Calibri"/>
          <w:highlight w:val="none"/>
        </w:rPr>
      </w:pPr>
      <w:r>
        <w:rPr>
          <w:rFonts w:hint="eastAsia"/>
          <w:highlight w:val="none"/>
          <w:lang w:eastAsia="zh-CN"/>
        </w:rPr>
        <w:t>（</w:t>
      </w:r>
      <w:r>
        <w:rPr>
          <w:rFonts w:hint="eastAsia"/>
          <w:highlight w:val="none"/>
          <w:lang w:val="en-US" w:eastAsia="zh-CN"/>
        </w:rPr>
        <w:t>区</w:t>
      </w:r>
      <w:r>
        <w:rPr>
          <w:rFonts w:hint="eastAsia"/>
          <w:highlight w:val="none"/>
          <w:lang w:eastAsia="zh-CN"/>
        </w:rPr>
        <w:t>）</w:t>
      </w:r>
      <w:r>
        <w:rPr>
          <w:rFonts w:hint="eastAsia"/>
          <w:highlight w:val="none"/>
        </w:rPr>
        <w:t>县</w:t>
      </w:r>
      <w:r>
        <w:rPr>
          <w:rFonts w:hint="eastAsia" w:hAnsi="Calibri"/>
          <w:highlight w:val="none"/>
        </w:rPr>
        <w:t>级国土空间生态修复规划是县级国土空间规划体系中的关键专项规划，承接市级规划，指导一定时期内区域国土空间生态修复的总纲和空间布局，是实施生态保护修复的重要基础，具体安排生态修复活动，并在整个国土空间生态修复规划体系中起着桥梁作用。</w:t>
      </w:r>
    </w:p>
    <w:p w14:paraId="081F141D">
      <w:pPr>
        <w:pStyle w:val="5"/>
        <w:ind w:firstLine="600"/>
        <w:rPr>
          <w:highlight w:val="none"/>
        </w:rPr>
      </w:pPr>
      <w:r>
        <w:rPr>
          <w:rFonts w:hint="eastAsia"/>
          <w:highlight w:val="none"/>
        </w:rPr>
        <w:t>（二）规划任务</w:t>
      </w:r>
    </w:p>
    <w:p w14:paraId="5231ABB4">
      <w:pPr>
        <w:ind w:firstLine="600"/>
        <w:rPr>
          <w:rFonts w:hAnsi="Calibri"/>
          <w:highlight w:val="none"/>
        </w:rPr>
      </w:pPr>
      <w:r>
        <w:rPr>
          <w:rFonts w:hint="eastAsia" w:hAnsi="Calibri"/>
          <w:highlight w:val="none"/>
        </w:rPr>
        <w:t>1.贯彻落实党中央、国务院重大决策部署和</w:t>
      </w:r>
      <w:r>
        <w:rPr>
          <w:rFonts w:hint="eastAsia"/>
          <w:highlight w:val="none"/>
        </w:rPr>
        <w:t>区委、区政府</w:t>
      </w:r>
      <w:r>
        <w:rPr>
          <w:rFonts w:hint="eastAsia" w:hAnsi="Calibri"/>
          <w:highlight w:val="none"/>
        </w:rPr>
        <w:t>生态文明建设要求，衔接区域发展战略，落实《黄河流域生态保护和高质量发展规划纲要》《山东省国土空间规划（2021—2035年）》《山东省国土空间生态修复规划（2021-2035）》《山东省自然资源厅“十四五”国土空间生态保护修复规划》《</w:t>
      </w:r>
      <w:r>
        <w:rPr>
          <w:rFonts w:hint="eastAsia"/>
          <w:highlight w:val="none"/>
        </w:rPr>
        <w:t>淄博市</w:t>
      </w:r>
      <w:r>
        <w:rPr>
          <w:rFonts w:hint="eastAsia" w:hAnsi="Calibri"/>
          <w:highlight w:val="none"/>
        </w:rPr>
        <w:t>国民经济和社会发展第十四个五年规划和2035年远景目标纲要》《</w:t>
      </w:r>
      <w:r>
        <w:rPr>
          <w:rFonts w:hint="eastAsia"/>
          <w:highlight w:val="none"/>
        </w:rPr>
        <w:t>张店区</w:t>
      </w:r>
      <w:r>
        <w:rPr>
          <w:rFonts w:hint="eastAsia" w:hAnsi="Calibri"/>
          <w:highlight w:val="none"/>
        </w:rPr>
        <w:t>国民经济和社会发展第十四个五年规划和2035年远景目标纲要》等国家、省</w:t>
      </w:r>
      <w:r>
        <w:rPr>
          <w:rFonts w:hint="eastAsia"/>
          <w:highlight w:val="none"/>
        </w:rPr>
        <w:t>、</w:t>
      </w:r>
      <w:r>
        <w:rPr>
          <w:rFonts w:hint="eastAsia" w:hAnsi="Calibri"/>
          <w:highlight w:val="none"/>
        </w:rPr>
        <w:t>市</w:t>
      </w:r>
      <w:r>
        <w:rPr>
          <w:rFonts w:hint="eastAsia"/>
          <w:highlight w:val="none"/>
        </w:rPr>
        <w:t>、区</w:t>
      </w:r>
      <w:r>
        <w:rPr>
          <w:rFonts w:hint="eastAsia" w:hAnsi="Calibri"/>
          <w:highlight w:val="none"/>
        </w:rPr>
        <w:t>相关规划确定的生态修复任务。</w:t>
      </w:r>
    </w:p>
    <w:p w14:paraId="37EF3C56">
      <w:pPr>
        <w:ind w:firstLine="600"/>
        <w:rPr>
          <w:rFonts w:hAnsi="Calibri"/>
          <w:highlight w:val="none"/>
        </w:rPr>
      </w:pPr>
      <w:r>
        <w:rPr>
          <w:rFonts w:hint="eastAsia" w:hAnsi="Calibri"/>
          <w:highlight w:val="none"/>
        </w:rPr>
        <w:t>2.基于生态系统演替规律和内在机理，识别区域生态问题，预判重大生态风险。</w:t>
      </w:r>
    </w:p>
    <w:p w14:paraId="6587A7DA">
      <w:pPr>
        <w:ind w:firstLine="600"/>
        <w:rPr>
          <w:rFonts w:hAnsi="Calibri"/>
          <w:highlight w:val="none"/>
        </w:rPr>
      </w:pPr>
      <w:r>
        <w:rPr>
          <w:rFonts w:hint="eastAsia" w:hAnsi="Calibri"/>
          <w:highlight w:val="none"/>
        </w:rPr>
        <w:t>3.谋划</w:t>
      </w:r>
      <w:r>
        <w:rPr>
          <w:rFonts w:hint="eastAsia"/>
          <w:highlight w:val="none"/>
        </w:rPr>
        <w:t>区</w:t>
      </w:r>
      <w:r>
        <w:rPr>
          <w:rFonts w:hint="eastAsia" w:hAnsi="Calibri"/>
          <w:highlight w:val="none"/>
        </w:rPr>
        <w:t>域生态修复总体布局，明确生态修复目标任务，确定生态修复重点区域、重点工程和重点项目。</w:t>
      </w:r>
    </w:p>
    <w:p w14:paraId="191C2036">
      <w:pPr>
        <w:ind w:firstLine="600"/>
        <w:rPr>
          <w:rFonts w:hAnsi="Calibri"/>
          <w:highlight w:val="none"/>
        </w:rPr>
      </w:pPr>
      <w:r>
        <w:rPr>
          <w:rFonts w:hint="eastAsia" w:hAnsi="Calibri"/>
          <w:highlight w:val="none"/>
        </w:rPr>
        <w:t>4.提出规划创新与实施的保障举措，积极探索并建立健全由政府主导，企业、社会各界共同参与的生态价值转化机制。</w:t>
      </w:r>
    </w:p>
    <w:p w14:paraId="533DA975">
      <w:pPr>
        <w:keepNext/>
        <w:keepLines/>
        <w:ind w:firstLine="0" w:firstLineChars="0"/>
        <w:jc w:val="center"/>
        <w:outlineLvl w:val="1"/>
        <w:rPr>
          <w:rFonts w:ascii="仿宋_GB2312" w:hAnsi="楷体" w:cs="楷体"/>
          <w:b/>
          <w:bCs/>
          <w:sz w:val="32"/>
          <w:szCs w:val="32"/>
          <w:highlight w:val="none"/>
        </w:rPr>
      </w:pPr>
      <w:bookmarkStart w:id="3" w:name="_Toc4780"/>
      <w:r>
        <w:rPr>
          <w:rFonts w:hint="eastAsia" w:ascii="仿宋_GB2312" w:hAnsi="楷体" w:cs="楷体"/>
          <w:b/>
          <w:bCs/>
          <w:sz w:val="32"/>
          <w:szCs w:val="32"/>
          <w:highlight w:val="none"/>
        </w:rPr>
        <w:t>第二节   生态修复工作成效</w:t>
      </w:r>
      <w:bookmarkEnd w:id="3"/>
    </w:p>
    <w:p w14:paraId="7C98B8C7">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一、地质环境治理稳步实施</w:t>
      </w:r>
    </w:p>
    <w:p w14:paraId="38FCF82A">
      <w:pPr>
        <w:ind w:firstLine="600"/>
        <w:rPr>
          <w:rFonts w:hint="eastAsia"/>
          <w:highlight w:val="none"/>
        </w:rPr>
      </w:pPr>
      <w:r>
        <w:rPr>
          <w:rFonts w:hint="eastAsia"/>
          <w:highlight w:val="none"/>
        </w:rPr>
        <w:t>淄博市张店区在生态环境保护与矿山治理领域始终秉持着高度负责的态度，积极践行绿色发展理念。目前，张店区境内已不存在露天开采矿山在产企业，这一成果标志着区域在淘汰落后产能、推动产业绿色转型方面迈出了坚实一步。</w:t>
      </w:r>
    </w:p>
    <w:p w14:paraId="52539897">
      <w:pPr>
        <w:ind w:firstLine="600"/>
        <w:rPr>
          <w:rFonts w:hint="eastAsia"/>
          <w:highlight w:val="none"/>
        </w:rPr>
      </w:pPr>
      <w:r>
        <w:rPr>
          <w:rFonts w:hint="eastAsia"/>
          <w:highlight w:val="none"/>
        </w:rPr>
        <w:t>为进一步巩固和提升生态环境质量，张店区相关部门针对历史遗留露天矿山展开了全面且细致的排查工作。通过实地勘测、资料查阅以及与当地居民沟通等多种方式，全面掌握历史遗留露天矿山的分布、现状及潜在环境风险等信息。基于排查结果，张店区迅速制定并出台了《张店区已关闭矿山生态修复等工地扬尘污染整治专项行动方案》</w:t>
      </w:r>
      <w:r>
        <w:rPr>
          <w:rFonts w:hint="eastAsia"/>
          <w:highlight w:val="none"/>
          <w:lang w:eastAsia="zh-CN"/>
        </w:rPr>
        <w:t>，</w:t>
      </w:r>
      <w:r>
        <w:rPr>
          <w:rFonts w:hint="eastAsia"/>
          <w:highlight w:val="none"/>
        </w:rPr>
        <w:t>明确了整治目标、任务分工、时间节点以及具体措施，为后续的矿山生态修复和扬尘污染整治工作提供了科学、系统的指导。</w:t>
      </w:r>
    </w:p>
    <w:p w14:paraId="7E20C6E9">
      <w:pPr>
        <w:ind w:firstLine="600"/>
        <w:rPr>
          <w:rFonts w:hint="eastAsia"/>
          <w:highlight w:val="none"/>
        </w:rPr>
      </w:pPr>
      <w:r>
        <w:rPr>
          <w:rFonts w:hint="eastAsia"/>
          <w:highlight w:val="none"/>
        </w:rPr>
        <w:t>在具体实施过程中，张店区将湖田石矿等重点区域作为整治工作的关键着力点</w:t>
      </w:r>
      <w:r>
        <w:rPr>
          <w:rFonts w:hint="eastAsia"/>
          <w:highlight w:val="none"/>
          <w:lang w:eastAsia="zh-CN"/>
        </w:rPr>
        <w:t>，</w:t>
      </w:r>
      <w:r>
        <w:rPr>
          <w:rFonts w:hint="eastAsia"/>
          <w:highlight w:val="none"/>
          <w:lang w:val="en-US" w:eastAsia="zh-CN"/>
        </w:rPr>
        <w:t>该区域</w:t>
      </w:r>
      <w:r>
        <w:rPr>
          <w:rFonts w:hint="eastAsia"/>
          <w:highlight w:val="none"/>
        </w:rPr>
        <w:t>已于202</w:t>
      </w:r>
      <w:r>
        <w:rPr>
          <w:rFonts w:hint="eastAsia"/>
          <w:highlight w:val="none"/>
          <w:lang w:val="en-US" w:eastAsia="zh-CN"/>
        </w:rPr>
        <w:t>1</w:t>
      </w:r>
      <w:r>
        <w:rPr>
          <w:rFonts w:hint="eastAsia"/>
          <w:highlight w:val="none"/>
        </w:rPr>
        <w:t>年完成修复任务，目前持续开展监测监管工作。相关部门定期组织专业人员对湖田石矿进行督导检查，重点查看修复区域的植被生长状况、水土保持情况以及是否存在扬尘污染隐患等。针对检查中发现的问题，及时制定详细的治理方案，明确责任主体和整改时限，确保问题得到及时有效解决。</w:t>
      </w:r>
    </w:p>
    <w:p w14:paraId="0B211B42">
      <w:pPr>
        <w:ind w:firstLine="600"/>
        <w:rPr>
          <w:rFonts w:hint="eastAsia"/>
          <w:highlight w:val="none"/>
        </w:rPr>
      </w:pPr>
      <w:r>
        <w:rPr>
          <w:rFonts w:hint="eastAsia"/>
          <w:highlight w:val="none"/>
        </w:rPr>
        <w:t>为确保矿山生态修复和扬尘污染整治工作取得长效成果，张店区还注重建立健全长效管理机制。一方面，加强对矿山生态修复工程的后期维护和管理，确保修复区域的生态功能持续稳定发挥；另一方面，加大对已关闭矿山及周边区域的日常巡查力度，严厉打击非法开采、偷倒垃圾等破坏生态环境的行为。同时，张店区还组织“回头看”行动，对已完成整治的矿山进行复查，巩固已有成果，防止问题反弹。</w:t>
      </w:r>
    </w:p>
    <w:p w14:paraId="381AAC26">
      <w:pPr>
        <w:ind w:firstLine="600"/>
        <w:rPr>
          <w:highlight w:val="none"/>
        </w:rPr>
      </w:pPr>
      <w:r>
        <w:rPr>
          <w:rFonts w:hint="eastAsia"/>
          <w:highlight w:val="none"/>
        </w:rPr>
        <w:t>通过一系列有力举措，张店区在历史遗留露天矿山生态修复和扬尘污染整治方面取得了显著成效，不仅改善了区域生态环境质量，也为其他地区提供了可借鉴的经验和模式。</w:t>
      </w:r>
    </w:p>
    <w:p w14:paraId="7F2481DF">
      <w:pPr>
        <w:keepNext/>
        <w:keepLines/>
        <w:ind w:firstLine="600"/>
        <w:outlineLvl w:val="2"/>
        <w:rPr>
          <w:rFonts w:ascii="仿宋_GB2312" w:hAnsi="Calibri" w:eastAsia="黑体"/>
          <w:bCs/>
          <w:szCs w:val="32"/>
          <w:highlight w:val="none"/>
        </w:rPr>
      </w:pPr>
      <w:r>
        <w:rPr>
          <w:rFonts w:hint="eastAsia" w:eastAsia="黑体"/>
          <w:bCs/>
          <w:szCs w:val="32"/>
          <w:highlight w:val="none"/>
        </w:rPr>
        <w:t>二</w:t>
      </w:r>
      <w:r>
        <w:rPr>
          <w:rFonts w:hint="eastAsia" w:ascii="仿宋_GB2312" w:hAnsi="Calibri" w:eastAsia="黑体"/>
          <w:bCs/>
          <w:szCs w:val="32"/>
          <w:highlight w:val="none"/>
        </w:rPr>
        <w:t>、河湖生态系统建设成果显著</w:t>
      </w:r>
    </w:p>
    <w:p w14:paraId="0B31C46D">
      <w:pPr>
        <w:ind w:firstLine="600"/>
        <w:rPr>
          <w:rFonts w:hint="eastAsia"/>
          <w:highlight w:val="none"/>
        </w:rPr>
      </w:pPr>
      <w:r>
        <w:rPr>
          <w:rFonts w:hint="eastAsia"/>
          <w:highlight w:val="none"/>
        </w:rPr>
        <w:t>为切实加强河湖与水利工程的管理保护，提升区域水生态环境质量与防洪能力，淄博市张店区严格依据《山东省河湖管理范围和水利工程管理与保护范围划界确权工作技术指南（试行）》的技术要求，全面推进辖区内河湖的划界确权工作。</w:t>
      </w:r>
    </w:p>
    <w:p w14:paraId="0A95D29A">
      <w:pPr>
        <w:ind w:firstLine="600"/>
        <w:rPr>
          <w:rFonts w:hint="eastAsia"/>
          <w:highlight w:val="none"/>
        </w:rPr>
      </w:pPr>
      <w:r>
        <w:rPr>
          <w:rFonts w:hint="eastAsia"/>
          <w:highlight w:val="none"/>
        </w:rPr>
        <w:t>工作人员深入实地，对孝妇河、涝淄河、东潴龙河、南部排洪沟、润淄河、玉龙河这6条蜿蜒流淌的河道，以及风景秀丽的齐盛湖进行了细致的勘测与规划。在划界过程中，充分考虑到河道的自然形态、水流特性以及周边生态环境等多方面因素，确保划界结果科学合理、符合实际。经过不懈努力，成功完成了上述河湖的管理范围划界工作，并迅速推进后续的界桩和公告牌安装工作。不仅明确了河湖的管理边界，也为广大市民起到了宣传警示作用，提高了公众对河湖保护的意识。</w:t>
      </w:r>
    </w:p>
    <w:p w14:paraId="5DFF28AD">
      <w:pPr>
        <w:ind w:firstLine="600"/>
        <w:rPr>
          <w:rFonts w:hint="eastAsia"/>
          <w:highlight w:val="none"/>
        </w:rPr>
      </w:pPr>
      <w:r>
        <w:rPr>
          <w:rFonts w:hint="eastAsia"/>
          <w:highlight w:val="none"/>
        </w:rPr>
        <w:t>与此同时，针对中心城区部分河道行洪标准过低、堵点较多的突出问题，张店区积极谋划并实施了综合治理工程。相关部门组织专业团队对东潴龙河、玉龙河、涝淄河三条河道进行了全面深入的调研和分析，制定了详细的高标准改造方案。在改造过程中，注重生态修复与防洪安全并重，采用了先进的工程技术手段，对河道进行清淤疏浚、拓宽河道、加固堤防等施工，有效提升了河道的行洪能力。同时，大力推进生态护坡建设，种植了大量的水生植物和岸坡植被，为水生生物提供了良好的栖息环境。</w:t>
      </w:r>
    </w:p>
    <w:p w14:paraId="6C9BA698">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三、土地综合整治效益明显</w:t>
      </w:r>
    </w:p>
    <w:p w14:paraId="522D08F2">
      <w:pPr>
        <w:ind w:firstLine="600"/>
        <w:rPr>
          <w:highlight w:val="none"/>
        </w:rPr>
      </w:pPr>
      <w:r>
        <w:rPr>
          <w:rFonts w:hint="eastAsia"/>
          <w:highlight w:val="none"/>
        </w:rPr>
        <w:t>深化低效用地整治，全力推进湖田石矿、山铝地块低效用地改造提升，梳理整合辖区其他闲散低效用地</w:t>
      </w:r>
      <w:r>
        <w:rPr>
          <w:rFonts w:hint="eastAsia" w:ascii="仿宋_GB2312" w:hAnsi="仿宋_GB2312" w:cs="仿宋_GB2312"/>
          <w:sz w:val="32"/>
          <w:szCs w:val="32"/>
          <w:highlight w:val="none"/>
        </w:rPr>
        <w:t>，新增耕地22.953亩</w:t>
      </w:r>
      <w:r>
        <w:rPr>
          <w:rFonts w:hint="eastAsia"/>
          <w:highlight w:val="none"/>
        </w:rPr>
        <w:t>。全域公园城市建设日新月异，现有5万</w:t>
      </w:r>
      <w:r>
        <w:rPr>
          <w:rFonts w:hint="eastAsia"/>
          <w:highlight w:val="none"/>
          <w:lang w:val="en-US" w:eastAsia="zh-CN"/>
        </w:rPr>
        <w:t>平方米</w:t>
      </w:r>
      <w:r>
        <w:rPr>
          <w:rFonts w:hint="eastAsia"/>
          <w:highlight w:val="none"/>
        </w:rPr>
        <w:t>以上的大型公园、广场7处，80余处街头游园点缀其间，主次干道两侧绿化连点成线，形成覆盖全域的城市绿地系统。</w:t>
      </w:r>
    </w:p>
    <w:p w14:paraId="5246A2F7">
      <w:pPr>
        <w:keepNext/>
        <w:keepLines/>
        <w:ind w:firstLine="0" w:firstLineChars="0"/>
        <w:jc w:val="center"/>
        <w:outlineLvl w:val="1"/>
        <w:rPr>
          <w:rFonts w:ascii="仿宋_GB2312" w:hAnsi="楷体" w:cs="楷体"/>
          <w:b/>
          <w:bCs/>
          <w:sz w:val="32"/>
          <w:szCs w:val="32"/>
          <w:highlight w:val="none"/>
        </w:rPr>
      </w:pPr>
      <w:bookmarkStart w:id="4" w:name="_Toc11020"/>
      <w:r>
        <w:rPr>
          <w:rFonts w:hint="eastAsia" w:ascii="仿宋_GB2312" w:hAnsi="楷体" w:cs="楷体"/>
          <w:b/>
          <w:bCs/>
          <w:sz w:val="32"/>
          <w:szCs w:val="32"/>
          <w:highlight w:val="none"/>
        </w:rPr>
        <w:t>第三节   机遇与挑战</w:t>
      </w:r>
      <w:bookmarkEnd w:id="4"/>
    </w:p>
    <w:p w14:paraId="6C1C7019">
      <w:pPr>
        <w:ind w:firstLine="600"/>
        <w:rPr>
          <w:rFonts w:hAnsi="Calibri"/>
          <w:highlight w:val="none"/>
        </w:rPr>
      </w:pPr>
      <w:r>
        <w:rPr>
          <w:rFonts w:hint="eastAsia" w:hAnsi="Calibri"/>
          <w:highlight w:val="none"/>
        </w:rPr>
        <w:t>党的十八大以来，以习近平同志为核心的党中央将生态文明建设纳入中国特色社会主义事业“五位一体”总体布局，为国土空间生态修复工作提供了根本遵循。习近平总书记在济南召开的深入推动黄河流域生态保护和高质量发展座谈会上强调，要科学分析当前黄河流域生态保护和高质量发展形势，把握好推动黄河流域生态保护和高质量发展的重大问题，咬定目标、脚踏实地，埋头苦干、久久为功，确保“十四五”时期黄河流域生态保护和高质量发展取得明显成效，为黄河永远造福中华民族而不懈奋斗，为我省国土空间生态修复工作指明了方向。国家制定的《全国重要生态系统保护和修复重大工程总体规划（</w:t>
      </w:r>
      <w:r>
        <w:rPr>
          <w:rFonts w:hint="eastAsia"/>
          <w:highlight w:val="none"/>
        </w:rPr>
        <w:t>2022—2030</w:t>
      </w:r>
      <w:r>
        <w:rPr>
          <w:rFonts w:hint="eastAsia" w:hAnsi="Calibri"/>
          <w:highlight w:val="none"/>
        </w:rPr>
        <w:t>年）》《黄河流域生态保护和高质量发展规划纲要》中，在全国生态保护和修复战略格局中赋予我省重要位置，为我省国土空间生态修复工作明确了具体要求。</w:t>
      </w:r>
    </w:p>
    <w:p w14:paraId="476D53EC">
      <w:pPr>
        <w:ind w:firstLine="600"/>
        <w:rPr>
          <w:rFonts w:hAnsi="Calibri"/>
          <w:highlight w:val="none"/>
          <w:u w:val="single"/>
        </w:rPr>
      </w:pPr>
      <w:r>
        <w:rPr>
          <w:rFonts w:hint="eastAsia" w:hAnsi="Calibri"/>
          <w:highlight w:val="none"/>
        </w:rPr>
        <w:t>国土空间生态保护和修复是自然资源领域的一项整体性、系统性、复杂性、长期性工作，必须顺应新时代要求，统筹谋划全</w:t>
      </w:r>
      <w:r>
        <w:rPr>
          <w:rFonts w:hint="eastAsia"/>
          <w:highlight w:val="none"/>
        </w:rPr>
        <w:t>区</w:t>
      </w:r>
      <w:r>
        <w:rPr>
          <w:rFonts w:hint="eastAsia" w:hAnsi="Calibri"/>
          <w:highlight w:val="none"/>
        </w:rPr>
        <w:t>国土空间生态修复总体布局，逐步推进国土空间全域生态保护修复，实行山水林田湖草沙整体保护、系统修复、综合治理，保护修复重要生态系统，为社会主义现代化强</w:t>
      </w:r>
      <w:r>
        <w:rPr>
          <w:rFonts w:hint="eastAsia"/>
          <w:highlight w:val="none"/>
        </w:rPr>
        <w:t>区</w:t>
      </w:r>
      <w:r>
        <w:rPr>
          <w:rFonts w:hint="eastAsia" w:hAnsi="Calibri"/>
          <w:highlight w:val="none"/>
        </w:rPr>
        <w:t>建设和“生态</w:t>
      </w:r>
      <w:r>
        <w:rPr>
          <w:rFonts w:hint="eastAsia"/>
          <w:highlight w:val="none"/>
        </w:rPr>
        <w:t>张店</w:t>
      </w:r>
      <w:r>
        <w:rPr>
          <w:rFonts w:hint="eastAsia" w:hAnsi="Calibri"/>
          <w:highlight w:val="none"/>
        </w:rPr>
        <w:t>”建设目标奠定坚实的生态基础。同时，要清醒看到，我</w:t>
      </w:r>
      <w:r>
        <w:rPr>
          <w:rFonts w:hint="eastAsia"/>
          <w:highlight w:val="none"/>
        </w:rPr>
        <w:t>区</w:t>
      </w:r>
      <w:r>
        <w:rPr>
          <w:rFonts w:hint="eastAsia" w:hAnsi="Calibri"/>
          <w:highlight w:val="none"/>
        </w:rPr>
        <w:t xml:space="preserve">正处于新旧动能转换和高质量发展的拐点期、攻坚期、突破期，结构性矛盾依然突出，城镇空间进一步拓展将导致生态空间受到挤压，生态建设与保护的压力不断加大；环境空间、资源空间上限承压，资源能源集约节约利用水平需要进一步提高，生态建设任重道远；国家相继出台遏制耕地“非农化”、防止耕地“非粮化”等耕地保护政策，严格控制生态退耕，对生态保护修复工作提出了更高的要求。 </w:t>
      </w:r>
    </w:p>
    <w:p w14:paraId="26260345">
      <w:pPr>
        <w:ind w:firstLine="600"/>
        <w:rPr>
          <w:rFonts w:hAnsi="Calibri"/>
          <w:highlight w:val="none"/>
        </w:rPr>
      </w:pPr>
      <w:r>
        <w:rPr>
          <w:rFonts w:hint="eastAsia" w:hAnsi="Calibri"/>
          <w:highlight w:val="none"/>
        </w:rPr>
        <w:t>综上，生态修复机遇与挑战并存，困难与压力同在，把握大势、胸怀大局，在坚持稳中求进的基础上，科学把握新发展阶段，贯彻新发展理念，主动融入新发展格局，守正笃实，久久为功，在挑战中觅先机，于变局中育机遇。</w:t>
      </w:r>
    </w:p>
    <w:p w14:paraId="4162FB50">
      <w:pPr>
        <w:widowControl/>
        <w:snapToGrid/>
        <w:spacing w:line="240" w:lineRule="auto"/>
        <w:ind w:firstLine="0" w:firstLineChars="0"/>
        <w:jc w:val="left"/>
        <w:rPr>
          <w:rFonts w:ascii="仿宋_GB2312" w:hAnsi="Calibri" w:eastAsia="黑体"/>
          <w:bCs/>
          <w:kern w:val="44"/>
          <w:sz w:val="36"/>
          <w:szCs w:val="44"/>
          <w:highlight w:val="none"/>
        </w:rPr>
      </w:pPr>
      <w:r>
        <w:rPr>
          <w:highlight w:val="none"/>
        </w:rPr>
        <w:br w:type="page"/>
      </w:r>
    </w:p>
    <w:p w14:paraId="7EE919FC">
      <w:pPr>
        <w:pStyle w:val="2"/>
        <w:rPr>
          <w:highlight w:val="none"/>
        </w:rPr>
      </w:pPr>
      <w:bookmarkStart w:id="5" w:name="_Toc11381"/>
      <w:r>
        <w:rPr>
          <w:highlight w:val="none"/>
        </w:rPr>
        <w:t>第二章</w:t>
      </w:r>
      <w:r>
        <w:rPr>
          <w:rFonts w:hint="eastAsia"/>
          <w:highlight w:val="none"/>
        </w:rPr>
        <w:t xml:space="preserve">   生态</w:t>
      </w:r>
      <w:r>
        <w:rPr>
          <w:highlight w:val="none"/>
        </w:rPr>
        <w:t>现状与主要问题</w:t>
      </w:r>
      <w:bookmarkEnd w:id="5"/>
    </w:p>
    <w:p w14:paraId="1F00C169">
      <w:pPr>
        <w:keepNext/>
        <w:keepLines/>
        <w:ind w:firstLine="0" w:firstLineChars="0"/>
        <w:jc w:val="center"/>
        <w:outlineLvl w:val="1"/>
        <w:rPr>
          <w:rFonts w:ascii="仿宋_GB2312" w:hAnsi="楷体" w:cs="楷体"/>
          <w:b/>
          <w:bCs/>
          <w:sz w:val="32"/>
          <w:szCs w:val="32"/>
          <w:highlight w:val="none"/>
        </w:rPr>
      </w:pPr>
      <w:bookmarkStart w:id="6" w:name="_Toc21455"/>
      <w:r>
        <w:rPr>
          <w:rFonts w:ascii="仿宋_GB2312" w:hAnsi="楷体" w:cs="楷体"/>
          <w:b/>
          <w:bCs/>
          <w:sz w:val="32"/>
          <w:szCs w:val="32"/>
          <w:highlight w:val="none"/>
        </w:rPr>
        <w:t>第一节</w:t>
      </w:r>
      <w:r>
        <w:rPr>
          <w:rFonts w:hint="eastAsia" w:ascii="仿宋_GB2312" w:hAnsi="楷体" w:cs="楷体"/>
          <w:b/>
          <w:bCs/>
          <w:sz w:val="32"/>
          <w:szCs w:val="32"/>
          <w:highlight w:val="none"/>
        </w:rPr>
        <w:t xml:space="preserve">   自然地理</w:t>
      </w:r>
      <w:r>
        <w:rPr>
          <w:rFonts w:ascii="仿宋_GB2312" w:hAnsi="楷体" w:cs="楷体"/>
          <w:b/>
          <w:bCs/>
          <w:sz w:val="32"/>
          <w:szCs w:val="32"/>
          <w:highlight w:val="none"/>
        </w:rPr>
        <w:t>和生态现状</w:t>
      </w:r>
      <w:bookmarkEnd w:id="6"/>
    </w:p>
    <w:p w14:paraId="3F38B4E9">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一、自然地理概况</w:t>
      </w:r>
    </w:p>
    <w:p w14:paraId="13C3D1A5">
      <w:pPr>
        <w:pStyle w:val="5"/>
        <w:ind w:firstLine="600"/>
        <w:rPr>
          <w:highlight w:val="none"/>
        </w:rPr>
      </w:pPr>
      <w:r>
        <w:rPr>
          <w:rFonts w:hint="eastAsia"/>
          <w:highlight w:val="none"/>
        </w:rPr>
        <w:t>（一）交通位置</w:t>
      </w:r>
    </w:p>
    <w:p w14:paraId="5DE51DBE">
      <w:pPr>
        <w:ind w:firstLine="600"/>
        <w:rPr>
          <w:highlight w:val="none"/>
        </w:rPr>
      </w:pPr>
      <w:r>
        <w:rPr>
          <w:rFonts w:hint="eastAsia" w:ascii="仿宋_GB2312"/>
          <w:highlight w:val="none"/>
        </w:rPr>
        <w:t>淄博市张店区位于北纬</w:t>
      </w:r>
      <w:r>
        <w:rPr>
          <w:highlight w:val="none"/>
        </w:rPr>
        <w:t>36°4′30″</w:t>
      </w:r>
      <w:r>
        <w:rPr>
          <w:rFonts w:hint="eastAsia" w:ascii="仿宋_GB2312"/>
          <w:highlight w:val="none"/>
        </w:rPr>
        <w:t>-</w:t>
      </w:r>
      <w:r>
        <w:rPr>
          <w:highlight w:val="none"/>
        </w:rPr>
        <w:t>36°54′00″</w:t>
      </w:r>
      <w:r>
        <w:rPr>
          <w:rFonts w:hint="eastAsia" w:ascii="仿宋_GB2312"/>
          <w:highlight w:val="none"/>
        </w:rPr>
        <w:t>，东经</w:t>
      </w:r>
      <w:r>
        <w:rPr>
          <w:highlight w:val="none"/>
        </w:rPr>
        <w:t>117°55′40″</w:t>
      </w:r>
      <w:r>
        <w:rPr>
          <w:rFonts w:hint="eastAsia" w:ascii="仿宋_GB2312"/>
          <w:highlight w:val="none"/>
        </w:rPr>
        <w:t>-</w:t>
      </w:r>
      <w:r>
        <w:rPr>
          <w:highlight w:val="none"/>
        </w:rPr>
        <w:t>118°12′20″</w:t>
      </w:r>
      <w:r>
        <w:rPr>
          <w:rFonts w:hint="eastAsia" w:ascii="仿宋_GB2312"/>
          <w:highlight w:val="none"/>
        </w:rPr>
        <w:t>，</w:t>
      </w:r>
      <w:r>
        <w:rPr>
          <w:highlight w:val="none"/>
        </w:rPr>
        <w:t>张店区辖车站街道、公园街道、和平街道、科苑街道、体育场街道、马尚街道、</w:t>
      </w:r>
      <w:r>
        <w:rPr>
          <w:rFonts w:hint="eastAsia"/>
          <w:highlight w:val="none"/>
          <w:lang w:val="en-US" w:eastAsia="zh-CN"/>
        </w:rPr>
        <w:t>湖田街道和</w:t>
      </w:r>
      <w:r>
        <w:rPr>
          <w:highlight w:val="none"/>
        </w:rPr>
        <w:t>房镇镇。地处鲁中，东与临淄相接，西与周村毗邻，南与淄川接壤，北与桓台为邻。全区东西最大横跨24.5</w:t>
      </w:r>
      <w:r>
        <w:rPr>
          <w:rFonts w:hint="eastAsia"/>
          <w:highlight w:val="none"/>
          <w:lang w:val="en-US" w:eastAsia="zh-CN"/>
        </w:rPr>
        <w:t>千米</w:t>
      </w:r>
      <w:r>
        <w:rPr>
          <w:highlight w:val="none"/>
        </w:rPr>
        <w:t>，南北最大纵距21.1</w:t>
      </w:r>
      <w:r>
        <w:rPr>
          <w:rFonts w:hint="eastAsia"/>
          <w:highlight w:val="none"/>
          <w:lang w:val="en-US" w:eastAsia="zh-CN"/>
        </w:rPr>
        <w:t>千米</w:t>
      </w:r>
      <w:r>
        <w:rPr>
          <w:highlight w:val="none"/>
        </w:rPr>
        <w:t>，总面积123.06</w:t>
      </w:r>
      <w:r>
        <w:rPr>
          <w:rFonts w:hint="eastAsia"/>
          <w:highlight w:val="none"/>
          <w:lang w:val="en-US" w:eastAsia="zh-CN"/>
        </w:rPr>
        <w:t>平方</w:t>
      </w:r>
      <w:r>
        <w:rPr>
          <w:rFonts w:hint="default"/>
          <w:highlight w:val="none"/>
          <w:lang w:eastAsia="zh-CN"/>
        </w:rPr>
        <w:t>公里</w:t>
      </w:r>
      <w:r>
        <w:rPr>
          <w:highlight w:val="none"/>
        </w:rPr>
        <w:t>。淄博市张店区地理位置优越，距省会济南110</w:t>
      </w:r>
      <w:r>
        <w:rPr>
          <w:rFonts w:hint="eastAsia"/>
          <w:highlight w:val="none"/>
          <w:lang w:val="en-US" w:eastAsia="zh-CN"/>
        </w:rPr>
        <w:t>千米</w:t>
      </w:r>
      <w:r>
        <w:rPr>
          <w:highlight w:val="none"/>
        </w:rPr>
        <w:t>，距济南国际机场70</w:t>
      </w:r>
      <w:r>
        <w:rPr>
          <w:rFonts w:hint="eastAsia"/>
          <w:highlight w:val="none"/>
          <w:lang w:val="en-US" w:eastAsia="zh-CN"/>
        </w:rPr>
        <w:t>千米</w:t>
      </w:r>
      <w:r>
        <w:rPr>
          <w:highlight w:val="none"/>
        </w:rPr>
        <w:t>，距青岛港210</w:t>
      </w:r>
      <w:r>
        <w:rPr>
          <w:rFonts w:hint="eastAsia"/>
          <w:highlight w:val="none"/>
          <w:lang w:val="en-US" w:eastAsia="zh-CN"/>
        </w:rPr>
        <w:t>千米</w:t>
      </w:r>
      <w:r>
        <w:rPr>
          <w:highlight w:val="none"/>
        </w:rPr>
        <w:t>，距烟台港380</w:t>
      </w:r>
      <w:r>
        <w:rPr>
          <w:rFonts w:hint="eastAsia"/>
          <w:highlight w:val="none"/>
          <w:lang w:val="en-US" w:eastAsia="zh-CN"/>
        </w:rPr>
        <w:t>千米</w:t>
      </w:r>
      <w:r>
        <w:rPr>
          <w:highlight w:val="none"/>
        </w:rPr>
        <w:t>。</w:t>
      </w:r>
    </w:p>
    <w:p w14:paraId="55C5BD05">
      <w:pPr>
        <w:pStyle w:val="5"/>
        <w:ind w:firstLine="600"/>
        <w:rPr>
          <w:highlight w:val="none"/>
        </w:rPr>
      </w:pPr>
      <w:r>
        <w:rPr>
          <w:rFonts w:hint="eastAsia"/>
          <w:highlight w:val="none"/>
        </w:rPr>
        <w:t>（二）气象水文</w:t>
      </w:r>
    </w:p>
    <w:p w14:paraId="168AD83E">
      <w:pPr>
        <w:ind w:firstLine="600"/>
        <w:rPr>
          <w:rFonts w:hAnsi="Calibri"/>
          <w:highlight w:val="none"/>
        </w:rPr>
      </w:pPr>
      <w:r>
        <w:rPr>
          <w:rFonts w:hint="eastAsia" w:hAnsi="Calibri"/>
          <w:highlight w:val="none"/>
        </w:rPr>
        <w:t>1.气象</w:t>
      </w:r>
    </w:p>
    <w:p w14:paraId="4F7AFA0E">
      <w:pPr>
        <w:ind w:firstLine="600"/>
        <w:rPr>
          <w:highlight w:val="none"/>
        </w:rPr>
      </w:pPr>
      <w:r>
        <w:rPr>
          <w:rFonts w:hint="eastAsia"/>
          <w:highlight w:val="none"/>
        </w:rPr>
        <w:t>张店地处暖温带季风型半干燥半湿润大陆性气候区，季节变化显著，四季分明，雨量集中，气候温和。202</w:t>
      </w:r>
      <w:r>
        <w:rPr>
          <w:highlight w:val="none"/>
        </w:rPr>
        <w:t>0</w:t>
      </w:r>
      <w:r>
        <w:rPr>
          <w:rFonts w:hint="eastAsia"/>
          <w:highlight w:val="none"/>
        </w:rPr>
        <w:t>年，境内年平均气温为14.5℃ ；年降水总日数88天，年降水总量910.0</w:t>
      </w:r>
      <w:r>
        <w:rPr>
          <w:rFonts w:hint="eastAsia"/>
          <w:highlight w:val="none"/>
          <w:lang w:val="en-US" w:eastAsia="zh-CN"/>
        </w:rPr>
        <w:t>毫米</w:t>
      </w:r>
      <w:r>
        <w:rPr>
          <w:rFonts w:hint="eastAsia"/>
          <w:highlight w:val="none"/>
        </w:rPr>
        <w:t>；年日照总时数为2009.6小时。</w:t>
      </w:r>
    </w:p>
    <w:p w14:paraId="709EFAA4">
      <w:pPr>
        <w:ind w:firstLine="600"/>
        <w:rPr>
          <w:rFonts w:hAnsi="Calibri"/>
          <w:highlight w:val="none"/>
        </w:rPr>
      </w:pPr>
      <w:r>
        <w:rPr>
          <w:rFonts w:hint="eastAsia" w:hAnsi="Calibri"/>
          <w:highlight w:val="none"/>
        </w:rPr>
        <w:t>2.水文</w:t>
      </w:r>
    </w:p>
    <w:p w14:paraId="332F9956">
      <w:pPr>
        <w:ind w:firstLine="600"/>
        <w:rPr>
          <w:highlight w:val="none"/>
        </w:rPr>
      </w:pPr>
      <w:r>
        <w:rPr>
          <w:rFonts w:hint="eastAsia"/>
          <w:highlight w:val="none"/>
          <w:lang w:eastAsia="zh-CN"/>
        </w:rPr>
        <w:t>潴龙河</w:t>
      </w:r>
      <w:r>
        <w:rPr>
          <w:rFonts w:hint="eastAsia"/>
          <w:highlight w:val="none"/>
        </w:rPr>
        <w:t>：是流经淄博市的一条重要河道，也是淄博市境内4条重要河流之一。</w:t>
      </w:r>
      <w:r>
        <w:rPr>
          <w:rFonts w:hint="eastAsia"/>
          <w:highlight w:val="none"/>
          <w:lang w:eastAsia="zh-CN"/>
        </w:rPr>
        <w:t>潴龙河</w:t>
      </w:r>
      <w:r>
        <w:rPr>
          <w:rFonts w:hint="eastAsia"/>
          <w:highlight w:val="none"/>
        </w:rPr>
        <w:t>南起泰沂山北麓，流经淄博市</w:t>
      </w:r>
      <w:r>
        <w:rPr>
          <w:rFonts w:hint="eastAsia"/>
          <w:highlight w:val="none"/>
          <w:lang w:val="en-US" w:eastAsia="zh-CN"/>
        </w:rPr>
        <w:t>经开区、</w:t>
      </w:r>
      <w:r>
        <w:rPr>
          <w:rFonts w:hint="eastAsia"/>
          <w:highlight w:val="none"/>
        </w:rPr>
        <w:t>张店区、高新区、桓台县</w:t>
      </w:r>
      <w:r>
        <w:rPr>
          <w:rFonts w:hint="eastAsia"/>
          <w:highlight w:val="none"/>
          <w:lang w:val="en-US" w:eastAsia="zh-CN"/>
        </w:rPr>
        <w:t>4</w:t>
      </w:r>
      <w:r>
        <w:rPr>
          <w:rFonts w:hint="eastAsia"/>
          <w:highlight w:val="none"/>
        </w:rPr>
        <w:t>个区县，最后汇入小清河，全长47</w:t>
      </w:r>
      <w:r>
        <w:rPr>
          <w:rFonts w:hint="eastAsia"/>
          <w:highlight w:val="none"/>
          <w:lang w:val="en-US" w:eastAsia="zh-CN"/>
        </w:rPr>
        <w:t>千米</w:t>
      </w:r>
      <w:r>
        <w:rPr>
          <w:rFonts w:hint="eastAsia"/>
          <w:highlight w:val="none"/>
        </w:rPr>
        <w:t>，流经中心城区段全长8850</w:t>
      </w:r>
      <w:r>
        <w:rPr>
          <w:rFonts w:hint="eastAsia"/>
          <w:highlight w:val="none"/>
          <w:lang w:val="en-US" w:eastAsia="zh-CN"/>
        </w:rPr>
        <w:t>米</w:t>
      </w:r>
      <w:r>
        <w:rPr>
          <w:rFonts w:hint="eastAsia"/>
          <w:highlight w:val="none"/>
        </w:rPr>
        <w:t>。</w:t>
      </w:r>
    </w:p>
    <w:p w14:paraId="441A58D3">
      <w:pPr>
        <w:ind w:firstLine="600"/>
        <w:rPr>
          <w:highlight w:val="none"/>
        </w:rPr>
      </w:pPr>
      <w:r>
        <w:rPr>
          <w:rFonts w:hint="eastAsia"/>
          <w:highlight w:val="none"/>
        </w:rPr>
        <w:t>其他河流：张店区境内还有孝妇河、涝淄河、南部排洪沟、新区防洪河道</w:t>
      </w:r>
      <w:r>
        <w:rPr>
          <w:rFonts w:hint="eastAsia"/>
          <w:highlight w:val="none"/>
          <w:lang w:eastAsia="zh-CN"/>
        </w:rPr>
        <w:t>（</w:t>
      </w:r>
      <w:r>
        <w:rPr>
          <w:rFonts w:hint="eastAsia"/>
          <w:highlight w:val="none"/>
          <w:lang w:val="en-US" w:eastAsia="zh-CN"/>
        </w:rPr>
        <w:t>润淄河</w:t>
      </w:r>
      <w:r>
        <w:rPr>
          <w:rFonts w:hint="eastAsia"/>
          <w:highlight w:val="none"/>
          <w:lang w:eastAsia="zh-CN"/>
        </w:rPr>
        <w:t>）</w:t>
      </w:r>
      <w:r>
        <w:rPr>
          <w:rFonts w:hint="eastAsia"/>
          <w:highlight w:val="none"/>
        </w:rPr>
        <w:t>、玉龙河等河流。这些河流对于维护区域生态平衡、提供农业灌溉水源等方面具有重要作用。</w:t>
      </w:r>
    </w:p>
    <w:p w14:paraId="6DAA6BC1">
      <w:pPr>
        <w:pStyle w:val="5"/>
        <w:ind w:firstLine="600"/>
        <w:rPr>
          <w:rFonts w:hAnsi="Calibri"/>
          <w:highlight w:val="none"/>
        </w:rPr>
      </w:pPr>
      <w:r>
        <w:rPr>
          <w:rFonts w:hint="eastAsia"/>
          <w:highlight w:val="none"/>
        </w:rPr>
        <w:t>（三）地形地貌</w:t>
      </w:r>
    </w:p>
    <w:p w14:paraId="128857F7">
      <w:pPr>
        <w:ind w:firstLine="600"/>
        <w:rPr>
          <w:highlight w:val="none"/>
        </w:rPr>
      </w:pPr>
      <w:r>
        <w:rPr>
          <w:rFonts w:hint="eastAsia"/>
          <w:highlight w:val="none"/>
        </w:rPr>
        <w:t>淄博市张店区位于淄博向斜盆地东麓的北缘，处于低山丘陵区向黄泛平原过渡地带，总的地势是东高西低，南高北低，较为平缓。</w:t>
      </w:r>
    </w:p>
    <w:p w14:paraId="155E840D">
      <w:pPr>
        <w:pStyle w:val="5"/>
        <w:ind w:firstLine="600"/>
        <w:rPr>
          <w:highlight w:val="none"/>
        </w:rPr>
      </w:pPr>
      <w:r>
        <w:rPr>
          <w:rFonts w:hint="eastAsia"/>
          <w:highlight w:val="none"/>
        </w:rPr>
        <w:t>（四）地层</w:t>
      </w:r>
    </w:p>
    <w:p w14:paraId="61371FCA">
      <w:pPr>
        <w:ind w:firstLine="600"/>
        <w:rPr>
          <w:highlight w:val="none"/>
        </w:rPr>
      </w:pPr>
      <w:r>
        <w:rPr>
          <w:rFonts w:hint="eastAsia"/>
          <w:highlight w:val="none"/>
        </w:rPr>
        <w:t>除湖田街道临淄大道以北和冯北路以南一带出露奥陶系灰岩之外，其余全部被第四系覆盖。地层自下而上发育奥陶系、石炭-二叠系、侏罗系、白垩系、新近系和第四系。</w:t>
      </w:r>
    </w:p>
    <w:p w14:paraId="683F10FA">
      <w:pPr>
        <w:ind w:firstLine="600"/>
        <w:rPr>
          <w:highlight w:val="none"/>
        </w:rPr>
      </w:pPr>
      <w:r>
        <w:rPr>
          <w:rFonts w:hint="eastAsia"/>
          <w:highlight w:val="none"/>
        </w:rPr>
        <w:t>奥陶系：分布在湖田街道北部和东部一带，总厚度800</w:t>
      </w:r>
      <w:r>
        <w:rPr>
          <w:rFonts w:hint="eastAsia"/>
          <w:highlight w:val="none"/>
          <w:lang w:val="en-US" w:eastAsia="zh-CN"/>
        </w:rPr>
        <w:t>米</w:t>
      </w:r>
      <w:r>
        <w:rPr>
          <w:rFonts w:hint="eastAsia"/>
          <w:highlight w:val="none"/>
        </w:rPr>
        <w:t>左右。为一套海相碳酸盐岩地层，与下伏寒武系呈假整合接触。主要发育马家沟组八陡段、阁庄段和五阳山段，岩性以灰岩、泥灰岩为主。</w:t>
      </w:r>
    </w:p>
    <w:p w14:paraId="021AD4E6">
      <w:pPr>
        <w:ind w:firstLine="600"/>
        <w:rPr>
          <w:highlight w:val="none"/>
        </w:rPr>
      </w:pPr>
      <w:r>
        <w:rPr>
          <w:rFonts w:hint="eastAsia"/>
          <w:highlight w:val="none"/>
        </w:rPr>
        <w:t>石炭-二叠系：主要隐伏分布于炒米庄断裂以东、张店断裂以西的地区，主要岩性为深灰色粉砂岩、泥岩夹砂岩、灰岩、铝土矿等。</w:t>
      </w:r>
    </w:p>
    <w:p w14:paraId="10522AFC">
      <w:pPr>
        <w:ind w:firstLine="600"/>
        <w:rPr>
          <w:highlight w:val="none"/>
        </w:rPr>
      </w:pPr>
      <w:r>
        <w:rPr>
          <w:rFonts w:hint="eastAsia"/>
          <w:highlight w:val="none"/>
        </w:rPr>
        <w:t>三叠系：主要发育凤凰山组，厚212</w:t>
      </w:r>
      <w:r>
        <w:rPr>
          <w:rFonts w:hint="eastAsia"/>
          <w:highlight w:val="none"/>
          <w:lang w:val="en-US" w:eastAsia="zh-CN"/>
        </w:rPr>
        <w:t>米</w:t>
      </w:r>
      <w:r>
        <w:rPr>
          <w:rFonts w:hint="eastAsia"/>
          <w:highlight w:val="none"/>
        </w:rPr>
        <w:t>。主要岩性为砖红色石英砂岩，水平层理极为发育。凤凰山组与下伏石盒子组为整合接触。</w:t>
      </w:r>
    </w:p>
    <w:p w14:paraId="2458A995">
      <w:pPr>
        <w:ind w:firstLine="600"/>
        <w:rPr>
          <w:highlight w:val="none"/>
        </w:rPr>
      </w:pPr>
      <w:r>
        <w:rPr>
          <w:rFonts w:hint="eastAsia"/>
          <w:highlight w:val="none"/>
        </w:rPr>
        <w:t>侏罗系：发育淄博群坊子组和三台组，岩性以砂岩为主，厚度587</w:t>
      </w:r>
      <w:r>
        <w:rPr>
          <w:rFonts w:hint="eastAsia"/>
          <w:highlight w:val="none"/>
          <w:lang w:val="en-US" w:eastAsia="zh-CN"/>
        </w:rPr>
        <w:t>米</w:t>
      </w:r>
      <w:r>
        <w:rPr>
          <w:rFonts w:hint="eastAsia"/>
          <w:highlight w:val="none"/>
        </w:rPr>
        <w:t>。</w:t>
      </w:r>
    </w:p>
    <w:p w14:paraId="4C518498">
      <w:pPr>
        <w:ind w:firstLine="600"/>
        <w:rPr>
          <w:highlight w:val="none"/>
        </w:rPr>
      </w:pPr>
      <w:r>
        <w:rPr>
          <w:rFonts w:hint="eastAsia"/>
          <w:highlight w:val="none"/>
        </w:rPr>
        <w:t>新近系：下部以杂色粘土岩及灰—灰黑色的铝土质粘土岩为主，最大厚度为12.10</w:t>
      </w:r>
      <w:r>
        <w:rPr>
          <w:rFonts w:hint="eastAsia"/>
          <w:highlight w:val="none"/>
          <w:lang w:val="en-US" w:eastAsia="zh-CN"/>
        </w:rPr>
        <w:t>米</w:t>
      </w:r>
      <w:r>
        <w:rPr>
          <w:rFonts w:hint="eastAsia"/>
          <w:highlight w:val="none"/>
        </w:rPr>
        <w:t>；上部为钙质泥质胶结的砾岩，砾石成分以灰岩为主，砾径多1～5</w:t>
      </w:r>
      <w:r>
        <w:rPr>
          <w:rFonts w:hint="eastAsia"/>
          <w:highlight w:val="none"/>
          <w:lang w:val="en-US" w:eastAsia="zh-CN"/>
        </w:rPr>
        <w:t>厘米</w:t>
      </w:r>
      <w:r>
        <w:rPr>
          <w:rFonts w:hint="eastAsia"/>
          <w:highlight w:val="none"/>
        </w:rPr>
        <w:t>，厚1.4～15.63</w:t>
      </w:r>
      <w:r>
        <w:rPr>
          <w:rFonts w:hint="eastAsia"/>
          <w:highlight w:val="none"/>
          <w:lang w:val="en-US" w:eastAsia="zh-CN"/>
        </w:rPr>
        <w:t>米</w:t>
      </w:r>
      <w:r>
        <w:rPr>
          <w:rFonts w:hint="eastAsia"/>
          <w:highlight w:val="none"/>
        </w:rPr>
        <w:t>。总厚度最大为22.94</w:t>
      </w:r>
      <w:r>
        <w:rPr>
          <w:rFonts w:hint="eastAsia"/>
          <w:highlight w:val="none"/>
          <w:lang w:val="en-US" w:eastAsia="zh-CN"/>
        </w:rPr>
        <w:t>米</w:t>
      </w:r>
      <w:r>
        <w:rPr>
          <w:rFonts w:hint="eastAsia"/>
          <w:highlight w:val="none"/>
        </w:rPr>
        <w:t>。</w:t>
      </w:r>
    </w:p>
    <w:p w14:paraId="6C99E973">
      <w:pPr>
        <w:ind w:firstLine="600"/>
        <w:rPr>
          <w:highlight w:val="none"/>
        </w:rPr>
      </w:pPr>
      <w:r>
        <w:rPr>
          <w:rFonts w:hint="eastAsia"/>
          <w:highlight w:val="none"/>
        </w:rPr>
        <w:t>第四系：主要发育黑土湖组、平原组、白云湖组和沂河组。黑土湖组广泛分布在中北部，岩性为灰黑色亚粘土，为潮泽的凹地淤积，含软体动物壳。平原组分布在淄博城区周边及马尚镇一带，为河滩漫相、河床相沉积，为一套棕色砂质粘土夹各种不等粒砂层。白云湖组在北部有小面积分布，为现代湖泊、沼泽沉积，岩性为黑色、黑褐色粉质砂土和砂质粘土。沂河组分布在孝妇河河床两侧，为河流冲积砂砾石。</w:t>
      </w:r>
    </w:p>
    <w:p w14:paraId="1271F8BC">
      <w:pPr>
        <w:pStyle w:val="5"/>
        <w:ind w:firstLine="600"/>
        <w:rPr>
          <w:highlight w:val="none"/>
        </w:rPr>
      </w:pPr>
      <w:r>
        <w:rPr>
          <w:rFonts w:hint="eastAsia"/>
          <w:highlight w:val="none"/>
        </w:rPr>
        <w:t>（五）构造</w:t>
      </w:r>
    </w:p>
    <w:p w14:paraId="7F555DEA">
      <w:pPr>
        <w:ind w:firstLine="600"/>
        <w:rPr>
          <w:highlight w:val="none"/>
        </w:rPr>
      </w:pPr>
      <w:r>
        <w:rPr>
          <w:rFonts w:hint="eastAsia"/>
          <w:highlight w:val="none"/>
        </w:rPr>
        <w:t>淄博市张店区位于淄博向斜盆地北部倾伏端，在区域构造上属华北板块（Ⅰ）鲁西地块（Ⅱ）鲁中隆起区（Ⅲ）泰山－沂山断隆（Ⅳ）邹平－周村凹陷（Ⅴ）。</w:t>
      </w:r>
    </w:p>
    <w:p w14:paraId="4C62C385">
      <w:pPr>
        <w:ind w:firstLine="600"/>
        <w:rPr>
          <w:highlight w:val="none"/>
        </w:rPr>
      </w:pPr>
      <w:r>
        <w:rPr>
          <w:rFonts w:hint="eastAsia"/>
          <w:highlight w:val="none"/>
        </w:rPr>
        <w:t>1.褶皱</w:t>
      </w:r>
    </w:p>
    <w:p w14:paraId="3F442A8F">
      <w:pPr>
        <w:ind w:firstLine="600"/>
        <w:rPr>
          <w:highlight w:val="none"/>
        </w:rPr>
      </w:pPr>
      <w:r>
        <w:rPr>
          <w:rFonts w:hint="eastAsia"/>
          <w:highlight w:val="none"/>
        </w:rPr>
        <w:t>（1）淄博向斜：淄博向斜轴向20°～25°，南起域城，向北经岜山、馆里至萌山水库，萌山水库以北则被第四系覆盖，全长约50</w:t>
      </w:r>
      <w:r>
        <w:rPr>
          <w:rFonts w:hint="eastAsia"/>
          <w:highlight w:val="none"/>
          <w:lang w:val="en-US" w:eastAsia="zh-CN"/>
        </w:rPr>
        <w:t>千米</w:t>
      </w:r>
      <w:r>
        <w:rPr>
          <w:rFonts w:hint="eastAsia"/>
          <w:highlight w:val="none"/>
        </w:rPr>
        <w:t>。向斜东翼开阔，西翼陡窄，南端封闭仰起，北端倾伏，在形态上为一不对称型的向斜构造。</w:t>
      </w:r>
    </w:p>
    <w:p w14:paraId="5C8EC485">
      <w:pPr>
        <w:ind w:firstLine="600"/>
        <w:rPr>
          <w:highlight w:val="none"/>
        </w:rPr>
      </w:pPr>
      <w:r>
        <w:rPr>
          <w:rFonts w:hint="eastAsia"/>
          <w:highlight w:val="none"/>
        </w:rPr>
        <w:t>（2）金岭穹窿：呈椭圆形穹隆状，轴向NE40°，长轴长约17</w:t>
      </w:r>
      <w:r>
        <w:rPr>
          <w:rFonts w:hint="eastAsia"/>
          <w:highlight w:val="none"/>
          <w:lang w:val="en-US" w:eastAsia="zh-CN"/>
        </w:rPr>
        <w:t>千米</w:t>
      </w:r>
      <w:r>
        <w:rPr>
          <w:rFonts w:hint="eastAsia"/>
          <w:highlight w:val="none"/>
        </w:rPr>
        <w:t>，短轴6</w:t>
      </w:r>
      <w:r>
        <w:rPr>
          <w:rFonts w:hint="eastAsia"/>
          <w:highlight w:val="none"/>
          <w:lang w:val="en-US" w:eastAsia="zh-CN"/>
        </w:rPr>
        <w:t>千米</w:t>
      </w:r>
      <w:r>
        <w:rPr>
          <w:rFonts w:hint="eastAsia"/>
          <w:highlight w:val="none"/>
        </w:rPr>
        <w:t>。中心部位为闪长岩体，周围依次为中奥陶系和石炭二叠系地层。</w:t>
      </w:r>
    </w:p>
    <w:p w14:paraId="1BF15C4B">
      <w:pPr>
        <w:ind w:firstLine="600"/>
        <w:rPr>
          <w:highlight w:val="none"/>
        </w:rPr>
      </w:pPr>
      <w:r>
        <w:rPr>
          <w:rFonts w:hint="eastAsia"/>
          <w:highlight w:val="none"/>
        </w:rPr>
        <w:t>（3）湖田向斜：分布于淄博市张店区湖田一带，轴向一般为45°左右，长约20</w:t>
      </w:r>
      <w:r>
        <w:rPr>
          <w:rFonts w:hint="eastAsia"/>
          <w:highlight w:val="none"/>
          <w:lang w:val="en-US" w:eastAsia="zh-CN"/>
        </w:rPr>
        <w:t>千米</w:t>
      </w:r>
      <w:r>
        <w:rPr>
          <w:rFonts w:hint="eastAsia"/>
          <w:highlight w:val="none"/>
        </w:rPr>
        <w:t>，宽约10</w:t>
      </w:r>
      <w:r>
        <w:rPr>
          <w:rFonts w:hint="eastAsia"/>
          <w:highlight w:val="none"/>
          <w:lang w:val="en-US" w:eastAsia="zh-CN"/>
        </w:rPr>
        <w:t>千米</w:t>
      </w:r>
      <w:r>
        <w:rPr>
          <w:rFonts w:hint="eastAsia"/>
          <w:highlight w:val="none"/>
        </w:rPr>
        <w:t>，核部地层为二叠系，两翼为石炭系及奥陶系地层。</w:t>
      </w:r>
    </w:p>
    <w:p w14:paraId="51297F08">
      <w:pPr>
        <w:ind w:firstLine="600"/>
        <w:rPr>
          <w:highlight w:val="none"/>
        </w:rPr>
      </w:pPr>
      <w:r>
        <w:rPr>
          <w:rFonts w:hint="eastAsia"/>
          <w:highlight w:val="none"/>
        </w:rPr>
        <w:t>2.断层</w:t>
      </w:r>
    </w:p>
    <w:p w14:paraId="02C1D959">
      <w:pPr>
        <w:ind w:firstLine="600"/>
        <w:rPr>
          <w:highlight w:val="none"/>
        </w:rPr>
      </w:pPr>
      <w:r>
        <w:rPr>
          <w:rFonts w:hint="eastAsia"/>
          <w:highlight w:val="none"/>
        </w:rPr>
        <w:t>（1）张店断层：位于金岭穹窿西侧，南起张店、北至大龙庄，长约11</w:t>
      </w:r>
      <w:r>
        <w:rPr>
          <w:rFonts w:hint="default"/>
          <w:highlight w:val="none"/>
        </w:rPr>
        <w:t>千米</w:t>
      </w:r>
      <w:r>
        <w:rPr>
          <w:rFonts w:hint="eastAsia"/>
          <w:highlight w:val="none"/>
        </w:rPr>
        <w:t>，呈近SN走向，倾向W，倾角75°，为一条被第四系覆盖的隐伏正断层。上盘为二叠系和侏罗系砂、页岩，下盘为中奥陶系石灰岩。</w:t>
      </w:r>
    </w:p>
    <w:p w14:paraId="4D49F378">
      <w:pPr>
        <w:ind w:firstLine="600"/>
        <w:rPr>
          <w:highlight w:val="none"/>
        </w:rPr>
      </w:pPr>
      <w:r>
        <w:rPr>
          <w:rFonts w:hint="eastAsia"/>
          <w:highlight w:val="none"/>
        </w:rPr>
        <w:t>（2）王母山断层：走向近SN，倾向W，倾角75°，全长约20</w:t>
      </w:r>
      <w:r>
        <w:rPr>
          <w:rFonts w:hint="default"/>
          <w:highlight w:val="none"/>
        </w:rPr>
        <w:t>千米</w:t>
      </w:r>
      <w:r>
        <w:rPr>
          <w:rFonts w:hint="eastAsia"/>
          <w:highlight w:val="none"/>
        </w:rPr>
        <w:t>，南起西周庄，向北经孙家庄、傅家镇而后进入中心城区。在中心城区内，该断层隐伏于第四系地层之下，断层上盘为二叠系上统及侏罗系，下盘为石炭系及二叠系下统地层。</w:t>
      </w:r>
    </w:p>
    <w:p w14:paraId="1C382604">
      <w:pPr>
        <w:ind w:firstLine="600"/>
        <w:rPr>
          <w:highlight w:val="none"/>
        </w:rPr>
      </w:pPr>
      <w:r>
        <w:rPr>
          <w:rFonts w:hint="eastAsia"/>
          <w:highlight w:val="none"/>
        </w:rPr>
        <w:t>（3）炒米庄断层：由两条近于平行的正断层组成，呈北西方向穿越中心城区。走向NW40°，倾向相对，倾角80°，构成炒米庄地堑，可见长度5.5</w:t>
      </w:r>
      <w:r>
        <w:rPr>
          <w:rFonts w:hint="default"/>
          <w:highlight w:val="none"/>
        </w:rPr>
        <w:t>千米</w:t>
      </w:r>
      <w:r>
        <w:rPr>
          <w:rFonts w:hint="eastAsia"/>
          <w:highlight w:val="none"/>
        </w:rPr>
        <w:t>，为石炭系和中奥陶系地层。</w:t>
      </w:r>
    </w:p>
    <w:p w14:paraId="4884CE44">
      <w:pPr>
        <w:pStyle w:val="5"/>
        <w:ind w:firstLine="600"/>
        <w:rPr>
          <w:highlight w:val="none"/>
        </w:rPr>
      </w:pPr>
      <w:r>
        <w:rPr>
          <w:rFonts w:hint="eastAsia"/>
          <w:highlight w:val="none"/>
        </w:rPr>
        <w:t>（六）岩浆岩</w:t>
      </w:r>
    </w:p>
    <w:p w14:paraId="50D7A373">
      <w:pPr>
        <w:ind w:firstLine="600"/>
        <w:rPr>
          <w:highlight w:val="none"/>
        </w:rPr>
      </w:pPr>
      <w:bookmarkStart w:id="7" w:name="_Toc14797"/>
      <w:r>
        <w:rPr>
          <w:rFonts w:hint="eastAsia"/>
          <w:highlight w:val="none"/>
        </w:rPr>
        <w:t>岩浆岩主要在淄博市张店区东部金岭穹窿出露，岩性以闪长岩为主，灰绿色、致密坚硬，成分以斜长石、角闪石为主，含少量云母。</w:t>
      </w:r>
    </w:p>
    <w:p w14:paraId="0F302756">
      <w:pPr>
        <w:pStyle w:val="5"/>
        <w:ind w:firstLine="600"/>
        <w:rPr>
          <w:highlight w:val="none"/>
        </w:rPr>
      </w:pPr>
      <w:r>
        <w:rPr>
          <w:rFonts w:hint="eastAsia"/>
          <w:highlight w:val="none"/>
        </w:rPr>
        <w:t>（七）土壤及耕地</w:t>
      </w:r>
    </w:p>
    <w:p w14:paraId="3BCD4738">
      <w:pPr>
        <w:ind w:firstLine="600"/>
        <w:rPr>
          <w:highlight w:val="none"/>
        </w:rPr>
      </w:pPr>
      <w:r>
        <w:rPr>
          <w:rFonts w:hint="eastAsia"/>
          <w:highlight w:val="none"/>
        </w:rPr>
        <w:t>1</w:t>
      </w:r>
      <w:r>
        <w:rPr>
          <w:highlight w:val="none"/>
        </w:rPr>
        <w:t>.</w:t>
      </w:r>
      <w:r>
        <w:rPr>
          <w:rFonts w:hint="eastAsia"/>
          <w:highlight w:val="none"/>
        </w:rPr>
        <w:t>土壤</w:t>
      </w:r>
    </w:p>
    <w:p w14:paraId="366D7019">
      <w:pPr>
        <w:ind w:firstLine="600"/>
        <w:rPr>
          <w:highlight w:val="none"/>
        </w:rPr>
      </w:pPr>
      <w:r>
        <w:rPr>
          <w:rFonts w:hint="eastAsia"/>
          <w:highlight w:val="none"/>
        </w:rPr>
        <w:t>张店区土壤类型以褐土和砂姜黑土为主，自东南向西北，从低丘到平原，有规律地分布着这两大土类。</w:t>
      </w:r>
    </w:p>
    <w:p w14:paraId="4F2FAA88">
      <w:pPr>
        <w:ind w:firstLine="600"/>
        <w:rPr>
          <w:highlight w:val="none"/>
        </w:rPr>
      </w:pPr>
      <w:r>
        <w:rPr>
          <w:rFonts w:hint="eastAsia"/>
          <w:highlight w:val="none"/>
        </w:rPr>
        <w:t>褐土：是张店区最主要的土壤类型，面积占土壤总面积的73.8%。褐土主要分布在南部、东部的低山丘陵区，包括南定、沣水、中埠等镇，以及胶济铁路以北的微斜平原。褐土性土、褐土、潮褐土等亚类在区内均有分布，适宜多种农作物生长。</w:t>
      </w:r>
    </w:p>
    <w:p w14:paraId="227D88A4">
      <w:pPr>
        <w:ind w:firstLine="600"/>
        <w:rPr>
          <w:highlight w:val="none"/>
        </w:rPr>
      </w:pPr>
      <w:r>
        <w:rPr>
          <w:rFonts w:hint="eastAsia"/>
          <w:highlight w:val="none"/>
        </w:rPr>
        <w:t>砂姜黑土：面积占土壤总面积的26.2%，主要分布在北部的浅平洼地，与潮褐土以复域分布。砂姜黑土质地较粘重，保水保肥能力强，但通气性稍差，需通过改良提高土壤肥力。</w:t>
      </w:r>
    </w:p>
    <w:p w14:paraId="143795E1">
      <w:pPr>
        <w:ind w:firstLine="600"/>
        <w:rPr>
          <w:highlight w:val="none"/>
        </w:rPr>
      </w:pPr>
      <w:r>
        <w:rPr>
          <w:rFonts w:hint="eastAsia"/>
          <w:highlight w:val="none"/>
        </w:rPr>
        <w:t>2</w:t>
      </w:r>
      <w:r>
        <w:rPr>
          <w:highlight w:val="none"/>
        </w:rPr>
        <w:t>.</w:t>
      </w:r>
      <w:r>
        <w:rPr>
          <w:rFonts w:hint="eastAsia"/>
          <w:highlight w:val="none"/>
        </w:rPr>
        <w:t>耕地</w:t>
      </w:r>
    </w:p>
    <w:p w14:paraId="64A548A8">
      <w:pPr>
        <w:ind w:firstLine="600"/>
        <w:rPr>
          <w:highlight w:val="none"/>
        </w:rPr>
      </w:pPr>
      <w:r>
        <w:rPr>
          <w:rFonts w:hint="eastAsia"/>
          <w:highlight w:val="none"/>
        </w:rPr>
        <w:t>张店区耕地资源丰富，是淄博市重要的粮食产区之一。耕地主要分布在平原和微斜平原地区，土壤肥沃，灌溉条件便利。</w:t>
      </w:r>
    </w:p>
    <w:p w14:paraId="1C0B8ED0">
      <w:pPr>
        <w:ind w:firstLine="600"/>
        <w:rPr>
          <w:highlight w:val="none"/>
        </w:rPr>
      </w:pPr>
      <w:r>
        <w:rPr>
          <w:rFonts w:hint="eastAsia"/>
          <w:highlight w:val="none"/>
        </w:rPr>
        <w:t>耕地类型：包括水田、水浇地和旱地等多种类型，其中水浇地占比最大，适宜种植小麦、玉米、谷子等粮食作物以及花生、地瓜、棉花、大豆等经济作物。</w:t>
      </w:r>
    </w:p>
    <w:p w14:paraId="7CE479CB">
      <w:pPr>
        <w:pStyle w:val="5"/>
        <w:ind w:firstLine="600"/>
        <w:rPr>
          <w:highlight w:val="none"/>
        </w:rPr>
      </w:pPr>
      <w:r>
        <w:rPr>
          <w:rFonts w:hint="eastAsia"/>
          <w:highlight w:val="none"/>
        </w:rPr>
        <w:t>（八）林地、城市绿地及公园</w:t>
      </w:r>
    </w:p>
    <w:p w14:paraId="10E34493">
      <w:pPr>
        <w:ind w:firstLine="600"/>
        <w:rPr>
          <w:highlight w:val="none"/>
        </w:rPr>
      </w:pPr>
      <w:r>
        <w:rPr>
          <w:rFonts w:hint="eastAsia"/>
          <w:highlight w:val="none"/>
        </w:rPr>
        <w:t>张店区林地资源丰富，总面积达6075.88公顷（91138.20亩），其中乔木林地894.35公顷（13415.25亩），占14.72%；其他林地5181.53公顷（77722.95亩），占85.28%。这些林地主要分布在南部、东部的低山丘陵区。</w:t>
      </w:r>
    </w:p>
    <w:p w14:paraId="471A9FC1">
      <w:pPr>
        <w:ind w:firstLine="600"/>
        <w:rPr>
          <w:highlight w:val="none"/>
        </w:rPr>
      </w:pPr>
      <w:r>
        <w:rPr>
          <w:rFonts w:hint="eastAsia"/>
          <w:highlight w:val="none"/>
          <w:lang w:val="en-US" w:eastAsia="zh-CN"/>
        </w:rPr>
        <w:t>2</w:t>
      </w:r>
      <w:r>
        <w:rPr>
          <w:rFonts w:hint="eastAsia"/>
          <w:highlight w:val="none"/>
        </w:rPr>
        <w:t>020年全区共建成园林绿地面积47.73万平方米，提升改造（含裸露土地绿化补植）园林绿地面积226.2万平方米，栽植各类苗木（乔灌木及地被植物）1009.2万株。建成区绿化覆盖率达到44.91%，建成区绿地率为41.63%，人均公园绿地面积15.98平方米。</w:t>
      </w:r>
    </w:p>
    <w:p w14:paraId="482F619A">
      <w:pPr>
        <w:ind w:firstLine="600"/>
        <w:rPr>
          <w:highlight w:val="none"/>
        </w:rPr>
      </w:pPr>
      <w:r>
        <w:rPr>
          <w:rFonts w:hint="eastAsia"/>
          <w:highlight w:val="none"/>
        </w:rPr>
        <w:t>张店区拥有多个公园，如齐盛湖公园、淄博人民公园、张店儿童公园、淄博植物园、淄博动物园、张店市民公园等。</w:t>
      </w:r>
    </w:p>
    <w:p w14:paraId="2637E5E7">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二、社会经济状况</w:t>
      </w:r>
      <w:bookmarkEnd w:id="7"/>
    </w:p>
    <w:p w14:paraId="17DF47DD">
      <w:pPr>
        <w:ind w:firstLine="600"/>
        <w:rPr>
          <w:highlight w:val="none"/>
        </w:rPr>
      </w:pPr>
      <w:r>
        <w:rPr>
          <w:rFonts w:hint="eastAsia"/>
          <w:highlight w:val="none"/>
        </w:rPr>
        <w:t>淄博市张店区是淄博市的中心城区，全市政治、经济、文化、金融、科技中心，是全国文明城市、全国绿化模范城市、国家森林城市、国家卫生城市、国家园林城市、中国优秀旅游城市、中国冶铁发源地，先后荣获全国民营经济最具活力区、全国科技进步工作先进区、山东省最佳投资城市、全省服务业发展先进区、山东省社会治安综合治理先进区、山东省安全生产工作先进区等称号。</w:t>
      </w:r>
    </w:p>
    <w:p w14:paraId="6D748B26">
      <w:pPr>
        <w:ind w:firstLine="600"/>
        <w:rPr>
          <w:highlight w:val="none"/>
        </w:rPr>
      </w:pPr>
      <w:r>
        <w:rPr>
          <w:highlight w:val="none"/>
        </w:rPr>
        <w:t>202</w:t>
      </w:r>
      <w:r>
        <w:rPr>
          <w:rFonts w:hint="eastAsia"/>
          <w:highlight w:val="none"/>
        </w:rPr>
        <w:t>0</w:t>
      </w:r>
      <w:r>
        <w:rPr>
          <w:highlight w:val="none"/>
        </w:rPr>
        <w:t>年，地区生产总值完成</w:t>
      </w:r>
      <w:r>
        <w:rPr>
          <w:rFonts w:hint="eastAsia"/>
          <w:highlight w:val="none"/>
        </w:rPr>
        <w:t>681.8</w:t>
      </w:r>
      <w:r>
        <w:rPr>
          <w:highlight w:val="none"/>
        </w:rPr>
        <w:t>亿元</w:t>
      </w:r>
      <w:r>
        <w:rPr>
          <w:rFonts w:hint="eastAsia"/>
          <w:highlight w:val="none"/>
        </w:rPr>
        <w:t>，同比增长2.4%</w:t>
      </w:r>
      <w:r>
        <w:rPr>
          <w:highlight w:val="none"/>
        </w:rPr>
        <w:t>；一般公共预算收入完成</w:t>
      </w:r>
      <w:r>
        <w:rPr>
          <w:rFonts w:hint="eastAsia"/>
          <w:highlight w:val="none"/>
        </w:rPr>
        <w:t>34.66</w:t>
      </w:r>
      <w:r>
        <w:rPr>
          <w:highlight w:val="none"/>
        </w:rPr>
        <w:t>亿元；</w:t>
      </w:r>
      <w:r>
        <w:rPr>
          <w:rFonts w:hint="eastAsia"/>
          <w:highlight w:val="none"/>
        </w:rPr>
        <w:t>服务业增加值461.7亿元</w:t>
      </w:r>
      <w:r>
        <w:rPr>
          <w:highlight w:val="none"/>
        </w:rPr>
        <w:t>。</w:t>
      </w:r>
      <w:r>
        <w:rPr>
          <w:rFonts w:hint="eastAsia"/>
          <w:highlight w:val="none"/>
        </w:rPr>
        <w:t>全区商务楼宇达到76座，入驻商户5247家</w:t>
      </w:r>
      <w:r>
        <w:rPr>
          <w:highlight w:val="none"/>
        </w:rPr>
        <w:t>。</w:t>
      </w:r>
      <w:r>
        <w:rPr>
          <w:rFonts w:hint="eastAsia"/>
          <w:highlight w:val="none"/>
        </w:rPr>
        <w:t>全年规模以上工业增加值同比增长7.3%。5G基站建设完成全年任务，共协调完成5G基站建设571个</w:t>
      </w:r>
      <w:r>
        <w:rPr>
          <w:highlight w:val="none"/>
        </w:rPr>
        <w:t>。</w:t>
      </w:r>
      <w:r>
        <w:rPr>
          <w:rFonts w:hint="eastAsia"/>
          <w:highlight w:val="none"/>
        </w:rPr>
        <w:t>全区新增市级以上创新平台28家。全区共注册成立农业专业合作社96家，家庭农场9家，种粮大户11家，发展市级以上农业龙头企业8家（含省级2家）。全年完成外贸进出口总额120.88亿元，同比增长31.1%。全年共实施8个棚改项目，5个老旧小区改造项目，开工866套旧村改造项目。</w:t>
      </w:r>
    </w:p>
    <w:p w14:paraId="0CD57159">
      <w:pPr>
        <w:keepNext/>
        <w:keepLines/>
        <w:ind w:firstLine="600"/>
        <w:outlineLvl w:val="2"/>
        <w:rPr>
          <w:rFonts w:ascii="仿宋_GB2312" w:hAnsi="Calibri" w:eastAsia="黑体"/>
          <w:bCs/>
          <w:szCs w:val="32"/>
          <w:highlight w:val="none"/>
        </w:rPr>
      </w:pPr>
      <w:bookmarkStart w:id="8" w:name="_Toc12844"/>
      <w:r>
        <w:rPr>
          <w:rFonts w:hint="eastAsia" w:ascii="仿宋_GB2312" w:hAnsi="Calibri" w:eastAsia="黑体"/>
          <w:bCs/>
          <w:szCs w:val="32"/>
          <w:highlight w:val="none"/>
        </w:rPr>
        <w:t>三、资源环境基本情况</w:t>
      </w:r>
      <w:bookmarkEnd w:id="8"/>
    </w:p>
    <w:p w14:paraId="2C5C7A31">
      <w:pPr>
        <w:pStyle w:val="5"/>
        <w:ind w:firstLine="600"/>
        <w:rPr>
          <w:highlight w:val="none"/>
        </w:rPr>
      </w:pPr>
      <w:r>
        <w:rPr>
          <w:rFonts w:hint="eastAsia"/>
          <w:highlight w:val="none"/>
        </w:rPr>
        <w:t>（一）土地资源</w:t>
      </w:r>
    </w:p>
    <w:p w14:paraId="347D19B5">
      <w:pPr>
        <w:ind w:firstLine="600"/>
        <w:rPr>
          <w:highlight w:val="none"/>
        </w:rPr>
      </w:pPr>
      <w:r>
        <w:rPr>
          <w:rFonts w:hint="eastAsia"/>
          <w:highlight w:val="none"/>
        </w:rPr>
        <w:t>202</w:t>
      </w:r>
      <w:r>
        <w:rPr>
          <w:highlight w:val="none"/>
        </w:rPr>
        <w:t>0</w:t>
      </w:r>
      <w:r>
        <w:rPr>
          <w:rFonts w:hint="eastAsia"/>
          <w:highlight w:val="none"/>
        </w:rPr>
        <w:t>年，淄博市张店区土地总面积为123.06</w:t>
      </w:r>
      <w:r>
        <w:rPr>
          <w:rFonts w:hint="eastAsia"/>
          <w:highlight w:val="none"/>
          <w:lang w:val="en-US" w:eastAsia="zh-CN"/>
        </w:rPr>
        <w:t>平方</w:t>
      </w:r>
      <w:r>
        <w:rPr>
          <w:rFonts w:hint="default"/>
          <w:highlight w:val="none"/>
          <w:lang w:eastAsia="zh-CN"/>
        </w:rPr>
        <w:t>公里</w:t>
      </w:r>
      <w:r>
        <w:rPr>
          <w:rFonts w:hint="eastAsia"/>
          <w:highlight w:val="none"/>
        </w:rPr>
        <w:t>，其中耕地855.77公顷，园地681.21公顷，林地2058.27公顷，草地188.99公顷，城镇村及工矿用地6432.11公顷，交通运输用地1810.42公顷，水利设施用地162公顷，其他土地117.29公顷。</w:t>
      </w:r>
    </w:p>
    <w:p w14:paraId="485C1905">
      <w:pPr>
        <w:ind w:firstLine="600"/>
        <w:rPr>
          <w:highlight w:val="none"/>
        </w:rPr>
      </w:pPr>
      <w:r>
        <w:rPr>
          <w:rFonts w:hint="eastAsia"/>
          <w:highlight w:val="none"/>
        </w:rPr>
        <w:t>土壤有褐土和砂姜黑土2个土类，分褐土性土、褐土、潮褐土和砂姜黑土4个亚类，共9个土属，28个土种。</w:t>
      </w:r>
    </w:p>
    <w:p w14:paraId="582B90C6">
      <w:pPr>
        <w:pStyle w:val="5"/>
        <w:ind w:firstLine="600"/>
        <w:rPr>
          <w:highlight w:val="none"/>
        </w:rPr>
      </w:pPr>
      <w:r>
        <w:rPr>
          <w:rFonts w:hint="eastAsia"/>
          <w:highlight w:val="none"/>
        </w:rPr>
        <w:t>（二）水资源</w:t>
      </w:r>
    </w:p>
    <w:p w14:paraId="3EE3A8CD">
      <w:pPr>
        <w:ind w:firstLine="600"/>
        <w:rPr>
          <w:highlight w:val="none"/>
        </w:rPr>
      </w:pPr>
      <w:r>
        <w:rPr>
          <w:rFonts w:hint="eastAsia"/>
          <w:highlight w:val="none"/>
        </w:rPr>
        <w:t>淄博市张店区地表水源供水量2513万</w:t>
      </w:r>
      <w:r>
        <w:rPr>
          <w:rFonts w:hint="default"/>
          <w:highlight w:val="none"/>
        </w:rPr>
        <w:t>立方米</w:t>
      </w:r>
      <w:r>
        <w:rPr>
          <w:rFonts w:hint="eastAsia"/>
          <w:highlight w:val="none"/>
        </w:rPr>
        <w:t>，地下水源供水量8715万</w:t>
      </w:r>
      <w:r>
        <w:rPr>
          <w:rFonts w:hint="default"/>
          <w:highlight w:val="none"/>
        </w:rPr>
        <w:t>立方米</w:t>
      </w:r>
      <w:r>
        <w:rPr>
          <w:rFonts w:hint="eastAsia"/>
          <w:highlight w:val="none"/>
        </w:rPr>
        <w:t>，其他水源供水量79万</w:t>
      </w:r>
      <w:r>
        <w:rPr>
          <w:rFonts w:hint="default"/>
          <w:highlight w:val="none"/>
        </w:rPr>
        <w:t>立方米</w:t>
      </w:r>
      <w:r>
        <w:rPr>
          <w:rFonts w:hint="eastAsia"/>
          <w:highlight w:val="none"/>
        </w:rPr>
        <w:t>，全区供水总量11307万</w:t>
      </w:r>
      <w:r>
        <w:rPr>
          <w:rFonts w:hint="default"/>
          <w:highlight w:val="none"/>
        </w:rPr>
        <w:t>立方米</w:t>
      </w:r>
      <w:r>
        <w:rPr>
          <w:rFonts w:hint="eastAsia"/>
          <w:highlight w:val="none"/>
        </w:rPr>
        <w:t>。</w:t>
      </w:r>
    </w:p>
    <w:p w14:paraId="2478BB97">
      <w:pPr>
        <w:ind w:firstLine="600"/>
        <w:rPr>
          <w:highlight w:val="none"/>
        </w:rPr>
      </w:pPr>
      <w:r>
        <w:rPr>
          <w:rFonts w:hint="eastAsia"/>
          <w:highlight w:val="none"/>
        </w:rPr>
        <w:t>202</w:t>
      </w:r>
      <w:r>
        <w:rPr>
          <w:highlight w:val="none"/>
        </w:rPr>
        <w:t>0</w:t>
      </w:r>
      <w:r>
        <w:rPr>
          <w:rFonts w:hint="eastAsia"/>
          <w:highlight w:val="none"/>
        </w:rPr>
        <w:t>年，全区年度取用水总量14224万</w:t>
      </w:r>
      <w:r>
        <w:rPr>
          <w:rFonts w:hint="default"/>
          <w:highlight w:val="none"/>
        </w:rPr>
        <w:t>立方米</w:t>
      </w:r>
      <w:r>
        <w:rPr>
          <w:rFonts w:hint="eastAsia"/>
          <w:highlight w:val="none"/>
        </w:rPr>
        <w:t>（含1405万</w:t>
      </w:r>
      <w:r>
        <w:rPr>
          <w:rFonts w:hint="eastAsia"/>
          <w:highlight w:val="none"/>
          <w:lang w:val="en-US" w:eastAsia="zh-CN"/>
        </w:rPr>
        <w:t>立方米</w:t>
      </w:r>
      <w:r>
        <w:rPr>
          <w:rFonts w:hint="eastAsia"/>
          <w:highlight w:val="none"/>
        </w:rPr>
        <w:t>中水，淄博经开区生活用水量约450万</w:t>
      </w:r>
      <w:r>
        <w:rPr>
          <w:rFonts w:hint="eastAsia"/>
          <w:highlight w:val="none"/>
          <w:lang w:val="en-US" w:eastAsia="zh-CN"/>
        </w:rPr>
        <w:t>立方米</w:t>
      </w:r>
      <w:r>
        <w:rPr>
          <w:rFonts w:hint="eastAsia"/>
          <w:highlight w:val="none"/>
        </w:rPr>
        <w:t>）。其中，工业用水量4931万</w:t>
      </w:r>
      <w:r>
        <w:rPr>
          <w:rFonts w:hint="eastAsia"/>
          <w:highlight w:val="none"/>
          <w:lang w:val="en-US" w:eastAsia="zh-CN"/>
        </w:rPr>
        <w:t>立方米</w:t>
      </w:r>
      <w:r>
        <w:rPr>
          <w:rFonts w:hint="eastAsia"/>
          <w:highlight w:val="none"/>
        </w:rPr>
        <w:t>，农业用水量 618 万</w:t>
      </w:r>
      <w:r>
        <w:rPr>
          <w:rFonts w:hint="eastAsia"/>
          <w:highlight w:val="none"/>
          <w:lang w:val="en-US" w:eastAsia="zh-CN"/>
        </w:rPr>
        <w:t>立方米</w:t>
      </w:r>
      <w:r>
        <w:rPr>
          <w:rFonts w:hint="eastAsia"/>
          <w:highlight w:val="none"/>
        </w:rPr>
        <w:t>，生活用水量5644 万</w:t>
      </w:r>
      <w:r>
        <w:rPr>
          <w:rFonts w:hint="eastAsia"/>
          <w:highlight w:val="none"/>
          <w:lang w:val="en-US" w:eastAsia="zh-CN"/>
        </w:rPr>
        <w:t>立方米</w:t>
      </w:r>
      <w:r>
        <w:rPr>
          <w:rFonts w:hint="eastAsia"/>
          <w:highlight w:val="none"/>
        </w:rPr>
        <w:t>，人工生态环境补水量3031万</w:t>
      </w:r>
      <w:r>
        <w:rPr>
          <w:rFonts w:hint="eastAsia"/>
          <w:highlight w:val="none"/>
          <w:lang w:val="en-US" w:eastAsia="zh-CN"/>
        </w:rPr>
        <w:t>立方米</w:t>
      </w:r>
      <w:r>
        <w:rPr>
          <w:rFonts w:hint="eastAsia"/>
          <w:highlight w:val="none"/>
        </w:rPr>
        <w:t>（含1166万</w:t>
      </w:r>
      <w:r>
        <w:rPr>
          <w:rFonts w:hint="eastAsia"/>
          <w:highlight w:val="none"/>
          <w:lang w:val="en-US" w:eastAsia="zh-CN"/>
        </w:rPr>
        <w:t>立方米</w:t>
      </w:r>
      <w:r>
        <w:rPr>
          <w:rFonts w:hint="eastAsia"/>
          <w:highlight w:val="none"/>
        </w:rPr>
        <w:t>中水）。</w:t>
      </w:r>
    </w:p>
    <w:p w14:paraId="1F72D0AF">
      <w:pPr>
        <w:pStyle w:val="5"/>
        <w:ind w:firstLine="600"/>
        <w:rPr>
          <w:highlight w:val="none"/>
        </w:rPr>
      </w:pPr>
      <w:r>
        <w:rPr>
          <w:rFonts w:hint="eastAsia"/>
          <w:highlight w:val="none"/>
        </w:rPr>
        <w:t>（三）矿产资源</w:t>
      </w:r>
    </w:p>
    <w:p w14:paraId="4EDFF73C">
      <w:pPr>
        <w:ind w:firstLine="600"/>
        <w:rPr>
          <w:highlight w:val="none"/>
        </w:rPr>
      </w:pPr>
      <w:r>
        <w:rPr>
          <w:rFonts w:hint="eastAsia"/>
          <w:highlight w:val="none"/>
        </w:rPr>
        <w:t>区内发现各类矿产7种，查明资源储量的有5种，其中，煤、地热能源矿产2种；铝土矿、镓矿（伴生）金属矿产2种；电石用灰岩、建筑石料用灰岩、砖瓦用粘土等非金属矿产3种。有1处地热正在开发利用，为社区居民供暖。</w:t>
      </w:r>
    </w:p>
    <w:p w14:paraId="6EFFD4A0">
      <w:pPr>
        <w:ind w:firstLine="600"/>
        <w:outlineLvl w:val="3"/>
        <w:rPr>
          <w:rFonts w:hAnsi="Calibri"/>
          <w:highlight w:val="none"/>
        </w:rPr>
      </w:pPr>
      <w:r>
        <w:rPr>
          <w:rFonts w:hint="eastAsia"/>
          <w:highlight w:val="none"/>
        </w:rPr>
        <w:t>（四）</w:t>
      </w:r>
      <w:r>
        <w:rPr>
          <w:rFonts w:hint="eastAsia" w:hAnsi="Calibri"/>
          <w:highlight w:val="none"/>
        </w:rPr>
        <w:t>地质环境</w:t>
      </w:r>
    </w:p>
    <w:p w14:paraId="381C5309">
      <w:pPr>
        <w:ind w:firstLine="600"/>
        <w:rPr>
          <w:highlight w:val="none"/>
        </w:rPr>
      </w:pPr>
      <w:r>
        <w:rPr>
          <w:rFonts w:hint="eastAsia"/>
          <w:highlight w:val="none"/>
        </w:rPr>
        <w:t>现淄博市张店区内无崩塌、滑坡、泥石流和采空塌陷地质灾害隐患点，仅在湖田街道东北部和车站街道南部存在以采空塌陷为主的环境地质亚区，在马尚街道以北、市政府以西地区存在以地面沉降为主的环境地质亚区。一般性活动断裂有王母山断裂、炒米庄断裂、张店断裂和金岭断裂。</w:t>
      </w:r>
    </w:p>
    <w:p w14:paraId="6AA0446F">
      <w:pPr>
        <w:ind w:firstLine="600"/>
        <w:outlineLvl w:val="3"/>
        <w:rPr>
          <w:rFonts w:hAnsi="Calibri"/>
          <w:highlight w:val="none"/>
        </w:rPr>
      </w:pPr>
      <w:r>
        <w:rPr>
          <w:rFonts w:hint="eastAsia" w:hAnsi="Calibri"/>
          <w:highlight w:val="none"/>
        </w:rPr>
        <w:t>（五）生态环境</w:t>
      </w:r>
    </w:p>
    <w:p w14:paraId="60BE13E7">
      <w:pPr>
        <w:ind w:firstLine="600"/>
        <w:rPr>
          <w:rFonts w:hint="eastAsia"/>
          <w:highlight w:val="none"/>
        </w:rPr>
      </w:pPr>
      <w:r>
        <w:rPr>
          <w:rFonts w:hint="eastAsia"/>
          <w:highlight w:val="none"/>
        </w:rPr>
        <w:t>淄博市张店区动植物资源丰富，动物涵盖兽类（獾、狐狸等10余种）、禽类（麻雀、喜鹊等30余种）、鱼类（鲤鱼、鲫鱼等10余种）、两栖类（青蛙等2种）、爬行类（蛇、壁虎等5种）、昆虫（蜻蜓、蝴蝶等超50种）及动物园特有物种（非洲狮、东北虎等100余种珍禽异兽）；植物包括木本植物（酸枣、花椒等20余种）、观赏植物（君子兰、月季等40余种）及药用植物（远志、桔梗等超200种），共同构成区域生物多样性基础。</w:t>
      </w:r>
    </w:p>
    <w:p w14:paraId="7AE97033">
      <w:pPr>
        <w:keepNext/>
        <w:keepLines/>
        <w:ind w:firstLine="0" w:firstLineChars="0"/>
        <w:jc w:val="center"/>
        <w:outlineLvl w:val="1"/>
        <w:rPr>
          <w:rFonts w:ascii="仿宋_GB2312" w:hAnsi="楷体" w:cs="楷体"/>
          <w:b/>
          <w:bCs/>
          <w:color w:val="C00000"/>
          <w:sz w:val="32"/>
          <w:szCs w:val="32"/>
          <w:highlight w:val="none"/>
        </w:rPr>
      </w:pPr>
      <w:bookmarkStart w:id="9" w:name="_Toc31089"/>
      <w:r>
        <w:rPr>
          <w:rFonts w:ascii="仿宋_GB2312" w:hAnsi="楷体" w:cs="楷体"/>
          <w:b/>
          <w:bCs/>
          <w:sz w:val="32"/>
          <w:szCs w:val="32"/>
          <w:highlight w:val="none"/>
        </w:rPr>
        <w:t>第二节</w:t>
      </w:r>
      <w:r>
        <w:rPr>
          <w:rFonts w:hint="eastAsia" w:ascii="仿宋_GB2312" w:hAnsi="楷体" w:cs="楷体"/>
          <w:b/>
          <w:bCs/>
          <w:sz w:val="32"/>
          <w:szCs w:val="32"/>
          <w:highlight w:val="none"/>
        </w:rPr>
        <w:t xml:space="preserve">   存在</w:t>
      </w:r>
      <w:r>
        <w:rPr>
          <w:rFonts w:ascii="仿宋_GB2312" w:hAnsi="楷体" w:cs="楷体"/>
          <w:b/>
          <w:bCs/>
          <w:sz w:val="32"/>
          <w:szCs w:val="32"/>
          <w:highlight w:val="none"/>
        </w:rPr>
        <w:t>的主要问题和风险</w:t>
      </w:r>
      <w:bookmarkEnd w:id="9"/>
    </w:p>
    <w:p w14:paraId="32723052">
      <w:pPr>
        <w:ind w:firstLine="600"/>
        <w:rPr>
          <w:rFonts w:hint="eastAsia" w:eastAsia="仿宋_GB2312"/>
          <w:highlight w:val="none"/>
          <w:lang w:eastAsia="zh-CN"/>
        </w:rPr>
      </w:pPr>
      <w:r>
        <w:rPr>
          <w:rFonts w:hint="eastAsia"/>
          <w:highlight w:val="none"/>
        </w:rPr>
        <w:t>生态修复面临全面挑战。近年来，随着生态环境问题日益突出，国土空间生态修复行业发展迅速的同时也暴露出来诸多问题，主要包括城乡土地利用结构与布局失序失衡、生态空间破碎化与连通性缺失、生态修复科技支撑与数字化建设不足</w:t>
      </w:r>
      <w:r>
        <w:rPr>
          <w:rFonts w:hint="eastAsia"/>
          <w:highlight w:val="none"/>
          <w:lang w:eastAsia="zh-CN"/>
        </w:rPr>
        <w:t>。</w:t>
      </w:r>
    </w:p>
    <w:p w14:paraId="04125C98">
      <w:pPr>
        <w:keepNext/>
        <w:keepLines/>
        <w:ind w:firstLine="600"/>
        <w:outlineLvl w:val="2"/>
        <w:rPr>
          <w:rFonts w:ascii="仿宋_GB2312" w:hAnsi="Calibri" w:eastAsia="黑体"/>
          <w:bCs/>
          <w:kern w:val="0"/>
          <w:szCs w:val="32"/>
          <w:highlight w:val="none"/>
        </w:rPr>
      </w:pPr>
      <w:r>
        <w:rPr>
          <w:rFonts w:hint="eastAsia" w:ascii="仿宋_GB2312" w:hAnsi="Arial" w:eastAsia="黑体" w:cs="Arial"/>
          <w:bCs/>
          <w:kern w:val="0"/>
          <w:szCs w:val="32"/>
          <w:highlight w:val="none"/>
        </w:rPr>
        <w:t>一</w:t>
      </w:r>
      <w:r>
        <w:rPr>
          <w:rFonts w:hint="eastAsia" w:ascii="仿宋_GB2312" w:hAnsi="Calibri" w:eastAsia="黑体"/>
          <w:bCs/>
          <w:kern w:val="0"/>
          <w:szCs w:val="32"/>
          <w:highlight w:val="none"/>
        </w:rPr>
        <w:t>、城乡土地利用结构与布局失序失衡</w:t>
      </w:r>
    </w:p>
    <w:p w14:paraId="5F4B5BF5">
      <w:pPr>
        <w:ind w:firstLine="600"/>
        <w:rPr>
          <w:highlight w:val="none"/>
        </w:rPr>
      </w:pPr>
      <w:r>
        <w:rPr>
          <w:highlight w:val="none"/>
        </w:rPr>
        <w:t>目前，在淄博市张店区，诸如房镇镇、马尚街道等区域，建设用地的扩张迅速。这种快速的扩张，占了原本属于生态与农业的空间。原本生机勃勃的生态区域，众多生物提供栖息之所的湿地、林地等，以及承载着粮食生产重任的农田，正一点点被建设用地蚕食。</w:t>
      </w:r>
    </w:p>
    <w:p w14:paraId="6913BB0A">
      <w:pPr>
        <w:ind w:firstLine="600"/>
        <w:rPr>
          <w:highlight w:val="none"/>
        </w:rPr>
      </w:pPr>
      <w:r>
        <w:rPr>
          <w:highlight w:val="none"/>
        </w:rPr>
        <w:t>在农村地区，宅基地闲置问题愈发凸显。许多年轻人选择前往城市发展，导致大量农村宅基地长期无人居住，杂草丛生，不仅造成了土地资源的极大浪费，还影响了乡村的整体风貌。与此同时，农田细碎化现象也十分严重。一块块原本完整的农田被分割成众多小块，这种分散布局使得大型农业机械难以施展拳脚，难以实现高效的机械化耕作，进而无法形成规模效益，严重制约了当地农业的现代化发展。</w:t>
      </w:r>
    </w:p>
    <w:p w14:paraId="34FB6432">
      <w:pPr>
        <w:ind w:firstLine="600"/>
        <w:rPr>
          <w:highlight w:val="none"/>
        </w:rPr>
      </w:pPr>
      <w:r>
        <w:rPr>
          <w:highlight w:val="none"/>
        </w:rPr>
        <w:t>另一方面，长期的不合理开发行为给土地带来了沉重的负担。过度使用化肥、农药，不合理的灌溉方式等，导致土壤肥力急剧下降</w:t>
      </w:r>
      <w:r>
        <w:rPr>
          <w:rFonts w:hint="eastAsia"/>
          <w:highlight w:val="none"/>
        </w:rPr>
        <w:t>，</w:t>
      </w:r>
      <w:r>
        <w:rPr>
          <w:highlight w:val="none"/>
        </w:rPr>
        <w:t>农作物产量也大不如前。土壤盐碱化、酸化问题也日益严重，不仅难以产出优质的农产品，还对当地的生态环境安全构成了严重威胁，影响着人们的身体健康。</w:t>
      </w:r>
    </w:p>
    <w:p w14:paraId="3F536AFC">
      <w:pPr>
        <w:keepNext/>
        <w:keepLines/>
        <w:ind w:firstLine="600"/>
        <w:outlineLvl w:val="2"/>
        <w:rPr>
          <w:rFonts w:ascii="仿宋_GB2312" w:hAnsi="Calibri" w:eastAsia="黑体"/>
          <w:bCs/>
          <w:kern w:val="0"/>
          <w:szCs w:val="32"/>
          <w:highlight w:val="none"/>
        </w:rPr>
      </w:pPr>
      <w:r>
        <w:rPr>
          <w:rFonts w:hint="eastAsia" w:hAnsi="Arial" w:eastAsia="黑体" w:cs="Arial"/>
          <w:bCs/>
          <w:kern w:val="0"/>
          <w:szCs w:val="32"/>
          <w:highlight w:val="none"/>
        </w:rPr>
        <w:t>二</w:t>
      </w:r>
      <w:r>
        <w:rPr>
          <w:rFonts w:hint="eastAsia" w:ascii="仿宋_GB2312" w:hAnsi="Calibri" w:eastAsia="黑体"/>
          <w:bCs/>
          <w:kern w:val="0"/>
          <w:szCs w:val="32"/>
          <w:highlight w:val="none"/>
        </w:rPr>
        <w:t>、生态空间破碎化与连通性缺失</w:t>
      </w:r>
    </w:p>
    <w:p w14:paraId="0F12D83A">
      <w:pPr>
        <w:ind w:firstLine="600"/>
        <w:rPr>
          <w:highlight w:val="none"/>
        </w:rPr>
      </w:pPr>
      <w:r>
        <w:rPr>
          <w:highlight w:val="none"/>
        </w:rPr>
        <w:t>当前，在生态环境保护与治理领域，山水林田湖草系统治理工作虽已逐步推进，但在实际开展过程中，其内容与措施却显得相对单一。具体而言，在治理规划与实施阶段，往往过度聚焦于某些显而易见的生态要素，而严重忽视了水资源、土壤、光热、原生物种等至关重要的自然禀赋。例如，在水资源方面，未能充分考虑不同区域水资源的分布规律与承载能力，导致水资源在调配与利用过程中出现不合理现象，影响了生态系统的水分循环；在土壤保护上，缺乏对土壤肥力、质地及微生物群落等特性的深入研究与针对性保护措施，使得土壤质量逐渐下降；光热资源的利用也未能与生态系统需求相匹配，影响了植物的光合作用与生长节律；原生物种的保护更是常常被忽视，一些珍稀的原生物种因缺乏适宜的生存环境而面临生存危机。</w:t>
      </w:r>
    </w:p>
    <w:p w14:paraId="60FDD487">
      <w:pPr>
        <w:ind w:firstLine="600"/>
        <w:rPr>
          <w:highlight w:val="none"/>
        </w:rPr>
      </w:pPr>
      <w:r>
        <w:rPr>
          <w:highlight w:val="none"/>
        </w:rPr>
        <w:t>与此同时，人类活动对自然生态系统造成的负面影响愈发凸显。城市建设与交通建设等大规模的开发活动，对自然生态系统进行切割</w:t>
      </w:r>
      <w:r>
        <w:rPr>
          <w:rFonts w:hint="eastAsia"/>
          <w:highlight w:val="none"/>
        </w:rPr>
        <w:t>，</w:t>
      </w:r>
      <w:r>
        <w:rPr>
          <w:highlight w:val="none"/>
        </w:rPr>
        <w:t>原本连续、完整的生物栖息地被道路、建筑等分割得支离破碎，许多生物失去了适宜的生存与繁衍空间，生物多样性呈现明显的下降趋势。</w:t>
      </w:r>
    </w:p>
    <w:p w14:paraId="19FFD07F">
      <w:pPr>
        <w:ind w:firstLine="600"/>
        <w:rPr>
          <w:highlight w:val="none"/>
        </w:rPr>
      </w:pPr>
      <w:r>
        <w:rPr>
          <w:highlight w:val="none"/>
        </w:rPr>
        <w:t>现有的生态廊道层次感不足，无法形成复杂多样的生态环境，限制了生物的迁徙与交流。而且，生态廊道的建设和养护资金匮乏，使得后续的维护与管理工作难以有效开展，进一步影响了生态廊道功能的发挥。此外，城市化进程的持续推进，进一步加剧了生态斑块的切割现象。原本相互连通的生态斑块被隔离成一个个孤立的“岛屿”，物种的迁徙受到严重阻碍，基因交流受阻，导致生物种群的遗传多样性降低，进而使得生物多样性持续降低。森林砍伐与土地开垦等行为更是直接破坏了生态系统的结构与功能，削弱了水源涵养、气候调节等重要生态功能。部分河道、湿地和湖泊由于受到污染、过度开发等因素的影响，其生态功能出现降低或丧失的情况，水体自净能力下降，生物栖息环境恶化。同时，沙化土地面积与水土流失面积的问题较为严峻，土地沙漠化导致土地生产力下降，水土流失则使得土壤肥力流失，加剧了生态环境的恶化。</w:t>
      </w:r>
    </w:p>
    <w:p w14:paraId="2AEE835F">
      <w:pPr>
        <w:ind w:firstLine="600"/>
        <w:rPr>
          <w:highlight w:val="none"/>
        </w:rPr>
      </w:pPr>
      <w:r>
        <w:rPr>
          <w:rFonts w:hint="eastAsia"/>
          <w:highlight w:val="none"/>
          <w:lang w:val="en-US" w:eastAsia="zh-CN"/>
        </w:rPr>
        <w:t>尚有历史遗留废弃露天开采矿山因缺乏相关支撑材料未完成销号任务。</w:t>
      </w:r>
      <w:r>
        <w:rPr>
          <w:rFonts w:hint="eastAsia"/>
          <w:highlight w:val="none"/>
        </w:rPr>
        <w:t>截止至2020年，张店区历史遗留</w:t>
      </w:r>
      <w:r>
        <w:rPr>
          <w:rFonts w:hint="eastAsia"/>
          <w:highlight w:val="none"/>
          <w:lang w:val="en-US" w:eastAsia="zh-CN"/>
        </w:rPr>
        <w:t>废弃</w:t>
      </w:r>
      <w:r>
        <w:rPr>
          <w:rFonts w:hint="eastAsia"/>
          <w:highlight w:val="none"/>
        </w:rPr>
        <w:t>露天</w:t>
      </w:r>
      <w:r>
        <w:rPr>
          <w:rFonts w:hint="eastAsia"/>
          <w:highlight w:val="none"/>
          <w:lang w:val="en-US" w:eastAsia="zh-CN"/>
        </w:rPr>
        <w:t>开采</w:t>
      </w:r>
      <w:r>
        <w:rPr>
          <w:rFonts w:hint="eastAsia"/>
          <w:highlight w:val="none"/>
        </w:rPr>
        <w:t>矿山为：张店钢铁总厂湖田石矿矿区、湖田矿山公司矿区和南焦宋化工石料厂二矿区。张店钢铁总厂湖田石矿矿区已于2021年完成地质环境治理并通过竣工验收，完成销号，湖田矿山公司矿区和南焦宋化工石料厂二矿区经营主体已灭失，后经地方村民进行了部分回填和自然恢复，但未形成地质环境治理总结报告</w:t>
      </w:r>
      <w:r>
        <w:rPr>
          <w:rFonts w:hint="eastAsia"/>
          <w:highlight w:val="none"/>
          <w:lang w:val="en-US" w:eastAsia="zh-CN"/>
        </w:rPr>
        <w:t>和验收</w:t>
      </w:r>
      <w:r>
        <w:rPr>
          <w:rFonts w:hint="eastAsia"/>
          <w:highlight w:val="none"/>
        </w:rPr>
        <w:t>，尚未销号。</w:t>
      </w:r>
    </w:p>
    <w:p w14:paraId="7DE38174">
      <w:pPr>
        <w:keepNext/>
        <w:keepLines/>
        <w:ind w:firstLine="600"/>
        <w:outlineLvl w:val="2"/>
        <w:rPr>
          <w:rFonts w:ascii="仿宋_GB2312" w:hAnsi="Calibri" w:eastAsia="黑体"/>
          <w:bCs/>
          <w:kern w:val="0"/>
          <w:szCs w:val="32"/>
          <w:highlight w:val="none"/>
        </w:rPr>
      </w:pPr>
      <w:r>
        <w:rPr>
          <w:rFonts w:hint="eastAsia" w:ascii="仿宋_GB2312" w:hAnsi="Calibri" w:eastAsia="黑体"/>
          <w:bCs/>
          <w:kern w:val="0"/>
          <w:szCs w:val="32"/>
          <w:highlight w:val="none"/>
        </w:rPr>
        <w:t>三、生态修复科技支撑与数字化建设不足</w:t>
      </w:r>
    </w:p>
    <w:p w14:paraId="45817E33">
      <w:pPr>
        <w:ind w:firstLine="600"/>
        <w:rPr>
          <w:highlight w:val="none"/>
        </w:rPr>
      </w:pPr>
      <w:r>
        <w:rPr>
          <w:highlight w:val="none"/>
        </w:rPr>
        <w:t>当前，国土空间生态修复技术呈现分散化态势，分布于多个部门与机构之中。由此引发了一系列问题，技术规范之间缺乏协调性、连贯性，甚至存在相互矛盾的现象。这使得在实际开展生态修复工作时，难以构建起统一的技术标准与操作流程，进而对修复效果产生了不利影响。</w:t>
      </w:r>
    </w:p>
    <w:p w14:paraId="13D33E26">
      <w:pPr>
        <w:ind w:firstLine="600"/>
        <w:rPr>
          <w:highlight w:val="none"/>
        </w:rPr>
      </w:pPr>
      <w:r>
        <w:rPr>
          <w:highlight w:val="none"/>
        </w:rPr>
        <w:t>在监测方面，国土空间生态修复的现有手段较为有限，难以全方位、精准地把握生态修复的进展程度与实际效果。由于无法及时获取全面信息，修复工作难以依据实际情况进行适时调整与优化。要知道，生态修复本身是一个动态变化的过程，实时、准确的数据支持至关重要。但目前的数据更新机制存在缺陷，数据更新滞后于实际情况，这无疑影响了修复工作的精准度。</w:t>
      </w:r>
    </w:p>
    <w:p w14:paraId="2A04068E">
      <w:pPr>
        <w:ind w:firstLine="600"/>
        <w:rPr>
          <w:rFonts w:ascii="宋体" w:hAnsi="宋体" w:eastAsia="宋体" w:cs="宋体"/>
          <w:kern w:val="0"/>
          <w:sz w:val="24"/>
          <w:highlight w:val="none"/>
        </w:rPr>
      </w:pPr>
      <w:r>
        <w:rPr>
          <w:highlight w:val="none"/>
        </w:rPr>
        <w:t>此外，国土空间生态修复工作具有跨学科、跨专业、跨区域的特点，涉及多个学科领域，需要各方协同合作。同时，该工作会产生大量数据，涵盖地理信息、生态状况、社会经济等多方面内容。然而，这些数据分散在众多部门和机构里，难以实现有效的整合与共享。而且，由于数据来源广泛，数据标准不统一，导致数据无法直接应用于生态修复工作。这不仅增加了数据处理的难度与成本，还降低了修复工作的整体效率。</w:t>
      </w:r>
    </w:p>
    <w:p w14:paraId="15E7B476">
      <w:pPr>
        <w:ind w:firstLine="600"/>
        <w:rPr>
          <w:highlight w:val="none"/>
        </w:rPr>
      </w:pPr>
    </w:p>
    <w:p w14:paraId="7C91AA72">
      <w:pPr>
        <w:ind w:firstLine="600"/>
        <w:rPr>
          <w:highlight w:val="none"/>
        </w:rPr>
      </w:pPr>
    </w:p>
    <w:p w14:paraId="01191C80">
      <w:pPr>
        <w:ind w:firstLine="600"/>
        <w:rPr>
          <w:highlight w:val="none"/>
        </w:rPr>
        <w:sectPr>
          <w:pgSz w:w="11906" w:h="16838"/>
          <w:pgMar w:top="1418" w:right="1418" w:bottom="1418" w:left="1418" w:header="851" w:footer="851" w:gutter="0"/>
          <w:cols w:space="720" w:num="1"/>
          <w:docGrid w:type="lines" w:linePitch="408" w:charSpace="0"/>
        </w:sectPr>
      </w:pPr>
    </w:p>
    <w:p w14:paraId="0BF8A6D4">
      <w:pPr>
        <w:pStyle w:val="2"/>
        <w:rPr>
          <w:highlight w:val="none"/>
        </w:rPr>
      </w:pPr>
      <w:bookmarkStart w:id="10" w:name="_Toc6695"/>
      <w:r>
        <w:rPr>
          <w:highlight w:val="none"/>
        </w:rPr>
        <w:t>第三章</w:t>
      </w:r>
      <w:r>
        <w:rPr>
          <w:rFonts w:hint="eastAsia"/>
          <w:highlight w:val="none"/>
        </w:rPr>
        <w:t xml:space="preserve">   总体</w:t>
      </w:r>
      <w:r>
        <w:rPr>
          <w:highlight w:val="none"/>
        </w:rPr>
        <w:t>要求与规划目标</w:t>
      </w:r>
      <w:bookmarkEnd w:id="10"/>
    </w:p>
    <w:p w14:paraId="5FF1267C">
      <w:pPr>
        <w:keepNext/>
        <w:keepLines/>
        <w:ind w:firstLine="0" w:firstLineChars="0"/>
        <w:jc w:val="center"/>
        <w:outlineLvl w:val="1"/>
        <w:rPr>
          <w:rFonts w:ascii="仿宋_GB2312" w:hAnsi="楷体" w:cs="楷体"/>
          <w:b/>
          <w:bCs/>
          <w:sz w:val="32"/>
          <w:szCs w:val="32"/>
          <w:highlight w:val="none"/>
        </w:rPr>
      </w:pPr>
      <w:bookmarkStart w:id="11" w:name="_Toc5410"/>
      <w:r>
        <w:rPr>
          <w:rFonts w:ascii="仿宋_GB2312" w:hAnsi="楷体" w:cs="楷体"/>
          <w:b/>
          <w:bCs/>
          <w:sz w:val="32"/>
          <w:szCs w:val="32"/>
          <w:highlight w:val="none"/>
        </w:rPr>
        <w:t>第一节</w:t>
      </w:r>
      <w:r>
        <w:rPr>
          <w:rFonts w:hint="eastAsia" w:ascii="仿宋_GB2312" w:hAnsi="楷体" w:cs="楷体"/>
          <w:b/>
          <w:bCs/>
          <w:sz w:val="32"/>
          <w:szCs w:val="32"/>
          <w:highlight w:val="none"/>
        </w:rPr>
        <w:t xml:space="preserve">   指导</w:t>
      </w:r>
      <w:r>
        <w:rPr>
          <w:rFonts w:ascii="仿宋_GB2312" w:hAnsi="楷体" w:cs="楷体"/>
          <w:b/>
          <w:bCs/>
          <w:sz w:val="32"/>
          <w:szCs w:val="32"/>
          <w:highlight w:val="none"/>
        </w:rPr>
        <w:t>思想</w:t>
      </w:r>
      <w:bookmarkEnd w:id="11"/>
    </w:p>
    <w:p w14:paraId="4B9BA0BE">
      <w:pPr>
        <w:ind w:firstLine="600"/>
        <w:rPr>
          <w:rFonts w:hAnsi="Calibri"/>
          <w:highlight w:val="none"/>
        </w:rPr>
      </w:pPr>
      <w:r>
        <w:rPr>
          <w:rFonts w:hint="eastAsia" w:hAnsi="Calibri"/>
          <w:highlight w:val="none"/>
        </w:rPr>
        <w:t>高举中国特色社会主义伟大旗帜，以习近平新时代中国特色社会主义思想为指导，以全面提升生态安全屏障质量、促进生态系统良性循环和永续利用为目标，以统筹山水林田湖草沙一体化保护与修复为主线，发挥国土空间生态修复规划的战略引领作用，构建国土空间生态保护和修复新格局，为维护国家生态安全、建设生态</w:t>
      </w:r>
      <w:r>
        <w:rPr>
          <w:rFonts w:hint="eastAsia"/>
          <w:highlight w:val="none"/>
        </w:rPr>
        <w:t>张店</w:t>
      </w:r>
      <w:r>
        <w:rPr>
          <w:rFonts w:hint="eastAsia" w:hAnsi="Calibri"/>
          <w:highlight w:val="none"/>
        </w:rPr>
        <w:t>提供良好的生态保障。</w:t>
      </w:r>
    </w:p>
    <w:p w14:paraId="7057CD50">
      <w:pPr>
        <w:keepNext/>
        <w:keepLines/>
        <w:ind w:firstLine="0" w:firstLineChars="0"/>
        <w:jc w:val="center"/>
        <w:outlineLvl w:val="1"/>
        <w:rPr>
          <w:rFonts w:ascii="仿宋_GB2312" w:hAnsi="楷体" w:cs="楷体"/>
          <w:b/>
          <w:bCs/>
          <w:sz w:val="32"/>
          <w:szCs w:val="32"/>
          <w:highlight w:val="none"/>
        </w:rPr>
      </w:pPr>
      <w:bookmarkStart w:id="12" w:name="_Toc5900"/>
      <w:r>
        <w:rPr>
          <w:rFonts w:ascii="仿宋_GB2312" w:hAnsi="楷体" w:cs="楷体"/>
          <w:b/>
          <w:bCs/>
          <w:sz w:val="32"/>
          <w:szCs w:val="32"/>
          <w:highlight w:val="none"/>
        </w:rPr>
        <w:t>第二节</w:t>
      </w:r>
      <w:r>
        <w:rPr>
          <w:rFonts w:hint="eastAsia" w:ascii="仿宋_GB2312" w:hAnsi="楷体" w:cs="楷体"/>
          <w:b/>
          <w:bCs/>
          <w:sz w:val="32"/>
          <w:szCs w:val="32"/>
          <w:highlight w:val="none"/>
        </w:rPr>
        <w:t xml:space="preserve">   基本</w:t>
      </w:r>
      <w:r>
        <w:rPr>
          <w:rFonts w:ascii="仿宋_GB2312" w:hAnsi="楷体" w:cs="楷体"/>
          <w:b/>
          <w:bCs/>
          <w:sz w:val="32"/>
          <w:szCs w:val="32"/>
          <w:highlight w:val="none"/>
        </w:rPr>
        <w:t>原则</w:t>
      </w:r>
      <w:bookmarkEnd w:id="12"/>
    </w:p>
    <w:p w14:paraId="1ACD32FA">
      <w:pPr>
        <w:ind w:firstLine="602"/>
        <w:rPr>
          <w:rFonts w:hAnsi="Calibri"/>
          <w:highlight w:val="none"/>
        </w:rPr>
      </w:pPr>
      <w:r>
        <w:rPr>
          <w:rFonts w:hint="eastAsia" w:ascii="楷体" w:hAnsi="楷体" w:eastAsia="楷体" w:cs="楷体"/>
          <w:b/>
          <w:bCs/>
          <w:highlight w:val="none"/>
        </w:rPr>
        <w:t>——坚持保护优先、自然恢复为主。</w:t>
      </w:r>
      <w:r>
        <w:rPr>
          <w:rFonts w:hint="eastAsia" w:hAnsi="Calibri"/>
          <w:highlight w:val="none"/>
        </w:rPr>
        <w:t xml:space="preserve">牢固树立和践行绿水青山就是金山银山理念，尊重自然、顺应自然、保护自然，遵循生态系统内在规律，促进人与自然和谐共生。坚持数量与质量并重、人工修复与自然恢复相结合，节俭务实开展生态保护修复工作，提升生态系统自我修复能力和稳定性。 </w:t>
      </w:r>
    </w:p>
    <w:p w14:paraId="72481F21">
      <w:pPr>
        <w:ind w:firstLine="602"/>
        <w:rPr>
          <w:rFonts w:hAnsi="Calibri"/>
          <w:highlight w:val="none"/>
        </w:rPr>
      </w:pPr>
      <w:r>
        <w:rPr>
          <w:rFonts w:hint="eastAsia" w:ascii="楷体" w:hAnsi="楷体" w:eastAsia="楷体" w:cs="楷体"/>
          <w:b/>
          <w:bCs/>
          <w:highlight w:val="none"/>
        </w:rPr>
        <w:t>——坚持协调衔接，促进综合修复。</w:t>
      </w:r>
      <w:r>
        <w:rPr>
          <w:rFonts w:hint="eastAsia" w:hAnsi="Calibri"/>
          <w:highlight w:val="none"/>
        </w:rPr>
        <w:t>与《山东省国土空间规划（2021</w:t>
      </w:r>
      <w:r>
        <w:rPr>
          <w:rFonts w:hint="eastAsia"/>
          <w:highlight w:val="none"/>
        </w:rPr>
        <w:t>—</w:t>
      </w:r>
      <w:r>
        <w:rPr>
          <w:rFonts w:hint="eastAsia" w:hAnsi="Calibri"/>
          <w:highlight w:val="none"/>
        </w:rPr>
        <w:t>2035年）》《黄河流域生态保护和高质量发展规划纲要》《山东省自然资源厅“十四五”国土空间生态保护修复规划》《山东省国土空间生态修复规划（2021-2035）》《淄博市国土空间生态修复规划（2021-2035）》《</w:t>
      </w:r>
      <w:r>
        <w:rPr>
          <w:rFonts w:hint="eastAsia"/>
          <w:highlight w:val="none"/>
        </w:rPr>
        <w:t>张店区</w:t>
      </w:r>
      <w:r>
        <w:rPr>
          <w:rFonts w:hint="eastAsia" w:hAnsi="Calibri"/>
          <w:highlight w:val="none"/>
        </w:rPr>
        <w:t>国民经济和社会发展第十四个五年规划和2035年远景目标纲要》等相衔接，科学规划，协调推进各类生态系统综合修复，提升森林、河流、湖泊、湿地等生态功能，保护生态系统完整性。</w:t>
      </w:r>
    </w:p>
    <w:p w14:paraId="220591E2">
      <w:pPr>
        <w:ind w:firstLine="602"/>
        <w:rPr>
          <w:rFonts w:hAnsi="Calibri"/>
          <w:highlight w:val="none"/>
        </w:rPr>
      </w:pPr>
      <w:r>
        <w:rPr>
          <w:rFonts w:hint="eastAsia" w:ascii="楷体" w:hAnsi="楷体" w:eastAsia="楷体" w:cs="楷体"/>
          <w:b/>
          <w:bCs/>
          <w:highlight w:val="none"/>
        </w:rPr>
        <w:t>——坚持规划引领、统筹兼顾。</w:t>
      </w:r>
      <w:r>
        <w:rPr>
          <w:rFonts w:hint="eastAsia" w:hAnsi="Calibri"/>
          <w:highlight w:val="none"/>
        </w:rPr>
        <w:t>坚持和加强党的全面领导，落实国家和区域重大战略规划，与全</w:t>
      </w:r>
      <w:r>
        <w:rPr>
          <w:rFonts w:hint="eastAsia"/>
          <w:highlight w:val="none"/>
        </w:rPr>
        <w:t>区</w:t>
      </w:r>
      <w:r>
        <w:rPr>
          <w:rFonts w:hint="eastAsia" w:hAnsi="Calibri"/>
          <w:highlight w:val="none"/>
        </w:rPr>
        <w:t xml:space="preserve">国土空间规划相衔接。综合考虑自然生态系统与人工生态系统之间的协同性，注重山上山下、城市乡村的系统性、关联性，全地域、全要素、全过程统筹推进生态保护修复工作，构建人与自然和谐共生的生态格局。 </w:t>
      </w:r>
    </w:p>
    <w:p w14:paraId="26C3C721">
      <w:pPr>
        <w:ind w:firstLine="602"/>
        <w:rPr>
          <w:rFonts w:hAnsi="Calibri"/>
          <w:highlight w:val="none"/>
        </w:rPr>
      </w:pPr>
      <w:r>
        <w:rPr>
          <w:rFonts w:hint="eastAsia" w:ascii="楷体" w:hAnsi="楷体" w:eastAsia="楷体" w:cs="楷体"/>
          <w:b/>
          <w:bCs/>
          <w:highlight w:val="none"/>
        </w:rPr>
        <w:t>——坚持问题导向、科学修复。</w:t>
      </w:r>
      <w:r>
        <w:rPr>
          <w:rFonts w:hint="eastAsia" w:hAnsi="Calibri"/>
          <w:highlight w:val="none"/>
        </w:rPr>
        <w:t>立足我</w:t>
      </w:r>
      <w:r>
        <w:rPr>
          <w:rFonts w:hint="eastAsia"/>
          <w:highlight w:val="none"/>
        </w:rPr>
        <w:t>区</w:t>
      </w:r>
      <w:r>
        <w:rPr>
          <w:rFonts w:hint="eastAsia" w:hAnsi="Calibri"/>
          <w:highlight w:val="none"/>
        </w:rPr>
        <w:t>自然地理格局和生态系统状况，聚焦重点生态功能区、生态保护红线、自然保护地等重点区域，准确识别突出生态问题，科学预判主要生态风险。</w:t>
      </w:r>
      <w:r>
        <w:rPr>
          <w:rFonts w:hint="eastAsia" w:hAnsi="Calibri"/>
          <w:kern w:val="0"/>
          <w:highlight w:val="none"/>
        </w:rPr>
        <w:t>坚持山水林田湖草沙是生命共同体理念，遵循生态系统内在机理，以生态本底和自然禀赋为基础，</w:t>
      </w:r>
      <w:r>
        <w:rPr>
          <w:rFonts w:hint="eastAsia" w:hAnsi="Calibri"/>
          <w:highlight w:val="none"/>
        </w:rPr>
        <w:t xml:space="preserve">宜林则林、宜田则田、宜水则水、宜草则草的原则，因地制宜开展生态保护修复工作，增强措施的科学性、针对性和可行性。 </w:t>
      </w:r>
    </w:p>
    <w:p w14:paraId="34EFC1B6">
      <w:pPr>
        <w:ind w:firstLine="602"/>
        <w:rPr>
          <w:rFonts w:hAnsi="Calibri"/>
          <w:highlight w:val="none"/>
        </w:rPr>
      </w:pPr>
      <w:r>
        <w:rPr>
          <w:rFonts w:hint="eastAsia" w:ascii="楷体" w:hAnsi="楷体" w:eastAsia="楷体" w:cs="楷体"/>
          <w:b/>
          <w:bCs/>
          <w:highlight w:val="none"/>
        </w:rPr>
        <w:t>——坚持改革创新、完善机制。</w:t>
      </w:r>
      <w:r>
        <w:rPr>
          <w:rFonts w:hint="eastAsia" w:hAnsi="Calibri"/>
          <w:highlight w:val="none"/>
        </w:rPr>
        <w:t>以科技创新为引领，立足新发展阶段，贯彻新发展理念，按照政府主导、政策引领、社会参与、监管严格要求，推进政策创新、制度创新、机制创新，逐步完善生态保护修复的政策与机制。</w:t>
      </w:r>
    </w:p>
    <w:p w14:paraId="790E91EE">
      <w:pPr>
        <w:keepNext/>
        <w:keepLines/>
        <w:ind w:firstLine="0" w:firstLineChars="0"/>
        <w:jc w:val="center"/>
        <w:outlineLvl w:val="1"/>
        <w:rPr>
          <w:rFonts w:ascii="仿宋_GB2312" w:hAnsi="楷体" w:cs="楷体"/>
          <w:b/>
          <w:bCs/>
          <w:sz w:val="32"/>
          <w:szCs w:val="32"/>
          <w:highlight w:val="none"/>
        </w:rPr>
      </w:pPr>
      <w:bookmarkStart w:id="13" w:name="_Toc23087"/>
      <w:r>
        <w:rPr>
          <w:rFonts w:ascii="仿宋_GB2312" w:hAnsi="楷体" w:cs="楷体"/>
          <w:b/>
          <w:bCs/>
          <w:sz w:val="32"/>
          <w:szCs w:val="32"/>
          <w:highlight w:val="none"/>
        </w:rPr>
        <w:t>第三节</w:t>
      </w:r>
      <w:r>
        <w:rPr>
          <w:rFonts w:hint="eastAsia" w:ascii="仿宋_GB2312" w:hAnsi="楷体" w:cs="楷体"/>
          <w:b/>
          <w:bCs/>
          <w:sz w:val="32"/>
          <w:szCs w:val="32"/>
          <w:highlight w:val="none"/>
        </w:rPr>
        <w:t xml:space="preserve">   </w:t>
      </w:r>
      <w:r>
        <w:rPr>
          <w:rFonts w:ascii="仿宋_GB2312" w:hAnsi="楷体" w:cs="楷体"/>
          <w:b/>
          <w:bCs/>
          <w:sz w:val="32"/>
          <w:szCs w:val="32"/>
          <w:highlight w:val="none"/>
        </w:rPr>
        <w:t>规划目标</w:t>
      </w:r>
      <w:bookmarkEnd w:id="13"/>
    </w:p>
    <w:p w14:paraId="1291201A">
      <w:pPr>
        <w:pStyle w:val="5"/>
        <w:ind w:firstLine="600"/>
        <w:rPr>
          <w:color w:val="C00000"/>
          <w:highlight w:val="none"/>
        </w:rPr>
      </w:pPr>
      <w:r>
        <w:rPr>
          <w:rFonts w:hint="eastAsia"/>
          <w:highlight w:val="none"/>
        </w:rPr>
        <w:t>（一）总体目标</w:t>
      </w:r>
    </w:p>
    <w:p w14:paraId="0AA7108C">
      <w:pPr>
        <w:adjustRightInd w:val="0"/>
        <w:ind w:firstLine="600"/>
        <w:rPr>
          <w:rFonts w:hAnsi="Calibri" w:cs="仿宋_GB2312"/>
          <w:color w:val="0D0D0D"/>
          <w:szCs w:val="28"/>
          <w:highlight w:val="none"/>
        </w:rPr>
      </w:pPr>
      <w:r>
        <w:rPr>
          <w:rFonts w:hint="eastAsia" w:hAnsi="Calibri" w:cs="仿宋_GB2312"/>
          <w:color w:val="0D0D0D"/>
          <w:szCs w:val="28"/>
          <w:highlight w:val="none"/>
        </w:rPr>
        <w:t>通过国土空间生态修复的实施，使全</w:t>
      </w:r>
      <w:r>
        <w:rPr>
          <w:rFonts w:hint="eastAsia" w:cs="仿宋_GB2312"/>
          <w:color w:val="0D0D0D"/>
          <w:szCs w:val="28"/>
          <w:highlight w:val="none"/>
        </w:rPr>
        <w:t>区</w:t>
      </w:r>
      <w:r>
        <w:rPr>
          <w:rFonts w:hint="eastAsia" w:hAnsi="Calibri" w:cs="仿宋_GB2312"/>
          <w:color w:val="0D0D0D"/>
          <w:szCs w:val="28"/>
          <w:highlight w:val="none"/>
        </w:rPr>
        <w:t>重要生态功能区、农业生产区、城乡发展区的生态状况明显好转，耕地面积得到新增补充，耕地保护与国土绿化等生态建设关系更加协调，生态系统质量明显改善，生态服务功能显著提高，生态稳定性明显增强，</w:t>
      </w:r>
      <w:r>
        <w:rPr>
          <w:rFonts w:hint="eastAsia" w:hAnsi="Arial" w:cs="新宋体"/>
          <w:kern w:val="0"/>
          <w:szCs w:val="28"/>
          <w:highlight w:val="none"/>
        </w:rPr>
        <w:t>生态系统碳汇能力有效提升，</w:t>
      </w:r>
      <w:r>
        <w:rPr>
          <w:rFonts w:hint="eastAsia" w:hAnsi="Calibri" w:cs="仿宋_GB2312"/>
          <w:color w:val="0D0D0D"/>
          <w:szCs w:val="28"/>
          <w:highlight w:val="none"/>
        </w:rPr>
        <w:t>优质生态产品供给能力基本满足人民群众需求，绘画“山青，水秀，林绿，景美，和谐”蓝图。</w:t>
      </w:r>
    </w:p>
    <w:p w14:paraId="10AE8A27">
      <w:pPr>
        <w:pStyle w:val="5"/>
        <w:ind w:firstLine="600"/>
        <w:rPr>
          <w:highlight w:val="none"/>
        </w:rPr>
      </w:pPr>
      <w:r>
        <w:rPr>
          <w:rFonts w:hint="eastAsia"/>
          <w:highlight w:val="none"/>
        </w:rPr>
        <w:t xml:space="preserve">（二）具体目标 </w:t>
      </w:r>
    </w:p>
    <w:p w14:paraId="2C2E882E">
      <w:pPr>
        <w:ind w:firstLine="600"/>
        <w:rPr>
          <w:highlight w:val="none"/>
        </w:rPr>
      </w:pPr>
      <w:r>
        <w:rPr>
          <w:rFonts w:hint="eastAsia"/>
          <w:highlight w:val="none"/>
        </w:rPr>
        <w:t>到2025年，在房镇镇、湖田街道、马尚街道至少各开展1项土地综合整治工程；开展沾临高速和城市快速路生态绿廊建设工程；开展润淄河、东</w:t>
      </w:r>
      <w:r>
        <w:rPr>
          <w:rFonts w:hint="eastAsia"/>
          <w:highlight w:val="none"/>
          <w:lang w:eastAsia="zh-CN"/>
        </w:rPr>
        <w:t>潴龙河</w:t>
      </w:r>
      <w:r>
        <w:rPr>
          <w:rFonts w:hint="eastAsia"/>
          <w:highlight w:val="none"/>
        </w:rPr>
        <w:t>、玉龙河和涝淄河综合提质工程；开展沟渠水塘综合提质工程；</w:t>
      </w:r>
      <w:r>
        <w:rPr>
          <w:rFonts w:hint="eastAsia"/>
          <w:highlight w:val="none"/>
          <w:lang w:val="en-US" w:eastAsia="zh-CN"/>
        </w:rPr>
        <w:t>完成历史遗留废弃露天开采矿山治理工程；开展</w:t>
      </w:r>
      <w:r>
        <w:rPr>
          <w:rFonts w:hint="eastAsia"/>
          <w:highlight w:val="none"/>
        </w:rPr>
        <w:t>淄博市张店区国土空间生态地质环境调查与监测工程；</w:t>
      </w:r>
      <w:r>
        <w:rPr>
          <w:rFonts w:hint="eastAsia"/>
          <w:highlight w:val="none"/>
          <w:lang w:val="en-US" w:eastAsia="zh-CN"/>
        </w:rPr>
        <w:t>开展</w:t>
      </w:r>
      <w:r>
        <w:rPr>
          <w:rFonts w:hint="eastAsia"/>
          <w:highlight w:val="none"/>
        </w:rPr>
        <w:t>淄博市张店区全空间透明城市平台建设工程。</w:t>
      </w:r>
    </w:p>
    <w:p w14:paraId="09CA3769">
      <w:pPr>
        <w:ind w:firstLine="600"/>
        <w:rPr>
          <w:color w:val="C00000"/>
          <w:highlight w:val="none"/>
        </w:rPr>
      </w:pPr>
      <w:r>
        <w:rPr>
          <w:rFonts w:hint="eastAsia"/>
          <w:highlight w:val="none"/>
        </w:rPr>
        <w:t>到2035年，完成全区其他土地综合整治；完成沾临高速、城市快速路生态绿廊建设和城市主干道两侧绿化林带退化林生态绿廊等建设工程；完成润淄河、玉龙河与东</w:t>
      </w:r>
      <w:r>
        <w:rPr>
          <w:rFonts w:hint="eastAsia"/>
          <w:highlight w:val="none"/>
          <w:lang w:eastAsia="zh-CN"/>
        </w:rPr>
        <w:t>潴龙河</w:t>
      </w:r>
      <w:r>
        <w:rPr>
          <w:rFonts w:hint="eastAsia"/>
          <w:highlight w:val="none"/>
        </w:rPr>
        <w:t>联通工程；完成润淄河、东</w:t>
      </w:r>
      <w:r>
        <w:rPr>
          <w:rFonts w:hint="eastAsia"/>
          <w:highlight w:val="none"/>
          <w:lang w:eastAsia="zh-CN"/>
        </w:rPr>
        <w:t>潴龙河</w:t>
      </w:r>
      <w:r>
        <w:rPr>
          <w:rFonts w:hint="eastAsia"/>
          <w:highlight w:val="none"/>
        </w:rPr>
        <w:t>、玉龙河和涝淄河综合提质工程；完成沟渠水塘综合提质工程</w:t>
      </w:r>
      <w:r>
        <w:rPr>
          <w:rFonts w:hint="eastAsia"/>
          <w:highlight w:val="none"/>
          <w:lang w:eastAsia="zh-CN"/>
        </w:rPr>
        <w:t>；</w:t>
      </w:r>
      <w:r>
        <w:rPr>
          <w:rFonts w:hint="eastAsia"/>
          <w:highlight w:val="none"/>
          <w:lang w:val="en-US" w:eastAsia="zh-CN"/>
        </w:rPr>
        <w:t>完成</w:t>
      </w:r>
      <w:r>
        <w:rPr>
          <w:rFonts w:hint="eastAsia"/>
          <w:highlight w:val="none"/>
        </w:rPr>
        <w:t>淄博市张店区国土空间生态地质环境调查与监测工程；</w:t>
      </w:r>
      <w:r>
        <w:rPr>
          <w:rFonts w:hint="eastAsia"/>
          <w:highlight w:val="none"/>
          <w:lang w:val="en-US" w:eastAsia="zh-CN"/>
        </w:rPr>
        <w:t>完成</w:t>
      </w:r>
      <w:r>
        <w:rPr>
          <w:rFonts w:hint="eastAsia"/>
          <w:highlight w:val="none"/>
        </w:rPr>
        <w:t>淄博市张店区全空间透明城市平台建设工程。</w:t>
      </w:r>
    </w:p>
    <w:p w14:paraId="718F96C4">
      <w:pPr>
        <w:ind w:firstLine="0" w:firstLineChars="0"/>
        <w:jc w:val="center"/>
        <w:rPr>
          <w:rFonts w:ascii="仿宋_GB2312" w:hAnsi="仿宋_GB2312" w:cs="仿宋_GB2312"/>
          <w:sz w:val="21"/>
          <w:szCs w:val="21"/>
          <w:highlight w:val="none"/>
        </w:rPr>
      </w:pPr>
      <w:r>
        <w:rPr>
          <w:rFonts w:hint="eastAsia" w:ascii="仿宋_GB2312" w:hAnsi="仿宋_GB2312" w:cs="仿宋_GB2312"/>
          <w:sz w:val="21"/>
          <w:szCs w:val="21"/>
          <w:highlight w:val="none"/>
        </w:rPr>
        <w:t>表3-1    淄博市张店区国土空间生态修复规划指标表</w:t>
      </w:r>
    </w:p>
    <w:tbl>
      <w:tblPr>
        <w:tblStyle w:val="17"/>
        <w:tblW w:w="42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157"/>
        <w:gridCol w:w="616"/>
        <w:gridCol w:w="1430"/>
        <w:gridCol w:w="1430"/>
        <w:gridCol w:w="1409"/>
      </w:tblGrid>
      <w:tr w14:paraId="6C8C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Align w:val="center"/>
          </w:tcPr>
          <w:p w14:paraId="0DAF2ECC">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类型</w:t>
            </w:r>
          </w:p>
        </w:tc>
        <w:tc>
          <w:tcPr>
            <w:tcW w:w="1373" w:type="pct"/>
            <w:vAlign w:val="center"/>
          </w:tcPr>
          <w:p w14:paraId="4E8DEDAD">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名称</w:t>
            </w:r>
          </w:p>
        </w:tc>
        <w:tc>
          <w:tcPr>
            <w:tcW w:w="392" w:type="pct"/>
            <w:vAlign w:val="center"/>
          </w:tcPr>
          <w:p w14:paraId="02DB7BD3">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单位</w:t>
            </w:r>
          </w:p>
        </w:tc>
        <w:tc>
          <w:tcPr>
            <w:tcW w:w="910" w:type="pct"/>
            <w:vAlign w:val="center"/>
          </w:tcPr>
          <w:p w14:paraId="414D986A">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2025年</w:t>
            </w:r>
          </w:p>
        </w:tc>
        <w:tc>
          <w:tcPr>
            <w:tcW w:w="910" w:type="pct"/>
            <w:vAlign w:val="center"/>
          </w:tcPr>
          <w:p w14:paraId="4066143E">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2035年</w:t>
            </w:r>
          </w:p>
        </w:tc>
        <w:tc>
          <w:tcPr>
            <w:tcW w:w="897" w:type="pct"/>
            <w:vAlign w:val="center"/>
          </w:tcPr>
          <w:p w14:paraId="409031E8">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属性</w:t>
            </w:r>
          </w:p>
        </w:tc>
      </w:tr>
      <w:tr w14:paraId="4178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restart"/>
            <w:vAlign w:val="center"/>
          </w:tcPr>
          <w:p w14:paraId="53D73F08">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生态质量类</w:t>
            </w:r>
          </w:p>
        </w:tc>
        <w:tc>
          <w:tcPr>
            <w:tcW w:w="1373" w:type="pct"/>
            <w:vAlign w:val="center"/>
          </w:tcPr>
          <w:p w14:paraId="23A6601B">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森林覆盖率</w:t>
            </w:r>
          </w:p>
        </w:tc>
        <w:tc>
          <w:tcPr>
            <w:tcW w:w="392" w:type="pct"/>
            <w:vAlign w:val="center"/>
          </w:tcPr>
          <w:p w14:paraId="6C8C191F">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vAlign w:val="center"/>
          </w:tcPr>
          <w:p w14:paraId="63574A57">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3.93</w:t>
            </w:r>
          </w:p>
        </w:tc>
        <w:tc>
          <w:tcPr>
            <w:tcW w:w="910" w:type="pct"/>
            <w:vAlign w:val="center"/>
          </w:tcPr>
          <w:p w14:paraId="044E15AE">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3.93</w:t>
            </w:r>
          </w:p>
        </w:tc>
        <w:tc>
          <w:tcPr>
            <w:tcW w:w="897" w:type="pct"/>
            <w:vAlign w:val="center"/>
          </w:tcPr>
          <w:p w14:paraId="5272F40B">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约束性</w:t>
            </w:r>
          </w:p>
        </w:tc>
      </w:tr>
      <w:tr w14:paraId="35F7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continue"/>
            <w:vAlign w:val="center"/>
          </w:tcPr>
          <w:p w14:paraId="5D5CB2D7">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08BBEBC8">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湿地保护率</w:t>
            </w:r>
          </w:p>
        </w:tc>
        <w:tc>
          <w:tcPr>
            <w:tcW w:w="392" w:type="pct"/>
            <w:vAlign w:val="center"/>
          </w:tcPr>
          <w:p w14:paraId="5EC5CD1C">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shd w:val="clear" w:color="auto" w:fill="auto"/>
            <w:vAlign w:val="center"/>
          </w:tcPr>
          <w:p w14:paraId="375ADE4D">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100</w:t>
            </w:r>
          </w:p>
        </w:tc>
        <w:tc>
          <w:tcPr>
            <w:tcW w:w="910" w:type="pct"/>
            <w:shd w:val="clear" w:color="auto" w:fill="auto"/>
            <w:vAlign w:val="center"/>
          </w:tcPr>
          <w:p w14:paraId="41E1A246">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100</w:t>
            </w:r>
          </w:p>
        </w:tc>
        <w:tc>
          <w:tcPr>
            <w:tcW w:w="897" w:type="pct"/>
            <w:vAlign w:val="center"/>
          </w:tcPr>
          <w:p w14:paraId="3A1D2C08">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预期性</w:t>
            </w:r>
          </w:p>
        </w:tc>
      </w:tr>
      <w:tr w14:paraId="472B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continue"/>
            <w:vAlign w:val="center"/>
          </w:tcPr>
          <w:p w14:paraId="6B3C7831">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010B67E6">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水土保持率</w:t>
            </w:r>
          </w:p>
        </w:tc>
        <w:tc>
          <w:tcPr>
            <w:tcW w:w="392" w:type="pct"/>
            <w:vAlign w:val="center"/>
          </w:tcPr>
          <w:p w14:paraId="1EE053D5">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vAlign w:val="center"/>
          </w:tcPr>
          <w:p w14:paraId="0CF9AD11">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910" w:type="pct"/>
            <w:vAlign w:val="center"/>
          </w:tcPr>
          <w:p w14:paraId="1512E885">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897" w:type="pct"/>
            <w:vAlign w:val="center"/>
          </w:tcPr>
          <w:p w14:paraId="037CA9EF">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预期性</w:t>
            </w:r>
          </w:p>
        </w:tc>
      </w:tr>
      <w:tr w14:paraId="182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restart"/>
            <w:vAlign w:val="center"/>
          </w:tcPr>
          <w:p w14:paraId="53E60D31">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修复治理类</w:t>
            </w:r>
          </w:p>
        </w:tc>
        <w:tc>
          <w:tcPr>
            <w:tcW w:w="1373" w:type="pct"/>
            <w:vAlign w:val="center"/>
          </w:tcPr>
          <w:p w14:paraId="397E5C6A">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城市（县城）建成区人均公园绿地面积</w:t>
            </w:r>
          </w:p>
          <w:p w14:paraId="7EB520D7">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392" w:type="pct"/>
            <w:vAlign w:val="center"/>
          </w:tcPr>
          <w:p w14:paraId="5731040E">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m</w:t>
            </w:r>
            <w:r>
              <w:rPr>
                <w:rFonts w:ascii="仿宋_GB2312" w:hAnsi="仿宋_GB2312" w:eastAsia="仿宋_GB2312" w:cs="仿宋_GB2312"/>
                <w:szCs w:val="21"/>
                <w:highlight w:val="none"/>
                <w:vertAlign w:val="superscript"/>
              </w:rPr>
              <w:t>2</w:t>
            </w:r>
          </w:p>
        </w:tc>
        <w:tc>
          <w:tcPr>
            <w:tcW w:w="910" w:type="pct"/>
            <w:vAlign w:val="center"/>
          </w:tcPr>
          <w:p w14:paraId="0B2FA773">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910" w:type="pct"/>
            <w:vAlign w:val="center"/>
          </w:tcPr>
          <w:p w14:paraId="6E43C91E">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897" w:type="pct"/>
            <w:vAlign w:val="center"/>
          </w:tcPr>
          <w:p w14:paraId="3743A7C2">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预期性</w:t>
            </w:r>
          </w:p>
        </w:tc>
      </w:tr>
      <w:tr w14:paraId="04A9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continue"/>
            <w:vAlign w:val="center"/>
          </w:tcPr>
          <w:p w14:paraId="0FD47FBA">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1E13C507">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新增建设高标准农田面积</w:t>
            </w:r>
          </w:p>
        </w:tc>
        <w:tc>
          <w:tcPr>
            <w:tcW w:w="392" w:type="pct"/>
            <w:vAlign w:val="center"/>
          </w:tcPr>
          <w:p w14:paraId="1D104A9D">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万亩</w:t>
            </w:r>
          </w:p>
        </w:tc>
        <w:tc>
          <w:tcPr>
            <w:tcW w:w="910" w:type="pct"/>
            <w:vAlign w:val="center"/>
          </w:tcPr>
          <w:p w14:paraId="6292A84A">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910" w:type="pct"/>
            <w:vAlign w:val="center"/>
          </w:tcPr>
          <w:p w14:paraId="4AF4F8EB">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完成上级规划任务</w:t>
            </w:r>
          </w:p>
        </w:tc>
        <w:tc>
          <w:tcPr>
            <w:tcW w:w="897" w:type="pct"/>
            <w:vAlign w:val="center"/>
          </w:tcPr>
          <w:p w14:paraId="7F941402">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预期性</w:t>
            </w:r>
          </w:p>
        </w:tc>
      </w:tr>
      <w:tr w14:paraId="4B99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514" w:type="pct"/>
            <w:vMerge w:val="continue"/>
            <w:vAlign w:val="center"/>
          </w:tcPr>
          <w:p w14:paraId="11FF5077">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4446BC2F">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“三区两线”可视范围内历史遗留矿山治理率</w:t>
            </w:r>
          </w:p>
        </w:tc>
        <w:tc>
          <w:tcPr>
            <w:tcW w:w="392" w:type="pct"/>
            <w:vAlign w:val="center"/>
          </w:tcPr>
          <w:p w14:paraId="53DB983F">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vAlign w:val="center"/>
          </w:tcPr>
          <w:p w14:paraId="595BB3E8">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100</w:t>
            </w:r>
          </w:p>
        </w:tc>
        <w:tc>
          <w:tcPr>
            <w:tcW w:w="910" w:type="pct"/>
            <w:shd w:val="clear" w:color="auto" w:fill="auto"/>
            <w:vAlign w:val="center"/>
          </w:tcPr>
          <w:p w14:paraId="410ACC35">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100</w:t>
            </w:r>
          </w:p>
        </w:tc>
        <w:tc>
          <w:tcPr>
            <w:tcW w:w="897" w:type="pct"/>
            <w:vAlign w:val="center"/>
          </w:tcPr>
          <w:p w14:paraId="5481DE7C">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约束性</w:t>
            </w:r>
          </w:p>
        </w:tc>
      </w:tr>
      <w:tr w14:paraId="74F2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continue"/>
            <w:vAlign w:val="center"/>
          </w:tcPr>
          <w:p w14:paraId="3FF363BB">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460885FB">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“2013年以来关停的露天矿山”矿山治理率</w:t>
            </w:r>
          </w:p>
        </w:tc>
        <w:tc>
          <w:tcPr>
            <w:tcW w:w="392" w:type="pct"/>
            <w:vAlign w:val="center"/>
          </w:tcPr>
          <w:p w14:paraId="0F4196C3">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vAlign w:val="center"/>
          </w:tcPr>
          <w:p w14:paraId="1278F00D">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100</w:t>
            </w:r>
          </w:p>
        </w:tc>
        <w:tc>
          <w:tcPr>
            <w:tcW w:w="910" w:type="pct"/>
            <w:shd w:val="clear" w:color="auto" w:fill="auto"/>
            <w:vAlign w:val="center"/>
          </w:tcPr>
          <w:p w14:paraId="18E8FB35">
            <w:pPr>
              <w:pStyle w:val="16"/>
              <w:spacing w:after="0" w:line="240" w:lineRule="auto"/>
              <w:ind w:left="0" w:leftChars="0" w:firstLine="0" w:firstLineChars="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100</w:t>
            </w:r>
          </w:p>
        </w:tc>
        <w:tc>
          <w:tcPr>
            <w:tcW w:w="897" w:type="pct"/>
            <w:vAlign w:val="center"/>
          </w:tcPr>
          <w:p w14:paraId="06974133">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约束性</w:t>
            </w:r>
          </w:p>
        </w:tc>
      </w:tr>
      <w:tr w14:paraId="2082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4" w:type="pct"/>
            <w:vMerge w:val="continue"/>
            <w:vAlign w:val="center"/>
          </w:tcPr>
          <w:p w14:paraId="1FA3EB10">
            <w:pPr>
              <w:pStyle w:val="16"/>
              <w:spacing w:after="0" w:line="240" w:lineRule="auto"/>
              <w:ind w:left="0" w:leftChars="0" w:firstLine="0" w:firstLineChars="0"/>
              <w:jc w:val="center"/>
              <w:rPr>
                <w:rFonts w:ascii="仿宋_GB2312" w:hAnsi="仿宋_GB2312" w:eastAsia="仿宋_GB2312" w:cs="仿宋_GB2312"/>
                <w:szCs w:val="21"/>
                <w:highlight w:val="none"/>
              </w:rPr>
            </w:pPr>
          </w:p>
        </w:tc>
        <w:tc>
          <w:tcPr>
            <w:tcW w:w="1373" w:type="pct"/>
            <w:vAlign w:val="center"/>
          </w:tcPr>
          <w:p w14:paraId="2D122DCB">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绿色矿山建成率</w:t>
            </w:r>
          </w:p>
        </w:tc>
        <w:tc>
          <w:tcPr>
            <w:tcW w:w="392" w:type="pct"/>
            <w:vAlign w:val="center"/>
          </w:tcPr>
          <w:p w14:paraId="61DBFA6E">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p>
        </w:tc>
        <w:tc>
          <w:tcPr>
            <w:tcW w:w="910" w:type="pct"/>
            <w:vAlign w:val="center"/>
          </w:tcPr>
          <w:p w14:paraId="3FBE4F35">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100</w:t>
            </w:r>
          </w:p>
        </w:tc>
        <w:tc>
          <w:tcPr>
            <w:tcW w:w="910" w:type="pct"/>
            <w:vAlign w:val="center"/>
          </w:tcPr>
          <w:p w14:paraId="54811B0D">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100</w:t>
            </w:r>
          </w:p>
        </w:tc>
        <w:tc>
          <w:tcPr>
            <w:tcW w:w="897" w:type="pct"/>
            <w:vAlign w:val="center"/>
          </w:tcPr>
          <w:p w14:paraId="40B2D752">
            <w:pPr>
              <w:pStyle w:val="16"/>
              <w:spacing w:after="0" w:line="240" w:lineRule="auto"/>
              <w:ind w:left="0" w:leftChars="0" w:firstLine="0" w:firstLineChars="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预期性</w:t>
            </w:r>
          </w:p>
        </w:tc>
      </w:tr>
    </w:tbl>
    <w:p w14:paraId="27250065">
      <w:pPr>
        <w:pStyle w:val="2"/>
        <w:rPr>
          <w:highlight w:val="none"/>
        </w:rPr>
      </w:pPr>
      <w:bookmarkStart w:id="14" w:name="_Toc4556"/>
      <w:r>
        <w:rPr>
          <w:highlight w:val="none"/>
        </w:rPr>
        <w:t>第四章</w:t>
      </w:r>
      <w:r>
        <w:rPr>
          <w:rFonts w:hint="eastAsia"/>
          <w:highlight w:val="none"/>
        </w:rPr>
        <w:t xml:space="preserve">   国土</w:t>
      </w:r>
      <w:r>
        <w:rPr>
          <w:highlight w:val="none"/>
        </w:rPr>
        <w:t>空间生态修复格局</w:t>
      </w:r>
      <w:bookmarkEnd w:id="14"/>
    </w:p>
    <w:p w14:paraId="588E5A77">
      <w:pPr>
        <w:keepNext/>
        <w:keepLines/>
        <w:ind w:firstLine="0" w:firstLineChars="0"/>
        <w:jc w:val="center"/>
        <w:outlineLvl w:val="1"/>
        <w:rPr>
          <w:rFonts w:ascii="仿宋_GB2312" w:hAnsi="楷体" w:cs="楷体"/>
          <w:b/>
          <w:bCs/>
          <w:sz w:val="32"/>
          <w:szCs w:val="32"/>
          <w:highlight w:val="none"/>
        </w:rPr>
      </w:pPr>
      <w:bookmarkStart w:id="15" w:name="_Toc5330"/>
      <w:r>
        <w:rPr>
          <w:rFonts w:ascii="仿宋_GB2312" w:hAnsi="楷体" w:cs="楷体"/>
          <w:b/>
          <w:bCs/>
          <w:sz w:val="32"/>
          <w:szCs w:val="32"/>
          <w:highlight w:val="none"/>
        </w:rPr>
        <w:t>第一节</w:t>
      </w:r>
      <w:r>
        <w:rPr>
          <w:rFonts w:hint="eastAsia" w:ascii="仿宋_GB2312" w:hAnsi="楷体" w:cs="楷体"/>
          <w:b/>
          <w:bCs/>
          <w:sz w:val="32"/>
          <w:szCs w:val="32"/>
          <w:highlight w:val="none"/>
        </w:rPr>
        <w:t xml:space="preserve">   总体</w:t>
      </w:r>
      <w:r>
        <w:rPr>
          <w:rFonts w:ascii="仿宋_GB2312" w:hAnsi="楷体" w:cs="楷体"/>
          <w:b/>
          <w:bCs/>
          <w:sz w:val="32"/>
          <w:szCs w:val="32"/>
          <w:highlight w:val="none"/>
        </w:rPr>
        <w:t>格局</w:t>
      </w:r>
      <w:bookmarkEnd w:id="15"/>
    </w:p>
    <w:p w14:paraId="3D28187F">
      <w:pPr>
        <w:ind w:firstLine="600"/>
        <w:rPr>
          <w:highlight w:val="none"/>
        </w:rPr>
      </w:pPr>
      <w:r>
        <w:rPr>
          <w:rFonts w:hint="eastAsia" w:ascii="仿宋_GB2312" w:hAnsi="仿宋_GB2312" w:cs="仿宋_GB2312"/>
          <w:szCs w:val="30"/>
          <w:highlight w:val="none"/>
        </w:rPr>
        <w:t>牢固树立和践行绿水青山就是金山银山理念，遵循自然生态系统演替规律，依托国土空间生态保护格局，聚焦重点生态功能区，围绕全市“南屏北水，多廊多点”生态修复格局，</w:t>
      </w:r>
      <w:r>
        <w:rPr>
          <w:rFonts w:hint="eastAsia"/>
          <w:highlight w:val="none"/>
        </w:rPr>
        <w:t>依托政治、经济、文化、金融、科技的“多核心”地位，统筹城区、七水水系、环城路网、近郊农业，遵循城市生态修复“提质量、强服务、重内涵、筑本底、优格局、保生态、美环境、惠民生、促发展”的理念，形成“一城、绿网、智慧农业”的发展格局。</w:t>
      </w:r>
    </w:p>
    <w:p w14:paraId="7D7E2457">
      <w:pPr>
        <w:ind w:firstLine="600"/>
        <w:rPr>
          <w:highlight w:val="none"/>
        </w:rPr>
      </w:pPr>
      <w:r>
        <w:rPr>
          <w:rFonts w:hint="eastAsia"/>
          <w:highlight w:val="none"/>
        </w:rPr>
        <w:t>一城：加强城市发展的精细管控，优化基础设施和道路格局，老旧空间提升，探索地上地下空间联动发展，建设全域空间数字管理；以“济淄一体化”为契机，加强与临市临区的快速交通，为城市发展注入新活力；优化功能片区，坚持“宜商则商、宜居则居、宜路则路”，新老融合，便民生活。</w:t>
      </w:r>
    </w:p>
    <w:p w14:paraId="7127ED53">
      <w:pPr>
        <w:ind w:firstLine="600"/>
        <w:rPr>
          <w:highlight w:val="none"/>
        </w:rPr>
      </w:pPr>
      <w:r>
        <w:rPr>
          <w:rFonts w:hint="eastAsia"/>
          <w:highlight w:val="none"/>
        </w:rPr>
        <w:t>绿网：利用路网两侧土地，根据空间利用方式，建设具有防噪、降尘、休闲、观赏等不同功能属性的绿色网络，形成“城在林中、绿在路中”的绿化新格局。</w:t>
      </w:r>
    </w:p>
    <w:p w14:paraId="399068A0">
      <w:pPr>
        <w:ind w:firstLine="600"/>
        <w:rPr>
          <w:highlight w:val="none"/>
        </w:rPr>
      </w:pPr>
      <w:r>
        <w:rPr>
          <w:rFonts w:hint="eastAsia"/>
          <w:highlight w:val="none"/>
        </w:rPr>
        <w:t>智慧农业：根据城市周边农用地稀缺、零散的特点，通过土地综合整治，提升土地利用效率，发展智慧农业，实现现代农业与传统农业的相互融合，以农业观光、农业体验、土地认领式共享农业等方式开启“服务+体验+产品”的田园生活方式，带动城乡协同发展。</w:t>
      </w:r>
    </w:p>
    <w:p w14:paraId="029A3F8C">
      <w:pPr>
        <w:ind w:firstLine="0" w:firstLineChars="0"/>
        <w:rPr>
          <w:highlight w:val="none"/>
        </w:rPr>
      </w:pPr>
      <w:r>
        <w:rPr>
          <w:highlight w:val="none"/>
        </w:rPr>
        <w:drawing>
          <wp:inline distT="0" distB="0" distL="114300" distR="114300">
            <wp:extent cx="5479415" cy="3905250"/>
            <wp:effectExtent l="0" t="0" r="0" b="0"/>
            <wp:docPr id="1" name="图片 1" descr="C:/Users/yang/Desktop/张店规划/孙静图/16.淄博市张店区国土空间生态修复格局图/16.国土空间生态修复格局图.JPG16.国土空间生态修复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ang/Desktop/张店规划/孙静图/16.淄博市张店区国土空间生态修复格局图/16.国土空间生态修复格局图.JPG16.国土空间生态修复格局图"/>
                    <pic:cNvPicPr>
                      <a:picLocks noChangeAspect="1"/>
                    </pic:cNvPicPr>
                  </pic:nvPicPr>
                  <pic:blipFill>
                    <a:blip r:embed="rId12"/>
                    <a:srcRect l="1390" t="8711" r="3388" b="5489"/>
                    <a:stretch>
                      <a:fillRect/>
                    </a:stretch>
                  </pic:blipFill>
                  <pic:spPr>
                    <a:xfrm>
                      <a:off x="0" y="0"/>
                      <a:ext cx="5479415" cy="3905250"/>
                    </a:xfrm>
                    <a:prstGeom prst="rect">
                      <a:avLst/>
                    </a:prstGeom>
                    <a:noFill/>
                    <a:ln>
                      <a:noFill/>
                    </a:ln>
                  </pic:spPr>
                </pic:pic>
              </a:graphicData>
            </a:graphic>
          </wp:inline>
        </w:drawing>
      </w:r>
    </w:p>
    <w:p w14:paraId="4381283C">
      <w:pPr>
        <w:pStyle w:val="26"/>
        <w:ind w:firstLine="482"/>
        <w:rPr>
          <w:rFonts w:hint="default"/>
          <w:highlight w:val="none"/>
        </w:rPr>
      </w:pPr>
      <w:r>
        <w:rPr>
          <w:b/>
          <w:bCs/>
          <w:highlight w:val="none"/>
        </w:rPr>
        <w:t>图</w:t>
      </w:r>
      <w:r>
        <w:rPr>
          <w:rFonts w:hint="default"/>
          <w:b/>
          <w:bCs/>
          <w:highlight w:val="none"/>
        </w:rPr>
        <w:t xml:space="preserve">4-1 </w:t>
      </w:r>
      <w:r>
        <w:rPr>
          <w:b/>
          <w:bCs/>
          <w:highlight w:val="none"/>
        </w:rPr>
        <w:t xml:space="preserve"> 国土空间生态修复格局图</w:t>
      </w:r>
    </w:p>
    <w:p w14:paraId="5C3FAC97">
      <w:pPr>
        <w:keepNext/>
        <w:keepLines/>
        <w:ind w:firstLine="0" w:firstLineChars="0"/>
        <w:jc w:val="center"/>
        <w:outlineLvl w:val="1"/>
        <w:rPr>
          <w:rFonts w:ascii="仿宋_GB2312" w:hAnsi="楷体" w:cs="楷体"/>
          <w:b/>
          <w:bCs/>
          <w:sz w:val="32"/>
          <w:szCs w:val="32"/>
          <w:highlight w:val="none"/>
        </w:rPr>
      </w:pPr>
      <w:bookmarkStart w:id="16" w:name="_Toc18267"/>
      <w:r>
        <w:rPr>
          <w:rFonts w:ascii="仿宋_GB2312" w:hAnsi="楷体" w:cs="楷体"/>
          <w:b/>
          <w:bCs/>
          <w:sz w:val="32"/>
          <w:szCs w:val="32"/>
          <w:highlight w:val="none"/>
        </w:rPr>
        <w:t>第二节</w:t>
      </w:r>
      <w:r>
        <w:rPr>
          <w:rFonts w:hint="eastAsia" w:ascii="仿宋_GB2312" w:hAnsi="楷体" w:cs="楷体"/>
          <w:b/>
          <w:bCs/>
          <w:sz w:val="32"/>
          <w:szCs w:val="32"/>
          <w:highlight w:val="none"/>
        </w:rPr>
        <w:t xml:space="preserve">   </w:t>
      </w:r>
      <w:r>
        <w:rPr>
          <w:rFonts w:ascii="仿宋_GB2312" w:hAnsi="楷体" w:cs="楷体"/>
          <w:b/>
          <w:bCs/>
          <w:sz w:val="32"/>
          <w:szCs w:val="32"/>
          <w:highlight w:val="none"/>
        </w:rPr>
        <w:t>生态修复分区</w:t>
      </w:r>
      <w:bookmarkEnd w:id="16"/>
    </w:p>
    <w:p w14:paraId="45494B10">
      <w:pPr>
        <w:ind w:firstLine="600"/>
        <w:rPr>
          <w:rFonts w:hAnsi="Calibri"/>
          <w:highlight w:val="none"/>
        </w:rPr>
      </w:pPr>
      <w:r>
        <w:rPr>
          <w:rFonts w:hint="eastAsia" w:hAnsi="Calibri"/>
          <w:highlight w:val="none"/>
        </w:rPr>
        <w:t>根据自然地理格局，按照空间用途管制要求，以</w:t>
      </w:r>
      <w:r>
        <w:rPr>
          <w:rFonts w:hint="eastAsia"/>
          <w:highlight w:val="none"/>
        </w:rPr>
        <w:t>市</w:t>
      </w:r>
      <w:r>
        <w:rPr>
          <w:rFonts w:hint="eastAsia" w:hAnsi="Calibri"/>
          <w:highlight w:val="none"/>
        </w:rPr>
        <w:t>级国土空间生态修复规划确定的生态修复分区为基础，突出自然地理和生态系统的完整性和连通性，以重点流域、区域等为基础单元，进行全覆盖、不交叉、不重叠国土空间生态修复分区。</w:t>
      </w:r>
    </w:p>
    <w:p w14:paraId="480F0DAC">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一、分区原则</w:t>
      </w:r>
    </w:p>
    <w:p w14:paraId="562D77B9">
      <w:pPr>
        <w:ind w:firstLine="600"/>
        <w:rPr>
          <w:rFonts w:hAnsi="Calibri"/>
          <w:highlight w:val="none"/>
        </w:rPr>
      </w:pPr>
      <w:r>
        <w:rPr>
          <w:rFonts w:hint="eastAsia" w:hAnsi="Calibri"/>
          <w:highlight w:val="none"/>
        </w:rPr>
        <w:t>依据国土空间生态修复现状调查结果，在全面分析研究</w:t>
      </w:r>
      <w:r>
        <w:rPr>
          <w:rFonts w:hint="eastAsia"/>
          <w:highlight w:val="none"/>
        </w:rPr>
        <w:t>区</w:t>
      </w:r>
      <w:r>
        <w:rPr>
          <w:rFonts w:hint="eastAsia" w:hAnsi="Calibri"/>
          <w:highlight w:val="none"/>
        </w:rPr>
        <w:t>域国土空间生态修复环境背景、现存主要问题的基础上，结合</w:t>
      </w:r>
      <w:r>
        <w:rPr>
          <w:rFonts w:hint="eastAsia"/>
          <w:highlight w:val="none"/>
        </w:rPr>
        <w:t>区</w:t>
      </w:r>
      <w:r>
        <w:rPr>
          <w:rFonts w:hint="eastAsia" w:hAnsi="Calibri"/>
          <w:highlight w:val="none"/>
        </w:rPr>
        <w:t>域已有规划成果、区域格局、生态地质环境特点等，确定本次分区原则如下：</w:t>
      </w:r>
    </w:p>
    <w:p w14:paraId="3EFA536A">
      <w:pPr>
        <w:pStyle w:val="5"/>
        <w:ind w:firstLine="600"/>
        <w:rPr>
          <w:highlight w:val="none"/>
        </w:rPr>
      </w:pPr>
      <w:r>
        <w:rPr>
          <w:rFonts w:hint="eastAsia"/>
          <w:highlight w:val="none"/>
        </w:rPr>
        <w:t>（一）衔接相关规划</w:t>
      </w:r>
    </w:p>
    <w:p w14:paraId="65904269">
      <w:pPr>
        <w:ind w:firstLine="600"/>
        <w:rPr>
          <w:rFonts w:hAnsi="Calibri"/>
          <w:highlight w:val="none"/>
        </w:rPr>
      </w:pPr>
      <w:r>
        <w:rPr>
          <w:rFonts w:hint="eastAsia" w:hAnsi="Calibri"/>
          <w:highlight w:val="none"/>
        </w:rPr>
        <w:t>以</w:t>
      </w:r>
      <w:r>
        <w:rPr>
          <w:rFonts w:hint="eastAsia"/>
          <w:highlight w:val="none"/>
        </w:rPr>
        <w:t>市</w:t>
      </w:r>
      <w:r>
        <w:rPr>
          <w:rFonts w:hint="eastAsia" w:hAnsi="Calibri"/>
          <w:highlight w:val="none"/>
        </w:rPr>
        <w:t>级国土空间生态修复规划确定的生态修复分区为基础，充分衔接</w:t>
      </w:r>
      <w:r>
        <w:rPr>
          <w:rFonts w:hint="eastAsia"/>
          <w:highlight w:val="none"/>
        </w:rPr>
        <w:t>区</w:t>
      </w:r>
      <w:r>
        <w:rPr>
          <w:rFonts w:hint="eastAsia" w:hAnsi="Calibri"/>
          <w:highlight w:val="none"/>
        </w:rPr>
        <w:t>国民经济和社会发展第十四个五年规划和2035年远景目标纲要、</w:t>
      </w:r>
      <w:r>
        <w:rPr>
          <w:rFonts w:hint="eastAsia"/>
          <w:highlight w:val="none"/>
        </w:rPr>
        <w:t>区</w:t>
      </w:r>
      <w:r>
        <w:rPr>
          <w:rFonts w:hint="eastAsia" w:hAnsi="Calibri"/>
          <w:highlight w:val="none"/>
        </w:rPr>
        <w:t>全域公园城市建设规划、</w:t>
      </w:r>
      <w:r>
        <w:rPr>
          <w:rFonts w:hint="eastAsia"/>
          <w:highlight w:val="none"/>
        </w:rPr>
        <w:t>区</w:t>
      </w:r>
      <w:r>
        <w:rPr>
          <w:rFonts w:hint="eastAsia" w:hAnsi="Calibri"/>
          <w:highlight w:val="none"/>
        </w:rPr>
        <w:t>土地利用总体规划、</w:t>
      </w:r>
      <w:r>
        <w:rPr>
          <w:rFonts w:hint="eastAsia"/>
          <w:highlight w:val="none"/>
        </w:rPr>
        <w:t>区</w:t>
      </w:r>
      <w:r>
        <w:rPr>
          <w:rFonts w:hint="eastAsia" w:hAnsi="Calibri"/>
          <w:highlight w:val="none"/>
        </w:rPr>
        <w:t>“十四五”生态环境保护规划、</w:t>
      </w:r>
      <w:r>
        <w:rPr>
          <w:rFonts w:hint="eastAsia"/>
          <w:highlight w:val="none"/>
        </w:rPr>
        <w:t>区</w:t>
      </w:r>
      <w:r>
        <w:rPr>
          <w:rFonts w:hint="eastAsia" w:hAnsi="Calibri"/>
          <w:highlight w:val="none"/>
        </w:rPr>
        <w:t>林业发展“十四五”规划等</w:t>
      </w:r>
      <w:r>
        <w:rPr>
          <w:rFonts w:hint="eastAsia"/>
          <w:highlight w:val="none"/>
        </w:rPr>
        <w:t>区</w:t>
      </w:r>
      <w:r>
        <w:rPr>
          <w:rFonts w:hint="eastAsia" w:hAnsi="Calibri"/>
          <w:highlight w:val="none"/>
        </w:rPr>
        <w:t>级规划。</w:t>
      </w:r>
    </w:p>
    <w:p w14:paraId="2F095882">
      <w:pPr>
        <w:pStyle w:val="5"/>
        <w:ind w:firstLine="600"/>
        <w:rPr>
          <w:highlight w:val="none"/>
        </w:rPr>
      </w:pPr>
      <w:r>
        <w:rPr>
          <w:rFonts w:hint="eastAsia"/>
          <w:highlight w:val="none"/>
        </w:rPr>
        <w:t>（二）自然地理、生态系统完整性、连通性</w:t>
      </w:r>
    </w:p>
    <w:p w14:paraId="66B37964">
      <w:pPr>
        <w:ind w:firstLine="600"/>
        <w:rPr>
          <w:rFonts w:hAnsi="Calibri"/>
          <w:highlight w:val="none"/>
        </w:rPr>
      </w:pPr>
      <w:r>
        <w:rPr>
          <w:rFonts w:hint="eastAsia" w:hAnsi="Calibri"/>
          <w:highlight w:val="none"/>
        </w:rPr>
        <w:t>根据地形地貌、气象水文、地质构造、地层等自然地理要素分布情况，结合植被发育、生物种群发育等生态系统分布情况，突出区域自然地理、生态系统完整性、连通性，遵循自然规律，进行国土空间生态修复分区划定。</w:t>
      </w:r>
    </w:p>
    <w:p w14:paraId="52D9943F">
      <w:pPr>
        <w:pStyle w:val="5"/>
        <w:ind w:firstLine="600"/>
        <w:rPr>
          <w:highlight w:val="none"/>
        </w:rPr>
      </w:pPr>
      <w:r>
        <w:rPr>
          <w:rFonts w:hint="eastAsia"/>
          <w:highlight w:val="none"/>
        </w:rPr>
        <w:t>（三）行政区域、重点流域一致性</w:t>
      </w:r>
    </w:p>
    <w:p w14:paraId="6D3CC7E6">
      <w:pPr>
        <w:ind w:firstLine="600"/>
        <w:rPr>
          <w:rFonts w:hAnsi="Calibri"/>
          <w:highlight w:val="none"/>
        </w:rPr>
      </w:pPr>
      <w:r>
        <w:rPr>
          <w:rFonts w:hint="eastAsia" w:hAnsi="Calibri"/>
          <w:highlight w:val="none"/>
        </w:rPr>
        <w:t>为便于规划衔接、落实，本次工作以</w:t>
      </w:r>
      <w:r>
        <w:rPr>
          <w:rFonts w:hint="eastAsia"/>
          <w:highlight w:val="none"/>
        </w:rPr>
        <w:t>村</w:t>
      </w:r>
      <w:r>
        <w:rPr>
          <w:rFonts w:hint="eastAsia" w:hAnsi="Calibri"/>
          <w:highlight w:val="none"/>
        </w:rPr>
        <w:t>为基础单元，结合流域分布情况，进行国土空间生态修复分区划定。</w:t>
      </w:r>
    </w:p>
    <w:p w14:paraId="79D6740F">
      <w:pPr>
        <w:pStyle w:val="5"/>
        <w:ind w:firstLine="600"/>
        <w:rPr>
          <w:highlight w:val="none"/>
        </w:rPr>
      </w:pPr>
      <w:r>
        <w:rPr>
          <w:rFonts w:hint="eastAsia"/>
          <w:highlight w:val="none"/>
        </w:rPr>
        <w:t>（四）主要生态修复问题导向性</w:t>
      </w:r>
    </w:p>
    <w:p w14:paraId="45CFCBE2">
      <w:pPr>
        <w:ind w:firstLine="600"/>
        <w:rPr>
          <w:rFonts w:hAnsi="Calibri"/>
          <w:highlight w:val="none"/>
        </w:rPr>
      </w:pPr>
      <w:r>
        <w:rPr>
          <w:rFonts w:hint="eastAsia" w:hAnsi="Calibri"/>
          <w:highlight w:val="none"/>
        </w:rPr>
        <w:t>根据收集资料综合研究分析、现状调查结果，识别生态空间、农业空间、城镇空间、三类空间相邻或冲突区域生态系统存在的突出问题，在共性问题区域划定国土空间生态修复分区。</w:t>
      </w:r>
    </w:p>
    <w:p w14:paraId="6E9E8095">
      <w:pPr>
        <w:pStyle w:val="5"/>
        <w:ind w:firstLine="600"/>
        <w:rPr>
          <w:highlight w:val="none"/>
        </w:rPr>
      </w:pPr>
      <w:r>
        <w:rPr>
          <w:rFonts w:hint="eastAsia"/>
          <w:highlight w:val="none"/>
        </w:rPr>
        <w:t>（五）区域完整性</w:t>
      </w:r>
    </w:p>
    <w:p w14:paraId="1CDC31BF">
      <w:pPr>
        <w:ind w:firstLine="600"/>
        <w:rPr>
          <w:rFonts w:hAnsi="Calibri"/>
          <w:highlight w:val="none"/>
        </w:rPr>
      </w:pPr>
      <w:r>
        <w:rPr>
          <w:rFonts w:hint="eastAsia"/>
          <w:highlight w:val="none"/>
        </w:rPr>
        <w:t>参照</w:t>
      </w:r>
      <w:r>
        <w:rPr>
          <w:rFonts w:hint="eastAsia" w:hAnsi="Calibri"/>
          <w:highlight w:val="none"/>
        </w:rPr>
        <w:t>《山东省市级国土空间生态修复规划编制技术导则（试行）》，国土空间生态修复分区应全覆盖、不交叉、不重叠。</w:t>
      </w:r>
    </w:p>
    <w:p w14:paraId="2452307F">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二、</w:t>
      </w:r>
      <w:r>
        <w:rPr>
          <w:rFonts w:hint="eastAsia" w:eastAsia="黑体"/>
          <w:bCs/>
          <w:szCs w:val="32"/>
          <w:highlight w:val="none"/>
        </w:rPr>
        <w:t>区</w:t>
      </w:r>
      <w:r>
        <w:rPr>
          <w:rFonts w:hint="eastAsia" w:ascii="仿宋_GB2312" w:hAnsi="Calibri" w:eastAsia="黑体"/>
          <w:bCs/>
          <w:szCs w:val="32"/>
          <w:highlight w:val="none"/>
        </w:rPr>
        <w:t>域生态修复分区</w:t>
      </w:r>
    </w:p>
    <w:p w14:paraId="029D7630">
      <w:pPr>
        <w:ind w:firstLine="600"/>
        <w:rPr>
          <w:highlight w:val="none"/>
        </w:rPr>
      </w:pPr>
      <w:r>
        <w:rPr>
          <w:rFonts w:hint="eastAsia"/>
          <w:highlight w:val="none"/>
        </w:rPr>
        <w:t>以区域自然地理格局为基础，基于自然生态本底状况，突出主要功能和主要生态问题，通过衔接山东省国土空间生态修复规划、淄博市国土空间生态修复规划等相关成果，按照自然和经济社会条件、土地利用方式、限制因素和开发利用方式的相对一致性，将淄博市张店区划分为两个生态修复分区。</w:t>
      </w:r>
    </w:p>
    <w:p w14:paraId="44DC8800">
      <w:pPr>
        <w:ind w:firstLine="600"/>
        <w:rPr>
          <w:highlight w:val="none"/>
        </w:rPr>
      </w:pPr>
      <w:r>
        <w:rPr>
          <w:rFonts w:hint="eastAsia"/>
          <w:highlight w:val="none"/>
        </w:rPr>
        <w:t>（一）人居环境提升保护区</w:t>
      </w:r>
    </w:p>
    <w:p w14:paraId="4D52EA07">
      <w:pPr>
        <w:ind w:firstLine="600"/>
        <w:rPr>
          <w:highlight w:val="none"/>
        </w:rPr>
      </w:pPr>
      <w:r>
        <w:rPr>
          <w:rFonts w:hint="eastAsia"/>
          <w:highlight w:val="none"/>
        </w:rPr>
        <w:t>该区涉及马尚街道、车站街道、公园街道、湖田街道、和平街道、科苑街道及房镇镇，以城镇更新及公园城市建设为引领，以新型城镇化建设、人与自然和谐发展为主线，优化城镇建设用地结构与布局，加大公园与绿地、广场用地等用地保障以及产业转移承接力度，加强建设用地整治与社区人居环境整治。</w:t>
      </w:r>
    </w:p>
    <w:p w14:paraId="43F2A39C">
      <w:pPr>
        <w:ind w:firstLine="600"/>
        <w:rPr>
          <w:highlight w:val="none"/>
        </w:rPr>
      </w:pPr>
      <w:r>
        <w:rPr>
          <w:rFonts w:hint="eastAsia"/>
          <w:highlight w:val="none"/>
        </w:rPr>
        <w:t>（二）土壤风险管控及土地综合整治区</w:t>
      </w:r>
    </w:p>
    <w:p w14:paraId="65396F0E">
      <w:pPr>
        <w:ind w:firstLine="600"/>
        <w:rPr>
          <w:highlight w:val="none"/>
        </w:rPr>
      </w:pPr>
      <w:r>
        <w:rPr>
          <w:rFonts w:hint="eastAsia"/>
          <w:highlight w:val="none"/>
        </w:rPr>
        <w:t>该区涉及房镇镇、湖田街道、马尚街道、科苑和体育场街道，加强建设用地、农用地土壤风险管控，建立监测体系，以近郊现代农业建设为引领，进行宜耕后备土地综合整治。</w:t>
      </w:r>
    </w:p>
    <w:p w14:paraId="1F946EB3">
      <w:pPr>
        <w:ind w:firstLine="0" w:firstLineChars="0"/>
        <w:rPr>
          <w:highlight w:val="none"/>
        </w:rPr>
      </w:pPr>
      <w:r>
        <w:rPr>
          <w:highlight w:val="none"/>
        </w:rPr>
        <w:drawing>
          <wp:inline distT="0" distB="0" distL="114300" distR="114300">
            <wp:extent cx="5520055" cy="3957955"/>
            <wp:effectExtent l="0" t="0" r="0" b="0"/>
            <wp:docPr id="2" name="图片 2" descr="C:/Users/yang/Desktop/张店规划/孙静图/17.淄博市张店区国土空间生态修复分区图/17.国土空间生态修复分区图.JPG17.国土空间生态修复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ang/Desktop/张店规划/孙静图/17.淄博市张店区国土空间生态修复分区图/17.国土空间生态修复分区图.JPG17.国土空间生态修复分区图"/>
                    <pic:cNvPicPr>
                      <a:picLocks noChangeAspect="1"/>
                    </pic:cNvPicPr>
                  </pic:nvPicPr>
                  <pic:blipFill>
                    <a:blip r:embed="rId13"/>
                    <a:srcRect l="1216" t="8661" r="3592" b="5048"/>
                    <a:stretch>
                      <a:fillRect/>
                    </a:stretch>
                  </pic:blipFill>
                  <pic:spPr>
                    <a:xfrm>
                      <a:off x="0" y="0"/>
                      <a:ext cx="5520055" cy="3957955"/>
                    </a:xfrm>
                    <a:prstGeom prst="rect">
                      <a:avLst/>
                    </a:prstGeom>
                    <a:noFill/>
                    <a:ln>
                      <a:noFill/>
                    </a:ln>
                  </pic:spPr>
                </pic:pic>
              </a:graphicData>
            </a:graphic>
          </wp:inline>
        </w:drawing>
      </w:r>
    </w:p>
    <w:p w14:paraId="2BA9FDDC">
      <w:pPr>
        <w:pStyle w:val="26"/>
        <w:ind w:firstLine="482"/>
        <w:rPr>
          <w:rFonts w:hint="default"/>
          <w:b/>
          <w:bCs/>
          <w:highlight w:val="none"/>
        </w:rPr>
      </w:pPr>
      <w:r>
        <w:rPr>
          <w:b/>
          <w:bCs/>
          <w:highlight w:val="none"/>
        </w:rPr>
        <w:t>图4</w:t>
      </w:r>
      <w:r>
        <w:rPr>
          <w:rFonts w:hint="default"/>
          <w:b/>
          <w:bCs/>
          <w:highlight w:val="none"/>
        </w:rPr>
        <w:t>-</w:t>
      </w:r>
      <w:r>
        <w:rPr>
          <w:b/>
          <w:bCs/>
          <w:highlight w:val="none"/>
        </w:rPr>
        <w:t>2 国土空间生态修复分区图</w:t>
      </w:r>
    </w:p>
    <w:p w14:paraId="30ECEADA">
      <w:pPr>
        <w:keepNext/>
        <w:keepLines/>
        <w:ind w:firstLine="0" w:firstLineChars="0"/>
        <w:jc w:val="center"/>
        <w:outlineLvl w:val="1"/>
        <w:rPr>
          <w:rFonts w:ascii="仿宋_GB2312" w:hAnsi="楷体" w:cs="楷体"/>
          <w:b/>
          <w:bCs/>
          <w:sz w:val="32"/>
          <w:szCs w:val="32"/>
          <w:highlight w:val="none"/>
        </w:rPr>
      </w:pPr>
      <w:bookmarkStart w:id="17" w:name="_Toc4451"/>
      <w:r>
        <w:rPr>
          <w:rFonts w:ascii="仿宋_GB2312" w:hAnsi="楷体" w:cs="楷体"/>
          <w:b/>
          <w:bCs/>
          <w:sz w:val="32"/>
          <w:szCs w:val="32"/>
          <w:highlight w:val="none"/>
        </w:rPr>
        <w:t>第三节</w:t>
      </w:r>
      <w:r>
        <w:rPr>
          <w:rFonts w:hint="eastAsia" w:ascii="仿宋_GB2312" w:hAnsi="楷体" w:cs="楷体"/>
          <w:b/>
          <w:bCs/>
          <w:sz w:val="32"/>
          <w:szCs w:val="32"/>
          <w:highlight w:val="none"/>
        </w:rPr>
        <w:t xml:space="preserve">   </w:t>
      </w:r>
      <w:r>
        <w:rPr>
          <w:rFonts w:ascii="仿宋_GB2312" w:hAnsi="楷体" w:cs="楷体"/>
          <w:b/>
          <w:bCs/>
          <w:sz w:val="32"/>
          <w:szCs w:val="32"/>
          <w:highlight w:val="none"/>
        </w:rPr>
        <w:t>生态修复重点区域</w:t>
      </w:r>
      <w:bookmarkEnd w:id="17"/>
    </w:p>
    <w:p w14:paraId="15E541E1">
      <w:pPr>
        <w:ind w:firstLine="600"/>
        <w:rPr>
          <w:highlight w:val="none"/>
        </w:rPr>
      </w:pPr>
      <w:r>
        <w:rPr>
          <w:rFonts w:hint="eastAsia" w:hAnsi="Calibri"/>
          <w:highlight w:val="none"/>
        </w:rPr>
        <w:t>结合</w:t>
      </w:r>
      <w:r>
        <w:rPr>
          <w:rFonts w:hint="eastAsia"/>
          <w:highlight w:val="none"/>
        </w:rPr>
        <w:t>市</w:t>
      </w:r>
      <w:r>
        <w:rPr>
          <w:rFonts w:hint="eastAsia" w:hAnsi="Calibri"/>
          <w:highlight w:val="none"/>
        </w:rPr>
        <w:t>级国土空间生态修复规划和</w:t>
      </w:r>
      <w:r>
        <w:rPr>
          <w:rFonts w:hint="eastAsia"/>
          <w:highlight w:val="none"/>
        </w:rPr>
        <w:t>区</w:t>
      </w:r>
      <w:r>
        <w:rPr>
          <w:rFonts w:hint="eastAsia" w:hAnsi="Calibri"/>
          <w:highlight w:val="none"/>
        </w:rPr>
        <w:t>级各类规划，统筹考虑生态系统生态服务功能重要性、生态环境敏感性、生态系统恢复力水平以及各生态要素关联性，确定生态修复重点区域</w:t>
      </w:r>
      <w:r>
        <w:rPr>
          <w:rFonts w:hint="eastAsia"/>
          <w:highlight w:val="none"/>
        </w:rPr>
        <w:t xml:space="preserve">。 </w:t>
      </w:r>
    </w:p>
    <w:p w14:paraId="3C6F11CB">
      <w:pPr>
        <w:ind w:firstLine="600"/>
        <w:rPr>
          <w:highlight w:val="none"/>
        </w:rPr>
      </w:pPr>
      <w:r>
        <w:rPr>
          <w:rFonts w:hint="eastAsia"/>
          <w:highlight w:val="none"/>
        </w:rPr>
        <w:t>全区共分为三类重点区，分别为土地生态修复保护重点区、生态绿廊建设重点区、人居环境提升重点区。</w:t>
      </w:r>
    </w:p>
    <w:p w14:paraId="18546602">
      <w:pPr>
        <w:ind w:firstLine="600"/>
        <w:rPr>
          <w:highlight w:val="none"/>
        </w:rPr>
      </w:pPr>
      <w:r>
        <w:rPr>
          <w:rFonts w:hint="eastAsia"/>
          <w:highlight w:val="none"/>
        </w:rPr>
        <w:t>（一）土地生态修复保护重点区域</w:t>
      </w:r>
    </w:p>
    <w:p w14:paraId="7BFABE59">
      <w:pPr>
        <w:ind w:firstLine="600"/>
        <w:rPr>
          <w:highlight w:val="none"/>
        </w:rPr>
      </w:pPr>
      <w:r>
        <w:rPr>
          <w:rFonts w:hint="eastAsia"/>
          <w:highlight w:val="none"/>
        </w:rPr>
        <w:t>主要涉及房镇镇、马尚街道和湖田街道。重点实施土地综合整治、土壤风险管控、提升耕地质量、退化林地修复。</w:t>
      </w:r>
    </w:p>
    <w:p w14:paraId="5847EE06">
      <w:pPr>
        <w:ind w:firstLine="600"/>
        <w:rPr>
          <w:highlight w:val="none"/>
        </w:rPr>
      </w:pPr>
      <w:r>
        <w:rPr>
          <w:rFonts w:hint="eastAsia"/>
          <w:highlight w:val="none"/>
        </w:rPr>
        <w:t>（二）林网水网生态廊道建设重点区域</w:t>
      </w:r>
    </w:p>
    <w:p w14:paraId="55AFB99D">
      <w:pPr>
        <w:ind w:firstLine="600"/>
        <w:rPr>
          <w:highlight w:val="none"/>
        </w:rPr>
      </w:pPr>
      <w:r>
        <w:rPr>
          <w:rFonts w:hint="eastAsia"/>
          <w:highlight w:val="none"/>
        </w:rPr>
        <w:t>以城市高速公路、铁路为基础，结合道路两侧绿地建设，搭建环城交通生态绿廊，构建城区绿色网络屏障，包括沾临高速生态绿廊、城市快速路生态绿廊和城市主干道两侧绿化林带退化林生态绿廊。</w:t>
      </w:r>
    </w:p>
    <w:p w14:paraId="10561754">
      <w:pPr>
        <w:ind w:firstLine="600"/>
        <w:rPr>
          <w:highlight w:val="none"/>
        </w:rPr>
      </w:pPr>
      <w:r>
        <w:rPr>
          <w:highlight w:val="none"/>
        </w:rPr>
        <w:t>基于现状水系基础，提升整体防洪排涝能力；控源截污、清淤疏浚，提升水质水量、协调上游矿坑水资源化利用，水系联通合理配置水资源；恢复河道自然环境、增加景观文化，形成集防洪排涝、环境保护、游憩景观等多重功能于一体的生态水系。</w:t>
      </w:r>
    </w:p>
    <w:p w14:paraId="65775C46">
      <w:pPr>
        <w:ind w:firstLine="600"/>
        <w:rPr>
          <w:highlight w:val="none"/>
        </w:rPr>
      </w:pPr>
      <w:r>
        <w:rPr>
          <w:rFonts w:hint="eastAsia"/>
          <w:highlight w:val="none"/>
        </w:rPr>
        <w:t>（三）人居环境提升重点区域</w:t>
      </w:r>
    </w:p>
    <w:p w14:paraId="15854463">
      <w:pPr>
        <w:ind w:firstLine="600"/>
        <w:rPr>
          <w:highlight w:val="none"/>
        </w:rPr>
        <w:sectPr>
          <w:pgSz w:w="11906" w:h="16838"/>
          <w:pgMar w:top="1418" w:right="1418" w:bottom="1418" w:left="1418" w:header="851" w:footer="851" w:gutter="0"/>
          <w:cols w:space="720" w:num="1"/>
          <w:docGrid w:type="lines" w:linePitch="408" w:charSpace="0"/>
        </w:sectPr>
      </w:pPr>
      <w:r>
        <w:rPr>
          <w:rFonts w:hint="eastAsia"/>
          <w:highlight w:val="none"/>
        </w:rPr>
        <w:t>主要涉及马尚街道、车站街道、公园街道、湖田街道、和平街道、科苑街道和房镇镇，优化地下空间开发，畅通排水入网入河，增加透水砖、绿地等雨水入渗面积，减少地面径流；交通易拥堵路段优化改造，打通断头路，拓展道路空间；完善城区地下水监测网络，合理利用城区地下水，降低水位，减少水位上涨对地下空间的影响。</w:t>
      </w:r>
    </w:p>
    <w:p w14:paraId="5CD0EFC6">
      <w:pPr>
        <w:pStyle w:val="2"/>
        <w:rPr>
          <w:highlight w:val="none"/>
        </w:rPr>
      </w:pPr>
      <w:bookmarkStart w:id="18" w:name="_Toc4375"/>
      <w:r>
        <w:rPr>
          <w:rFonts w:hint="eastAsia"/>
          <w:highlight w:val="none"/>
        </w:rPr>
        <w:t>第五章   主要</w:t>
      </w:r>
      <w:r>
        <w:rPr>
          <w:highlight w:val="none"/>
        </w:rPr>
        <w:t>任务</w:t>
      </w:r>
      <w:bookmarkEnd w:id="18"/>
    </w:p>
    <w:p w14:paraId="249DC75A">
      <w:pPr>
        <w:ind w:firstLine="600"/>
        <w:rPr>
          <w:highlight w:val="none"/>
        </w:rPr>
      </w:pPr>
      <w:r>
        <w:rPr>
          <w:rFonts w:hint="eastAsia"/>
          <w:highlight w:val="none"/>
        </w:rPr>
        <w:t>按照城更绿、水更清、路更畅、环境更美好的愿景，以“一城、绿网、智慧农业”的国土空间生态修复总体布局为指引，解决全区生态、农业、城镇等领域面临的生态问题，部署规划期生态修复重点任务。</w:t>
      </w:r>
    </w:p>
    <w:p w14:paraId="43AB83A6">
      <w:pPr>
        <w:keepNext/>
        <w:keepLines/>
        <w:ind w:firstLine="0" w:firstLineChars="0"/>
        <w:jc w:val="center"/>
        <w:outlineLvl w:val="1"/>
        <w:rPr>
          <w:rFonts w:ascii="仿宋_GB2312" w:hAnsi="楷体" w:cs="楷体"/>
          <w:b/>
          <w:bCs/>
          <w:sz w:val="32"/>
          <w:szCs w:val="32"/>
          <w:highlight w:val="none"/>
        </w:rPr>
      </w:pPr>
      <w:bookmarkStart w:id="19" w:name="_Toc12418"/>
      <w:r>
        <w:rPr>
          <w:rFonts w:hint="eastAsia" w:ascii="仿宋_GB2312" w:hAnsi="楷体" w:cs="楷体"/>
          <w:b/>
          <w:bCs/>
          <w:sz w:val="32"/>
          <w:szCs w:val="32"/>
          <w:highlight w:val="none"/>
        </w:rPr>
        <w:t xml:space="preserve">第一节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人居环境提升保护区生态修复</w:t>
      </w:r>
      <w:bookmarkEnd w:id="19"/>
    </w:p>
    <w:p w14:paraId="40926F08">
      <w:pPr>
        <w:ind w:firstLine="600"/>
        <w:rPr>
          <w:rFonts w:ascii="仿宋_GB2312" w:hAnsi="楷体" w:cs="楷体"/>
          <w:b/>
          <w:bCs/>
          <w:sz w:val="32"/>
          <w:szCs w:val="32"/>
          <w:highlight w:val="none"/>
        </w:rPr>
      </w:pPr>
      <w:r>
        <w:rPr>
          <w:highlight w:val="none"/>
        </w:rPr>
        <w:t>结合自身工作特点，按照“量力而行”的原则，迅速启动城市更新“试点片区”改造工作，策划一批完善公共服务、环境改善类项目，满足群众生活设施规划。同时，全力推动棚户区改造项目，实施老旧小区改造，提升居民居住环境。围绕打赢蓝天保卫战、打好碧水保卫战、打好净土保卫战，保障环境安全，做好中央、省生态环境保护督察等方面展开工作。通过产业结构绿色升级、能源结构清洁低碳、交通结构绿色转型、工业污染深度治理、社会面源污染防治等措施，全面提升城区生态环境质量。</w:t>
      </w:r>
    </w:p>
    <w:p w14:paraId="32D86A72">
      <w:pPr>
        <w:keepNext/>
        <w:keepLines/>
        <w:ind w:firstLine="0" w:firstLineChars="0"/>
        <w:jc w:val="center"/>
        <w:outlineLvl w:val="1"/>
        <w:rPr>
          <w:rFonts w:ascii="仿宋_GB2312" w:hAnsi="楷体" w:cs="楷体"/>
          <w:b/>
          <w:bCs/>
          <w:sz w:val="32"/>
          <w:szCs w:val="32"/>
          <w:highlight w:val="none"/>
        </w:rPr>
      </w:pPr>
      <w:bookmarkStart w:id="20" w:name="_Toc3801"/>
      <w:r>
        <w:rPr>
          <w:rFonts w:hint="eastAsia" w:ascii="仿宋_GB2312" w:hAnsi="楷体" w:cs="楷体"/>
          <w:b/>
          <w:bCs/>
          <w:sz w:val="32"/>
          <w:szCs w:val="32"/>
          <w:highlight w:val="none"/>
        </w:rPr>
        <w:t xml:space="preserve">第二节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土壤风险管控及土地综合整治区生态修复</w:t>
      </w:r>
      <w:bookmarkEnd w:id="20"/>
    </w:p>
    <w:p w14:paraId="07B1C323">
      <w:pPr>
        <w:ind w:firstLine="600"/>
        <w:rPr>
          <w:highlight w:val="none"/>
        </w:rPr>
      </w:pPr>
      <w:r>
        <w:rPr>
          <w:rFonts w:hint="eastAsia"/>
          <w:highlight w:val="none"/>
        </w:rPr>
        <w:t>实施退化农用地生态修复，改善农业生态系统功能。有序推进土壤污染防治深入开展土壤污染防治工作，确保规划期内全区土壤环境质量总体稳定，农用地土壤环境质量保持良好，土壤污染防治体系逐步完善，土壤环境风险得到有效控制。到2025年，受污染耕地安全利用率达到100%。保护优质耕地，建设优质耕地，提升农田使用效率。</w:t>
      </w:r>
    </w:p>
    <w:p w14:paraId="4997C5D2">
      <w:pPr>
        <w:ind w:firstLine="600"/>
        <w:rPr>
          <w:color w:val="FF0000"/>
          <w:highlight w:val="none"/>
        </w:rPr>
      </w:pPr>
      <w:r>
        <w:rPr>
          <w:rFonts w:hint="eastAsia"/>
          <w:highlight w:val="none"/>
        </w:rPr>
        <w:t>开展土地综合整治，助力乡村振兴。大力推进农用地、农村建设用地、乡村生态保护修复综合整治，积极推进房镇镇、湖田街道、马尚街道土地综合整治，提高土地集约节约化水平，促进国土空间格局优化，助力乡村振兴。</w:t>
      </w:r>
    </w:p>
    <w:p w14:paraId="36C4B1C5">
      <w:pPr>
        <w:keepNext/>
        <w:keepLines/>
        <w:ind w:firstLine="0" w:firstLineChars="0"/>
        <w:jc w:val="center"/>
        <w:outlineLvl w:val="1"/>
        <w:rPr>
          <w:rFonts w:ascii="仿宋_GB2312" w:hAnsi="楷体" w:cs="楷体"/>
          <w:b/>
          <w:bCs/>
          <w:sz w:val="32"/>
          <w:szCs w:val="32"/>
          <w:highlight w:val="none"/>
        </w:rPr>
      </w:pPr>
      <w:bookmarkStart w:id="21" w:name="_Toc13694"/>
      <w:r>
        <w:rPr>
          <w:rFonts w:hint="eastAsia" w:ascii="仿宋_GB2312" w:hAnsi="楷体" w:cs="楷体"/>
          <w:b/>
          <w:bCs/>
          <w:sz w:val="32"/>
          <w:szCs w:val="32"/>
          <w:highlight w:val="none"/>
        </w:rPr>
        <w:t xml:space="preserve">第三节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重要生态廊道和生态网络构建</w:t>
      </w:r>
      <w:bookmarkEnd w:id="21"/>
    </w:p>
    <w:p w14:paraId="2347973B">
      <w:pPr>
        <w:ind w:firstLine="600"/>
        <w:rPr>
          <w:highlight w:val="none"/>
        </w:rPr>
      </w:pPr>
      <w:r>
        <w:rPr>
          <w:rFonts w:hint="eastAsia"/>
          <w:highlight w:val="none"/>
        </w:rPr>
        <w:t>重要</w:t>
      </w:r>
      <w:r>
        <w:rPr>
          <w:highlight w:val="none"/>
        </w:rPr>
        <w:t>生态廊道</w:t>
      </w:r>
      <w:r>
        <w:rPr>
          <w:rFonts w:hint="eastAsia"/>
          <w:highlight w:val="none"/>
        </w:rPr>
        <w:t>建设，通过</w:t>
      </w:r>
      <w:r>
        <w:rPr>
          <w:highlight w:val="none"/>
        </w:rPr>
        <w:t>推进生态环境保护修复、河湖生态复苏、水污染综合治理、农业面源污染治理、工业污染管控、生活污染治理以及生态环境突出问题整改等工作</w:t>
      </w:r>
      <w:r>
        <w:rPr>
          <w:rFonts w:hint="eastAsia"/>
          <w:highlight w:val="none"/>
        </w:rPr>
        <w:t>，</w:t>
      </w:r>
      <w:r>
        <w:rPr>
          <w:highlight w:val="none"/>
        </w:rPr>
        <w:t>提升生态环境质量，构建生态安全屏障。通过提升改造河岸两侧的临水空间，增加了居民休闲娱乐互动的场所，形成了全新的滨河公园系统</w:t>
      </w:r>
      <w:r>
        <w:rPr>
          <w:rFonts w:hint="eastAsia"/>
          <w:highlight w:val="none"/>
        </w:rPr>
        <w:t>，</w:t>
      </w:r>
      <w:r>
        <w:rPr>
          <w:highlight w:val="none"/>
        </w:rPr>
        <w:t>不仅美化城市环境，还提升居民的幸福感和舒适感。</w:t>
      </w:r>
    </w:p>
    <w:p w14:paraId="0C81775F">
      <w:pPr>
        <w:ind w:firstLine="600"/>
        <w:rPr>
          <w:highlight w:val="none"/>
        </w:rPr>
      </w:pPr>
      <w:r>
        <w:rPr>
          <w:highlight w:val="none"/>
        </w:rPr>
        <w:t>依托自然山水空间构建生态网络：依托周边自然山水空间、农业空间和城市道路，构建中心城区生态内环和外环</w:t>
      </w:r>
      <w:r>
        <w:rPr>
          <w:rFonts w:hint="eastAsia"/>
          <w:highlight w:val="none"/>
        </w:rPr>
        <w:t>，以</w:t>
      </w:r>
      <w:r>
        <w:rPr>
          <w:highlight w:val="none"/>
        </w:rPr>
        <w:t>实现了生态空间的互联互通和资源共享，提升城市生态系统的整体功能。</w:t>
      </w:r>
    </w:p>
    <w:p w14:paraId="3D102BEC">
      <w:pPr>
        <w:ind w:firstLine="600"/>
        <w:rPr>
          <w:highlight w:val="none"/>
        </w:rPr>
      </w:pPr>
    </w:p>
    <w:p w14:paraId="5E7463AE">
      <w:pPr>
        <w:keepNext/>
        <w:keepLines/>
        <w:ind w:firstLine="0" w:firstLineChars="0"/>
        <w:jc w:val="center"/>
        <w:outlineLvl w:val="1"/>
        <w:rPr>
          <w:rFonts w:hint="default" w:ascii="仿宋_GB2312" w:hAnsi="楷体" w:eastAsia="仿宋_GB2312" w:cs="楷体"/>
          <w:b/>
          <w:bCs/>
          <w:sz w:val="32"/>
          <w:szCs w:val="32"/>
          <w:highlight w:val="none"/>
          <w:lang w:val="en-US" w:eastAsia="zh-CN"/>
        </w:rPr>
      </w:pPr>
      <w:bookmarkStart w:id="22" w:name="_Toc22079"/>
      <w:r>
        <w:rPr>
          <w:rFonts w:hint="eastAsia" w:ascii="仿宋_GB2312" w:hAnsi="楷体" w:cs="楷体"/>
          <w:b/>
          <w:bCs/>
          <w:sz w:val="32"/>
          <w:szCs w:val="32"/>
          <w:highlight w:val="none"/>
        </w:rPr>
        <w:t>第</w:t>
      </w:r>
      <w:r>
        <w:rPr>
          <w:rFonts w:hint="eastAsia" w:ascii="仿宋_GB2312" w:hAnsi="楷体" w:cs="楷体"/>
          <w:b/>
          <w:bCs/>
          <w:sz w:val="32"/>
          <w:szCs w:val="32"/>
          <w:highlight w:val="none"/>
          <w:lang w:val="en-US" w:eastAsia="zh-CN"/>
        </w:rPr>
        <w:t>四</w:t>
      </w:r>
      <w:r>
        <w:rPr>
          <w:rFonts w:hint="eastAsia" w:ascii="仿宋_GB2312" w:hAnsi="楷体" w:cs="楷体"/>
          <w:b/>
          <w:bCs/>
          <w:sz w:val="32"/>
          <w:szCs w:val="32"/>
          <w:highlight w:val="none"/>
        </w:rPr>
        <w:t xml:space="preserve">节 </w:t>
      </w:r>
      <w:r>
        <w:rPr>
          <w:rFonts w:ascii="仿宋_GB2312" w:hAnsi="楷体" w:cs="楷体"/>
          <w:b/>
          <w:bCs/>
          <w:sz w:val="32"/>
          <w:szCs w:val="32"/>
          <w:highlight w:val="none"/>
        </w:rPr>
        <w:t xml:space="preserve"> </w:t>
      </w:r>
      <w:r>
        <w:rPr>
          <w:rFonts w:hint="eastAsia" w:ascii="仿宋_GB2312" w:hAnsi="楷体" w:cs="楷体"/>
          <w:b/>
          <w:bCs/>
          <w:sz w:val="32"/>
          <w:szCs w:val="32"/>
          <w:highlight w:val="none"/>
          <w:lang w:val="en-US" w:eastAsia="zh-CN"/>
        </w:rPr>
        <w:t>历史遗留废弃露天矿山治理</w:t>
      </w:r>
      <w:bookmarkEnd w:id="22"/>
    </w:p>
    <w:p w14:paraId="642C6CCD">
      <w:pPr>
        <w:ind w:firstLine="600"/>
        <w:rPr>
          <w:rFonts w:hint="default"/>
          <w:highlight w:val="none"/>
          <w:lang w:val="en-US" w:eastAsia="zh-CN"/>
        </w:rPr>
      </w:pPr>
      <w:r>
        <w:rPr>
          <w:rFonts w:hint="eastAsia"/>
          <w:highlight w:val="none"/>
          <w:lang w:val="en-US" w:eastAsia="zh-CN"/>
        </w:rPr>
        <w:t>依据“保护优先、节约优先、自然恢复为主”方针，对已部分回填和自然恢复的湖田矿山公司矿区和南焦宋化工石料厂二矿区现状进行专业评估，根据论证意见进行下一步整改或申报销号。</w:t>
      </w:r>
    </w:p>
    <w:p w14:paraId="7CCA500D">
      <w:pPr>
        <w:ind w:firstLine="600"/>
        <w:rPr>
          <w:highlight w:val="none"/>
        </w:rPr>
        <w:sectPr>
          <w:pgSz w:w="11906" w:h="16838"/>
          <w:pgMar w:top="1418" w:right="1418" w:bottom="1418" w:left="1418" w:header="851" w:footer="851" w:gutter="0"/>
          <w:cols w:space="720" w:num="1"/>
          <w:docGrid w:type="lines" w:linePitch="408" w:charSpace="0"/>
        </w:sectPr>
      </w:pPr>
    </w:p>
    <w:p w14:paraId="5395A1F9">
      <w:pPr>
        <w:pStyle w:val="2"/>
        <w:rPr>
          <w:highlight w:val="none"/>
        </w:rPr>
      </w:pPr>
      <w:bookmarkStart w:id="23" w:name="_Toc26845"/>
      <w:r>
        <w:rPr>
          <w:highlight w:val="none"/>
        </w:rPr>
        <w:t>第六章</w:t>
      </w:r>
      <w:r>
        <w:rPr>
          <w:rFonts w:hint="eastAsia"/>
          <w:highlight w:val="none"/>
        </w:rPr>
        <w:t xml:space="preserve">   </w:t>
      </w:r>
      <w:r>
        <w:rPr>
          <w:highlight w:val="none"/>
        </w:rPr>
        <w:t>重点工程</w:t>
      </w:r>
      <w:bookmarkEnd w:id="23"/>
    </w:p>
    <w:p w14:paraId="2B602619">
      <w:pPr>
        <w:ind w:firstLine="600"/>
        <w:rPr>
          <w:highlight w:val="none"/>
        </w:rPr>
      </w:pPr>
      <w:r>
        <w:rPr>
          <w:rFonts w:hint="eastAsia"/>
          <w:highlight w:val="none"/>
        </w:rPr>
        <w:t>坚持“山水林田湖草沙生命共同体”理念，科学配置保护保育、自然恢复、辅助修复、生态重塑四种保护修复模式，进行整体保护、系统修复、综合治理，解决区域突出生态问题、恢复受损生态系统功能、改善生态系统质量、增强生态碳汇能力，充分发挥国土空间生态保护修复工程综合效益。重点工程基于国土空间生态修复格局，针对主要生态环境问题，注重自然地理单元的连续性、完整性，聚焦生态修复重点区域，部署</w:t>
      </w:r>
      <w:r>
        <w:rPr>
          <w:rFonts w:hint="eastAsia"/>
          <w:highlight w:val="none"/>
          <w:lang w:val="en-US" w:eastAsia="zh-CN"/>
        </w:rPr>
        <w:t>四</w:t>
      </w:r>
      <w:r>
        <w:rPr>
          <w:rFonts w:hint="eastAsia"/>
          <w:highlight w:val="none"/>
        </w:rPr>
        <w:t>项生态修复重点工程。</w:t>
      </w:r>
    </w:p>
    <w:p w14:paraId="155FDBDA">
      <w:pPr>
        <w:keepNext/>
        <w:keepLines/>
        <w:ind w:firstLine="0" w:firstLineChars="0"/>
        <w:jc w:val="center"/>
        <w:outlineLvl w:val="1"/>
        <w:rPr>
          <w:highlight w:val="none"/>
        </w:rPr>
      </w:pPr>
      <w:bookmarkStart w:id="24" w:name="_Toc31123"/>
      <w:r>
        <w:rPr>
          <w:rFonts w:hint="eastAsia" w:ascii="仿宋_GB2312" w:hAnsi="楷体" w:cs="楷体"/>
          <w:b/>
          <w:bCs/>
          <w:sz w:val="32"/>
          <w:szCs w:val="32"/>
          <w:highlight w:val="none"/>
        </w:rPr>
        <w:t xml:space="preserve">第一节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土地综合整治重点工程</w:t>
      </w:r>
      <w:bookmarkEnd w:id="24"/>
    </w:p>
    <w:p w14:paraId="6E39B6F1">
      <w:pPr>
        <w:ind w:firstLine="600"/>
        <w:rPr>
          <w:highlight w:val="none"/>
        </w:rPr>
      </w:pPr>
      <w:r>
        <w:rPr>
          <w:rFonts w:hint="eastAsia"/>
          <w:highlight w:val="none"/>
        </w:rPr>
        <w:t>实施区域：房镇镇、湖田街道、马尚街道。</w:t>
      </w:r>
    </w:p>
    <w:p w14:paraId="1A23AEE1">
      <w:pPr>
        <w:ind w:firstLine="600"/>
        <w:rPr>
          <w:highlight w:val="none"/>
        </w:rPr>
      </w:pPr>
      <w:r>
        <w:rPr>
          <w:rFonts w:hint="eastAsia"/>
          <w:highlight w:val="none"/>
        </w:rPr>
        <w:t>重点项目：房镇镇土地综合整治工程，湖田街道土地综合整治工程，马尚街道土地综合整治工程。</w:t>
      </w:r>
    </w:p>
    <w:p w14:paraId="197866CA">
      <w:pPr>
        <w:ind w:firstLine="600"/>
        <w:rPr>
          <w:highlight w:val="none"/>
        </w:rPr>
      </w:pPr>
      <w:r>
        <w:rPr>
          <w:rFonts w:hint="eastAsia"/>
          <w:highlight w:val="none"/>
        </w:rPr>
        <w:t>主要建设内容：优化城乡土地利用结构与布局，推动不同类型村庄的农用地整治，整体推进“田水路林村”综合整治，新增补充耕地，提升村庄土地利用效率和集约化水平，充分发挥城乡融合优势。</w:t>
      </w:r>
    </w:p>
    <w:p w14:paraId="76990481">
      <w:pPr>
        <w:ind w:firstLine="600"/>
        <w:rPr>
          <w:highlight w:val="none"/>
        </w:rPr>
      </w:pPr>
      <w:r>
        <w:rPr>
          <w:rFonts w:hint="eastAsia"/>
          <w:highlight w:val="none"/>
        </w:rPr>
        <w:t>责任部门：淄博市自然资源</w:t>
      </w:r>
      <w:r>
        <w:rPr>
          <w:rFonts w:hint="eastAsia"/>
          <w:highlight w:val="none"/>
          <w:lang w:val="en-US" w:eastAsia="zh-CN"/>
        </w:rPr>
        <w:t>和规划</w:t>
      </w:r>
      <w:r>
        <w:rPr>
          <w:rFonts w:hint="eastAsia"/>
          <w:highlight w:val="none"/>
        </w:rPr>
        <w:t>局</w:t>
      </w:r>
      <w:r>
        <w:rPr>
          <w:rFonts w:hint="eastAsia"/>
          <w:highlight w:val="none"/>
          <w:lang w:val="en-US" w:eastAsia="zh-CN"/>
        </w:rPr>
        <w:t>张店分局</w:t>
      </w:r>
      <w:r>
        <w:rPr>
          <w:rFonts w:hint="eastAsia"/>
          <w:highlight w:val="none"/>
        </w:rPr>
        <w:t>、</w:t>
      </w:r>
      <w:r>
        <w:rPr>
          <w:rFonts w:hint="eastAsia"/>
          <w:highlight w:val="none"/>
          <w:lang w:val="en-US" w:eastAsia="zh-CN"/>
        </w:rPr>
        <w:t>张店区</w:t>
      </w:r>
      <w:r>
        <w:rPr>
          <w:rFonts w:hint="eastAsia"/>
          <w:highlight w:val="none"/>
        </w:rPr>
        <w:t>农业农村局。</w:t>
      </w:r>
    </w:p>
    <w:p w14:paraId="3745E9E1">
      <w:pPr>
        <w:keepNext/>
        <w:keepLines/>
        <w:ind w:firstLine="0" w:firstLineChars="0"/>
        <w:jc w:val="center"/>
        <w:outlineLvl w:val="1"/>
        <w:rPr>
          <w:highlight w:val="none"/>
        </w:rPr>
      </w:pPr>
      <w:bookmarkStart w:id="25" w:name="_Toc14384"/>
      <w:r>
        <w:rPr>
          <w:rFonts w:hint="eastAsia" w:ascii="仿宋_GB2312" w:hAnsi="楷体" w:cs="楷体"/>
          <w:b/>
          <w:bCs/>
          <w:sz w:val="32"/>
          <w:szCs w:val="32"/>
          <w:highlight w:val="none"/>
        </w:rPr>
        <w:t xml:space="preserve">第二节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林网水网生态廊道重点工程</w:t>
      </w:r>
      <w:bookmarkEnd w:id="25"/>
    </w:p>
    <w:p w14:paraId="1390BE9F">
      <w:pPr>
        <w:ind w:firstLine="600"/>
        <w:rPr>
          <w:highlight w:val="none"/>
        </w:rPr>
      </w:pPr>
      <w:r>
        <w:rPr>
          <w:rFonts w:hint="eastAsia"/>
          <w:highlight w:val="none"/>
        </w:rPr>
        <w:t>实施区域：张店全域。</w:t>
      </w:r>
    </w:p>
    <w:p w14:paraId="2018B9DE">
      <w:pPr>
        <w:ind w:firstLine="600"/>
        <w:rPr>
          <w:highlight w:val="none"/>
        </w:rPr>
      </w:pPr>
      <w:r>
        <w:rPr>
          <w:rFonts w:hint="eastAsia"/>
          <w:highlight w:val="none"/>
        </w:rPr>
        <w:t>重点项目：沾临高速生态绿廊建设工程、城市快速路生态绿廊建设工程和城市主干道两侧绿化林带退化林生态绿廊；润淄河、东</w:t>
      </w:r>
      <w:r>
        <w:rPr>
          <w:rFonts w:hint="eastAsia"/>
          <w:highlight w:val="none"/>
          <w:lang w:eastAsia="zh-CN"/>
        </w:rPr>
        <w:t>潴龙河</w:t>
      </w:r>
      <w:r>
        <w:rPr>
          <w:rFonts w:hint="eastAsia"/>
          <w:highlight w:val="none"/>
        </w:rPr>
        <w:t>、玉龙河和涝淄河综合提质工程；沟渠水塘综合提质工程。</w:t>
      </w:r>
    </w:p>
    <w:p w14:paraId="33401F8D">
      <w:pPr>
        <w:ind w:firstLine="600"/>
        <w:rPr>
          <w:highlight w:val="none"/>
        </w:rPr>
      </w:pPr>
      <w:r>
        <w:rPr>
          <w:rFonts w:hint="eastAsia"/>
          <w:highlight w:val="none"/>
        </w:rPr>
        <w:t>主要建设内容：生态绿廊宽度除满足道路交通相关规范要求外，高速生态廊道城镇段按照道路红线向外侧根据实际情况划定控制带，非城镇段按照道路红线向外根据实际情况划定控制带；城市快速路和城市主干道根据预留规划绿化带进行生态廊道建设和提升。根据润淄河、东</w:t>
      </w:r>
      <w:r>
        <w:rPr>
          <w:rFonts w:hint="eastAsia"/>
          <w:highlight w:val="none"/>
          <w:lang w:eastAsia="zh-CN"/>
        </w:rPr>
        <w:t>潴龙河</w:t>
      </w:r>
      <w:r>
        <w:rPr>
          <w:rFonts w:hint="eastAsia"/>
          <w:highlight w:val="none"/>
        </w:rPr>
        <w:t>、玉龙河和涝淄河控制边界和总体定位，对主干河流进行综合提质工程，满足公共休闲、生态保育、防洪排涝等功能；四是针对白蛇沟、涝淄河水渠、乙烯厂北排渠等沟渠进行生态化改造，联通玉黛湖下游在北焦宋村北、临淄大道北、冯北路东侧多处水塘，增大齐盛湖、玉黛湖、涝淄河湿地等多处调蓄水体，增强景观营造、生态涵养、蓄水滞洪等功能。</w:t>
      </w:r>
    </w:p>
    <w:p w14:paraId="0458A4D7">
      <w:pPr>
        <w:ind w:firstLine="600"/>
        <w:rPr>
          <w:highlight w:val="none"/>
        </w:rPr>
      </w:pPr>
      <w:r>
        <w:rPr>
          <w:rFonts w:hint="eastAsia"/>
          <w:highlight w:val="none"/>
        </w:rPr>
        <w:t>责任部门：淄博市自然资源</w:t>
      </w:r>
      <w:r>
        <w:rPr>
          <w:rFonts w:hint="eastAsia"/>
          <w:highlight w:val="none"/>
          <w:lang w:val="en-US" w:eastAsia="zh-CN"/>
        </w:rPr>
        <w:t>和规划</w:t>
      </w:r>
      <w:r>
        <w:rPr>
          <w:rFonts w:hint="eastAsia"/>
          <w:highlight w:val="none"/>
        </w:rPr>
        <w:t>局</w:t>
      </w:r>
      <w:r>
        <w:rPr>
          <w:rFonts w:hint="eastAsia"/>
          <w:highlight w:val="none"/>
          <w:lang w:val="en-US" w:eastAsia="zh-CN"/>
        </w:rPr>
        <w:t>张店分局</w:t>
      </w:r>
      <w:r>
        <w:rPr>
          <w:rFonts w:hint="eastAsia"/>
          <w:highlight w:val="none"/>
        </w:rPr>
        <w:t>、</w:t>
      </w:r>
      <w:r>
        <w:rPr>
          <w:rFonts w:hint="eastAsia"/>
          <w:highlight w:val="none"/>
          <w:lang w:val="en-US" w:eastAsia="zh-CN"/>
        </w:rPr>
        <w:t>张店区</w:t>
      </w:r>
      <w:r>
        <w:rPr>
          <w:rFonts w:hint="eastAsia"/>
          <w:highlight w:val="none"/>
        </w:rPr>
        <w:t>水利局。</w:t>
      </w:r>
    </w:p>
    <w:p w14:paraId="695277F4">
      <w:pPr>
        <w:keepNext/>
        <w:keepLines/>
        <w:ind w:firstLine="0" w:firstLineChars="0"/>
        <w:jc w:val="center"/>
        <w:outlineLvl w:val="1"/>
        <w:rPr>
          <w:highlight w:val="none"/>
        </w:rPr>
      </w:pPr>
      <w:bookmarkStart w:id="26" w:name="_Toc2760"/>
      <w:r>
        <w:rPr>
          <w:rFonts w:hint="eastAsia" w:ascii="仿宋_GB2312" w:hAnsi="楷体" w:cs="楷体"/>
          <w:b/>
          <w:bCs/>
          <w:sz w:val="32"/>
          <w:szCs w:val="32"/>
          <w:highlight w:val="none"/>
        </w:rPr>
        <w:t xml:space="preserve">第三节 </w:t>
      </w:r>
      <w:r>
        <w:rPr>
          <w:rFonts w:ascii="仿宋_GB2312" w:hAnsi="楷体" w:cs="楷体"/>
          <w:b/>
          <w:bCs/>
          <w:sz w:val="32"/>
          <w:szCs w:val="32"/>
          <w:highlight w:val="none"/>
        </w:rPr>
        <w:t xml:space="preserve"> </w:t>
      </w:r>
      <w:r>
        <w:rPr>
          <w:rFonts w:hint="eastAsia" w:ascii="仿宋_GB2312" w:hAnsi="楷体" w:cs="楷体"/>
          <w:b/>
          <w:bCs/>
          <w:sz w:val="32"/>
          <w:szCs w:val="32"/>
          <w:highlight w:val="none"/>
          <w:lang w:val="en-US" w:eastAsia="zh-CN"/>
        </w:rPr>
        <w:t>历史遗留废弃露天矿山处置</w:t>
      </w:r>
      <w:r>
        <w:rPr>
          <w:rFonts w:hint="eastAsia" w:ascii="仿宋_GB2312" w:hAnsi="楷体" w:cs="楷体"/>
          <w:b/>
          <w:bCs/>
          <w:sz w:val="32"/>
          <w:szCs w:val="32"/>
          <w:highlight w:val="none"/>
        </w:rPr>
        <w:t>重点工程</w:t>
      </w:r>
      <w:bookmarkEnd w:id="26"/>
    </w:p>
    <w:p w14:paraId="4034D0F0">
      <w:pPr>
        <w:ind w:firstLine="600"/>
        <w:rPr>
          <w:highlight w:val="none"/>
        </w:rPr>
      </w:pPr>
      <w:r>
        <w:rPr>
          <w:rFonts w:hint="eastAsia"/>
          <w:highlight w:val="none"/>
        </w:rPr>
        <w:t>实施区域：</w:t>
      </w:r>
      <w:r>
        <w:rPr>
          <w:rFonts w:hint="eastAsia"/>
          <w:highlight w:val="none"/>
          <w:lang w:val="en-US" w:eastAsia="zh-CN"/>
        </w:rPr>
        <w:t>湖田街道</w:t>
      </w:r>
      <w:r>
        <w:rPr>
          <w:rFonts w:hint="eastAsia"/>
          <w:highlight w:val="none"/>
        </w:rPr>
        <w:t>。</w:t>
      </w:r>
    </w:p>
    <w:p w14:paraId="71479D31">
      <w:pPr>
        <w:bidi w:val="0"/>
        <w:rPr>
          <w:rFonts w:hint="eastAsia"/>
        </w:rPr>
      </w:pPr>
      <w:r>
        <w:rPr>
          <w:rFonts w:hint="eastAsia"/>
        </w:rPr>
        <w:t>重点项目：湖田矿山公司矿区</w:t>
      </w:r>
      <w:r>
        <w:rPr>
          <w:rFonts w:hint="eastAsia"/>
          <w:lang w:val="en-US" w:eastAsia="zh-CN"/>
        </w:rPr>
        <w:t>处置重点工程</w:t>
      </w:r>
      <w:r>
        <w:rPr>
          <w:rFonts w:hint="eastAsia"/>
        </w:rPr>
        <w:t>和南焦宋化工石料厂二矿区</w:t>
      </w:r>
      <w:r>
        <w:rPr>
          <w:rFonts w:hint="eastAsia"/>
          <w:lang w:val="en-US" w:eastAsia="zh-CN"/>
        </w:rPr>
        <w:t>处置重点工程</w:t>
      </w:r>
      <w:r>
        <w:rPr>
          <w:rFonts w:hint="eastAsia"/>
        </w:rPr>
        <w:t>。</w:t>
      </w:r>
    </w:p>
    <w:p w14:paraId="171E58AA">
      <w:pPr>
        <w:bidi w:val="0"/>
        <w:rPr>
          <w:rFonts w:hint="default" w:eastAsia="仿宋_GB2312"/>
          <w:lang w:val="en-US" w:eastAsia="zh-CN"/>
        </w:rPr>
      </w:pPr>
      <w:r>
        <w:rPr>
          <w:rFonts w:hint="eastAsia"/>
          <w:lang w:val="en-US" w:eastAsia="zh-CN"/>
        </w:rPr>
        <w:t>主要建设内容：深入贯彻“保护优先、节约优先、自然恢复为主”方针，对</w:t>
      </w:r>
      <w:r>
        <w:rPr>
          <w:rFonts w:hint="eastAsia"/>
        </w:rPr>
        <w:t>湖田矿山公司矿区</w:t>
      </w:r>
      <w:r>
        <w:rPr>
          <w:rFonts w:hint="eastAsia"/>
          <w:lang w:val="en-US" w:eastAsia="zh-CN"/>
        </w:rPr>
        <w:t>和</w:t>
      </w:r>
      <w:r>
        <w:rPr>
          <w:rFonts w:hint="eastAsia"/>
        </w:rPr>
        <w:t>南焦宋化工石料厂二矿区</w:t>
      </w:r>
      <w:r>
        <w:rPr>
          <w:rFonts w:hint="eastAsia"/>
          <w:lang w:val="en-US" w:eastAsia="zh-CN"/>
        </w:rPr>
        <w:t>自然恢复标准进行专业评估和论证，根据论证意见进行处置，最终完成销号。</w:t>
      </w:r>
    </w:p>
    <w:p w14:paraId="1A14F493">
      <w:pPr>
        <w:bidi w:val="0"/>
        <w:rPr>
          <w:rFonts w:hint="eastAsia"/>
        </w:rPr>
      </w:pPr>
      <w:r>
        <w:rPr>
          <w:rFonts w:hint="eastAsia"/>
          <w:highlight w:val="none"/>
        </w:rPr>
        <w:t>责任部门：淄博市自然资源</w:t>
      </w:r>
      <w:r>
        <w:rPr>
          <w:rFonts w:hint="eastAsia"/>
          <w:highlight w:val="none"/>
          <w:lang w:val="en-US" w:eastAsia="zh-CN"/>
        </w:rPr>
        <w:t>和规划</w:t>
      </w:r>
      <w:r>
        <w:rPr>
          <w:rFonts w:hint="eastAsia"/>
          <w:highlight w:val="none"/>
        </w:rPr>
        <w:t>局</w:t>
      </w:r>
      <w:r>
        <w:rPr>
          <w:rFonts w:hint="eastAsia"/>
          <w:highlight w:val="none"/>
          <w:lang w:val="en-US" w:eastAsia="zh-CN"/>
        </w:rPr>
        <w:t>张店分局</w:t>
      </w:r>
    </w:p>
    <w:p w14:paraId="4C7CF977">
      <w:pPr>
        <w:keepNext/>
        <w:keepLines/>
        <w:ind w:firstLine="0" w:firstLineChars="0"/>
        <w:jc w:val="center"/>
        <w:outlineLvl w:val="1"/>
        <w:rPr>
          <w:highlight w:val="none"/>
        </w:rPr>
      </w:pPr>
      <w:bookmarkStart w:id="27" w:name="_Toc1444"/>
      <w:r>
        <w:rPr>
          <w:rFonts w:hint="eastAsia" w:ascii="仿宋_GB2312" w:hAnsi="楷体" w:cs="楷体"/>
          <w:b/>
          <w:bCs/>
          <w:sz w:val="32"/>
          <w:szCs w:val="32"/>
          <w:highlight w:val="none"/>
        </w:rPr>
        <w:t>第</w:t>
      </w:r>
      <w:r>
        <w:rPr>
          <w:rFonts w:hint="eastAsia" w:ascii="仿宋_GB2312" w:hAnsi="楷体" w:cs="楷体"/>
          <w:b/>
          <w:bCs/>
          <w:sz w:val="32"/>
          <w:szCs w:val="32"/>
          <w:highlight w:val="none"/>
          <w:lang w:val="en-US" w:eastAsia="zh-CN"/>
        </w:rPr>
        <w:t>四</w:t>
      </w:r>
      <w:r>
        <w:rPr>
          <w:rFonts w:hint="eastAsia" w:ascii="仿宋_GB2312" w:hAnsi="楷体" w:cs="楷体"/>
          <w:b/>
          <w:bCs/>
          <w:sz w:val="32"/>
          <w:szCs w:val="32"/>
          <w:highlight w:val="none"/>
        </w:rPr>
        <w:t xml:space="preserve">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国土空间调查与数字化重点工程</w:t>
      </w:r>
      <w:bookmarkEnd w:id="27"/>
    </w:p>
    <w:p w14:paraId="6B659B0F">
      <w:pPr>
        <w:ind w:firstLine="600"/>
        <w:rPr>
          <w:highlight w:val="none"/>
        </w:rPr>
      </w:pPr>
      <w:r>
        <w:rPr>
          <w:rFonts w:hint="eastAsia"/>
          <w:highlight w:val="none"/>
        </w:rPr>
        <w:t>实施区域：张店全域。</w:t>
      </w:r>
    </w:p>
    <w:p w14:paraId="290D7D17">
      <w:pPr>
        <w:ind w:firstLine="600"/>
        <w:rPr>
          <w:highlight w:val="none"/>
        </w:rPr>
      </w:pPr>
      <w:r>
        <w:rPr>
          <w:rFonts w:hint="eastAsia"/>
          <w:highlight w:val="none"/>
        </w:rPr>
        <w:t>重点项目：淄博市张店区国土空间生态地质环境调查与监测工程；淄博市张店区全空间透明城市平台建设工程。</w:t>
      </w:r>
    </w:p>
    <w:p w14:paraId="0901F9FF">
      <w:pPr>
        <w:ind w:firstLine="600"/>
        <w:rPr>
          <w:highlight w:val="none"/>
        </w:rPr>
      </w:pPr>
      <w:r>
        <w:rPr>
          <w:highlight w:val="none"/>
        </w:rPr>
        <w:t>主要建设内容：</w:t>
      </w:r>
      <w:r>
        <w:rPr>
          <w:rFonts w:hint="eastAsia"/>
          <w:highlight w:val="none"/>
        </w:rPr>
        <w:t>以支撑服务国土空间生态修复为目标，开展全域地上地下生态地质环境本底调查，识别和诊断重大生态问题，建设生态地质环境监测系统，分析全域矿山整治修复、损毁土地修复、土壤污染修复、小流域治理、林地修复等潜力及其分布情况；建设淄博市张店区全空间透明城市平台，融合基础地质、钻孔、地下空间、地上建筑、耕地、林地、水域、矿产及产权等多要素，为国土空间开发利用与用途管制提供数字孪生服务。</w:t>
      </w:r>
    </w:p>
    <w:p w14:paraId="0FDAB6B6">
      <w:pPr>
        <w:ind w:firstLine="600"/>
        <w:rPr>
          <w:highlight w:val="none"/>
        </w:rPr>
      </w:pPr>
      <w:r>
        <w:rPr>
          <w:rFonts w:hint="eastAsia"/>
          <w:highlight w:val="none"/>
        </w:rPr>
        <w:t>责任部门：淄博市自然资源</w:t>
      </w:r>
      <w:r>
        <w:rPr>
          <w:rFonts w:hint="eastAsia"/>
          <w:highlight w:val="none"/>
          <w:lang w:val="en-US" w:eastAsia="zh-CN"/>
        </w:rPr>
        <w:t>和规划</w:t>
      </w:r>
      <w:r>
        <w:rPr>
          <w:rFonts w:hint="eastAsia"/>
          <w:highlight w:val="none"/>
        </w:rPr>
        <w:t>局</w:t>
      </w:r>
      <w:r>
        <w:rPr>
          <w:rFonts w:hint="eastAsia"/>
          <w:highlight w:val="none"/>
          <w:lang w:val="en-US" w:eastAsia="zh-CN"/>
        </w:rPr>
        <w:t>张店分局</w:t>
      </w:r>
      <w:r>
        <w:rPr>
          <w:rFonts w:hint="eastAsia"/>
          <w:highlight w:val="none"/>
        </w:rPr>
        <w:t>、</w:t>
      </w:r>
      <w:r>
        <w:rPr>
          <w:rFonts w:hint="eastAsia"/>
          <w:highlight w:val="none"/>
          <w:lang w:val="en-US" w:eastAsia="zh-CN"/>
        </w:rPr>
        <w:t>张店</w:t>
      </w:r>
      <w:r>
        <w:rPr>
          <w:rFonts w:hint="eastAsia"/>
          <w:highlight w:val="none"/>
        </w:rPr>
        <w:t>区大数据中心。</w:t>
      </w:r>
    </w:p>
    <w:p w14:paraId="4FA6DDD1">
      <w:pPr>
        <w:ind w:firstLine="600"/>
        <w:rPr>
          <w:highlight w:val="none"/>
        </w:rPr>
      </w:pPr>
    </w:p>
    <w:p w14:paraId="75870F26">
      <w:pPr>
        <w:ind w:firstLine="600"/>
        <w:rPr>
          <w:highlight w:val="none"/>
        </w:rPr>
        <w:sectPr>
          <w:pgSz w:w="11906" w:h="16838"/>
          <w:pgMar w:top="1418" w:right="1418" w:bottom="1418" w:left="1418" w:header="851" w:footer="851" w:gutter="0"/>
          <w:cols w:space="720" w:num="1"/>
          <w:docGrid w:type="lines" w:linePitch="408" w:charSpace="0"/>
        </w:sectPr>
      </w:pPr>
    </w:p>
    <w:p w14:paraId="5FB48A4C">
      <w:pPr>
        <w:pStyle w:val="2"/>
        <w:rPr>
          <w:rFonts w:hint="eastAsia" w:eastAsia="黑体"/>
          <w:highlight w:val="none"/>
          <w:lang w:val="en-US" w:eastAsia="zh-CN"/>
        </w:rPr>
      </w:pPr>
      <w:bookmarkStart w:id="28" w:name="_Toc9044"/>
      <w:r>
        <w:rPr>
          <w:highlight w:val="none"/>
        </w:rPr>
        <w:t>第七章</w:t>
      </w:r>
      <w:r>
        <w:rPr>
          <w:rFonts w:hint="eastAsia"/>
          <w:highlight w:val="none"/>
        </w:rPr>
        <w:t xml:space="preserve">   </w:t>
      </w:r>
      <w:r>
        <w:rPr>
          <w:highlight w:val="none"/>
        </w:rPr>
        <w:t>效益</w:t>
      </w:r>
      <w:r>
        <w:rPr>
          <w:rFonts w:hint="eastAsia"/>
          <w:highlight w:val="none"/>
          <w:lang w:val="en-US" w:eastAsia="zh-CN"/>
        </w:rPr>
        <w:t>分析</w:t>
      </w:r>
      <w:bookmarkEnd w:id="28"/>
    </w:p>
    <w:p w14:paraId="4895616F">
      <w:pPr>
        <w:pStyle w:val="24"/>
        <w:ind w:firstLine="600"/>
        <w:rPr>
          <w:rFonts w:hAnsi="仿宋"/>
          <w:szCs w:val="24"/>
          <w:highlight w:val="none"/>
        </w:rPr>
      </w:pPr>
    </w:p>
    <w:p w14:paraId="39B8956F">
      <w:pPr>
        <w:keepNext/>
        <w:keepLines/>
        <w:ind w:firstLine="600"/>
        <w:outlineLvl w:val="2"/>
        <w:rPr>
          <w:rFonts w:ascii="仿宋_GB2312" w:hAnsi="Calibri" w:eastAsia="黑体"/>
          <w:bCs/>
          <w:szCs w:val="32"/>
          <w:highlight w:val="none"/>
        </w:rPr>
      </w:pPr>
      <w:bookmarkStart w:id="29" w:name="_Toc95723817"/>
      <w:r>
        <w:rPr>
          <w:rFonts w:hint="eastAsia" w:ascii="仿宋_GB2312" w:hAnsi="Calibri" w:eastAsia="黑体"/>
          <w:bCs/>
          <w:szCs w:val="32"/>
          <w:highlight w:val="none"/>
        </w:rPr>
        <w:t>一、经济效益</w:t>
      </w:r>
      <w:bookmarkEnd w:id="29"/>
    </w:p>
    <w:p w14:paraId="63228AC3">
      <w:pPr>
        <w:ind w:firstLine="600"/>
        <w:rPr>
          <w:rFonts w:ascii="仿宋_GB2312" w:hAnsi="仿宋"/>
          <w:highlight w:val="none"/>
        </w:rPr>
      </w:pPr>
      <w:bookmarkStart w:id="30" w:name="_Toc95723818"/>
      <w:r>
        <w:rPr>
          <w:rFonts w:hint="eastAsia" w:ascii="仿宋_GB2312" w:hAnsi="仿宋"/>
          <w:highlight w:val="none"/>
        </w:rPr>
        <w:t>（1）经济</w:t>
      </w:r>
      <w:r>
        <w:rPr>
          <w:rFonts w:hint="eastAsia"/>
          <w:highlight w:val="none"/>
        </w:rPr>
        <w:t>增长</w:t>
      </w:r>
      <w:r>
        <w:rPr>
          <w:rFonts w:hint="eastAsia" w:ascii="仿宋_GB2312" w:hAnsi="仿宋"/>
          <w:highlight w:val="none"/>
        </w:rPr>
        <w:t>带动效应</w:t>
      </w:r>
    </w:p>
    <w:p w14:paraId="56183A3D">
      <w:pPr>
        <w:ind w:firstLine="600"/>
        <w:rPr>
          <w:rFonts w:ascii="仿宋_GB2312" w:hAnsi="仿宋"/>
          <w:highlight w:val="none"/>
        </w:rPr>
      </w:pPr>
      <w:r>
        <w:rPr>
          <w:rFonts w:hint="eastAsia" w:ascii="仿宋_GB2312" w:hAnsi="仿宋"/>
          <w:highlight w:val="none"/>
        </w:rPr>
        <w:t>通过水环境综合治理与水质提升、生态系统质量提升与土地整治与修复等项目，将提升整个流域生态环境质量，进而起到推动经济发展，直接拉动流域生产总值增长的作用，尤其是对当地生态环保产业的发展起到巨大</w:t>
      </w:r>
      <w:r>
        <w:rPr>
          <w:rFonts w:hint="eastAsia"/>
          <w:highlight w:val="none"/>
        </w:rPr>
        <w:t>推动</w:t>
      </w:r>
      <w:r>
        <w:rPr>
          <w:rFonts w:hint="eastAsia" w:ascii="仿宋_GB2312" w:hAnsi="仿宋"/>
          <w:highlight w:val="none"/>
        </w:rPr>
        <w:t>作用，拓宽了群众收入渠道，群众收入显著增加。通过整治低效率土地，大大提高了农产品品质和产值和农村人均收入水平，在一定程度上解决了当地劳动力剩余的问题，提高了地区的居民收入，同时利于当地社会治安的稳定。</w:t>
      </w:r>
    </w:p>
    <w:p w14:paraId="140C1FE6">
      <w:pPr>
        <w:ind w:firstLine="600"/>
        <w:rPr>
          <w:rFonts w:ascii="仿宋_GB2312" w:hAnsi="仿宋"/>
          <w:highlight w:val="none"/>
        </w:rPr>
      </w:pPr>
      <w:r>
        <w:rPr>
          <w:rFonts w:hint="eastAsia" w:ascii="仿宋_GB2312" w:hAnsi="仿宋"/>
          <w:highlight w:val="none"/>
        </w:rPr>
        <w:t>（2）改善投资环境和资源利用效率</w:t>
      </w:r>
    </w:p>
    <w:p w14:paraId="3F921F52">
      <w:pPr>
        <w:ind w:firstLine="600"/>
        <w:rPr>
          <w:rFonts w:ascii="仿宋_GB2312" w:hAnsi="仿宋"/>
          <w:highlight w:val="none"/>
        </w:rPr>
      </w:pPr>
      <w:r>
        <w:rPr>
          <w:rFonts w:hint="eastAsia" w:ascii="仿宋_GB2312" w:hAnsi="仿宋"/>
          <w:highlight w:val="none"/>
        </w:rPr>
        <w:t>通过国土空间生态修复专项规划的实施，区域水土资源得到有效利用，不但能为当地粮食安全问题的解决和农村经济的发展提供大量有用的土地</w:t>
      </w:r>
      <w:r>
        <w:rPr>
          <w:rFonts w:hint="eastAsia"/>
          <w:highlight w:val="none"/>
        </w:rPr>
        <w:t>储备</w:t>
      </w:r>
      <w:r>
        <w:rPr>
          <w:rFonts w:hint="eastAsia" w:ascii="仿宋_GB2312" w:hAnsi="仿宋"/>
          <w:highlight w:val="none"/>
        </w:rPr>
        <w:t>资源，而且也可为县域经济快速、持续、健康、稳定发展夯实基础，注入新的活力。土地资源利用率、土地产出率、劳动生产率均可大幅度提高，推进当地绿色产业开发，有效地促进农业产业结构的调整和农村产业链的升级，带动农村经济发展。</w:t>
      </w:r>
    </w:p>
    <w:p w14:paraId="6E1C61EC">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二、社会效益</w:t>
      </w:r>
      <w:bookmarkEnd w:id="30"/>
    </w:p>
    <w:p w14:paraId="546CF4C9">
      <w:pPr>
        <w:ind w:firstLine="600"/>
        <w:rPr>
          <w:highlight w:val="none"/>
        </w:rPr>
      </w:pPr>
      <w:bookmarkStart w:id="31" w:name="_Toc95723819"/>
      <w:r>
        <w:rPr>
          <w:rFonts w:hint="eastAsia"/>
          <w:highlight w:val="none"/>
        </w:rPr>
        <w:t>（1）树立生态生产和生态生活意识</w:t>
      </w:r>
    </w:p>
    <w:p w14:paraId="64300A7E">
      <w:pPr>
        <w:ind w:firstLine="600"/>
        <w:rPr>
          <w:highlight w:val="none"/>
        </w:rPr>
      </w:pPr>
      <w:r>
        <w:rPr>
          <w:rFonts w:hint="eastAsia"/>
          <w:highlight w:val="none"/>
        </w:rPr>
        <w:t>在实施淄博市张店区国土空间生态修复规划重大工程过程中，注重全社会参与，将提升全社会对生态保护修复重要性和价值更充分的认识。有利于树立生态价值意识，形成对自然生态敬畏的价值理念；树立生态责任和生态道德意识，逐步自觉开展生态环境保护；树立生态知识的学习教育意识，更多了解和掌握生态治理与保护的基本常识和理念。形成全社会动员，共治、共管、共享的生态文明新格局。</w:t>
      </w:r>
    </w:p>
    <w:p w14:paraId="1913E40C">
      <w:pPr>
        <w:ind w:firstLine="600"/>
        <w:rPr>
          <w:highlight w:val="none"/>
        </w:rPr>
      </w:pPr>
      <w:r>
        <w:rPr>
          <w:rFonts w:hint="eastAsia"/>
          <w:highlight w:val="none"/>
        </w:rPr>
        <w:t>（2）改善城乡人居环境</w:t>
      </w:r>
    </w:p>
    <w:p w14:paraId="3FC181D9">
      <w:pPr>
        <w:ind w:firstLine="600"/>
        <w:rPr>
          <w:highlight w:val="none"/>
        </w:rPr>
      </w:pPr>
      <w:r>
        <w:rPr>
          <w:rFonts w:hint="eastAsia"/>
          <w:highlight w:val="none"/>
        </w:rPr>
        <w:t>淄博市张店区国土空间生态修复规划重大工程的实施，将实现城市和农村人居环境极大改善，人居安全得到有力保障，实施土地整治项目新增补充耕地，同时也推动当地的美丽乡村建设，促进科教、文化、卫生事业的发展，群众的文化素质和身体素质得到普遍提高，经济繁荣稳定和社会和谐发展，生态改善，农民增收，广大农村群众过上富裕生活，将增加全区人民幸福感。</w:t>
      </w:r>
    </w:p>
    <w:p w14:paraId="22C8F441">
      <w:pPr>
        <w:keepNext/>
        <w:keepLines/>
        <w:ind w:firstLine="600"/>
        <w:outlineLvl w:val="2"/>
        <w:rPr>
          <w:rFonts w:ascii="仿宋_GB2312" w:hAnsi="Calibri" w:eastAsia="黑体"/>
          <w:bCs/>
          <w:szCs w:val="32"/>
          <w:highlight w:val="none"/>
        </w:rPr>
      </w:pPr>
      <w:r>
        <w:rPr>
          <w:rFonts w:hint="eastAsia" w:ascii="仿宋_GB2312" w:hAnsi="Calibri" w:eastAsia="黑体"/>
          <w:bCs/>
          <w:szCs w:val="32"/>
          <w:highlight w:val="none"/>
        </w:rPr>
        <w:t>三、生态效益</w:t>
      </w:r>
      <w:bookmarkEnd w:id="31"/>
    </w:p>
    <w:p w14:paraId="390833F3">
      <w:pPr>
        <w:ind w:firstLine="600"/>
        <w:rPr>
          <w:highlight w:val="none"/>
        </w:rPr>
        <w:sectPr>
          <w:pgSz w:w="11906" w:h="16838"/>
          <w:pgMar w:top="1418" w:right="1418" w:bottom="1418" w:left="1418" w:header="851" w:footer="851" w:gutter="0"/>
          <w:cols w:space="720" w:num="1"/>
          <w:docGrid w:type="lines" w:linePitch="408" w:charSpace="0"/>
        </w:sectPr>
      </w:pPr>
      <w:r>
        <w:rPr>
          <w:rFonts w:hint="eastAsia"/>
          <w:highlight w:val="none"/>
        </w:rPr>
        <w:t>通过分区实施淄博市张店区国土空间生态修复规划，构建生态系统保护修复整体格局，提升流域生态安全水平。耕地面积得到有效新增补充，林地质量退化、土地低效利用、城市水患等现象得到明显改观。</w:t>
      </w:r>
    </w:p>
    <w:p w14:paraId="2FCF515A">
      <w:pPr>
        <w:pStyle w:val="2"/>
        <w:rPr>
          <w:highlight w:val="none"/>
        </w:rPr>
      </w:pPr>
      <w:bookmarkStart w:id="32" w:name="_Toc11494"/>
      <w:r>
        <w:rPr>
          <w:highlight w:val="none"/>
        </w:rPr>
        <w:t>第</w:t>
      </w:r>
      <w:r>
        <w:rPr>
          <w:rFonts w:hint="eastAsia"/>
          <w:highlight w:val="none"/>
        </w:rPr>
        <w:t>八</w:t>
      </w:r>
      <w:r>
        <w:rPr>
          <w:highlight w:val="none"/>
        </w:rPr>
        <w:t>章</w:t>
      </w:r>
      <w:r>
        <w:rPr>
          <w:rFonts w:hint="eastAsia"/>
          <w:highlight w:val="none"/>
        </w:rPr>
        <w:t xml:space="preserve">   </w:t>
      </w:r>
      <w:r>
        <w:rPr>
          <w:highlight w:val="none"/>
        </w:rPr>
        <w:t>保障措施</w:t>
      </w:r>
      <w:bookmarkEnd w:id="32"/>
    </w:p>
    <w:p w14:paraId="7B1DE517">
      <w:pPr>
        <w:keepNext/>
        <w:keepLines/>
        <w:ind w:firstLine="0" w:firstLineChars="0"/>
        <w:jc w:val="center"/>
        <w:outlineLvl w:val="1"/>
        <w:rPr>
          <w:rFonts w:ascii="仿宋_GB2312" w:hAnsi="Calibri" w:eastAsia="黑体"/>
          <w:bCs/>
          <w:szCs w:val="32"/>
          <w:highlight w:val="none"/>
        </w:rPr>
      </w:pPr>
      <w:bookmarkStart w:id="33" w:name="_Toc32762"/>
      <w:r>
        <w:rPr>
          <w:rFonts w:hint="eastAsia" w:ascii="仿宋_GB2312" w:hAnsi="楷体" w:cs="楷体"/>
          <w:b/>
          <w:bCs/>
          <w:sz w:val="32"/>
          <w:szCs w:val="32"/>
          <w:highlight w:val="none"/>
        </w:rPr>
        <w:t xml:space="preserve">第一节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组织领导</w:t>
      </w:r>
      <w:bookmarkEnd w:id="33"/>
    </w:p>
    <w:p w14:paraId="6DE37204">
      <w:pPr>
        <w:ind w:firstLine="600"/>
        <w:rPr>
          <w:highlight w:val="none"/>
        </w:rPr>
      </w:pPr>
      <w:r>
        <w:rPr>
          <w:rFonts w:hint="eastAsia"/>
          <w:highlight w:val="none"/>
        </w:rPr>
        <w:t>建立领导和协调机制，为生态修复工作提供保障，对规划实施情况进行实时汇报，确保规划目标的实现。各级政府、各有关部门、相关工程指挥部要加强组织领导，更加自觉、坚定、全面学习贯彻落实习近平生态文明思想，按照分工要求，细化工作任务。同时，要密切配合，通过各层级、多部门联动的方式形成合力，落实城市、水体、林地、耕地等生态要素的修复工作。</w:t>
      </w:r>
    </w:p>
    <w:p w14:paraId="1F91377E">
      <w:pPr>
        <w:keepNext/>
        <w:keepLines/>
        <w:ind w:firstLine="0" w:firstLineChars="0"/>
        <w:jc w:val="center"/>
        <w:outlineLvl w:val="1"/>
        <w:rPr>
          <w:rFonts w:ascii="仿宋_GB2312" w:hAnsi="Calibri" w:eastAsia="黑体"/>
          <w:bCs/>
          <w:szCs w:val="32"/>
          <w:highlight w:val="none"/>
        </w:rPr>
      </w:pPr>
      <w:bookmarkStart w:id="34" w:name="_Toc12371"/>
      <w:r>
        <w:rPr>
          <w:rFonts w:hint="eastAsia" w:ascii="仿宋_GB2312" w:hAnsi="楷体" w:cs="楷体"/>
          <w:b/>
          <w:bCs/>
          <w:sz w:val="32"/>
          <w:szCs w:val="32"/>
          <w:highlight w:val="none"/>
        </w:rPr>
        <w:t xml:space="preserve">第二节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强化政策制度</w:t>
      </w:r>
      <w:bookmarkEnd w:id="34"/>
    </w:p>
    <w:p w14:paraId="04C70227">
      <w:pPr>
        <w:ind w:firstLine="600"/>
        <w:rPr>
          <w:highlight w:val="none"/>
        </w:rPr>
      </w:pPr>
      <w:r>
        <w:rPr>
          <w:rFonts w:hint="eastAsia"/>
          <w:highlight w:val="none"/>
        </w:rPr>
        <w:t>发挥政府对生态修复的主导作用，加强制度建设，完善法规政策，创新体制机制，拓宽补偿渠道，通过经济、法律等手段，加大政府购买服务力度，引导社会公众积极参与。探索自然资源开发利用生态保护补偿，实现“谁保护、谁受益”。</w:t>
      </w:r>
    </w:p>
    <w:p w14:paraId="3524A87B">
      <w:pPr>
        <w:keepNext/>
        <w:keepLines/>
        <w:ind w:firstLine="0" w:firstLineChars="0"/>
        <w:jc w:val="center"/>
        <w:outlineLvl w:val="1"/>
        <w:rPr>
          <w:rFonts w:ascii="仿宋_GB2312" w:hAnsi="Calibri" w:eastAsia="黑体"/>
          <w:bCs/>
          <w:szCs w:val="32"/>
          <w:highlight w:val="none"/>
        </w:rPr>
      </w:pPr>
      <w:bookmarkStart w:id="35" w:name="_Toc30652"/>
      <w:r>
        <w:rPr>
          <w:rFonts w:hint="eastAsia" w:ascii="仿宋_GB2312" w:hAnsi="楷体" w:cs="楷体"/>
          <w:b/>
          <w:bCs/>
          <w:sz w:val="32"/>
          <w:szCs w:val="32"/>
          <w:highlight w:val="none"/>
        </w:rPr>
        <w:t xml:space="preserve">第三节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加强技术支持</w:t>
      </w:r>
      <w:bookmarkEnd w:id="35"/>
    </w:p>
    <w:p w14:paraId="514B7FB0">
      <w:pPr>
        <w:ind w:firstLine="600"/>
        <w:rPr>
          <w:highlight w:val="none"/>
        </w:rPr>
      </w:pPr>
      <w:r>
        <w:rPr>
          <w:rFonts w:hint="eastAsia"/>
          <w:highlight w:val="none"/>
        </w:rPr>
        <w:t>加强与技术标准规范及重大问题研究配套，依托县域信息系统建设平台，强化生态修复信息技术支撑。同时组建生态、矿业、林业、土壤、环保、规划、工程管理等多学科生态修复咨询专家库，加强生态修复科研攻关和技术支撑，推广示范适用技术，加强成果提炼，总结典型案例，推广成功经验，提高生态修复工作成效。完善生态保护修复多元化投入机制</w:t>
      </w:r>
      <w:r>
        <w:rPr>
          <w:rFonts w:hint="eastAsia"/>
          <w:highlight w:val="none"/>
          <w:lang w:eastAsia="zh-CN"/>
        </w:rPr>
        <w:t>，</w:t>
      </w:r>
      <w:r>
        <w:rPr>
          <w:rFonts w:hint="eastAsia"/>
          <w:highlight w:val="none"/>
          <w:lang w:val="en-US" w:eastAsia="zh-CN"/>
        </w:rPr>
        <w:t>规划任务动态调整</w:t>
      </w:r>
      <w:r>
        <w:rPr>
          <w:rFonts w:hint="eastAsia"/>
          <w:highlight w:val="none"/>
        </w:rPr>
        <w:t>。</w:t>
      </w:r>
    </w:p>
    <w:p w14:paraId="35ADFEFB">
      <w:pPr>
        <w:keepNext/>
        <w:keepLines/>
        <w:ind w:firstLine="0" w:firstLineChars="0"/>
        <w:jc w:val="center"/>
        <w:outlineLvl w:val="1"/>
        <w:rPr>
          <w:rFonts w:ascii="仿宋_GB2312" w:hAnsi="Calibri" w:eastAsia="黑体"/>
          <w:bCs/>
          <w:szCs w:val="32"/>
          <w:highlight w:val="none"/>
        </w:rPr>
      </w:pPr>
      <w:bookmarkStart w:id="36" w:name="_Toc22674"/>
      <w:r>
        <w:rPr>
          <w:rFonts w:hint="eastAsia" w:ascii="仿宋_GB2312" w:hAnsi="楷体" w:cs="楷体"/>
          <w:b/>
          <w:bCs/>
          <w:sz w:val="32"/>
          <w:szCs w:val="32"/>
          <w:highlight w:val="none"/>
        </w:rPr>
        <w:t xml:space="preserve">第四节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强化资金保障</w:t>
      </w:r>
      <w:bookmarkEnd w:id="36"/>
    </w:p>
    <w:p w14:paraId="0D781CCF">
      <w:pPr>
        <w:ind w:firstLine="600"/>
        <w:rPr>
          <w:highlight w:val="none"/>
        </w:rPr>
      </w:pPr>
      <w:r>
        <w:rPr>
          <w:rFonts w:hint="eastAsia"/>
          <w:highlight w:val="none"/>
        </w:rPr>
        <w:t>加大资金整合力度，开展多元资金筹措渠道，建立健全资金管理制度保障体系，实现全社会生态共商共建共享。以市、县两级财政投入为主，鼓励通过招商引资，群众投工投劳等多形式、多渠道、多层次筹集资金的方式落实生态修复资金，对符合中央项目储备库入库条件的项目，积极争取中央生态环保资金支持，并严格加强项目资金管理。针对修复任务较重、财政负担较大的区适当增加市级财政投入，确保生态修复工作顺利开展。</w:t>
      </w:r>
    </w:p>
    <w:p w14:paraId="312A7AFF">
      <w:pPr>
        <w:keepNext/>
        <w:keepLines/>
        <w:ind w:firstLine="0" w:firstLineChars="0"/>
        <w:jc w:val="center"/>
        <w:outlineLvl w:val="1"/>
        <w:rPr>
          <w:rFonts w:ascii="仿宋_GB2312" w:hAnsi="Calibri" w:eastAsia="黑体"/>
          <w:bCs/>
          <w:szCs w:val="32"/>
          <w:highlight w:val="none"/>
        </w:rPr>
      </w:pPr>
      <w:bookmarkStart w:id="37" w:name="_Toc3985"/>
      <w:r>
        <w:rPr>
          <w:rFonts w:hint="eastAsia" w:ascii="仿宋_GB2312" w:hAnsi="楷体" w:cs="楷体"/>
          <w:b/>
          <w:bCs/>
          <w:sz w:val="32"/>
          <w:szCs w:val="32"/>
          <w:highlight w:val="none"/>
        </w:rPr>
        <w:t xml:space="preserve">第五节 </w:t>
      </w:r>
      <w:r>
        <w:rPr>
          <w:rFonts w:ascii="仿宋_GB2312" w:hAnsi="楷体" w:cs="楷体"/>
          <w:b/>
          <w:bCs/>
          <w:sz w:val="32"/>
          <w:szCs w:val="32"/>
          <w:highlight w:val="none"/>
        </w:rPr>
        <w:t xml:space="preserve"> </w:t>
      </w:r>
      <w:r>
        <w:rPr>
          <w:rFonts w:hint="eastAsia" w:ascii="仿宋_GB2312" w:hAnsi="楷体" w:cs="楷体"/>
          <w:b/>
          <w:bCs/>
          <w:sz w:val="32"/>
          <w:szCs w:val="32"/>
          <w:highlight w:val="none"/>
        </w:rPr>
        <w:t>鼓励公众参与</w:t>
      </w:r>
      <w:bookmarkEnd w:id="37"/>
    </w:p>
    <w:p w14:paraId="6EF100EE">
      <w:pPr>
        <w:ind w:firstLine="600"/>
        <w:rPr>
          <w:highlight w:val="none"/>
        </w:rPr>
      </w:pPr>
      <w:r>
        <w:rPr>
          <w:rFonts w:hint="eastAsia"/>
          <w:highlight w:val="none"/>
        </w:rPr>
        <w:t>采取依法公开规划实施情况、增强公众参与感、加强舆论宣传等多种形式，实现全民共同参与生态修复。大力学习宣传习近平生态文明思想，加强自然生态国情宣传和生态保护法制教育，将自然保护区、各类自然公园、人民广场等作为普及生态保护知识的重要阵地，依托植树节、世界水日、世界环境日等活动，开展主题宣传，提高公众尊重自然、顺应自然、保护自然的自觉意识。推动生态工程全民共建、生态产品全民共享，大力推进全民义务植树，创新公众参与生态保护和修复模式，让公众深切感受生态保护和修复成就，提高社会认可度，积极营造全社会爱生态、护生态的良好风尚。汲取民间智慧，让当地群众有机会直接参与、直接受惠、长期受益，重视与群众生活和感受密切相关的“小生态”“微修复”，让他们有实实在在的获得感。</w:t>
      </w:r>
    </w:p>
    <w:p w14:paraId="52BBF45F">
      <w:pPr>
        <w:pStyle w:val="16"/>
        <w:ind w:left="600"/>
        <w:rPr>
          <w:highlight w:val="none"/>
        </w:rPr>
      </w:pPr>
    </w:p>
    <w:p w14:paraId="09ECA517">
      <w:pPr>
        <w:ind w:firstLine="0" w:firstLineChars="0"/>
        <w:rPr>
          <w:highlight w:val="none"/>
        </w:rPr>
      </w:pPr>
    </w:p>
    <w:p w14:paraId="514DC41C">
      <w:pPr>
        <w:ind w:firstLine="0" w:firstLineChars="0"/>
        <w:rPr>
          <w:highlight w:val="none"/>
        </w:rPr>
      </w:pPr>
    </w:p>
    <w:p w14:paraId="58F33ECA">
      <w:pPr>
        <w:ind w:firstLine="0" w:firstLineChars="0"/>
        <w:rPr>
          <w:highlight w:val="none"/>
        </w:rPr>
      </w:pPr>
    </w:p>
    <w:p w14:paraId="058733D9">
      <w:pPr>
        <w:ind w:firstLine="0" w:firstLineChars="0"/>
        <w:rPr>
          <w:highlight w:val="none"/>
        </w:rPr>
      </w:pPr>
    </w:p>
    <w:p w14:paraId="6A5977F7">
      <w:pPr>
        <w:ind w:firstLine="0" w:firstLineChars="0"/>
        <w:rPr>
          <w:highlight w:val="none"/>
        </w:rPr>
      </w:pPr>
    </w:p>
    <w:p w14:paraId="6D26C949">
      <w:pPr>
        <w:ind w:firstLine="0" w:firstLineChars="0"/>
        <w:rPr>
          <w:highlight w:val="none"/>
        </w:rPr>
      </w:pPr>
    </w:p>
    <w:p w14:paraId="22AE1C91">
      <w:pPr>
        <w:widowControl/>
        <w:snapToGrid/>
        <w:spacing w:line="240" w:lineRule="auto"/>
        <w:ind w:firstLine="0" w:firstLineChars="0"/>
        <w:jc w:val="left"/>
        <w:rPr>
          <w:highlight w:val="none"/>
        </w:rPr>
      </w:pPr>
      <w:r>
        <w:rPr>
          <w:highlight w:val="none"/>
        </w:rPr>
        <w:br w:type="page"/>
      </w:r>
    </w:p>
    <w:p w14:paraId="4D2A6A93">
      <w:pPr>
        <w:ind w:firstLine="0" w:firstLineChars="0"/>
        <w:rPr>
          <w:highlight w:val="none"/>
        </w:rPr>
      </w:pPr>
      <w:r>
        <w:rPr>
          <w:highlight w:val="none"/>
        </w:rPr>
        <w:drawing>
          <wp:inline distT="0" distB="0" distL="0" distR="0">
            <wp:extent cx="5759450" cy="78066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759450" cy="7806690"/>
                    </a:xfrm>
                    <a:prstGeom prst="rect">
                      <a:avLst/>
                    </a:prstGeom>
                  </pic:spPr>
                </pic:pic>
              </a:graphicData>
            </a:graphic>
          </wp:inline>
        </w:drawing>
      </w:r>
      <w:r>
        <w:rPr>
          <w:highlight w:val="none"/>
        </w:rPr>
        <w:t xml:space="preserve"> </w:t>
      </w:r>
      <w:r>
        <w:rPr>
          <w:highlight w:val="none"/>
        </w:rPr>
        <w:drawing>
          <wp:inline distT="0" distB="0" distL="0" distR="0">
            <wp:extent cx="5759450" cy="8162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759450" cy="8162290"/>
                    </a:xfrm>
                    <a:prstGeom prst="rect">
                      <a:avLst/>
                    </a:prstGeom>
                  </pic:spPr>
                </pic:pic>
              </a:graphicData>
            </a:graphic>
          </wp:inline>
        </w:drawing>
      </w:r>
    </w:p>
    <w:sectPr>
      <w:pgSz w:w="11906" w:h="16838"/>
      <w:pgMar w:top="1418" w:right="1418" w:bottom="1418" w:left="1418" w:header="851" w:footer="851" w:gutter="0"/>
      <w:cols w:space="720"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04917">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2722">
    <w:pPr>
      <w:pStyle w:val="11"/>
      <w:ind w:firstLine="0" w:firstLineChars="0"/>
      <w:jc w:val="center"/>
    </w:pPr>
    <w:r>
      <w:fldChar w:fldCharType="begin"/>
    </w:r>
    <w:r>
      <w:instrText xml:space="preserve"> PAGE   \* MERGEFORMAT </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C75C9">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3Yjg3NGRkNjFmYmY5ZmNlZjIzMGFkYmNlMmNkMjUifQ=="/>
  </w:docVars>
  <w:rsids>
    <w:rsidRoot w:val="7B9E18B6"/>
    <w:rsid w:val="000D648B"/>
    <w:rsid w:val="001D5E36"/>
    <w:rsid w:val="0023625C"/>
    <w:rsid w:val="00260F34"/>
    <w:rsid w:val="00301B26"/>
    <w:rsid w:val="003856DD"/>
    <w:rsid w:val="003B065D"/>
    <w:rsid w:val="0040371C"/>
    <w:rsid w:val="0050684A"/>
    <w:rsid w:val="00516D80"/>
    <w:rsid w:val="006030B5"/>
    <w:rsid w:val="006140F3"/>
    <w:rsid w:val="00614E7B"/>
    <w:rsid w:val="006226AD"/>
    <w:rsid w:val="006465A5"/>
    <w:rsid w:val="006743FD"/>
    <w:rsid w:val="006F1A2A"/>
    <w:rsid w:val="007677E6"/>
    <w:rsid w:val="007C2681"/>
    <w:rsid w:val="00800F14"/>
    <w:rsid w:val="00807A38"/>
    <w:rsid w:val="009612DC"/>
    <w:rsid w:val="00AA131E"/>
    <w:rsid w:val="00AE4A35"/>
    <w:rsid w:val="00AF0019"/>
    <w:rsid w:val="00C447B2"/>
    <w:rsid w:val="00C92159"/>
    <w:rsid w:val="00DD6A45"/>
    <w:rsid w:val="00E7413D"/>
    <w:rsid w:val="00EA3BFD"/>
    <w:rsid w:val="00EC4AB6"/>
    <w:rsid w:val="00ED2577"/>
    <w:rsid w:val="00ED6FCB"/>
    <w:rsid w:val="00F55B5B"/>
    <w:rsid w:val="00F85C6A"/>
    <w:rsid w:val="010D4F6F"/>
    <w:rsid w:val="015A00DC"/>
    <w:rsid w:val="019C6A67"/>
    <w:rsid w:val="01C72903"/>
    <w:rsid w:val="01E61877"/>
    <w:rsid w:val="020D4839"/>
    <w:rsid w:val="02577065"/>
    <w:rsid w:val="025B2919"/>
    <w:rsid w:val="026D250B"/>
    <w:rsid w:val="028F164E"/>
    <w:rsid w:val="02FF7BF3"/>
    <w:rsid w:val="035A2E3C"/>
    <w:rsid w:val="03893B95"/>
    <w:rsid w:val="04BC7F5E"/>
    <w:rsid w:val="04E6106A"/>
    <w:rsid w:val="04F3473C"/>
    <w:rsid w:val="05244AD2"/>
    <w:rsid w:val="056C5306"/>
    <w:rsid w:val="056F7793"/>
    <w:rsid w:val="05A76EEF"/>
    <w:rsid w:val="065E3E24"/>
    <w:rsid w:val="06BF1D40"/>
    <w:rsid w:val="07025D41"/>
    <w:rsid w:val="07310EFB"/>
    <w:rsid w:val="073574E2"/>
    <w:rsid w:val="07B323BB"/>
    <w:rsid w:val="07D77390"/>
    <w:rsid w:val="07F25A76"/>
    <w:rsid w:val="08860F83"/>
    <w:rsid w:val="08BE3F93"/>
    <w:rsid w:val="09243F89"/>
    <w:rsid w:val="093914FB"/>
    <w:rsid w:val="09421EC5"/>
    <w:rsid w:val="09714AB2"/>
    <w:rsid w:val="099217C1"/>
    <w:rsid w:val="09B31FA9"/>
    <w:rsid w:val="09BD040E"/>
    <w:rsid w:val="09D364EF"/>
    <w:rsid w:val="09DB5D48"/>
    <w:rsid w:val="0A0A07A2"/>
    <w:rsid w:val="0A6369B9"/>
    <w:rsid w:val="0A7809B7"/>
    <w:rsid w:val="0A8A601F"/>
    <w:rsid w:val="0ACC27E7"/>
    <w:rsid w:val="0AD433E5"/>
    <w:rsid w:val="0BF25413"/>
    <w:rsid w:val="0C6F5E8B"/>
    <w:rsid w:val="0C965414"/>
    <w:rsid w:val="0C9B6363"/>
    <w:rsid w:val="0CF80284"/>
    <w:rsid w:val="0CFD79D2"/>
    <w:rsid w:val="0D062295"/>
    <w:rsid w:val="0D6626B9"/>
    <w:rsid w:val="0D9150D8"/>
    <w:rsid w:val="0D9321D9"/>
    <w:rsid w:val="0DDD6B67"/>
    <w:rsid w:val="0DE92776"/>
    <w:rsid w:val="0E482C25"/>
    <w:rsid w:val="0E622F88"/>
    <w:rsid w:val="0ECD1618"/>
    <w:rsid w:val="0ED974DB"/>
    <w:rsid w:val="0F082237"/>
    <w:rsid w:val="0F2413EE"/>
    <w:rsid w:val="0F4B74E1"/>
    <w:rsid w:val="0F6E06FB"/>
    <w:rsid w:val="0F7B47AA"/>
    <w:rsid w:val="101300A5"/>
    <w:rsid w:val="10335CC9"/>
    <w:rsid w:val="103F5AD3"/>
    <w:rsid w:val="10C71E0D"/>
    <w:rsid w:val="10D10E21"/>
    <w:rsid w:val="111527B6"/>
    <w:rsid w:val="11E579A3"/>
    <w:rsid w:val="11F56B6F"/>
    <w:rsid w:val="11FF420F"/>
    <w:rsid w:val="11FF6F97"/>
    <w:rsid w:val="127F7222"/>
    <w:rsid w:val="12866486"/>
    <w:rsid w:val="12FD04DD"/>
    <w:rsid w:val="130A2BB7"/>
    <w:rsid w:val="13400886"/>
    <w:rsid w:val="1353104E"/>
    <w:rsid w:val="1361677C"/>
    <w:rsid w:val="13650FBE"/>
    <w:rsid w:val="13AC16D1"/>
    <w:rsid w:val="13AC59E2"/>
    <w:rsid w:val="13BB1914"/>
    <w:rsid w:val="14074BFE"/>
    <w:rsid w:val="1519592D"/>
    <w:rsid w:val="15514F2F"/>
    <w:rsid w:val="15753DE3"/>
    <w:rsid w:val="160457F4"/>
    <w:rsid w:val="16143C3C"/>
    <w:rsid w:val="162D3FB2"/>
    <w:rsid w:val="163863C9"/>
    <w:rsid w:val="16B04D8F"/>
    <w:rsid w:val="16F73CBF"/>
    <w:rsid w:val="170E2D09"/>
    <w:rsid w:val="170F4451"/>
    <w:rsid w:val="175304F9"/>
    <w:rsid w:val="17681A81"/>
    <w:rsid w:val="177236B1"/>
    <w:rsid w:val="178F3BBE"/>
    <w:rsid w:val="17C127F1"/>
    <w:rsid w:val="181F06C4"/>
    <w:rsid w:val="183D6D9C"/>
    <w:rsid w:val="18596C85"/>
    <w:rsid w:val="188047AE"/>
    <w:rsid w:val="189C34FB"/>
    <w:rsid w:val="193627AE"/>
    <w:rsid w:val="194D06F1"/>
    <w:rsid w:val="195A77C3"/>
    <w:rsid w:val="196D1903"/>
    <w:rsid w:val="196F2B76"/>
    <w:rsid w:val="198D78AF"/>
    <w:rsid w:val="1A410122"/>
    <w:rsid w:val="1A951111"/>
    <w:rsid w:val="1AC35E45"/>
    <w:rsid w:val="1B150D72"/>
    <w:rsid w:val="1B154000"/>
    <w:rsid w:val="1B84036D"/>
    <w:rsid w:val="1BBB6145"/>
    <w:rsid w:val="1BCB46BE"/>
    <w:rsid w:val="1C0E2F29"/>
    <w:rsid w:val="1C163D9C"/>
    <w:rsid w:val="1CA81ADC"/>
    <w:rsid w:val="1CEB6DC6"/>
    <w:rsid w:val="1D002B78"/>
    <w:rsid w:val="1D4E63A2"/>
    <w:rsid w:val="1D59526B"/>
    <w:rsid w:val="1D670171"/>
    <w:rsid w:val="1DFA4514"/>
    <w:rsid w:val="1E0F4FE8"/>
    <w:rsid w:val="1EA3674D"/>
    <w:rsid w:val="1EF13407"/>
    <w:rsid w:val="1F220A99"/>
    <w:rsid w:val="1F6B2227"/>
    <w:rsid w:val="2027333E"/>
    <w:rsid w:val="2057395C"/>
    <w:rsid w:val="20FF1092"/>
    <w:rsid w:val="2105616E"/>
    <w:rsid w:val="212A75AB"/>
    <w:rsid w:val="21347B6E"/>
    <w:rsid w:val="21471BB1"/>
    <w:rsid w:val="21E703F2"/>
    <w:rsid w:val="21F16BDB"/>
    <w:rsid w:val="21F33032"/>
    <w:rsid w:val="226D2884"/>
    <w:rsid w:val="229A1929"/>
    <w:rsid w:val="235B5D3B"/>
    <w:rsid w:val="237F2E50"/>
    <w:rsid w:val="238E2670"/>
    <w:rsid w:val="23C96B6A"/>
    <w:rsid w:val="23D15FAC"/>
    <w:rsid w:val="2404285F"/>
    <w:rsid w:val="24FC520E"/>
    <w:rsid w:val="250167DD"/>
    <w:rsid w:val="250F02DD"/>
    <w:rsid w:val="25453733"/>
    <w:rsid w:val="2577668A"/>
    <w:rsid w:val="258D5A6E"/>
    <w:rsid w:val="25C94365"/>
    <w:rsid w:val="25DB5A4A"/>
    <w:rsid w:val="260E34B2"/>
    <w:rsid w:val="26266FC6"/>
    <w:rsid w:val="26357304"/>
    <w:rsid w:val="268A6147"/>
    <w:rsid w:val="276B56D3"/>
    <w:rsid w:val="277128B2"/>
    <w:rsid w:val="27936A2D"/>
    <w:rsid w:val="284B72B3"/>
    <w:rsid w:val="28852417"/>
    <w:rsid w:val="29AB51E3"/>
    <w:rsid w:val="29EF4889"/>
    <w:rsid w:val="2A4C2E6E"/>
    <w:rsid w:val="2A890CA6"/>
    <w:rsid w:val="2AC9482C"/>
    <w:rsid w:val="2AD14E9E"/>
    <w:rsid w:val="2BB67139"/>
    <w:rsid w:val="2CA0531F"/>
    <w:rsid w:val="2CD81B3C"/>
    <w:rsid w:val="2D021B0B"/>
    <w:rsid w:val="2E923616"/>
    <w:rsid w:val="2EA3631D"/>
    <w:rsid w:val="2EAA252D"/>
    <w:rsid w:val="2EC44FE1"/>
    <w:rsid w:val="2EE91987"/>
    <w:rsid w:val="2EF27FD7"/>
    <w:rsid w:val="2F080F32"/>
    <w:rsid w:val="2F132D87"/>
    <w:rsid w:val="2F745A6C"/>
    <w:rsid w:val="2FB7522E"/>
    <w:rsid w:val="30064E9C"/>
    <w:rsid w:val="30B26121"/>
    <w:rsid w:val="30CE357E"/>
    <w:rsid w:val="318931DF"/>
    <w:rsid w:val="32101599"/>
    <w:rsid w:val="323C76F7"/>
    <w:rsid w:val="349422A0"/>
    <w:rsid w:val="34CF2FFE"/>
    <w:rsid w:val="34F12C10"/>
    <w:rsid w:val="3529272A"/>
    <w:rsid w:val="356D139C"/>
    <w:rsid w:val="35BA24A6"/>
    <w:rsid w:val="35E86141"/>
    <w:rsid w:val="35F947D4"/>
    <w:rsid w:val="36455341"/>
    <w:rsid w:val="36665F76"/>
    <w:rsid w:val="36FA25D0"/>
    <w:rsid w:val="370F315F"/>
    <w:rsid w:val="37482E8A"/>
    <w:rsid w:val="37865C12"/>
    <w:rsid w:val="38472A51"/>
    <w:rsid w:val="38673C95"/>
    <w:rsid w:val="386F251A"/>
    <w:rsid w:val="390D7AD7"/>
    <w:rsid w:val="391B5068"/>
    <w:rsid w:val="393B70D6"/>
    <w:rsid w:val="3A070042"/>
    <w:rsid w:val="3A9E7870"/>
    <w:rsid w:val="3AEA4FED"/>
    <w:rsid w:val="3B117EE8"/>
    <w:rsid w:val="3B531433"/>
    <w:rsid w:val="3B6240AB"/>
    <w:rsid w:val="3C080EA1"/>
    <w:rsid w:val="3C087302"/>
    <w:rsid w:val="3C153E14"/>
    <w:rsid w:val="3C6A210E"/>
    <w:rsid w:val="3CF67CAC"/>
    <w:rsid w:val="3CFB49AC"/>
    <w:rsid w:val="3D18555E"/>
    <w:rsid w:val="3D1C3A33"/>
    <w:rsid w:val="3D5D5132"/>
    <w:rsid w:val="3D5D55C8"/>
    <w:rsid w:val="3D7C48B3"/>
    <w:rsid w:val="3D827778"/>
    <w:rsid w:val="3D906C27"/>
    <w:rsid w:val="3E607409"/>
    <w:rsid w:val="3E972AA9"/>
    <w:rsid w:val="3EB32F2C"/>
    <w:rsid w:val="3EE34F0D"/>
    <w:rsid w:val="3F227951"/>
    <w:rsid w:val="3F7857D1"/>
    <w:rsid w:val="4010654B"/>
    <w:rsid w:val="40B60349"/>
    <w:rsid w:val="40EA5735"/>
    <w:rsid w:val="41257FD8"/>
    <w:rsid w:val="418C567F"/>
    <w:rsid w:val="420D0249"/>
    <w:rsid w:val="424C5CAA"/>
    <w:rsid w:val="425137FF"/>
    <w:rsid w:val="42AE426E"/>
    <w:rsid w:val="42D26429"/>
    <w:rsid w:val="42D9753D"/>
    <w:rsid w:val="433C279B"/>
    <w:rsid w:val="437234EE"/>
    <w:rsid w:val="43F94718"/>
    <w:rsid w:val="443D3A44"/>
    <w:rsid w:val="446018CA"/>
    <w:rsid w:val="4472494D"/>
    <w:rsid w:val="44CC3E0D"/>
    <w:rsid w:val="45987338"/>
    <w:rsid w:val="45C36283"/>
    <w:rsid w:val="45D36916"/>
    <w:rsid w:val="45EE7890"/>
    <w:rsid w:val="468268BE"/>
    <w:rsid w:val="46AC31BB"/>
    <w:rsid w:val="46CA6460"/>
    <w:rsid w:val="46F2626F"/>
    <w:rsid w:val="47502977"/>
    <w:rsid w:val="48007643"/>
    <w:rsid w:val="48054931"/>
    <w:rsid w:val="48363E32"/>
    <w:rsid w:val="48474086"/>
    <w:rsid w:val="48DD464F"/>
    <w:rsid w:val="48E9432B"/>
    <w:rsid w:val="493D129C"/>
    <w:rsid w:val="494C41EC"/>
    <w:rsid w:val="4A8C102A"/>
    <w:rsid w:val="4A9630E2"/>
    <w:rsid w:val="4BF10712"/>
    <w:rsid w:val="4C6A56AA"/>
    <w:rsid w:val="4C8524E4"/>
    <w:rsid w:val="4DC70A17"/>
    <w:rsid w:val="4DD74FC1"/>
    <w:rsid w:val="4E962184"/>
    <w:rsid w:val="4EA07E45"/>
    <w:rsid w:val="4F321C31"/>
    <w:rsid w:val="4F4D2AF9"/>
    <w:rsid w:val="4F54162C"/>
    <w:rsid w:val="4F5B640F"/>
    <w:rsid w:val="502E7C52"/>
    <w:rsid w:val="50A14697"/>
    <w:rsid w:val="511F6854"/>
    <w:rsid w:val="51271DBC"/>
    <w:rsid w:val="5195614B"/>
    <w:rsid w:val="52072E31"/>
    <w:rsid w:val="522400A9"/>
    <w:rsid w:val="5246009B"/>
    <w:rsid w:val="52BE7978"/>
    <w:rsid w:val="52EA30A1"/>
    <w:rsid w:val="531662C3"/>
    <w:rsid w:val="531B1B1B"/>
    <w:rsid w:val="531C36EB"/>
    <w:rsid w:val="534D4B3D"/>
    <w:rsid w:val="53A532A9"/>
    <w:rsid w:val="53FE79C3"/>
    <w:rsid w:val="551A36DE"/>
    <w:rsid w:val="552635C7"/>
    <w:rsid w:val="55386420"/>
    <w:rsid w:val="557033D7"/>
    <w:rsid w:val="559F4151"/>
    <w:rsid w:val="55FD758F"/>
    <w:rsid w:val="560C0401"/>
    <w:rsid w:val="561771E7"/>
    <w:rsid w:val="563D10EA"/>
    <w:rsid w:val="56BF7764"/>
    <w:rsid w:val="57CC4BC2"/>
    <w:rsid w:val="57E77EC0"/>
    <w:rsid w:val="584C13B8"/>
    <w:rsid w:val="58D346FB"/>
    <w:rsid w:val="58DF11CE"/>
    <w:rsid w:val="592C6FF2"/>
    <w:rsid w:val="59BB2880"/>
    <w:rsid w:val="5A240660"/>
    <w:rsid w:val="5A387626"/>
    <w:rsid w:val="5A8A0791"/>
    <w:rsid w:val="5A9B653C"/>
    <w:rsid w:val="5ABF4E13"/>
    <w:rsid w:val="5B60703B"/>
    <w:rsid w:val="5B725E3B"/>
    <w:rsid w:val="5BEE28A9"/>
    <w:rsid w:val="5C9418A6"/>
    <w:rsid w:val="5CF07506"/>
    <w:rsid w:val="5D28720A"/>
    <w:rsid w:val="5DA162E4"/>
    <w:rsid w:val="5DC30642"/>
    <w:rsid w:val="5E796204"/>
    <w:rsid w:val="5EBB2470"/>
    <w:rsid w:val="5F2808C8"/>
    <w:rsid w:val="5FAE00EF"/>
    <w:rsid w:val="5FC534E6"/>
    <w:rsid w:val="6006114B"/>
    <w:rsid w:val="603A123E"/>
    <w:rsid w:val="607B17DC"/>
    <w:rsid w:val="61224CF3"/>
    <w:rsid w:val="612E765D"/>
    <w:rsid w:val="61313BAE"/>
    <w:rsid w:val="616954D6"/>
    <w:rsid w:val="61CE09E0"/>
    <w:rsid w:val="61F8226C"/>
    <w:rsid w:val="61F8684B"/>
    <w:rsid w:val="61F94E0E"/>
    <w:rsid w:val="62286805"/>
    <w:rsid w:val="622F2BA8"/>
    <w:rsid w:val="6297648C"/>
    <w:rsid w:val="62C05BCC"/>
    <w:rsid w:val="63527017"/>
    <w:rsid w:val="63970552"/>
    <w:rsid w:val="63B75221"/>
    <w:rsid w:val="63FB2B73"/>
    <w:rsid w:val="64286A12"/>
    <w:rsid w:val="64371EBE"/>
    <w:rsid w:val="644C567B"/>
    <w:rsid w:val="651951D4"/>
    <w:rsid w:val="657C1250"/>
    <w:rsid w:val="65F43383"/>
    <w:rsid w:val="665E70C0"/>
    <w:rsid w:val="66FE6CC3"/>
    <w:rsid w:val="676E5752"/>
    <w:rsid w:val="67BD2A93"/>
    <w:rsid w:val="67C40E81"/>
    <w:rsid w:val="67DD56B3"/>
    <w:rsid w:val="68200056"/>
    <w:rsid w:val="68AB66F2"/>
    <w:rsid w:val="68D66288"/>
    <w:rsid w:val="68F94DB4"/>
    <w:rsid w:val="69034884"/>
    <w:rsid w:val="690E3369"/>
    <w:rsid w:val="696E1952"/>
    <w:rsid w:val="697B45FB"/>
    <w:rsid w:val="699D46DC"/>
    <w:rsid w:val="69A614D3"/>
    <w:rsid w:val="69AF0D5C"/>
    <w:rsid w:val="6A3B4506"/>
    <w:rsid w:val="6A50275D"/>
    <w:rsid w:val="6A5D01A4"/>
    <w:rsid w:val="6A6878EE"/>
    <w:rsid w:val="6ADD19E3"/>
    <w:rsid w:val="6AE52674"/>
    <w:rsid w:val="6AFB525C"/>
    <w:rsid w:val="6B505ED7"/>
    <w:rsid w:val="6B722972"/>
    <w:rsid w:val="6BC75A91"/>
    <w:rsid w:val="6C884B18"/>
    <w:rsid w:val="6CCF65F8"/>
    <w:rsid w:val="6CDD26EE"/>
    <w:rsid w:val="6D12171A"/>
    <w:rsid w:val="6DB86AAF"/>
    <w:rsid w:val="6DC130AB"/>
    <w:rsid w:val="6DE54389"/>
    <w:rsid w:val="6E1A123E"/>
    <w:rsid w:val="6E2E7CE4"/>
    <w:rsid w:val="6E5972F9"/>
    <w:rsid w:val="6E831551"/>
    <w:rsid w:val="6EDE412F"/>
    <w:rsid w:val="6EF30EF8"/>
    <w:rsid w:val="6F497307"/>
    <w:rsid w:val="70561A46"/>
    <w:rsid w:val="70B67910"/>
    <w:rsid w:val="71347EB1"/>
    <w:rsid w:val="7140592E"/>
    <w:rsid w:val="71AD5E58"/>
    <w:rsid w:val="720D24B0"/>
    <w:rsid w:val="722948F5"/>
    <w:rsid w:val="72E620E9"/>
    <w:rsid w:val="73136EB1"/>
    <w:rsid w:val="732E3B04"/>
    <w:rsid w:val="73932EFC"/>
    <w:rsid w:val="740329F6"/>
    <w:rsid w:val="741E6526"/>
    <w:rsid w:val="74204134"/>
    <w:rsid w:val="744A30F6"/>
    <w:rsid w:val="74923C36"/>
    <w:rsid w:val="74CD6F79"/>
    <w:rsid w:val="753F2FB4"/>
    <w:rsid w:val="75A73FF8"/>
    <w:rsid w:val="75C35028"/>
    <w:rsid w:val="76547160"/>
    <w:rsid w:val="76B67F48"/>
    <w:rsid w:val="76F95399"/>
    <w:rsid w:val="7713360D"/>
    <w:rsid w:val="773048C9"/>
    <w:rsid w:val="77524C79"/>
    <w:rsid w:val="776329DA"/>
    <w:rsid w:val="77A80CB1"/>
    <w:rsid w:val="77E04B0B"/>
    <w:rsid w:val="77F934EB"/>
    <w:rsid w:val="783D0B64"/>
    <w:rsid w:val="786D4460"/>
    <w:rsid w:val="793865FD"/>
    <w:rsid w:val="79590E73"/>
    <w:rsid w:val="79AA35A6"/>
    <w:rsid w:val="79EB757B"/>
    <w:rsid w:val="7A1E315E"/>
    <w:rsid w:val="7A3902E6"/>
    <w:rsid w:val="7A6A04A0"/>
    <w:rsid w:val="7AAB55EF"/>
    <w:rsid w:val="7ACB3085"/>
    <w:rsid w:val="7B9E18B6"/>
    <w:rsid w:val="7CEC7D69"/>
    <w:rsid w:val="7D0C37AF"/>
    <w:rsid w:val="7D5F5DB2"/>
    <w:rsid w:val="7D7F1631"/>
    <w:rsid w:val="7D855347"/>
    <w:rsid w:val="7DC36123"/>
    <w:rsid w:val="7E0F442F"/>
    <w:rsid w:val="7EEA1BAF"/>
    <w:rsid w:val="7F2C6DAA"/>
    <w:rsid w:val="7F327676"/>
    <w:rsid w:val="7FC71F17"/>
    <w:rsid w:val="7FCE4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仿宋_GB2312" w:cs="Times New Roman"/>
      <w:kern w:val="2"/>
      <w:sz w:val="30"/>
      <w:szCs w:val="24"/>
      <w:lang w:val="en-US" w:eastAsia="zh-CN" w:bidi="ar-SA"/>
    </w:rPr>
  </w:style>
  <w:style w:type="paragraph" w:styleId="2">
    <w:name w:val="heading 1"/>
    <w:next w:val="1"/>
    <w:qFormat/>
    <w:uiPriority w:val="0"/>
    <w:pPr>
      <w:keepNext/>
      <w:keepLines/>
      <w:widowControl w:val="0"/>
      <w:snapToGrid w:val="0"/>
      <w:spacing w:line="360" w:lineRule="auto"/>
      <w:jc w:val="center"/>
      <w:outlineLvl w:val="0"/>
    </w:pPr>
    <w:rPr>
      <w:rFonts w:ascii="仿宋_GB2312" w:hAnsi="Calibri" w:eastAsia="黑体" w:cs="Times New Roman"/>
      <w:bCs/>
      <w:kern w:val="44"/>
      <w:sz w:val="36"/>
      <w:szCs w:val="44"/>
      <w:lang w:val="en-US" w:eastAsia="zh-CN" w:bidi="ar-SA"/>
    </w:rPr>
  </w:style>
  <w:style w:type="paragraph" w:styleId="3">
    <w:name w:val="heading 2"/>
    <w:basedOn w:val="1"/>
    <w:next w:val="1"/>
    <w:link w:val="22"/>
    <w:unhideWhenUsed/>
    <w:qFormat/>
    <w:uiPriority w:val="0"/>
    <w:pPr>
      <w:keepNext/>
      <w:keepLines/>
      <w:spacing w:before="240" w:after="240"/>
      <w:ind w:firstLine="0" w:firstLineChars="0"/>
      <w:jc w:val="center"/>
      <w:outlineLvl w:val="1"/>
    </w:pPr>
    <w:rPr>
      <w:rFonts w:ascii="Arial" w:hAnsi="Arial" w:eastAsia="宋体"/>
      <w:b/>
      <w:bCs/>
      <w:sz w:val="28"/>
      <w:szCs w:val="32"/>
    </w:rPr>
  </w:style>
  <w:style w:type="paragraph" w:styleId="4">
    <w:name w:val="heading 3"/>
    <w:basedOn w:val="1"/>
    <w:next w:val="1"/>
    <w:link w:val="23"/>
    <w:unhideWhenUsed/>
    <w:qFormat/>
    <w:uiPriority w:val="0"/>
    <w:pPr>
      <w:keepNext/>
      <w:keepLines/>
      <w:spacing w:before="50" w:beforeLines="50"/>
      <w:jc w:val="left"/>
      <w:outlineLvl w:val="2"/>
    </w:pPr>
    <w:rPr>
      <w:rFonts w:eastAsia="宋体"/>
      <w:bCs/>
      <w:sz w:val="28"/>
      <w:szCs w:val="32"/>
    </w:rPr>
  </w:style>
  <w:style w:type="paragraph" w:styleId="5">
    <w:name w:val="heading 4"/>
    <w:next w:val="1"/>
    <w:unhideWhenUsed/>
    <w:qFormat/>
    <w:uiPriority w:val="0"/>
    <w:pPr>
      <w:keepNext/>
      <w:keepLines/>
      <w:widowControl w:val="0"/>
      <w:snapToGrid w:val="0"/>
      <w:spacing w:line="360" w:lineRule="auto"/>
      <w:ind w:firstLine="200" w:firstLineChars="200"/>
      <w:jc w:val="both"/>
      <w:outlineLvl w:val="3"/>
    </w:pPr>
    <w:rPr>
      <w:rFonts w:ascii="仿宋_GB2312" w:hAnsi="Cambria" w:eastAsia="仿宋_GB2312" w:cs="Times New Roman"/>
      <w:bCs/>
      <w:kern w:val="2"/>
      <w:sz w:val="30"/>
      <w:szCs w:val="28"/>
      <w:lang w:val="en-US" w:eastAsia="zh-CN" w:bidi="ar-SA"/>
    </w:rPr>
  </w:style>
  <w:style w:type="paragraph" w:styleId="6">
    <w:name w:val="heading 6"/>
    <w:next w:val="1"/>
    <w:unhideWhenUsed/>
    <w:qFormat/>
    <w:uiPriority w:val="0"/>
    <w:pPr>
      <w:keepNext/>
      <w:keepLines/>
      <w:widowControl w:val="0"/>
      <w:snapToGrid w:val="0"/>
      <w:jc w:val="center"/>
      <w:outlineLvl w:val="5"/>
    </w:pPr>
    <w:rPr>
      <w:rFonts w:ascii="黑体" w:hAnsi="Cambria" w:eastAsia="黑体" w:cs="Times New Roman"/>
      <w:bCs/>
      <w:kern w:val="2"/>
      <w:sz w:val="21"/>
      <w:szCs w:val="24"/>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Indent"/>
    <w:qFormat/>
    <w:uiPriority w:val="99"/>
    <w:pPr>
      <w:widowControl w:val="0"/>
      <w:snapToGrid w:val="0"/>
      <w:spacing w:after="120" w:line="360" w:lineRule="auto"/>
      <w:ind w:left="420" w:leftChars="200" w:firstLine="200" w:firstLineChars="200"/>
      <w:jc w:val="both"/>
    </w:pPr>
    <w:rPr>
      <w:rFonts w:ascii="Calibri" w:hAnsi="Calibri" w:eastAsia="宋体" w:cs="宋体"/>
      <w:kern w:val="2"/>
      <w:sz w:val="21"/>
      <w:szCs w:val="24"/>
      <w:lang w:val="en-US" w:eastAsia="zh-CN" w:bidi="ar-SA"/>
    </w:rPr>
  </w:style>
  <w:style w:type="paragraph" w:styleId="9">
    <w:name w:val="toc 3"/>
    <w:basedOn w:val="1"/>
    <w:next w:val="1"/>
    <w:autoRedefine/>
    <w:qFormat/>
    <w:uiPriority w:val="39"/>
    <w:rPr>
      <w:sz w:val="28"/>
    </w:rPr>
  </w:style>
  <w:style w:type="paragraph" w:styleId="10">
    <w:name w:val="Balloon Text"/>
    <w:basedOn w:val="1"/>
    <w:link w:val="27"/>
    <w:qFormat/>
    <w:uiPriority w:val="0"/>
    <w:pPr>
      <w:spacing w:line="240" w:lineRule="auto"/>
    </w:pPr>
    <w:rPr>
      <w:sz w:val="18"/>
      <w:szCs w:val="18"/>
    </w:rPr>
  </w:style>
  <w:style w:type="paragraph" w:styleId="11">
    <w:name w:val="footer"/>
    <w:unhideWhenUsed/>
    <w:qFormat/>
    <w:uiPriority w:val="0"/>
    <w:pPr>
      <w:widowControl w:val="0"/>
      <w:tabs>
        <w:tab w:val="center" w:pos="4153"/>
        <w:tab w:val="right" w:pos="8306"/>
      </w:tabs>
      <w:snapToGrid w:val="0"/>
      <w:ind w:firstLine="200" w:firstLineChars="200"/>
    </w:pPr>
    <w:rPr>
      <w:rFonts w:ascii="仿宋_GB2312" w:hAnsi="Calibri" w:eastAsia="仿宋_GB2312" w:cs="Times New Roman"/>
      <w:kern w:val="2"/>
      <w:sz w:val="18"/>
      <w:szCs w:val="18"/>
      <w:lang w:val="en-US" w:eastAsia="zh-CN" w:bidi="ar-SA"/>
    </w:rPr>
  </w:style>
  <w:style w:type="paragraph" w:styleId="12">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ind w:firstLine="200" w:firstLineChars="200"/>
      <w:jc w:val="both"/>
    </w:pPr>
    <w:rPr>
      <w:rFonts w:ascii="仿宋_GB2312" w:hAnsi="Calibri" w:eastAsia="仿宋_GB2312" w:cs="Times New Roman"/>
      <w:kern w:val="2"/>
      <w:sz w:val="18"/>
      <w:szCs w:val="24"/>
      <w:lang w:val="en-US" w:eastAsia="zh-CN" w:bidi="ar-SA"/>
    </w:rPr>
  </w:style>
  <w:style w:type="paragraph" w:styleId="13">
    <w:name w:val="toc 1"/>
    <w:next w:val="1"/>
    <w:qFormat/>
    <w:uiPriority w:val="39"/>
    <w:pPr>
      <w:widowControl w:val="0"/>
      <w:adjustRightInd w:val="0"/>
      <w:snapToGrid w:val="0"/>
      <w:spacing w:before="120" w:after="120" w:line="360" w:lineRule="auto"/>
      <w:ind w:firstLine="200" w:firstLineChars="200"/>
    </w:pPr>
    <w:rPr>
      <w:rFonts w:ascii="Times New Roman" w:hAnsi="Times New Roman" w:eastAsia="仿宋_GB2312" w:cs="Calibri"/>
      <w:b/>
      <w:bCs/>
      <w:caps/>
      <w:kern w:val="2"/>
      <w:sz w:val="30"/>
      <w:lang w:val="en-US" w:eastAsia="zh-CN" w:bidi="ar-SA"/>
    </w:rPr>
  </w:style>
  <w:style w:type="paragraph" w:styleId="14">
    <w:name w:val="toc 2"/>
    <w:basedOn w:val="2"/>
    <w:next w:val="1"/>
    <w:qFormat/>
    <w:uiPriority w:val="39"/>
    <w:pPr>
      <w:adjustRightInd w:val="0"/>
      <w:ind w:firstLine="200" w:firstLineChars="200"/>
    </w:pPr>
    <w:rPr>
      <w:rFonts w:eastAsia="仿宋_GB2312" w:cs="Calibri"/>
      <w:smallCaps/>
      <w:kern w:val="2"/>
      <w:sz w:val="28"/>
    </w:rPr>
  </w:style>
  <w:style w:type="paragraph" w:styleId="15">
    <w:name w:val="Normal (Web)"/>
    <w:basedOn w:val="1"/>
    <w:qFormat/>
    <w:uiPriority w:val="99"/>
    <w:pPr>
      <w:spacing w:before="100" w:beforeAutospacing="1" w:after="100" w:afterAutospacing="1"/>
      <w:jc w:val="left"/>
    </w:pPr>
    <w:rPr>
      <w:kern w:val="0"/>
      <w:sz w:val="24"/>
    </w:rPr>
  </w:style>
  <w:style w:type="paragraph" w:styleId="16">
    <w:name w:val="Body Text First Indent 2"/>
    <w:qFormat/>
    <w:uiPriority w:val="99"/>
    <w:pPr>
      <w:widowControl w:val="0"/>
      <w:snapToGrid w:val="0"/>
      <w:spacing w:after="120" w:line="360" w:lineRule="auto"/>
      <w:ind w:left="420" w:leftChars="200" w:firstLine="420" w:firstLineChars="200"/>
      <w:jc w:val="both"/>
    </w:pPr>
    <w:rPr>
      <w:rFonts w:ascii="Calibri" w:hAnsi="Calibri" w:eastAsia="宋体" w:cs="Times New Roman"/>
      <w:kern w:val="2"/>
      <w:sz w:val="21"/>
      <w:szCs w:val="24"/>
      <w:lang w:val="en-US" w:eastAsia="zh-CN" w:bidi="ar-SA"/>
    </w:rPr>
  </w:style>
  <w:style w:type="character" w:styleId="19">
    <w:name w:val="Strong"/>
    <w:basedOn w:val="18"/>
    <w:qFormat/>
    <w:uiPriority w:val="22"/>
    <w:rPr>
      <w:b/>
      <w:bCs/>
    </w:rPr>
  </w:style>
  <w:style w:type="character" w:styleId="20">
    <w:name w:val="Hyperlink"/>
    <w:unhideWhenUsed/>
    <w:qFormat/>
    <w:uiPriority w:val="99"/>
    <w:rPr>
      <w:color w:val="0000FF"/>
      <w:u w:val="single"/>
    </w:rPr>
  </w:style>
  <w:style w:type="character" w:styleId="21">
    <w:name w:val="annotation reference"/>
    <w:basedOn w:val="18"/>
    <w:qFormat/>
    <w:uiPriority w:val="0"/>
    <w:rPr>
      <w:sz w:val="21"/>
      <w:szCs w:val="21"/>
    </w:rPr>
  </w:style>
  <w:style w:type="character" w:customStyle="1" w:styleId="22">
    <w:name w:val="标题 2 字符"/>
    <w:link w:val="3"/>
    <w:qFormat/>
    <w:uiPriority w:val="0"/>
    <w:rPr>
      <w:rFonts w:ascii="Arial" w:hAnsi="Arial" w:eastAsia="宋体"/>
      <w:b/>
      <w:bCs/>
      <w:kern w:val="2"/>
      <w:sz w:val="28"/>
      <w:szCs w:val="32"/>
      <w:lang w:bidi="ar-SA"/>
    </w:rPr>
  </w:style>
  <w:style w:type="character" w:customStyle="1" w:styleId="23">
    <w:name w:val="标题 3 字符"/>
    <w:link w:val="4"/>
    <w:qFormat/>
    <w:uiPriority w:val="0"/>
    <w:rPr>
      <w:rFonts w:ascii="Times New Roman" w:hAnsi="Times New Roman" w:eastAsia="宋体"/>
      <w:bCs/>
      <w:kern w:val="2"/>
      <w:sz w:val="28"/>
      <w:szCs w:val="32"/>
      <w:lang w:bidi="ar-SA"/>
    </w:rPr>
  </w:style>
  <w:style w:type="paragraph" w:styleId="24">
    <w:name w:val="List Paragraph"/>
    <w:qFormat/>
    <w:uiPriority w:val="1"/>
    <w:pPr>
      <w:widowControl w:val="0"/>
      <w:snapToGrid w:val="0"/>
      <w:spacing w:line="360" w:lineRule="auto"/>
      <w:ind w:firstLine="200" w:firstLineChars="200"/>
      <w:jc w:val="both"/>
    </w:pPr>
    <w:rPr>
      <w:rFonts w:ascii="仿宋_GB2312" w:hAnsi="Calibri" w:eastAsia="仿宋_GB2312" w:cs="Times New Roman"/>
      <w:kern w:val="2"/>
      <w:sz w:val="30"/>
      <w:szCs w:val="22"/>
      <w:lang w:val="en-US" w:eastAsia="zh-CN" w:bidi="ar-SA"/>
    </w:rPr>
  </w:style>
  <w:style w:type="paragraph" w:customStyle="1" w:styleId="25">
    <w:name w:val="表格"/>
    <w:basedOn w:val="1"/>
    <w:qFormat/>
    <w:uiPriority w:val="0"/>
    <w:pPr>
      <w:spacing w:line="240" w:lineRule="auto"/>
      <w:ind w:firstLine="0" w:firstLineChars="0"/>
      <w:jc w:val="center"/>
    </w:pPr>
    <w:rPr>
      <w:rFonts w:hint="eastAsia" w:eastAsia="仿宋"/>
      <w:color w:val="000000"/>
      <w:kern w:val="0"/>
      <w:sz w:val="18"/>
      <w:szCs w:val="18"/>
    </w:rPr>
  </w:style>
  <w:style w:type="paragraph" w:customStyle="1" w:styleId="26">
    <w:name w:val="表名"/>
    <w:basedOn w:val="1"/>
    <w:qFormat/>
    <w:uiPriority w:val="0"/>
    <w:pPr>
      <w:ind w:firstLine="420"/>
      <w:jc w:val="center"/>
    </w:pPr>
    <w:rPr>
      <w:rFonts w:hint="eastAsia" w:eastAsia="仿宋"/>
      <w:kern w:val="0"/>
      <w:sz w:val="24"/>
      <w:szCs w:val="21"/>
    </w:rPr>
  </w:style>
  <w:style w:type="character" w:customStyle="1" w:styleId="27">
    <w:name w:val="批注框文本 字符"/>
    <w:basedOn w:val="18"/>
    <w:link w:val="10"/>
    <w:qFormat/>
    <w:uiPriority w:val="0"/>
    <w:rPr>
      <w:rFonts w:eastAsia="仿宋_GB2312"/>
      <w:kern w:val="2"/>
      <w:sz w:val="18"/>
      <w:szCs w:val="18"/>
    </w:rPr>
  </w:style>
  <w:style w:type="paragraph" w:customStyle="1" w:styleId="28">
    <w:name w:val="editor-paragraph"/>
    <w:basedOn w:val="1"/>
    <w:qFormat/>
    <w:uiPriority w:val="0"/>
    <w:pPr>
      <w:widowControl/>
      <w:snapToGrid/>
      <w:spacing w:before="100" w:beforeAutospacing="1" w:after="100" w:afterAutospacing="1" w:line="240" w:lineRule="auto"/>
      <w:ind w:firstLine="0" w:firstLineChars="0"/>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327BA-19D8-42A2-BCAE-F2EC81D5866C}">
  <ds:schemaRefs/>
</ds:datastoreItem>
</file>

<file path=docProps/app.xml><?xml version="1.0" encoding="utf-8"?>
<Properties xmlns="http://schemas.openxmlformats.org/officeDocument/2006/extended-properties" xmlns:vt="http://schemas.openxmlformats.org/officeDocument/2006/docPropsVTypes">
  <Template>Normal.dotm</Template>
  <Company>801</Company>
  <Pages>43</Pages>
  <Words>18247</Words>
  <Characters>18839</Characters>
  <Lines>164</Lines>
  <Paragraphs>46</Paragraphs>
  <TotalTime>36</TotalTime>
  <ScaleCrop>false</ScaleCrop>
  <LinksUpToDate>false</LinksUpToDate>
  <CharactersWithSpaces>19063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规划</cp:category>
  <dcterms:created xsi:type="dcterms:W3CDTF">2022-11-25T03:00:00Z</dcterms:created>
  <dc:creator>宋云峰</dc:creator>
  <cp:lastModifiedBy>悟空的花果山</cp:lastModifiedBy>
  <cp:lastPrinted>2025-09-05T00:42:00Z</cp:lastPrinted>
  <dcterms:modified xsi:type="dcterms:W3CDTF">2025-12-23T01:26:24Z</dcterms:modified>
  <dc:title>周村区国土空间生态修复规划</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70E2FEAF86EB471BACD38BABC7607828_13</vt:lpwstr>
  </property>
  <property fmtid="{D5CDD505-2E9C-101B-9397-08002B2CF9AE}" pid="4" name="KSOTemplateDocerSaveRecord">
    <vt:lpwstr>eyJoZGlkIjoiNGY3Yjg3NGRkNjFmYmY5ZmNlZjIzMGFkYmNlMmNkMjUiLCJ1c2VySWQiOiIxOTg1MDg0ODUifQ==</vt:lpwstr>
  </property>
</Properties>
</file>