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sz w:val="36"/>
          <w:szCs w:val="36"/>
        </w:rPr>
      </w:pPr>
      <w:r>
        <w:rPr>
          <w:rFonts w:hint="eastAsia"/>
          <w:sz w:val="36"/>
          <w:szCs w:val="36"/>
          <w:lang w:eastAsia="zh-CN"/>
        </w:rPr>
        <w:t>【</w:t>
      </w:r>
      <w:r>
        <w:rPr>
          <w:rFonts w:hint="eastAsia"/>
          <w:sz w:val="36"/>
          <w:szCs w:val="36"/>
        </w:rPr>
        <w:t>第十八届政府第</w:t>
      </w:r>
      <w:r>
        <w:rPr>
          <w:rFonts w:hint="eastAsia"/>
          <w:sz w:val="36"/>
          <w:szCs w:val="36"/>
          <w:lang w:val="en-US" w:eastAsia="zh-CN"/>
        </w:rPr>
        <w:t>三十一</w:t>
      </w:r>
      <w:r>
        <w:rPr>
          <w:rFonts w:hint="eastAsia"/>
          <w:sz w:val="36"/>
          <w:szCs w:val="36"/>
        </w:rPr>
        <w:t>次常务会议议定事项</w:t>
      </w:r>
      <w:r>
        <w:rPr>
          <w:rFonts w:hint="eastAsia"/>
          <w:sz w:val="36"/>
          <w:szCs w:val="36"/>
          <w:lang w:eastAsia="zh-CN"/>
        </w:rPr>
        <w:t>】</w:t>
      </w:r>
      <w:r>
        <w:rPr>
          <w:rFonts w:hint="eastAsia"/>
          <w:sz w:val="36"/>
          <w:szCs w:val="36"/>
        </w:rPr>
        <w:t>关于《淄博市张店区林业发展“十四五”规划》的解读</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现将《淄博市张店区林业发展“十四五”规划》有关情况解读如下：</w:t>
      </w:r>
    </w:p>
    <w:p>
      <w:pPr>
        <w:numPr>
          <w:ilvl w:val="0"/>
          <w:numId w:val="2"/>
        </w:numPr>
        <w:bidi w:val="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起草背景</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林业发展是事关经济社会可持续发展的根本性问题之一，是贯彻落实新发展理念，实现资源友好型产业发展，让良好生态成为最普惠民生福祉的重要举措。</w:t>
      </w:r>
      <w:r>
        <w:rPr>
          <w:rFonts w:hint="eastAsia" w:ascii="仿宋_GB2312" w:hAnsi="仿宋_GB2312" w:cs="仿宋_GB2312"/>
          <w:sz w:val="32"/>
          <w:szCs w:val="32"/>
          <w:lang w:val="en-US" w:eastAsia="zh-CN"/>
        </w:rPr>
        <w:t>为</w:t>
      </w:r>
      <w:r>
        <w:rPr>
          <w:rFonts w:hint="eastAsia" w:ascii="仿宋_GB2312" w:hAnsi="仿宋_GB2312" w:eastAsia="仿宋_GB2312" w:cs="仿宋_GB2312"/>
          <w:sz w:val="32"/>
          <w:szCs w:val="32"/>
          <w:lang w:val="en-US" w:eastAsia="zh-CN"/>
        </w:rPr>
        <w:t>全面贯彻落实习近平生态文明思想，树立并践行绿水青山就是金山银山的理念，大力培育、保护和合理利用森林、湿地等自然资源，不断深化林业改革创新，确保完成林业发展各项任务指标，推动我区森林生态环境持续改善提高，促进人与自然和谐发展。</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lang w:val="en-US" w:eastAsia="zh-CN"/>
        </w:rPr>
      </w:pPr>
      <w:r>
        <w:rPr>
          <w:rFonts w:hint="eastAsia" w:ascii="仿宋_GB2312" w:hAnsi="仿宋_GB2312" w:eastAsia="仿宋_GB2312" w:cs="仿宋_GB2312"/>
          <w:sz w:val="32"/>
          <w:szCs w:val="32"/>
          <w:lang w:val="en-US" w:eastAsia="zh-CN"/>
        </w:rPr>
        <w:t>文件依据《中华人民共和国森林法》第三章第二十三条：“县级以上人民政府应当将森林资源保护和林业发展纳入国民经济和社会发展规划”，第二十五条：“县级以上人民政府林业主管部门应当根据森林资源保护发展目标，编制林业发展规划。下级林业发展规划依据上级林业发展规划编制”。</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起草过程</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2022年5月-2022年11月，通过组织调研、检查评估“十三五”规划执行情况、开展前期研究等形式，总结我区</w:t>
      </w:r>
      <w:r>
        <w:rPr>
          <w:rFonts w:hint="eastAsia" w:ascii="仿宋_GB2312" w:hAnsi="仿宋_GB2312" w:cs="仿宋_GB2312"/>
          <w:sz w:val="32"/>
          <w:szCs w:val="32"/>
          <w:lang w:val="en-US" w:eastAsia="zh-CN"/>
        </w:rPr>
        <w:t>林业发展</w:t>
      </w:r>
      <w:r>
        <w:rPr>
          <w:rFonts w:hint="eastAsia" w:ascii="仿宋_GB2312" w:hAnsi="仿宋_GB2312" w:eastAsia="仿宋_GB2312" w:cs="仿宋_GB2312"/>
          <w:sz w:val="32"/>
          <w:szCs w:val="32"/>
          <w:lang w:val="en-US" w:eastAsia="zh-CN"/>
        </w:rPr>
        <w:t>“十</w:t>
      </w: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五”</w:t>
      </w:r>
      <w:r>
        <w:rPr>
          <w:rFonts w:hint="eastAsia" w:ascii="仿宋_GB2312" w:hAnsi="仿宋_GB2312" w:cs="仿宋_GB2312"/>
          <w:sz w:val="32"/>
          <w:szCs w:val="32"/>
          <w:lang w:val="en-US" w:eastAsia="zh-CN"/>
        </w:rPr>
        <w:t>期间</w:t>
      </w:r>
      <w:bookmarkStart w:id="0" w:name="_GoBack"/>
      <w:bookmarkEnd w:id="0"/>
      <w:r>
        <w:rPr>
          <w:rFonts w:hint="eastAsia" w:ascii="仿宋_GB2312" w:hAnsi="仿宋_GB2312" w:eastAsia="仿宋_GB2312" w:cs="仿宋_GB2312"/>
          <w:sz w:val="32"/>
          <w:szCs w:val="32"/>
          <w:lang w:val="en-US" w:eastAsia="zh-CN"/>
        </w:rPr>
        <w:t>的主要成就，研判“十四五”</w:t>
      </w:r>
      <w:r>
        <w:rPr>
          <w:rFonts w:hint="eastAsia" w:ascii="仿宋_GB2312" w:hAnsi="仿宋_GB2312" w:cs="仿宋_GB2312"/>
          <w:sz w:val="32"/>
          <w:szCs w:val="32"/>
          <w:lang w:val="en-US" w:eastAsia="zh-CN"/>
        </w:rPr>
        <w:t>林业发展</w:t>
      </w:r>
      <w:r>
        <w:rPr>
          <w:rFonts w:hint="eastAsia" w:ascii="仿宋_GB2312" w:hAnsi="仿宋_GB2312" w:eastAsia="仿宋_GB2312" w:cs="仿宋_GB2312"/>
          <w:sz w:val="32"/>
          <w:szCs w:val="32"/>
          <w:lang w:val="en-US" w:eastAsia="zh-CN"/>
        </w:rPr>
        <w:t>面临的形势，根据市级规划要求，结合我区工作实际，明确“十四五”</w:t>
      </w:r>
      <w:r>
        <w:rPr>
          <w:rFonts w:hint="eastAsia" w:ascii="仿宋_GB2312" w:hAnsi="仿宋_GB2312" w:cs="仿宋_GB2312"/>
          <w:sz w:val="32"/>
          <w:szCs w:val="32"/>
          <w:lang w:val="en-US" w:eastAsia="zh-CN"/>
        </w:rPr>
        <w:t>规划</w:t>
      </w:r>
      <w:r>
        <w:rPr>
          <w:rFonts w:hint="eastAsia" w:ascii="仿宋_GB2312" w:hAnsi="仿宋_GB2312" w:eastAsia="仿宋_GB2312" w:cs="仿宋_GB2312"/>
          <w:sz w:val="32"/>
          <w:szCs w:val="32"/>
          <w:lang w:val="en-US" w:eastAsia="zh-CN"/>
        </w:rPr>
        <w:t>指导思想和基本原则，确定“十四五”时期</w:t>
      </w:r>
      <w:r>
        <w:rPr>
          <w:rFonts w:hint="eastAsia" w:ascii="仿宋_GB2312" w:hAnsi="仿宋_GB2312" w:cs="仿宋_GB2312"/>
          <w:sz w:val="32"/>
          <w:szCs w:val="32"/>
          <w:lang w:val="en-US" w:eastAsia="zh-CN"/>
        </w:rPr>
        <w:t>林业发展</w:t>
      </w:r>
      <w:r>
        <w:rPr>
          <w:rFonts w:hint="eastAsia" w:ascii="仿宋_GB2312" w:hAnsi="仿宋_GB2312" w:eastAsia="仿宋_GB2312" w:cs="仿宋_GB2312"/>
          <w:sz w:val="32"/>
          <w:szCs w:val="32"/>
          <w:lang w:val="en-US" w:eastAsia="zh-CN"/>
        </w:rPr>
        <w:t>的</w:t>
      </w:r>
      <w:r>
        <w:rPr>
          <w:rFonts w:hint="eastAsia" w:ascii="仿宋_GB2312" w:hAnsi="仿宋_GB2312" w:cs="仿宋_GB2312"/>
          <w:sz w:val="32"/>
          <w:szCs w:val="32"/>
          <w:lang w:val="en-US" w:eastAsia="zh-CN"/>
        </w:rPr>
        <w:t>规划</w:t>
      </w:r>
      <w:r>
        <w:rPr>
          <w:rFonts w:hint="eastAsia" w:ascii="仿宋_GB2312" w:hAnsi="仿宋_GB2312" w:eastAsia="仿宋_GB2312" w:cs="仿宋_GB2312"/>
          <w:sz w:val="32"/>
          <w:szCs w:val="32"/>
          <w:lang w:val="en-US" w:eastAsia="zh-CN"/>
        </w:rPr>
        <w:t>目标、主要任务和重大项目等，研究拟定了《规划》初稿。2023年4月，面向相关单位、社会征求了意见，并形成了现在的《规划》草案。</w:t>
      </w:r>
      <w:r>
        <w:rPr>
          <w:rFonts w:hint="eastAsia" w:ascii="Times New Roman" w:hAnsi="Times New Roman" w:eastAsia="仿宋_GB2312" w:cs="Times New Roman"/>
          <w:sz w:val="32"/>
          <w:szCs w:val="32"/>
          <w:lang w:val="en-US" w:eastAsia="zh-CN"/>
        </w:rPr>
        <w:t>该</w:t>
      </w:r>
      <w:r>
        <w:rPr>
          <w:rFonts w:hint="eastAsia" w:ascii="Times New Roman" w:hAnsi="Times New Roman" w:cs="Times New Roman"/>
          <w:sz w:val="32"/>
          <w:szCs w:val="32"/>
          <w:lang w:val="en-US" w:eastAsia="zh-CN"/>
        </w:rPr>
        <w:t>草案</w:t>
      </w:r>
      <w:r>
        <w:rPr>
          <w:rFonts w:hint="eastAsia" w:ascii="Times New Roman" w:hAnsi="Times New Roman" w:eastAsia="仿宋_GB2312" w:cs="Times New Roman"/>
          <w:sz w:val="32"/>
          <w:szCs w:val="32"/>
          <w:lang w:val="en-US" w:eastAsia="zh-CN"/>
        </w:rPr>
        <w:t>已通过</w:t>
      </w:r>
      <w:r>
        <w:rPr>
          <w:rFonts w:hint="default" w:ascii="Times New Roman" w:hAnsi="Times New Roman" w:eastAsia="仿宋_GB2312" w:cs="Times New Roman"/>
          <w:sz w:val="32"/>
          <w:szCs w:val="32"/>
          <w:lang w:val="en-US" w:eastAsia="zh-CN"/>
        </w:rPr>
        <w:t>公平竞争</w:t>
      </w:r>
      <w:r>
        <w:rPr>
          <w:rFonts w:hint="eastAsia" w:ascii="Times New Roman" w:hAnsi="Times New Roman" w:eastAsia="仿宋_GB2312" w:cs="Times New Roman"/>
          <w:sz w:val="32"/>
          <w:szCs w:val="32"/>
          <w:lang w:val="en-US" w:eastAsia="zh-CN"/>
        </w:rPr>
        <w:t>与</w:t>
      </w:r>
      <w:r>
        <w:rPr>
          <w:rFonts w:hint="default" w:ascii="Times New Roman" w:hAnsi="Times New Roman" w:eastAsia="仿宋_GB2312" w:cs="Times New Roman"/>
          <w:sz w:val="32"/>
          <w:szCs w:val="32"/>
          <w:lang w:val="en-US" w:eastAsia="zh-CN"/>
        </w:rPr>
        <w:t>合法性审查</w:t>
      </w:r>
      <w:r>
        <w:rPr>
          <w:rFonts w:hint="eastAsia" w:ascii="Times New Roman" w:hAnsi="Times New Roman" w:eastAsia="仿宋_GB2312" w:cs="Times New Roman"/>
          <w:sz w:val="32"/>
          <w:szCs w:val="32"/>
          <w:lang w:val="en-US" w:eastAsia="zh-CN"/>
        </w:rPr>
        <w:t>，并完成</w:t>
      </w:r>
      <w:r>
        <w:rPr>
          <w:rFonts w:hint="default" w:ascii="Times New Roman" w:hAnsi="Times New Roman" w:eastAsia="仿宋_GB2312" w:cs="Times New Roman"/>
          <w:sz w:val="32"/>
          <w:szCs w:val="32"/>
          <w:lang w:val="en-US" w:eastAsia="zh-CN"/>
        </w:rPr>
        <w:t>重大决策社会稳定风险评估</w:t>
      </w:r>
      <w:r>
        <w:rPr>
          <w:rFonts w:hint="eastAsia" w:ascii="Times New Roman" w:hAnsi="Times New Roman" w:eastAsia="仿宋_GB2312" w:cs="Times New Roman"/>
          <w:sz w:val="32"/>
          <w:szCs w:val="32"/>
          <w:lang w:val="en-US" w:eastAsia="zh-CN"/>
        </w:rPr>
        <w:t>备案</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spacing w:val="0"/>
          <w:sz w:val="32"/>
          <w:szCs w:val="32"/>
          <w:lang w:eastAsia="zh-CN"/>
        </w:rPr>
        <w:t>在文件起草过程中，</w:t>
      </w:r>
      <w:r>
        <w:rPr>
          <w:rFonts w:hint="eastAsia" w:ascii="Times New Roman" w:hAnsi="Times New Roman" w:eastAsia="仿宋_GB2312" w:cs="Times New Roman"/>
          <w:sz w:val="32"/>
          <w:szCs w:val="32"/>
          <w:lang w:val="en-US" w:eastAsia="zh-CN"/>
        </w:rPr>
        <w:t>征求了区财政局、区应急管理局等20个部门和单位的意见，均反馈无意见。</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主要内容</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Times New Roman" w:hAnsi="Times New Roman" w:cs="Times New Roman"/>
          <w:sz w:val="32"/>
          <w:szCs w:val="32"/>
          <w:lang w:val="en-US" w:eastAsia="zh-CN"/>
        </w:rPr>
      </w:pPr>
      <w:r>
        <w:rPr>
          <w:rFonts w:hint="eastAsia" w:ascii="Times New Roman" w:hAnsi="Times New Roman" w:eastAsia="仿宋_GB2312" w:cs="Times New Roman"/>
          <w:sz w:val="32"/>
          <w:szCs w:val="32"/>
          <w:lang w:val="en-US" w:eastAsia="zh-CN"/>
        </w:rPr>
        <w:t>《规划》共分为四部分</w:t>
      </w:r>
      <w:r>
        <w:rPr>
          <w:rFonts w:hint="eastAsia" w:ascii="Times New Roman" w:hAnsi="Times New Roman"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第一部分</w:t>
      </w:r>
      <w:r>
        <w:rPr>
          <w:rFonts w:hint="default" w:ascii="Times New Roman" w:hAnsi="Times New Roman" w:eastAsia="仿宋_GB2312" w:cs="Times New Roman"/>
          <w:sz w:val="32"/>
          <w:szCs w:val="32"/>
          <w:lang w:val="en-US" w:eastAsia="zh-CN"/>
        </w:rPr>
        <w:t>是</w:t>
      </w:r>
      <w:r>
        <w:rPr>
          <w:rFonts w:hint="eastAsia"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lang w:val="en-US" w:eastAsia="zh-CN"/>
        </w:rPr>
        <w:t>张店区</w:t>
      </w:r>
      <w:r>
        <w:rPr>
          <w:rFonts w:hint="eastAsia" w:ascii="仿宋_GB2312" w:hAnsi="仿宋_GB2312" w:eastAsia="仿宋_GB2312" w:cs="仿宋_GB2312"/>
          <w:sz w:val="32"/>
          <w:szCs w:val="32"/>
          <w:lang w:val="en-US" w:eastAsia="zh-CN"/>
        </w:rPr>
        <w:t>“十三五”</w:t>
      </w:r>
      <w:r>
        <w:rPr>
          <w:rFonts w:hint="default" w:ascii="Times New Roman" w:hAnsi="Times New Roman" w:eastAsia="仿宋_GB2312" w:cs="Times New Roman"/>
          <w:sz w:val="32"/>
          <w:szCs w:val="32"/>
          <w:lang w:val="en-US" w:eastAsia="zh-CN"/>
        </w:rPr>
        <w:t>期间林业发展的主要成绩</w:t>
      </w:r>
      <w:r>
        <w:rPr>
          <w:rFonts w:hint="eastAsia" w:ascii="Times New Roman" w:hAnsi="Times New Roman" w:eastAsia="仿宋_GB2312" w:cs="Times New Roman"/>
          <w:sz w:val="32"/>
          <w:szCs w:val="32"/>
          <w:lang w:val="en-US" w:eastAsia="zh-CN"/>
        </w:rPr>
        <w:t>进行了总结</w:t>
      </w:r>
      <w:r>
        <w:rPr>
          <w:rFonts w:hint="default" w:ascii="Times New Roman" w:hAnsi="Times New Roman" w:eastAsia="仿宋_GB2312" w:cs="Times New Roman"/>
          <w:sz w:val="32"/>
          <w:szCs w:val="32"/>
          <w:lang w:val="en-US" w:eastAsia="zh-CN"/>
        </w:rPr>
        <w:t>，包括林业生态建设成效、森林资源管理工作进展、森林防火工作成果、林业产业发展情况、林业改革发展情况、生态文化建设进展等内容。</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第二部分是</w:t>
      </w:r>
      <w:r>
        <w:rPr>
          <w:rFonts w:hint="eastAsia" w:ascii="仿宋_GB2312" w:hAnsi="仿宋_GB2312" w:eastAsia="仿宋_GB2312" w:cs="仿宋_GB2312"/>
          <w:sz w:val="32"/>
          <w:szCs w:val="32"/>
          <w:lang w:val="en-US" w:eastAsia="zh-CN"/>
        </w:rPr>
        <w:t>“十四五”</w:t>
      </w:r>
      <w:r>
        <w:rPr>
          <w:rFonts w:hint="default" w:ascii="Times New Roman" w:hAnsi="Times New Roman" w:eastAsia="仿宋_GB2312" w:cs="Times New Roman"/>
          <w:sz w:val="32"/>
          <w:szCs w:val="32"/>
          <w:lang w:val="en-US" w:eastAsia="zh-CN"/>
        </w:rPr>
        <w:t>林业建设规划的部分，主要包括指导思想、基本原则、规划依据、规划目标等内容。</w:t>
      </w:r>
    </w:p>
    <w:p>
      <w:pPr>
        <w:keepNext w:val="0"/>
        <w:keepLines w:val="0"/>
        <w:pageBreakBefore w:val="0"/>
        <w:kinsoku/>
        <w:wordWrap/>
        <w:topLinePunct w:val="0"/>
        <w:bidi w:val="0"/>
        <w:spacing w:line="560" w:lineRule="exact"/>
        <w:textAlignment w:val="auto"/>
        <w:rPr>
          <w:rFonts w:hint="eastAsia"/>
          <w:sz w:val="32"/>
          <w:szCs w:val="32"/>
          <w:lang w:val="en-US" w:eastAsia="zh-CN"/>
        </w:rPr>
      </w:pPr>
      <w:r>
        <w:rPr>
          <w:rFonts w:hint="eastAsia" w:ascii="Times New Roman" w:hAnsi="Times New Roman" w:cs="Times New Roman"/>
          <w:sz w:val="32"/>
          <w:szCs w:val="32"/>
          <w:lang w:val="en-US" w:eastAsia="zh-CN"/>
        </w:rPr>
        <w:t>指导思想。</w:t>
      </w:r>
      <w:r>
        <w:rPr>
          <w:rFonts w:hint="eastAsia"/>
          <w:sz w:val="32"/>
          <w:szCs w:val="32"/>
          <w:lang w:val="en-US" w:eastAsia="zh-CN"/>
        </w:rPr>
        <w:t>以习近平新时代中国特色社会主义思想为指导，深入贯彻党的二十大精神，全面落实习近平生态文明思想，坚定践行绿水青山就是金山银山的理念，坚持尊重自然、顺应自然、保护自然，不断提升生态系统多样性、稳定性、持续性。以提高国土绿化水平、提升生态品质为主线，以维护森林生态安全为主攻方向，以增绿增质增效为基本要求，大力培育、保护和合理利用森林、湿地等自然资源，不断深化林业改革创新，科学开展国土绿化，增进绿色惠民，强化基础保障，构筑生态网络，为全域公园城市建设贡献力量。</w:t>
      </w:r>
    </w:p>
    <w:p>
      <w:pPr>
        <w:keepNext w:val="0"/>
        <w:keepLines w:val="0"/>
        <w:pageBreakBefore w:val="0"/>
        <w:kinsoku/>
        <w:wordWrap/>
        <w:topLinePunct w:val="0"/>
        <w:bidi w:val="0"/>
        <w:spacing w:line="560" w:lineRule="exact"/>
        <w:ind w:firstLine="720"/>
        <w:textAlignment w:val="auto"/>
        <w:rPr>
          <w:rFonts w:hint="eastAsia"/>
          <w:sz w:val="32"/>
          <w:szCs w:val="32"/>
          <w:lang w:val="en-US" w:eastAsia="zh-CN"/>
        </w:rPr>
      </w:pPr>
      <w:r>
        <w:rPr>
          <w:rFonts w:hint="eastAsia"/>
          <w:sz w:val="32"/>
          <w:szCs w:val="32"/>
          <w:lang w:val="en-US" w:eastAsia="zh-CN"/>
        </w:rPr>
        <w:t>基本原则。坚定不移走生态优先、绿色发展之路。坚持深化改革，创新发展。坚持科技兴林，人才强林。坚持依法治林，严格保护。</w:t>
      </w:r>
    </w:p>
    <w:p>
      <w:pPr>
        <w:keepNext w:val="0"/>
        <w:keepLines w:val="0"/>
        <w:pageBreakBefore w:val="0"/>
        <w:kinsoku/>
        <w:wordWrap/>
        <w:topLinePunct w:val="0"/>
        <w:bidi w:val="0"/>
        <w:spacing w:line="560" w:lineRule="exact"/>
        <w:ind w:firstLine="720"/>
        <w:textAlignment w:val="auto"/>
        <w:rPr>
          <w:rFonts w:hint="default"/>
          <w:sz w:val="32"/>
          <w:szCs w:val="32"/>
          <w:lang w:val="en-US" w:eastAsia="zh-CN"/>
        </w:rPr>
      </w:pPr>
      <w:r>
        <w:rPr>
          <w:rFonts w:hint="eastAsia"/>
          <w:sz w:val="32"/>
          <w:szCs w:val="32"/>
          <w:lang w:val="en-US" w:eastAsia="zh-CN"/>
        </w:rPr>
        <w:t>规划目标。国土绿化空间布局显著优化。森林生态环境得到进一步改善。不断加强林地林木保护管理。推动林业产业转型升级提质增效。基础保障能力日臻完善。改革创新能力加速提升。</w:t>
      </w:r>
    </w:p>
    <w:p>
      <w:pPr>
        <w:keepNext w:val="0"/>
        <w:keepLines w:val="0"/>
        <w:pageBreakBefore w:val="0"/>
        <w:kinsoku/>
        <w:wordWrap/>
        <w:topLinePunct w:val="0"/>
        <w:bidi w:val="0"/>
        <w:spacing w:line="560" w:lineRule="exact"/>
        <w:ind w:firstLine="720"/>
        <w:textAlignment w:val="auto"/>
        <w:rPr>
          <w:rFonts w:hint="default"/>
          <w:sz w:val="32"/>
          <w:szCs w:val="32"/>
          <w:lang w:val="en-US" w:eastAsia="zh-CN"/>
        </w:rPr>
      </w:pPr>
      <w:r>
        <w:rPr>
          <w:rFonts w:hint="default"/>
          <w:sz w:val="32"/>
          <w:szCs w:val="32"/>
          <w:lang w:val="en-US" w:eastAsia="zh-CN"/>
        </w:rPr>
        <w:t>第三部分是</w:t>
      </w:r>
      <w:r>
        <w:rPr>
          <w:rFonts w:hint="eastAsia"/>
          <w:sz w:val="32"/>
          <w:szCs w:val="32"/>
          <w:lang w:val="en-US" w:eastAsia="zh-CN"/>
        </w:rPr>
        <w:t>“十四五”</w:t>
      </w:r>
      <w:r>
        <w:rPr>
          <w:rFonts w:hint="default"/>
          <w:sz w:val="32"/>
          <w:szCs w:val="32"/>
          <w:lang w:val="en-US" w:eastAsia="zh-CN"/>
        </w:rPr>
        <w:t>期间的重点建设内容，主要包括巩固绿化造林成果</w:t>
      </w:r>
      <w:r>
        <w:rPr>
          <w:rFonts w:hint="eastAsia"/>
          <w:sz w:val="32"/>
          <w:szCs w:val="32"/>
          <w:lang w:val="en-US" w:eastAsia="zh-CN"/>
        </w:rPr>
        <w:t>；全力打造公园城市</w:t>
      </w:r>
      <w:r>
        <w:rPr>
          <w:rFonts w:hint="default"/>
          <w:sz w:val="32"/>
          <w:szCs w:val="32"/>
          <w:lang w:val="en-US" w:eastAsia="zh-CN"/>
        </w:rPr>
        <w:t>、加强经济林建设工作</w:t>
      </w:r>
      <w:r>
        <w:rPr>
          <w:rFonts w:hint="eastAsia"/>
          <w:sz w:val="32"/>
          <w:szCs w:val="32"/>
          <w:lang w:val="en-US" w:eastAsia="zh-CN"/>
        </w:rPr>
        <w:t>，激发林业发展活力；</w:t>
      </w:r>
      <w:r>
        <w:rPr>
          <w:rFonts w:hint="default"/>
          <w:sz w:val="32"/>
          <w:szCs w:val="32"/>
          <w:lang w:val="en-US" w:eastAsia="zh-CN"/>
        </w:rPr>
        <w:t>加强林业生态保护管理</w:t>
      </w:r>
      <w:r>
        <w:rPr>
          <w:rFonts w:hint="eastAsia"/>
          <w:sz w:val="32"/>
          <w:szCs w:val="32"/>
          <w:lang w:val="en-US" w:eastAsia="zh-CN"/>
        </w:rPr>
        <w:t>，构筑生态安全屏障；</w:t>
      </w:r>
      <w:r>
        <w:rPr>
          <w:rFonts w:hint="default"/>
          <w:sz w:val="32"/>
          <w:szCs w:val="32"/>
          <w:lang w:val="en-US" w:eastAsia="zh-CN"/>
        </w:rPr>
        <w:t>提高森林资源保护管理水平</w:t>
      </w:r>
      <w:r>
        <w:rPr>
          <w:rFonts w:hint="eastAsia"/>
          <w:sz w:val="32"/>
          <w:szCs w:val="32"/>
          <w:lang w:val="en-US" w:eastAsia="zh-CN"/>
        </w:rPr>
        <w:t>；落实森林资源保护发展目标责任制；不断提高林业行政执法能力，有效保护生态资源</w:t>
      </w:r>
      <w:r>
        <w:rPr>
          <w:rFonts w:hint="default"/>
          <w:sz w:val="32"/>
          <w:szCs w:val="32"/>
          <w:lang w:val="en-US" w:eastAsia="zh-CN"/>
        </w:rPr>
        <w:t>内容。</w:t>
      </w:r>
    </w:p>
    <w:p>
      <w:pPr>
        <w:keepNext w:val="0"/>
        <w:keepLines w:val="0"/>
        <w:pageBreakBefore w:val="0"/>
        <w:kinsoku/>
        <w:wordWrap/>
        <w:topLinePunct w:val="0"/>
        <w:bidi w:val="0"/>
        <w:spacing w:line="560" w:lineRule="exact"/>
        <w:ind w:firstLine="720"/>
        <w:textAlignment w:val="auto"/>
        <w:rPr>
          <w:rFonts w:hint="default"/>
          <w:sz w:val="32"/>
          <w:szCs w:val="32"/>
          <w:lang w:val="en-US" w:eastAsia="zh-CN"/>
        </w:rPr>
      </w:pPr>
      <w:r>
        <w:rPr>
          <w:rFonts w:hint="default"/>
          <w:sz w:val="32"/>
          <w:szCs w:val="32"/>
          <w:lang w:val="en-US" w:eastAsia="zh-CN"/>
        </w:rPr>
        <w:t>第四部分是保障措施，主要从加强组织领导、强化政策支持、完善法治体系三个方面对林业发展</w:t>
      </w:r>
      <w:r>
        <w:rPr>
          <w:rFonts w:hint="eastAsia"/>
          <w:sz w:val="32"/>
          <w:szCs w:val="32"/>
          <w:lang w:val="en-US" w:eastAsia="zh-CN"/>
        </w:rPr>
        <w:t>“十四五”</w:t>
      </w:r>
      <w:r>
        <w:rPr>
          <w:rFonts w:hint="default"/>
          <w:sz w:val="32"/>
          <w:szCs w:val="32"/>
          <w:lang w:val="en-US" w:eastAsia="zh-CN"/>
        </w:rPr>
        <w:t>规划做保障。</w:t>
      </w:r>
    </w:p>
    <w:p>
      <w:pPr>
        <w:numPr>
          <w:numId w:val="0"/>
        </w:numPr>
        <w:bidi w:val="0"/>
        <w:rPr>
          <w:rFonts w:hint="eastAsia" w:ascii="黑体" w:hAnsi="黑体" w:eastAsia="黑体" w:cs="黑体"/>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中文正文">
    <w:altName w:val="AMGDT"/>
    <w:panose1 w:val="00000000000000000000"/>
    <w:charset w:val="00"/>
    <w:family w:val="auto"/>
    <w:pitch w:val="default"/>
    <w:sig w:usb0="00000000" w:usb1="00000000" w:usb2="00000000" w:usb3="00000000" w:csb0="00000000" w:csb1="00000000"/>
  </w:font>
  <w:font w:name="+西文正文">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动物类">
    <w:panose1 w:val="00000500000000000000"/>
    <w:charset w:val="00"/>
    <w:family w:val="auto"/>
    <w:pitch w:val="default"/>
    <w:sig w:usb0="00000000" w:usb1="00000000" w:usb2="00000000" w:usb3="00000000" w:csb0="00000000" w:csb1="00000000"/>
  </w:font>
  <w:font w:name="苍穹字体">
    <w:panose1 w:val="05000400000000000000"/>
    <w:charset w:val="00"/>
    <w:family w:val="auto"/>
    <w:pitch w:val="default"/>
    <w:sig w:usb0="00000000" w:usb1="00000000" w:usb2="00000000" w:usb3="00000000" w:csb0="8000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28FF8"/>
    <w:multiLevelType w:val="singleLevel"/>
    <w:tmpl w:val="27E28FF8"/>
    <w:lvl w:ilvl="0" w:tentative="0">
      <w:start w:val="1"/>
      <w:numFmt w:val="chineseCounting"/>
      <w:suff w:val="nothing"/>
      <w:lvlText w:val="%1、"/>
      <w:lvlJc w:val="left"/>
      <w:rPr>
        <w:rFonts w:hint="eastAsia"/>
      </w:rPr>
    </w:lvl>
  </w:abstractNum>
  <w:abstractNum w:abstractNumId="1">
    <w:nsid w:val="4FC24E1E"/>
    <w:multiLevelType w:val="multilevel"/>
    <w:tmpl w:val="4FC24E1E"/>
    <w:lvl w:ilvl="0" w:tentative="0">
      <w:start w:val="1"/>
      <w:numFmt w:val="decimal"/>
      <w:pStyle w:val="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9"/>
      <w:suff w:val="nothing"/>
      <w:lvlText w:val="%1.%2.%3　"/>
      <w:lvlJc w:val="left"/>
      <w:pPr>
        <w:ind w:left="0" w:firstLine="0"/>
      </w:pPr>
      <w:rPr>
        <w:rFonts w:hint="eastAsia" w:ascii="黑体" w:hAnsi="Times New Roman" w:eastAsia="黑体"/>
        <w:b w:val="0"/>
        <w:i w:val="0"/>
        <w:sz w:val="21"/>
      </w:rPr>
    </w:lvl>
    <w:lvl w:ilvl="3" w:tentative="0">
      <w:start w:val="1"/>
      <w:numFmt w:val="decimal"/>
      <w:pStyle w:val="10"/>
      <w:suff w:val="nothing"/>
      <w:lvlText w:val="%1.%2.%3.%4　"/>
      <w:lvlJc w:val="left"/>
      <w:pPr>
        <w:ind w:left="0" w:firstLine="0"/>
      </w:pPr>
      <w:rPr>
        <w:rFonts w:hint="eastAsia" w:ascii="黑体" w:hAnsi="Times New Roman" w:eastAsia="黑体"/>
        <w:b w:val="0"/>
        <w:i w:val="0"/>
        <w:sz w:val="21"/>
      </w:rPr>
    </w:lvl>
    <w:lvl w:ilvl="4" w:tentative="0">
      <w:start w:val="1"/>
      <w:numFmt w:val="decimal"/>
      <w:pStyle w:val="11"/>
      <w:suff w:val="nothing"/>
      <w:lvlText w:val="%1.%2.%3.%4.%5　"/>
      <w:lvlJc w:val="left"/>
      <w:pPr>
        <w:ind w:left="0" w:firstLine="0"/>
      </w:pPr>
      <w:rPr>
        <w:rFonts w:hint="eastAsia" w:ascii="黑体" w:hAnsi="Times New Roman" w:eastAsia="黑体"/>
        <w:b w:val="0"/>
        <w:i w:val="0"/>
        <w:sz w:val="21"/>
      </w:rPr>
    </w:lvl>
    <w:lvl w:ilvl="5" w:tentative="0">
      <w:start w:val="1"/>
      <w:numFmt w:val="decimal"/>
      <w:pStyle w:val="1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E7F72EC"/>
    <w:multiLevelType w:val="singleLevel"/>
    <w:tmpl w:val="6E7F72EC"/>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12625"/>
    <w:rsid w:val="0B067F0E"/>
    <w:rsid w:val="16EA2FF8"/>
    <w:rsid w:val="1B8A3280"/>
    <w:rsid w:val="1CA12625"/>
    <w:rsid w:val="2DC43D1A"/>
    <w:rsid w:val="3D0E56C0"/>
    <w:rsid w:val="710F0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both"/>
    </w:pPr>
    <w:rPr>
      <w:rFonts w:ascii="仿宋" w:hAnsi="仿宋" w:eastAsia="仿宋_GB2312" w:cstheme="minorBidi"/>
      <w:kern w:val="2"/>
      <w:sz w:val="28"/>
      <w:szCs w:val="28"/>
      <w:lang w:val="en-US" w:eastAsia="zh-CN" w:bidi="ar-SA"/>
    </w:rPr>
  </w:style>
  <w:style w:type="paragraph" w:styleId="3">
    <w:name w:val="heading 2"/>
    <w:next w:val="1"/>
    <w:unhideWhenUsed/>
    <w:qFormat/>
    <w:uiPriority w:val="0"/>
    <w:pPr>
      <w:keepNext/>
      <w:keepLines/>
      <w:spacing w:before="260" w:beforeLines="0" w:beforeAutospacing="0" w:after="260" w:afterLines="0" w:afterAutospacing="0" w:line="413" w:lineRule="auto"/>
      <w:outlineLvl w:val="1"/>
    </w:pPr>
    <w:rPr>
      <w:rFonts w:ascii="方正小标宋简体" w:hAnsi="方正小标宋简体" w:eastAsia="方正小标宋简体"/>
      <w:sz w:val="44"/>
      <w:szCs w:val="44"/>
    </w:rPr>
  </w:style>
  <w:style w:type="paragraph" w:styleId="4">
    <w:name w:val="heading 3"/>
    <w:basedOn w:val="1"/>
    <w:next w:val="1"/>
    <w:unhideWhenUsed/>
    <w:qFormat/>
    <w:uiPriority w:val="0"/>
    <w:pPr>
      <w:keepNext w:val="0"/>
      <w:keepLines w:val="0"/>
      <w:spacing w:before="120" w:beforeLines="0" w:beforeAutospacing="0" w:after="120" w:afterLines="0" w:afterAutospacing="0" w:line="360" w:lineRule="auto"/>
      <w:ind w:firstLine="1044" w:firstLineChars="200"/>
      <w:outlineLvl w:val="2"/>
    </w:pPr>
    <w:rPr>
      <w:b/>
    </w:rPr>
  </w:style>
  <w:style w:type="character" w:default="1" w:styleId="6">
    <w:name w:val="Default Paragraph Font"/>
    <w:semiHidden/>
    <w:uiPriority w:val="0"/>
    <w:rPr>
      <w:rFonts w:ascii="黑体" w:hAnsi="黑体" w:eastAsia="黑体" w:cs="Times New Roman"/>
      <w:sz w:val="21"/>
      <w:szCs w:val="21"/>
      <w:lang w:val="en-US" w:eastAsia="zh-CN" w:bidi="ar-SA"/>
    </w:rPr>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rFonts w:cs="黑体"/>
    </w:rPr>
  </w:style>
  <w:style w:type="paragraph" w:customStyle="1" w:styleId="7">
    <w:name w:val="章标题"/>
    <w:qFormat/>
    <w:uiPriority w:val="0"/>
    <w:pPr>
      <w:numPr>
        <w:ilvl w:val="0"/>
        <w:numId w:val="1"/>
      </w:numPr>
      <w:spacing w:before="100" w:beforeLines="100" w:after="100" w:afterLines="100"/>
      <w:jc w:val="both"/>
      <w:outlineLvl w:val="1"/>
    </w:pPr>
    <w:rPr>
      <w:rFonts w:ascii="黑体" w:hAnsi="黑体" w:eastAsia="黑体" w:cs="Times New Roman"/>
      <w:sz w:val="21"/>
      <w:lang w:val="en-US" w:eastAsia="zh-CN" w:bidi="ar-SA"/>
    </w:rPr>
  </w:style>
  <w:style w:type="paragraph" w:customStyle="1" w:styleId="8">
    <w:name w:val="一级条标题"/>
    <w:qFormat/>
    <w:uiPriority w:val="0"/>
    <w:pPr>
      <w:numPr>
        <w:ilvl w:val="1"/>
        <w:numId w:val="1"/>
      </w:numPr>
      <w:spacing w:before="50" w:beforeLines="50" w:after="50" w:afterLines="50"/>
      <w:outlineLvl w:val="2"/>
    </w:pPr>
    <w:rPr>
      <w:rFonts w:ascii="黑体" w:hAnsi="黑体" w:eastAsia="黑体" w:cs="Times New Roman"/>
      <w:sz w:val="21"/>
      <w:szCs w:val="21"/>
      <w:lang w:val="en-US" w:eastAsia="zh-CN" w:bidi="ar-SA"/>
    </w:rPr>
  </w:style>
  <w:style w:type="paragraph" w:customStyle="1" w:styleId="9">
    <w:name w:val="二级条标题"/>
    <w:basedOn w:val="8"/>
    <w:qFormat/>
    <w:uiPriority w:val="0"/>
    <w:pPr>
      <w:numPr>
        <w:ilvl w:val="2"/>
      </w:numPr>
      <w:spacing w:before="50" w:after="50"/>
      <w:outlineLvl w:val="9"/>
    </w:pPr>
    <w:rPr>
      <w:rFonts w:ascii="黑体" w:hAnsi="黑体" w:eastAsia="黑体" w:cs="Times New Roman"/>
      <w:sz w:val="21"/>
      <w:szCs w:val="21"/>
      <w:lang w:val="en-US" w:eastAsia="zh-CN" w:bidi="ar-SA"/>
    </w:rPr>
  </w:style>
  <w:style w:type="paragraph" w:customStyle="1" w:styleId="10">
    <w:name w:val="三级条标题"/>
    <w:basedOn w:val="1"/>
    <w:uiPriority w:val="0"/>
    <w:pPr>
      <w:numPr>
        <w:ilvl w:val="3"/>
        <w:numId w:val="1"/>
      </w:numPr>
    </w:pPr>
    <w:rPr>
      <w:rFonts w:ascii="黑体" w:hAnsi="黑体" w:eastAsia="黑体" w:cs="Times New Roman"/>
      <w:sz w:val="21"/>
      <w:szCs w:val="21"/>
      <w:lang w:val="en-US" w:eastAsia="zh-CN" w:bidi="ar-SA"/>
    </w:rPr>
  </w:style>
  <w:style w:type="paragraph" w:customStyle="1" w:styleId="11">
    <w:name w:val="四级条标题"/>
    <w:basedOn w:val="1"/>
    <w:uiPriority w:val="0"/>
    <w:pPr>
      <w:numPr>
        <w:ilvl w:val="4"/>
        <w:numId w:val="1"/>
      </w:numPr>
    </w:pPr>
    <w:rPr>
      <w:rFonts w:ascii="黑体" w:hAnsi="黑体" w:eastAsia="黑体" w:cs="Times New Roman"/>
      <w:sz w:val="21"/>
      <w:szCs w:val="21"/>
      <w:lang w:val="en-US" w:eastAsia="zh-CN" w:bidi="ar-SA"/>
    </w:rPr>
  </w:style>
  <w:style w:type="paragraph" w:customStyle="1" w:styleId="12">
    <w:name w:val="五级条标题"/>
    <w:basedOn w:val="1"/>
    <w:uiPriority w:val="0"/>
    <w:pPr>
      <w:numPr>
        <w:ilvl w:val="5"/>
        <w:numId w:val="1"/>
      </w:numPr>
    </w:pPr>
    <w:rPr>
      <w:rFonts w:ascii="黑体" w:hAnsi="黑体"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2024-01-08T00:45:00Z</dcterms:created>
  <dc:creator>前尘Pastdust</dc:creator>
  <cp:lastModifiedBy>前尘Pastdust</cp:lastModifiedBy>
  <dcterms:modified xsi:type="dcterms:W3CDTF">2024-01-08T01:36:37Z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