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3"/>
        <w:jc w:val="center"/>
        <w:rPr>
          <w:rFonts w:hint="eastAsia" w:ascii="Times New Roman" w:hAnsi="Times New Roman" w:eastAsia="黑体" w:cs="Times New Roman"/>
          <w:b/>
          <w:color w:val="auto"/>
          <w:sz w:val="52"/>
          <w:szCs w:val="52"/>
          <w:lang w:val="en-US" w:eastAsia="zh-CN"/>
        </w:rPr>
      </w:pPr>
    </w:p>
    <w:p>
      <w:pPr>
        <w:pStyle w:val="23"/>
        <w:jc w:val="center"/>
        <w:rPr>
          <w:rFonts w:hint="eastAsia" w:ascii="Times New Roman" w:hAnsi="Times New Roman" w:eastAsia="黑体" w:cs="Times New Roman"/>
          <w:b/>
          <w:color w:val="auto"/>
          <w:sz w:val="52"/>
          <w:szCs w:val="52"/>
          <w:lang w:val="en-US" w:eastAsia="zh-CN"/>
        </w:rPr>
      </w:pPr>
      <w:r>
        <w:rPr>
          <w:rFonts w:hint="eastAsia" w:ascii="Times New Roman" w:hAnsi="Times New Roman" w:eastAsia="黑体" w:cs="Times New Roman"/>
          <w:b/>
          <w:color w:val="auto"/>
          <w:sz w:val="52"/>
          <w:szCs w:val="52"/>
          <w:lang w:val="en-US" w:eastAsia="zh-CN"/>
        </w:rPr>
        <w:t>淄博市张店区</w:t>
      </w:r>
    </w:p>
    <w:p>
      <w:pPr>
        <w:pStyle w:val="23"/>
        <w:jc w:val="center"/>
        <w:rPr>
          <w:rFonts w:hint="eastAsia" w:ascii="Times New Roman" w:hAnsi="Times New Roman" w:eastAsia="黑体" w:cs="Times New Roman"/>
          <w:b/>
          <w:color w:val="auto"/>
          <w:sz w:val="52"/>
          <w:szCs w:val="52"/>
          <w:lang w:val="en-US" w:eastAsia="zh-CN"/>
        </w:rPr>
      </w:pPr>
      <w:r>
        <w:rPr>
          <w:rFonts w:hint="eastAsia" w:ascii="Times New Roman" w:hAnsi="Times New Roman" w:eastAsia="黑体" w:cs="Times New Roman"/>
          <w:b/>
          <w:color w:val="auto"/>
          <w:sz w:val="52"/>
          <w:szCs w:val="52"/>
          <w:lang w:val="en-US" w:eastAsia="zh-CN"/>
        </w:rPr>
        <w:t>林业发展</w:t>
      </w:r>
      <w:r>
        <w:rPr>
          <w:rFonts w:hint="eastAsia" w:ascii="Times New Roman" w:hAnsi="Times New Roman" w:eastAsia="黑体" w:cs="Times New Roman"/>
          <w:b/>
          <w:color w:val="auto"/>
          <w:sz w:val="52"/>
          <w:szCs w:val="52"/>
          <w:lang w:eastAsia="zh-CN"/>
        </w:rPr>
        <w:t>“十</w:t>
      </w:r>
      <w:r>
        <w:rPr>
          <w:rFonts w:hint="eastAsia" w:ascii="Times New Roman" w:hAnsi="Times New Roman" w:eastAsia="黑体" w:cs="Times New Roman"/>
          <w:b/>
          <w:color w:val="auto"/>
          <w:sz w:val="52"/>
          <w:szCs w:val="52"/>
          <w:lang w:val="en-US" w:eastAsia="zh-CN"/>
        </w:rPr>
        <w:t>四</w:t>
      </w:r>
      <w:r>
        <w:rPr>
          <w:rFonts w:hint="eastAsia" w:ascii="Times New Roman" w:hAnsi="Times New Roman" w:eastAsia="黑体" w:cs="Times New Roman"/>
          <w:b/>
          <w:color w:val="auto"/>
          <w:sz w:val="52"/>
          <w:szCs w:val="52"/>
          <w:lang w:eastAsia="zh-CN"/>
        </w:rPr>
        <w:t>五”</w:t>
      </w:r>
      <w:r>
        <w:rPr>
          <w:rFonts w:hint="eastAsia" w:ascii="Times New Roman" w:hAnsi="Times New Roman" w:eastAsia="黑体" w:cs="Times New Roman"/>
          <w:b/>
          <w:color w:val="auto"/>
          <w:sz w:val="52"/>
          <w:szCs w:val="52"/>
          <w:lang w:val="en-US" w:eastAsia="zh-CN"/>
        </w:rPr>
        <w:t>规划</w:t>
      </w: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4"/>
        <w:rPr>
          <w:rFonts w:hint="eastAsia" w:ascii="Times New Roman" w:hAnsi="Times New Roman" w:eastAsia="黑体" w:cs="Times New Roman"/>
          <w:b/>
          <w:color w:val="auto"/>
          <w:sz w:val="52"/>
          <w:szCs w:val="52"/>
          <w:lang w:val="en-US" w:eastAsia="zh-CN"/>
        </w:rPr>
      </w:pPr>
    </w:p>
    <w:p>
      <w:pPr>
        <w:pStyle w:val="23"/>
        <w:jc w:val="center"/>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kern w:val="0"/>
          <w:sz w:val="32"/>
          <w:szCs w:val="32"/>
          <w:lang w:eastAsia="zh-CN"/>
        </w:rPr>
        <w:t>淄博市自然资源和规划局张店分局</w:t>
      </w:r>
    </w:p>
    <w:p>
      <w:pPr>
        <w:pStyle w:val="23"/>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202</w:t>
      </w:r>
      <w:r>
        <w:rPr>
          <w:rFonts w:hint="eastAsia"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年</w:t>
      </w:r>
      <w:r>
        <w:rPr>
          <w:rFonts w:hint="eastAsia" w:ascii="Times New Roman" w:hAnsi="Times New Roman" w:eastAsia="仿宋" w:cs="Times New Roman"/>
          <w:b/>
          <w:bCs/>
          <w:sz w:val="32"/>
          <w:szCs w:val="32"/>
          <w:lang w:val="en-US" w:eastAsia="zh-CN"/>
        </w:rPr>
        <w:t>12</w:t>
      </w:r>
      <w:r>
        <w:rPr>
          <w:rFonts w:hint="default" w:ascii="Times New Roman" w:hAnsi="Times New Roman" w:eastAsia="仿宋" w:cs="Times New Roman"/>
          <w:b/>
          <w:bCs/>
          <w:sz w:val="32"/>
          <w:szCs w:val="32"/>
        </w:rPr>
        <w:t>月</w:t>
      </w:r>
    </w:p>
    <w:p>
      <w:pPr>
        <w:pStyle w:val="24"/>
        <w:rPr>
          <w:rFonts w:hint="eastAsia" w:ascii="Times New Roman" w:hAnsi="Times New Roman" w:eastAsia="黑体" w:cs="Times New Roman"/>
          <w:b/>
          <w:color w:val="auto"/>
          <w:sz w:val="52"/>
          <w:szCs w:val="52"/>
          <w:lang w:val="en-US" w:eastAsia="zh-CN"/>
        </w:rPr>
        <w:sectPr>
          <w:headerReference r:id="rId4" w:type="default"/>
          <w:pgSz w:w="11906" w:h="16838"/>
          <w:pgMar w:top="1440" w:right="1800" w:bottom="1440" w:left="1800" w:header="851" w:footer="992" w:gutter="0"/>
          <w:pgNumType w:fmt="decimal"/>
          <w:cols w:space="720" w:num="1"/>
          <w:docGrid w:type="lines" w:linePitch="312" w:charSpace="0"/>
        </w:sectPr>
      </w:pPr>
    </w:p>
    <w:p>
      <w:pPr>
        <w:pStyle w:val="24"/>
        <w:rPr>
          <w:rFonts w:hint="eastAsia" w:ascii="Times New Roman" w:hAnsi="Times New Roman" w:eastAsia="黑体" w:cs="Times New Roman"/>
          <w:b/>
          <w:color w:val="auto"/>
          <w:sz w:val="52"/>
          <w:szCs w:val="52"/>
          <w:lang w:val="en-US" w:eastAsia="zh-CN"/>
        </w:rPr>
      </w:pPr>
    </w:p>
    <w:p>
      <w:pPr>
        <w:numPr>
          <w:ilvl w:val="0"/>
          <w:numId w:val="1"/>
        </w:numPr>
        <w:spacing w:line="560" w:lineRule="exact"/>
        <w:ind w:firstLine="640" w:firstLineChars="200"/>
        <w:jc w:val="left"/>
        <w:outlineLvl w:val="0"/>
        <w:rPr>
          <w:rFonts w:hint="eastAsia" w:ascii="黑体" w:hAnsi="仿宋_GB2312" w:eastAsia="黑体" w:cs="仿宋_GB2312"/>
          <w:sz w:val="32"/>
          <w:szCs w:val="32"/>
        </w:rPr>
        <w:sectPr>
          <w:headerReference r:id="rId5" w:type="default"/>
          <w:footerReference r:id="rId6" w:type="default"/>
          <w:type w:val="continuous"/>
          <w:pgSz w:w="11906" w:h="16838"/>
          <w:pgMar w:top="1440" w:right="1800" w:bottom="1440" w:left="1800" w:header="851" w:footer="992" w:gutter="0"/>
          <w:pgNumType w:fmt="decimal"/>
          <w:cols w:space="720" w:num="1"/>
          <w:docGrid w:type="lines" w:linePitch="312" w:charSpace="0"/>
        </w:sectPr>
      </w:pPr>
    </w:p>
    <w:p>
      <w:pPr>
        <w:spacing w:before="0" w:beforeLines="0" w:after="0" w:afterLines="0" w:line="240" w:lineRule="auto"/>
        <w:ind w:left="0" w:leftChars="0" w:right="0" w:firstLine="0" w:firstLineChars="0"/>
        <w:jc w:val="center"/>
        <w:rPr>
          <w:b/>
          <w:bCs/>
          <w:sz w:val="36"/>
          <w:szCs w:val="36"/>
        </w:rPr>
      </w:pPr>
      <w:bookmarkStart w:id="0" w:name="_Toc7783"/>
      <w:r>
        <w:rPr>
          <w:rFonts w:ascii="宋体" w:hAnsi="宋体" w:eastAsia="宋体"/>
          <w:b/>
          <w:bCs/>
          <w:sz w:val="36"/>
          <w:szCs w:val="36"/>
        </w:rPr>
        <w:t>目录</w:t>
      </w:r>
    </w:p>
    <w:p>
      <w:pPr>
        <w:pStyle w:val="11"/>
        <w:widowControl w:val="0"/>
        <w:tabs>
          <w:tab w:val="right" w:leader="dot" w:pos="8306"/>
        </w:tabs>
        <w:wordWrap/>
        <w:adjustRightInd/>
        <w:snapToGrid/>
        <w:spacing w:line="240" w:lineRule="auto"/>
        <w:textAlignment w:val="auto"/>
      </w:pPr>
      <w:r>
        <w:rPr>
          <w:sz w:val="28"/>
          <w:szCs w:val="28"/>
        </w:rPr>
        <w:fldChar w:fldCharType="begin"/>
      </w:r>
      <w:r>
        <w:rPr>
          <w:sz w:val="28"/>
          <w:szCs w:val="28"/>
        </w:rPr>
        <w:instrText xml:space="preserve">TOC \o "1-2" \h \u </w:instrText>
      </w:r>
      <w:r>
        <w:rPr>
          <w:sz w:val="28"/>
          <w:szCs w:val="28"/>
        </w:rPr>
        <w:fldChar w:fldCharType="separate"/>
      </w:r>
      <w:r>
        <w:rPr>
          <w:szCs w:val="28"/>
        </w:rPr>
        <w:fldChar w:fldCharType="begin"/>
      </w:r>
      <w:r>
        <w:rPr>
          <w:szCs w:val="28"/>
        </w:rPr>
        <w:instrText xml:space="preserve"> HYPERLINK \l _Toc19202 </w:instrText>
      </w:r>
      <w:r>
        <w:rPr>
          <w:szCs w:val="28"/>
        </w:rPr>
        <w:fldChar w:fldCharType="separate"/>
      </w:r>
      <w:r>
        <w:rPr>
          <w:rFonts w:hint="eastAsia" w:eastAsia="黑体"/>
          <w:lang w:val="en-US" w:eastAsia="zh-CN"/>
        </w:rPr>
        <w:t>一、</w:t>
      </w:r>
      <w:r>
        <w:rPr>
          <w:rFonts w:hint="eastAsia" w:ascii="黑体" w:hAnsi="仿宋_GB2312" w:eastAsia="黑体" w:cs="仿宋_GB2312"/>
          <w:szCs w:val="32"/>
        </w:rPr>
        <w:t>“十</w:t>
      </w:r>
      <w:r>
        <w:rPr>
          <w:rFonts w:hint="eastAsia" w:ascii="黑体" w:hAnsi="仿宋_GB2312" w:eastAsia="黑体" w:cs="仿宋_GB2312"/>
          <w:szCs w:val="32"/>
          <w:lang w:val="en-US" w:eastAsia="zh-CN"/>
        </w:rPr>
        <w:t>三</w:t>
      </w:r>
      <w:r>
        <w:rPr>
          <w:rFonts w:hint="eastAsia" w:ascii="黑体" w:hAnsi="仿宋_GB2312" w:eastAsia="黑体" w:cs="仿宋_GB2312"/>
          <w:szCs w:val="32"/>
        </w:rPr>
        <w:t>五”</w:t>
      </w:r>
      <w:r>
        <w:rPr>
          <w:rFonts w:hint="eastAsia" w:ascii="黑体" w:hAnsi="仿宋_GB2312" w:eastAsia="黑体" w:cs="仿宋_GB2312"/>
          <w:szCs w:val="32"/>
          <w:lang w:val="en-US" w:eastAsia="zh-CN"/>
        </w:rPr>
        <w:t>期间</w:t>
      </w:r>
      <w:r>
        <w:rPr>
          <w:rFonts w:hint="eastAsia" w:ascii="黑体" w:hAnsi="仿宋_GB2312" w:eastAsia="黑体" w:cs="仿宋_GB2312"/>
          <w:szCs w:val="32"/>
        </w:rPr>
        <w:t>林业发展的主要成绩</w:t>
      </w:r>
      <w:r>
        <w:tab/>
      </w:r>
      <w:r>
        <w:fldChar w:fldCharType="begin"/>
      </w:r>
      <w:r>
        <w:instrText xml:space="preserve"> PAGEREF _Toc19202 \h </w:instrText>
      </w:r>
      <w:r>
        <w:fldChar w:fldCharType="separate"/>
      </w:r>
      <w:r>
        <w:t>1</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_Toc20022 </w:instrText>
      </w:r>
      <w:r>
        <w:rPr>
          <w:szCs w:val="28"/>
        </w:rPr>
        <w:fldChar w:fldCharType="separate"/>
      </w:r>
      <w:r>
        <w:rPr>
          <w:rFonts w:hint="eastAsia" w:ascii="楷体" w:hAnsi="楷体" w:eastAsia="楷体" w:cs="仿宋_GB2312"/>
          <w:szCs w:val="32"/>
          <w:highlight w:val="none"/>
        </w:rPr>
        <w:t>（一）</w:t>
      </w:r>
      <w:r>
        <w:rPr>
          <w:rFonts w:hint="eastAsia" w:ascii="楷体" w:hAnsi="楷体" w:eastAsia="楷体" w:cs="仿宋_GB2312"/>
          <w:szCs w:val="32"/>
          <w:highlight w:val="none"/>
          <w:lang w:val="en-US" w:eastAsia="zh-CN"/>
        </w:rPr>
        <w:t>林业生态建设成效显著</w:t>
      </w:r>
      <w:r>
        <w:tab/>
      </w:r>
      <w:r>
        <w:fldChar w:fldCharType="begin"/>
      </w:r>
      <w:r>
        <w:instrText xml:space="preserve"> PAGEREF _Toc20022 \h </w:instrText>
      </w:r>
      <w:r>
        <w:fldChar w:fldCharType="separate"/>
      </w:r>
      <w:r>
        <w:t>1</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_Toc5686 </w:instrText>
      </w:r>
      <w:r>
        <w:rPr>
          <w:szCs w:val="28"/>
        </w:rPr>
        <w:fldChar w:fldCharType="separate"/>
      </w:r>
      <w:r>
        <w:rPr>
          <w:rFonts w:hint="eastAsia" w:ascii="楷体" w:hAnsi="楷体" w:eastAsia="楷体" w:cs="仿宋_GB2312"/>
          <w:szCs w:val="32"/>
        </w:rPr>
        <w:t>（</w:t>
      </w:r>
      <w:r>
        <w:rPr>
          <w:rFonts w:hint="eastAsia" w:ascii="楷体" w:hAnsi="楷体" w:eastAsia="楷体" w:cs="仿宋_GB2312"/>
          <w:szCs w:val="32"/>
          <w:lang w:val="en-US" w:eastAsia="zh-CN"/>
        </w:rPr>
        <w:t>二</w:t>
      </w:r>
      <w:r>
        <w:rPr>
          <w:rFonts w:hint="eastAsia" w:ascii="楷体" w:hAnsi="楷体" w:eastAsia="楷体" w:cs="仿宋_GB2312"/>
          <w:szCs w:val="32"/>
        </w:rPr>
        <w:t>）</w:t>
      </w:r>
      <w:r>
        <w:rPr>
          <w:rFonts w:hint="eastAsia" w:ascii="楷体" w:hAnsi="楷体" w:eastAsia="楷体" w:cs="仿宋_GB2312"/>
          <w:szCs w:val="32"/>
          <w:lang w:val="en-US" w:eastAsia="zh-CN"/>
        </w:rPr>
        <w:t>森林资源管理进一步加强</w:t>
      </w:r>
      <w:r>
        <w:tab/>
      </w:r>
      <w:r>
        <w:fldChar w:fldCharType="begin"/>
      </w:r>
      <w:r>
        <w:instrText xml:space="preserve"> PAGEREF _Toc5686 \h </w:instrText>
      </w:r>
      <w:r>
        <w:fldChar w:fldCharType="separate"/>
      </w:r>
      <w:r>
        <w:t>2</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_Toc30093 </w:instrText>
      </w:r>
      <w:r>
        <w:rPr>
          <w:szCs w:val="28"/>
        </w:rPr>
        <w:fldChar w:fldCharType="separate"/>
      </w:r>
      <w:r>
        <w:rPr>
          <w:rFonts w:hint="eastAsia" w:ascii="楷体" w:hAnsi="楷体" w:eastAsia="楷体" w:cs="仿宋_GB2312"/>
          <w:szCs w:val="32"/>
          <w:lang w:val="en-US" w:eastAsia="zh-CN"/>
        </w:rPr>
        <w:t>（三）森林防火能力显著提高</w:t>
      </w:r>
      <w:r>
        <w:tab/>
      </w:r>
      <w:r>
        <w:fldChar w:fldCharType="begin"/>
      </w:r>
      <w:r>
        <w:instrText xml:space="preserve"> PAGEREF _Toc30093 \h </w:instrText>
      </w:r>
      <w:r>
        <w:fldChar w:fldCharType="separate"/>
      </w:r>
      <w:r>
        <w:t>3</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_Toc27888 </w:instrText>
      </w:r>
      <w:r>
        <w:rPr>
          <w:szCs w:val="28"/>
        </w:rPr>
        <w:fldChar w:fldCharType="separate"/>
      </w:r>
      <w:r>
        <w:rPr>
          <w:rFonts w:hint="eastAsia" w:ascii="楷体" w:hAnsi="楷体" w:eastAsia="楷体" w:cs="仿宋_GB2312"/>
          <w:szCs w:val="32"/>
        </w:rPr>
        <w:t>（</w:t>
      </w:r>
      <w:r>
        <w:rPr>
          <w:rFonts w:hint="eastAsia" w:ascii="楷体" w:hAnsi="楷体" w:eastAsia="楷体" w:cs="仿宋_GB2312"/>
          <w:szCs w:val="32"/>
          <w:lang w:val="en-US" w:eastAsia="zh-CN"/>
        </w:rPr>
        <w:t>四</w:t>
      </w:r>
      <w:r>
        <w:rPr>
          <w:rFonts w:hint="eastAsia" w:ascii="楷体" w:hAnsi="楷体" w:eastAsia="楷体" w:cs="仿宋_GB2312"/>
          <w:szCs w:val="32"/>
        </w:rPr>
        <w:t>）</w:t>
      </w:r>
      <w:r>
        <w:rPr>
          <w:rFonts w:hint="eastAsia" w:ascii="楷体" w:hAnsi="楷体" w:eastAsia="楷体" w:cs="仿宋_GB2312"/>
          <w:szCs w:val="32"/>
          <w:lang w:val="en-US" w:eastAsia="zh-CN"/>
        </w:rPr>
        <w:t>林业产业稳步发展</w:t>
      </w:r>
      <w:r>
        <w:tab/>
      </w:r>
      <w:r>
        <w:fldChar w:fldCharType="begin"/>
      </w:r>
      <w:r>
        <w:instrText xml:space="preserve"> PAGEREF _Toc27888 \h </w:instrText>
      </w:r>
      <w:r>
        <w:fldChar w:fldCharType="separate"/>
      </w:r>
      <w:r>
        <w:t>5</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_Toc21569 </w:instrText>
      </w:r>
      <w:r>
        <w:rPr>
          <w:szCs w:val="28"/>
        </w:rPr>
        <w:fldChar w:fldCharType="separate"/>
      </w:r>
      <w:r>
        <w:rPr>
          <w:rFonts w:hint="eastAsia" w:ascii="楷体" w:hAnsi="楷体" w:eastAsia="楷体" w:cs="仿宋_GB2312"/>
          <w:szCs w:val="32"/>
          <w:lang w:val="en-US" w:eastAsia="zh-CN"/>
        </w:rPr>
        <w:t>（五）林业改革发展取得新成效</w:t>
      </w:r>
      <w:r>
        <w:tab/>
      </w:r>
      <w:r>
        <w:fldChar w:fldCharType="begin"/>
      </w:r>
      <w:r>
        <w:instrText xml:space="preserve"> PAGEREF _Toc21569 \h </w:instrText>
      </w:r>
      <w:r>
        <w:fldChar w:fldCharType="separate"/>
      </w:r>
      <w:r>
        <w:t>6</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_Toc19667 </w:instrText>
      </w:r>
      <w:r>
        <w:rPr>
          <w:szCs w:val="28"/>
        </w:rPr>
        <w:fldChar w:fldCharType="separate"/>
      </w:r>
      <w:r>
        <w:rPr>
          <w:rFonts w:hint="eastAsia" w:ascii="楷体" w:hAnsi="楷体" w:eastAsia="楷体" w:cs="仿宋_GB2312"/>
          <w:szCs w:val="32"/>
          <w:lang w:val="en-US" w:eastAsia="zh-CN"/>
        </w:rPr>
        <w:t>（六）全面建立林长制</w:t>
      </w:r>
      <w:r>
        <w:tab/>
      </w:r>
      <w:r>
        <w:fldChar w:fldCharType="begin"/>
      </w:r>
      <w:r>
        <w:instrText xml:space="preserve"> PAGEREF _Toc19667 \h </w:instrText>
      </w:r>
      <w:r>
        <w:fldChar w:fldCharType="separate"/>
      </w:r>
      <w:r>
        <w:t>7</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_Toc21181 </w:instrText>
      </w:r>
      <w:r>
        <w:rPr>
          <w:szCs w:val="28"/>
        </w:rPr>
        <w:fldChar w:fldCharType="separate"/>
      </w:r>
      <w:r>
        <w:rPr>
          <w:rFonts w:hint="eastAsia" w:ascii="楷体" w:hAnsi="楷体" w:eastAsia="楷体" w:cs="仿宋_GB2312"/>
          <w:szCs w:val="32"/>
          <w:lang w:val="en-US" w:eastAsia="zh-CN"/>
        </w:rPr>
        <w:t>（七）生态文化建设取得新进展</w:t>
      </w:r>
      <w:r>
        <w:tab/>
      </w:r>
      <w:r>
        <w:fldChar w:fldCharType="begin"/>
      </w:r>
      <w:r>
        <w:instrText xml:space="preserve"> PAGEREF _Toc21181 \h </w:instrText>
      </w:r>
      <w:r>
        <w:fldChar w:fldCharType="separate"/>
      </w:r>
      <w:r>
        <w:t>7</w:t>
      </w:r>
      <w:r>
        <w:fldChar w:fldCharType="end"/>
      </w:r>
      <w:r>
        <w:rPr>
          <w:szCs w:val="28"/>
        </w:rPr>
        <w:fldChar w:fldCharType="end"/>
      </w:r>
    </w:p>
    <w:p>
      <w:pPr>
        <w:pStyle w:val="11"/>
        <w:tabs>
          <w:tab w:val="right" w:leader="dot" w:pos="8306"/>
        </w:tabs>
      </w:pPr>
      <w:r>
        <w:rPr>
          <w:szCs w:val="28"/>
        </w:rPr>
        <w:fldChar w:fldCharType="begin"/>
      </w:r>
      <w:r>
        <w:rPr>
          <w:szCs w:val="28"/>
        </w:rPr>
        <w:instrText xml:space="preserve"> HYPERLINK \l _Toc16525 </w:instrText>
      </w:r>
      <w:r>
        <w:rPr>
          <w:szCs w:val="28"/>
        </w:rPr>
        <w:fldChar w:fldCharType="separate"/>
      </w:r>
      <w:r>
        <w:rPr>
          <w:rFonts w:hint="eastAsia" w:ascii="黑体" w:hAnsi="黑体" w:eastAsia="黑体" w:cs="Arial"/>
          <w:szCs w:val="32"/>
        </w:rPr>
        <w:t>二、</w:t>
      </w:r>
      <w:r>
        <w:rPr>
          <w:rFonts w:hint="eastAsia" w:ascii="黑体" w:hAnsi="黑体" w:eastAsia="黑体" w:cs="Arial"/>
          <w:szCs w:val="32"/>
          <w:lang w:eastAsia="zh-CN"/>
        </w:rPr>
        <w:t>“</w:t>
      </w:r>
      <w:r>
        <w:rPr>
          <w:rFonts w:ascii="黑体" w:hAnsi="黑体" w:eastAsia="黑体" w:cs="Arial"/>
          <w:szCs w:val="32"/>
        </w:rPr>
        <w:t>十</w:t>
      </w:r>
      <w:r>
        <w:rPr>
          <w:rFonts w:hint="eastAsia" w:ascii="黑体" w:hAnsi="黑体" w:eastAsia="黑体" w:cs="Arial"/>
          <w:szCs w:val="32"/>
          <w:lang w:val="en-US" w:eastAsia="zh-CN"/>
        </w:rPr>
        <w:t>四</w:t>
      </w:r>
      <w:r>
        <w:rPr>
          <w:rFonts w:ascii="黑体" w:hAnsi="黑体" w:eastAsia="黑体" w:cs="Arial"/>
          <w:szCs w:val="32"/>
        </w:rPr>
        <w:t>五</w:t>
      </w:r>
      <w:r>
        <w:rPr>
          <w:rFonts w:hint="eastAsia" w:ascii="黑体" w:hAnsi="黑体" w:eastAsia="黑体" w:cs="Arial"/>
          <w:szCs w:val="32"/>
          <w:lang w:eastAsia="zh-CN"/>
        </w:rPr>
        <w:t>”</w:t>
      </w:r>
      <w:r>
        <w:rPr>
          <w:rFonts w:ascii="黑体" w:hAnsi="黑体" w:eastAsia="黑体" w:cs="Arial"/>
          <w:szCs w:val="32"/>
        </w:rPr>
        <w:t>林业建设</w:t>
      </w:r>
      <w:r>
        <w:rPr>
          <w:rFonts w:hint="eastAsia" w:ascii="黑体" w:hAnsi="黑体" w:eastAsia="黑体" w:cs="Arial"/>
          <w:szCs w:val="32"/>
          <w:lang w:val="en-US" w:eastAsia="zh-CN"/>
        </w:rPr>
        <w:t>规划</w:t>
      </w:r>
      <w:r>
        <w:tab/>
      </w:r>
      <w:r>
        <w:fldChar w:fldCharType="begin"/>
      </w:r>
      <w:r>
        <w:instrText xml:space="preserve"> PAGEREF _Toc16525 \h </w:instrText>
      </w:r>
      <w:r>
        <w:fldChar w:fldCharType="separate"/>
      </w:r>
      <w:r>
        <w:t>9</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_Toc19749 </w:instrText>
      </w:r>
      <w:r>
        <w:rPr>
          <w:szCs w:val="28"/>
        </w:rPr>
        <w:fldChar w:fldCharType="separate"/>
      </w:r>
      <w:r>
        <w:rPr>
          <w:rFonts w:hint="eastAsia" w:ascii="楷体" w:hAnsi="楷体" w:eastAsia="楷体" w:cs="Arial"/>
          <w:szCs w:val="32"/>
        </w:rPr>
        <w:t>（一</w:t>
      </w:r>
      <w:r>
        <w:rPr>
          <w:rFonts w:ascii="楷体" w:hAnsi="楷体" w:eastAsia="楷体" w:cs="Arial"/>
          <w:szCs w:val="32"/>
        </w:rPr>
        <w:t>）</w:t>
      </w:r>
      <w:r>
        <w:rPr>
          <w:rFonts w:hint="eastAsia" w:ascii="楷体" w:hAnsi="楷体" w:eastAsia="楷体" w:cs="Arial"/>
          <w:szCs w:val="32"/>
          <w:lang w:val="en-US" w:eastAsia="zh-CN"/>
        </w:rPr>
        <w:t>指导思想</w:t>
      </w:r>
      <w:r>
        <w:tab/>
      </w:r>
      <w:r>
        <w:fldChar w:fldCharType="begin"/>
      </w:r>
      <w:r>
        <w:instrText xml:space="preserve"> PAGEREF _Toc19749 \h </w:instrText>
      </w:r>
      <w:r>
        <w:fldChar w:fldCharType="separate"/>
      </w:r>
      <w:r>
        <w:t>9</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_Toc26422 </w:instrText>
      </w:r>
      <w:r>
        <w:rPr>
          <w:szCs w:val="28"/>
        </w:rPr>
        <w:fldChar w:fldCharType="separate"/>
      </w:r>
      <w:r>
        <w:rPr>
          <w:rFonts w:hint="eastAsia" w:ascii="楷体" w:hAnsi="楷体" w:eastAsia="楷体" w:cs="Arial"/>
          <w:szCs w:val="32"/>
        </w:rPr>
        <w:t>（</w:t>
      </w:r>
      <w:r>
        <w:rPr>
          <w:rFonts w:hint="eastAsia" w:ascii="楷体" w:hAnsi="楷体" w:eastAsia="楷体" w:cs="Arial"/>
          <w:szCs w:val="32"/>
          <w:lang w:val="en-US" w:eastAsia="zh-CN"/>
        </w:rPr>
        <w:t>二</w:t>
      </w:r>
      <w:r>
        <w:rPr>
          <w:rFonts w:ascii="楷体" w:hAnsi="楷体" w:eastAsia="楷体" w:cs="Arial"/>
          <w:szCs w:val="32"/>
        </w:rPr>
        <w:t>）</w:t>
      </w:r>
      <w:r>
        <w:rPr>
          <w:rFonts w:hint="eastAsia" w:ascii="楷体" w:hAnsi="楷体" w:eastAsia="楷体" w:cs="Arial"/>
          <w:szCs w:val="32"/>
        </w:rPr>
        <w:t>基本原则</w:t>
      </w:r>
      <w:r>
        <w:tab/>
      </w:r>
      <w:r>
        <w:fldChar w:fldCharType="begin"/>
      </w:r>
      <w:r>
        <w:instrText xml:space="preserve"> PAGEREF _Toc26422 \h </w:instrText>
      </w:r>
      <w:r>
        <w:fldChar w:fldCharType="separate"/>
      </w:r>
      <w:r>
        <w:t>9</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_Toc21415 </w:instrText>
      </w:r>
      <w:r>
        <w:rPr>
          <w:szCs w:val="28"/>
        </w:rPr>
        <w:fldChar w:fldCharType="separate"/>
      </w:r>
      <w:r>
        <w:rPr>
          <w:rFonts w:hint="eastAsia" w:ascii="楷体" w:hAnsi="楷体" w:eastAsia="楷体" w:cs="Arial"/>
          <w:szCs w:val="32"/>
          <w:lang w:val="en-US" w:eastAsia="zh-CN"/>
        </w:rPr>
        <w:t>（三）规划目标</w:t>
      </w:r>
      <w:r>
        <w:tab/>
      </w:r>
      <w:r>
        <w:fldChar w:fldCharType="begin"/>
      </w:r>
      <w:r>
        <w:instrText xml:space="preserve"> PAGEREF _Toc21415 \h </w:instrText>
      </w:r>
      <w:r>
        <w:fldChar w:fldCharType="separate"/>
      </w:r>
      <w:r>
        <w:t>12</w:t>
      </w:r>
      <w:r>
        <w:fldChar w:fldCharType="end"/>
      </w:r>
      <w:r>
        <w:rPr>
          <w:szCs w:val="28"/>
        </w:rPr>
        <w:fldChar w:fldCharType="end"/>
      </w:r>
    </w:p>
    <w:p>
      <w:pPr>
        <w:pStyle w:val="11"/>
        <w:tabs>
          <w:tab w:val="right" w:leader="dot" w:pos="8306"/>
        </w:tabs>
      </w:pPr>
      <w:r>
        <w:rPr>
          <w:szCs w:val="28"/>
        </w:rPr>
        <w:fldChar w:fldCharType="begin"/>
      </w:r>
      <w:r>
        <w:rPr>
          <w:szCs w:val="28"/>
        </w:rPr>
        <w:instrText xml:space="preserve"> HYPERLINK \l _Toc12245 </w:instrText>
      </w:r>
      <w:r>
        <w:rPr>
          <w:szCs w:val="28"/>
        </w:rPr>
        <w:fldChar w:fldCharType="separate"/>
      </w:r>
      <w:r>
        <w:rPr>
          <w:rFonts w:hint="eastAsia" w:ascii="黑体" w:hAnsi="黑体" w:eastAsia="黑体" w:cs="Arial"/>
          <w:szCs w:val="32"/>
          <w:lang w:val="en-US" w:eastAsia="zh-CN"/>
        </w:rPr>
        <w:t>三、 重点建设工作</w:t>
      </w:r>
      <w:r>
        <w:tab/>
      </w:r>
      <w:r>
        <w:fldChar w:fldCharType="begin"/>
      </w:r>
      <w:r>
        <w:instrText xml:space="preserve"> PAGEREF _Toc12245 \h </w:instrText>
      </w:r>
      <w:r>
        <w:fldChar w:fldCharType="separate"/>
      </w:r>
      <w:r>
        <w:t>14</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_Toc635 </w:instrText>
      </w:r>
      <w:r>
        <w:rPr>
          <w:szCs w:val="28"/>
        </w:rPr>
        <w:fldChar w:fldCharType="separate"/>
      </w:r>
      <w:r>
        <w:rPr>
          <w:rFonts w:hint="eastAsia" w:ascii="楷体" w:hAnsi="楷体" w:eastAsia="楷体" w:cs="Arial"/>
          <w:szCs w:val="32"/>
          <w:lang w:val="en-US" w:eastAsia="zh-CN"/>
        </w:rPr>
        <w:t>（一）持续巩固造林绿化成果</w:t>
      </w:r>
      <w:r>
        <w:tab/>
      </w:r>
      <w:r>
        <w:fldChar w:fldCharType="begin"/>
      </w:r>
      <w:r>
        <w:instrText xml:space="preserve"> PAGEREF _Toc635 \h </w:instrText>
      </w:r>
      <w:r>
        <w:fldChar w:fldCharType="separate"/>
      </w:r>
      <w:r>
        <w:t>14</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_Toc12770 </w:instrText>
      </w:r>
      <w:r>
        <w:rPr>
          <w:szCs w:val="28"/>
        </w:rPr>
        <w:fldChar w:fldCharType="separate"/>
      </w:r>
      <w:r>
        <w:rPr>
          <w:rFonts w:hint="eastAsia" w:ascii="楷体" w:hAnsi="楷体" w:eastAsia="楷体" w:cs="Arial"/>
          <w:szCs w:val="32"/>
          <w:lang w:val="en-US" w:eastAsia="zh-CN"/>
        </w:rPr>
        <w:t>（二）进一步加强经济林建设工作</w:t>
      </w:r>
      <w:r>
        <w:tab/>
      </w:r>
      <w:r>
        <w:fldChar w:fldCharType="begin"/>
      </w:r>
      <w:r>
        <w:instrText xml:space="preserve"> PAGEREF _Toc12770 \h </w:instrText>
      </w:r>
      <w:r>
        <w:fldChar w:fldCharType="separate"/>
      </w:r>
      <w:r>
        <w:t>16</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_Toc22229 </w:instrText>
      </w:r>
      <w:r>
        <w:rPr>
          <w:szCs w:val="28"/>
        </w:rPr>
        <w:fldChar w:fldCharType="separate"/>
      </w:r>
      <w:r>
        <w:rPr>
          <w:rFonts w:hint="eastAsia" w:ascii="楷体" w:hAnsi="楷体" w:eastAsia="楷体" w:cs="Arial"/>
          <w:szCs w:val="32"/>
          <w:lang w:val="en-US" w:eastAsia="zh-CN"/>
        </w:rPr>
        <w:t>（三）重点抓好森林资源保护工作</w:t>
      </w:r>
      <w:r>
        <w:tab/>
      </w:r>
      <w:r>
        <w:fldChar w:fldCharType="begin"/>
      </w:r>
      <w:r>
        <w:instrText xml:space="preserve"> PAGEREF _Toc22229 \h </w:instrText>
      </w:r>
      <w:r>
        <w:fldChar w:fldCharType="separate"/>
      </w:r>
      <w:r>
        <w:t>17</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_Toc4857 </w:instrText>
      </w:r>
      <w:r>
        <w:rPr>
          <w:szCs w:val="28"/>
        </w:rPr>
        <w:fldChar w:fldCharType="separate"/>
      </w:r>
      <w:r>
        <w:rPr>
          <w:rFonts w:hint="eastAsia" w:ascii="楷体" w:hAnsi="楷体" w:eastAsia="楷体" w:cs="Arial"/>
          <w:szCs w:val="32"/>
          <w:lang w:val="en-US" w:eastAsia="zh-CN"/>
        </w:rPr>
        <w:t>（四）落实林长制建设推进重点工作</w:t>
      </w:r>
      <w:r>
        <w:tab/>
      </w:r>
      <w:r>
        <w:fldChar w:fldCharType="begin"/>
      </w:r>
      <w:r>
        <w:instrText xml:space="preserve"> PAGEREF _Toc4857 \h </w:instrText>
      </w:r>
      <w:r>
        <w:fldChar w:fldCharType="separate"/>
      </w:r>
      <w:r>
        <w:t>20</w:t>
      </w:r>
      <w:r>
        <w:fldChar w:fldCharType="end"/>
      </w:r>
      <w:r>
        <w:rPr>
          <w:szCs w:val="28"/>
        </w:rPr>
        <w:fldChar w:fldCharType="end"/>
      </w:r>
    </w:p>
    <w:p>
      <w:pPr>
        <w:pStyle w:val="11"/>
        <w:tabs>
          <w:tab w:val="right" w:leader="dot" w:pos="8306"/>
        </w:tabs>
      </w:pPr>
      <w:r>
        <w:rPr>
          <w:szCs w:val="28"/>
        </w:rPr>
        <w:fldChar w:fldCharType="begin"/>
      </w:r>
      <w:r>
        <w:rPr>
          <w:szCs w:val="28"/>
        </w:rPr>
        <w:instrText xml:space="preserve"> HYPERLINK \l _Toc20550 </w:instrText>
      </w:r>
      <w:r>
        <w:rPr>
          <w:szCs w:val="28"/>
        </w:rPr>
        <w:fldChar w:fldCharType="separate"/>
      </w:r>
      <w:r>
        <w:rPr>
          <w:rFonts w:hint="eastAsia" w:ascii="黑体" w:hAnsi="黑体" w:eastAsia="黑体" w:cs="Arial"/>
          <w:szCs w:val="32"/>
          <w:lang w:val="en-US" w:eastAsia="zh-CN"/>
        </w:rPr>
        <w:t>四、保障措施</w:t>
      </w:r>
      <w:r>
        <w:tab/>
      </w:r>
      <w:r>
        <w:fldChar w:fldCharType="begin"/>
      </w:r>
      <w:r>
        <w:instrText xml:space="preserve"> PAGEREF _Toc20550 \h </w:instrText>
      </w:r>
      <w:r>
        <w:fldChar w:fldCharType="separate"/>
      </w:r>
      <w:r>
        <w:t>22</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_Toc11045 </w:instrText>
      </w:r>
      <w:r>
        <w:rPr>
          <w:szCs w:val="28"/>
        </w:rPr>
        <w:fldChar w:fldCharType="separate"/>
      </w:r>
      <w:r>
        <w:rPr>
          <w:rFonts w:hint="eastAsia" w:ascii="楷体" w:hAnsi="楷体" w:eastAsia="楷体" w:cs="Arial"/>
          <w:szCs w:val="32"/>
          <w:lang w:val="en-US" w:eastAsia="zh-CN"/>
        </w:rPr>
        <w:t>（一）加强组织领导</w:t>
      </w:r>
      <w:r>
        <w:tab/>
      </w:r>
      <w:r>
        <w:fldChar w:fldCharType="begin"/>
      </w:r>
      <w:r>
        <w:instrText xml:space="preserve"> PAGEREF _Toc11045 \h </w:instrText>
      </w:r>
      <w:r>
        <w:fldChar w:fldCharType="separate"/>
      </w:r>
      <w:r>
        <w:t>22</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_Toc27243 </w:instrText>
      </w:r>
      <w:r>
        <w:rPr>
          <w:szCs w:val="28"/>
        </w:rPr>
        <w:fldChar w:fldCharType="separate"/>
      </w:r>
      <w:r>
        <w:rPr>
          <w:rFonts w:hint="eastAsia" w:ascii="楷体" w:hAnsi="楷体" w:eastAsia="楷体" w:cs="Arial"/>
          <w:szCs w:val="32"/>
          <w:lang w:val="en-US" w:eastAsia="zh-CN"/>
        </w:rPr>
        <w:t>（二）强化政策支持</w:t>
      </w:r>
      <w:r>
        <w:tab/>
      </w:r>
      <w:r>
        <w:fldChar w:fldCharType="begin"/>
      </w:r>
      <w:r>
        <w:instrText xml:space="preserve"> PAGEREF _Toc27243 \h </w:instrText>
      </w:r>
      <w:r>
        <w:fldChar w:fldCharType="separate"/>
      </w:r>
      <w:r>
        <w:t>23</w:t>
      </w:r>
      <w:r>
        <w:fldChar w:fldCharType="end"/>
      </w:r>
      <w:r>
        <w:rPr>
          <w:szCs w:val="28"/>
        </w:rPr>
        <w:fldChar w:fldCharType="end"/>
      </w:r>
    </w:p>
    <w:p>
      <w:pPr>
        <w:pStyle w:val="12"/>
        <w:tabs>
          <w:tab w:val="right" w:leader="dot" w:pos="8306"/>
        </w:tabs>
      </w:pPr>
      <w:r>
        <w:rPr>
          <w:szCs w:val="28"/>
        </w:rPr>
        <w:fldChar w:fldCharType="begin"/>
      </w:r>
      <w:r>
        <w:rPr>
          <w:szCs w:val="28"/>
        </w:rPr>
        <w:instrText xml:space="preserve"> HYPERLINK \l _Toc25695 </w:instrText>
      </w:r>
      <w:r>
        <w:rPr>
          <w:szCs w:val="28"/>
        </w:rPr>
        <w:fldChar w:fldCharType="separate"/>
      </w:r>
      <w:r>
        <w:rPr>
          <w:rFonts w:hint="eastAsia" w:ascii="楷体" w:hAnsi="楷体" w:eastAsia="楷体" w:cs="Arial"/>
          <w:szCs w:val="32"/>
          <w:lang w:val="en-US" w:eastAsia="zh-CN"/>
        </w:rPr>
        <w:t>（三）完善法治体系</w:t>
      </w:r>
      <w:r>
        <w:tab/>
      </w:r>
      <w:r>
        <w:fldChar w:fldCharType="begin"/>
      </w:r>
      <w:r>
        <w:instrText xml:space="preserve"> PAGEREF _Toc25695 \h </w:instrText>
      </w:r>
      <w:r>
        <w:fldChar w:fldCharType="separate"/>
      </w:r>
      <w:r>
        <w:t>24</w:t>
      </w:r>
      <w:r>
        <w:fldChar w:fldCharType="end"/>
      </w:r>
      <w:r>
        <w:rPr>
          <w:szCs w:val="28"/>
        </w:rPr>
        <w:fldChar w:fldCharType="end"/>
      </w:r>
    </w:p>
    <w:p>
      <w:pPr>
        <w:widowControl/>
        <w:wordWrap/>
        <w:adjustRightInd/>
        <w:snapToGrid/>
        <w:ind w:left="0" w:leftChars="0" w:firstLine="640" w:firstLineChars="200"/>
        <w:textAlignment w:val="auto"/>
        <w:rPr>
          <w:szCs w:val="28"/>
        </w:rPr>
        <w:sectPr>
          <w:footerReference r:id="rId7" w:type="default"/>
          <w:pgSz w:w="11906" w:h="16838"/>
          <w:pgMar w:top="1440" w:right="1800" w:bottom="1440" w:left="1800" w:header="851" w:footer="992" w:gutter="0"/>
          <w:pgNumType w:fmt="decimal" w:start="1"/>
          <w:cols w:space="720" w:num="1"/>
          <w:docGrid w:type="lines" w:linePitch="312" w:charSpace="0"/>
        </w:sectPr>
      </w:pPr>
    </w:p>
    <w:p>
      <w:pPr>
        <w:widowControl/>
        <w:wordWrap/>
        <w:adjustRightInd/>
        <w:snapToGrid/>
        <w:textAlignment w:val="auto"/>
      </w:pPr>
      <w:r>
        <w:rPr>
          <w:szCs w:val="28"/>
        </w:rPr>
        <w:fldChar w:fldCharType="end"/>
      </w:r>
      <w:bookmarkStart w:id="1" w:name="_Toc26146"/>
      <w:bookmarkStart w:id="2" w:name="_Toc26949"/>
      <w:bookmarkStart w:id="3" w:name="_Toc977"/>
    </w:p>
    <w:p>
      <w:pPr>
        <w:pStyle w:val="23"/>
        <w:widowControl w:val="0"/>
        <w:wordWrap/>
        <w:autoSpaceDE w:val="0"/>
        <w:autoSpaceDN w:val="0"/>
        <w:adjustRightInd w:val="0"/>
        <w:snapToGrid/>
        <w:spacing w:line="560" w:lineRule="exact"/>
        <w:jc w:val="center"/>
        <w:textAlignment w:val="auto"/>
        <w:outlineLvl w:val="0"/>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淄博市张店区林业发展</w:t>
      </w:r>
      <w:r>
        <w:rPr>
          <w:rFonts w:hint="eastAsia" w:ascii="方正小标宋简体" w:hAnsi="方正小标宋简体" w:eastAsia="方正小标宋简体" w:cs="方正小标宋简体"/>
          <w:b w:val="0"/>
          <w:bCs/>
          <w:color w:val="auto"/>
          <w:sz w:val="44"/>
          <w:szCs w:val="44"/>
          <w:lang w:eastAsia="zh-CN"/>
        </w:rPr>
        <w:t>“十</w:t>
      </w:r>
      <w:r>
        <w:rPr>
          <w:rFonts w:hint="eastAsia" w:ascii="方正小标宋简体" w:hAnsi="方正小标宋简体" w:eastAsia="方正小标宋简体" w:cs="方正小标宋简体"/>
          <w:b w:val="0"/>
          <w:bCs/>
          <w:color w:val="auto"/>
          <w:sz w:val="44"/>
          <w:szCs w:val="44"/>
          <w:lang w:val="en-US" w:eastAsia="zh-CN"/>
        </w:rPr>
        <w:t>四</w:t>
      </w:r>
      <w:r>
        <w:rPr>
          <w:rFonts w:hint="eastAsia" w:ascii="方正小标宋简体" w:hAnsi="方正小标宋简体" w:eastAsia="方正小标宋简体" w:cs="方正小标宋简体"/>
          <w:b w:val="0"/>
          <w:bCs/>
          <w:color w:val="auto"/>
          <w:sz w:val="44"/>
          <w:szCs w:val="44"/>
          <w:lang w:eastAsia="zh-CN"/>
        </w:rPr>
        <w:t>五”</w:t>
      </w:r>
      <w:r>
        <w:rPr>
          <w:rFonts w:hint="eastAsia" w:ascii="方正小标宋简体" w:hAnsi="方正小标宋简体" w:eastAsia="方正小标宋简体" w:cs="方正小标宋简体"/>
          <w:b w:val="0"/>
          <w:bCs/>
          <w:color w:val="auto"/>
          <w:sz w:val="44"/>
          <w:szCs w:val="44"/>
          <w:lang w:val="en-US" w:eastAsia="zh-CN"/>
        </w:rPr>
        <w:t>规划</w:t>
      </w:r>
      <w:bookmarkEnd w:id="0"/>
      <w:bookmarkEnd w:id="1"/>
      <w:bookmarkEnd w:id="2"/>
      <w:bookmarkEnd w:id="3"/>
    </w:p>
    <w:p>
      <w:pPr>
        <w:pStyle w:val="24"/>
        <w:rPr>
          <w:rFonts w:hint="eastAsia"/>
        </w:rPr>
      </w:pPr>
    </w:p>
    <w:p>
      <w:pPr>
        <w:wordWrap/>
        <w:spacing w:line="560" w:lineRule="exact"/>
        <w:textAlignment w:val="auto"/>
        <w:rPr>
          <w:rFonts w:hint="eastAsia"/>
        </w:rPr>
      </w:pPr>
      <w:r>
        <w:rPr>
          <w:rFonts w:hint="eastAsia"/>
        </w:rPr>
        <w:t>林业</w:t>
      </w:r>
      <w:r>
        <w:rPr>
          <w:rFonts w:hint="eastAsia"/>
          <w:lang w:val="en-US" w:eastAsia="zh-CN"/>
        </w:rPr>
        <w:t>发展</w:t>
      </w:r>
      <w:r>
        <w:rPr>
          <w:rFonts w:hint="eastAsia"/>
        </w:rPr>
        <w:t>是事关经济社会可持续发展的根本性问题之一，是贯彻落实创新、协调、绿色、开放、共享新发展理念，建设生态文明国家，实现资源友好产业发展，使人民群众享受美好生态环境的重要举措。党的十九届五中全会对“十四五”时期我国发展作出系统谋划和战略部署，提出了生态文明建设实现新进步、民生福祉达到新水平的奋斗目标，为山东林业稳中求进、实现高质量发展带来了新的发展机遇。习近平总书记提出“绿水青山就是金山银山”“山水林田湖草沙是一个生命共同体”的科学论断，党的十八大把生态文明建设纳入中国特色社会主义事业“五位一体”的总体布局，建设生态文明、推动绿色发展成为全社会自觉行动。淄博市</w:t>
      </w:r>
      <w:r>
        <w:rPr>
          <w:rFonts w:hint="eastAsia"/>
          <w:lang w:val="en-US" w:eastAsia="zh-CN"/>
        </w:rPr>
        <w:t>张店区</w:t>
      </w:r>
      <w:r>
        <w:rPr>
          <w:rFonts w:hint="eastAsia"/>
        </w:rPr>
        <w:t>林业发展“十四五”规划是未来五年全</w:t>
      </w:r>
      <w:r>
        <w:rPr>
          <w:rFonts w:hint="eastAsia"/>
          <w:lang w:val="en-US" w:eastAsia="zh-CN"/>
        </w:rPr>
        <w:t>区</w:t>
      </w:r>
      <w:r>
        <w:rPr>
          <w:rFonts w:hint="eastAsia"/>
        </w:rPr>
        <w:t>林业发展的工作指南,是制定和实施区域林业发展规划和年度计划的基本依据，对于扎实推进城市品质活力提升，实现“山青、水秀、林绿、景美”的优良人居环境具有重要意义。</w:t>
      </w:r>
    </w:p>
    <w:p>
      <w:pPr>
        <w:numPr>
          <w:numId w:val="0"/>
        </w:numPr>
        <w:wordWrap/>
        <w:spacing w:line="560" w:lineRule="exact"/>
        <w:ind w:firstLine="640" w:firstLineChars="200"/>
        <w:jc w:val="left"/>
        <w:textAlignment w:val="auto"/>
        <w:outlineLvl w:val="0"/>
        <w:rPr>
          <w:rFonts w:hint="eastAsia" w:ascii="黑体" w:hAnsi="仿宋_GB2312" w:eastAsia="黑体" w:cs="仿宋_GB2312"/>
          <w:sz w:val="32"/>
          <w:szCs w:val="32"/>
        </w:rPr>
      </w:pPr>
      <w:bookmarkStart w:id="4" w:name="_Toc19202"/>
      <w:bookmarkStart w:id="5" w:name="_Toc31341"/>
      <w:r>
        <w:rPr>
          <w:rFonts w:hint="eastAsia" w:eastAsia="黑体"/>
          <w:lang w:val="en-US" w:eastAsia="zh-CN"/>
        </w:rPr>
        <w:t>一、</w:t>
      </w:r>
      <w:r>
        <w:rPr>
          <w:rFonts w:hint="eastAsia" w:ascii="黑体" w:hAnsi="仿宋_GB2312" w:eastAsia="黑体" w:cs="仿宋_GB2312"/>
          <w:sz w:val="32"/>
          <w:szCs w:val="32"/>
        </w:rPr>
        <w:t>“十</w:t>
      </w:r>
      <w:r>
        <w:rPr>
          <w:rFonts w:hint="eastAsia" w:ascii="黑体" w:hAnsi="仿宋_GB2312" w:eastAsia="黑体" w:cs="仿宋_GB2312"/>
          <w:sz w:val="32"/>
          <w:szCs w:val="32"/>
          <w:lang w:val="en-US" w:eastAsia="zh-CN"/>
        </w:rPr>
        <w:t>三</w:t>
      </w:r>
      <w:r>
        <w:rPr>
          <w:rFonts w:hint="eastAsia" w:ascii="黑体" w:hAnsi="仿宋_GB2312" w:eastAsia="黑体" w:cs="仿宋_GB2312"/>
          <w:sz w:val="32"/>
          <w:szCs w:val="32"/>
        </w:rPr>
        <w:t>五”</w:t>
      </w:r>
      <w:r>
        <w:rPr>
          <w:rFonts w:hint="eastAsia" w:ascii="黑体" w:hAnsi="仿宋_GB2312" w:eastAsia="黑体" w:cs="仿宋_GB2312"/>
          <w:sz w:val="32"/>
          <w:szCs w:val="32"/>
          <w:lang w:val="en-US" w:eastAsia="zh-CN"/>
        </w:rPr>
        <w:t>期间</w:t>
      </w:r>
      <w:r>
        <w:rPr>
          <w:rFonts w:hint="eastAsia" w:ascii="黑体" w:hAnsi="仿宋_GB2312" w:eastAsia="黑体" w:cs="仿宋_GB2312"/>
          <w:sz w:val="32"/>
          <w:szCs w:val="32"/>
        </w:rPr>
        <w:t>林业发展的主要成绩</w:t>
      </w:r>
      <w:bookmarkEnd w:id="4"/>
      <w:bookmarkEnd w:id="5"/>
    </w:p>
    <w:p>
      <w:pPr>
        <w:wordWrap/>
        <w:spacing w:line="560" w:lineRule="exact"/>
        <w:ind w:firstLine="640" w:firstLineChars="200"/>
        <w:jc w:val="left"/>
        <w:textAlignment w:val="auto"/>
        <w:outlineLvl w:val="1"/>
        <w:rPr>
          <w:rFonts w:hint="eastAsia" w:ascii="楷体_GB2312" w:hAnsi="楷体_GB2312" w:eastAsia="楷体_GB2312" w:cs="楷体_GB2312"/>
          <w:sz w:val="32"/>
          <w:szCs w:val="32"/>
          <w:lang w:val="en-US" w:eastAsia="zh-CN"/>
        </w:rPr>
      </w:pPr>
      <w:bookmarkStart w:id="6" w:name="_Toc20022"/>
      <w:bookmarkStart w:id="7" w:name="_Toc22572"/>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林业生态建设成效显著</w:t>
      </w:r>
      <w:bookmarkEnd w:id="6"/>
      <w:bookmarkEnd w:id="7"/>
    </w:p>
    <w:p>
      <w:pPr>
        <w:wordWrap/>
        <w:spacing w:line="560" w:lineRule="exact"/>
        <w:textAlignment w:val="auto"/>
        <w:rPr>
          <w:rFonts w:hint="eastAsia"/>
          <w:lang w:eastAsia="zh-CN"/>
        </w:rPr>
      </w:pPr>
      <w:r>
        <w:rPr>
          <w:rFonts w:hint="eastAsia"/>
          <w:lang w:val="en-US" w:eastAsia="zh-CN"/>
        </w:rPr>
        <w:t>“十三五”期间，</w:t>
      </w:r>
      <w:r>
        <w:rPr>
          <w:rFonts w:hint="eastAsia"/>
        </w:rPr>
        <w:t>以“打造中心城区城市森林大环境，建设生态文明和谐宜居新家园”为目标，按照“城区绿化精品化，郊区绿化园林化，山区绿化风景化”的思路，</w:t>
      </w:r>
      <w:r>
        <w:rPr>
          <w:rFonts w:hint="eastAsia"/>
          <w:lang w:val="en-US" w:eastAsia="zh-CN"/>
        </w:rPr>
        <w:t>我区在全市统一部署下，围绕生态淄博建设，持续做好现有林地养护工作，</w:t>
      </w:r>
      <w:r>
        <w:rPr>
          <w:rFonts w:hint="eastAsia"/>
        </w:rPr>
        <w:t>不断增加森林面积，提高</w:t>
      </w:r>
      <w:r>
        <w:rPr>
          <w:rFonts w:hint="eastAsia"/>
          <w:lang w:val="en-US" w:eastAsia="zh-CN"/>
        </w:rPr>
        <w:t>森林</w:t>
      </w:r>
      <w:r>
        <w:rPr>
          <w:rFonts w:hint="eastAsia"/>
        </w:rPr>
        <w:t>覆盖率，全区森林生态功能</w:t>
      </w:r>
      <w:r>
        <w:rPr>
          <w:rFonts w:hint="eastAsia"/>
          <w:lang w:val="en-US" w:eastAsia="zh-CN"/>
        </w:rPr>
        <w:t>得到</w:t>
      </w:r>
      <w:r>
        <w:rPr>
          <w:rFonts w:hint="eastAsia"/>
        </w:rPr>
        <w:t>显著增强</w:t>
      </w:r>
      <w:r>
        <w:rPr>
          <w:rFonts w:hint="eastAsia"/>
          <w:lang w:eastAsia="zh-CN"/>
        </w:rPr>
        <w:t>。</w:t>
      </w:r>
    </w:p>
    <w:p>
      <w:pPr>
        <w:wordWrap/>
        <w:spacing w:line="560" w:lineRule="exact"/>
        <w:textAlignment w:val="auto"/>
        <w:rPr>
          <w:rFonts w:hint="eastAsia"/>
          <w:lang w:val="en-US" w:eastAsia="zh-CN"/>
        </w:rPr>
      </w:pPr>
      <w:r>
        <w:rPr>
          <w:rFonts w:hint="eastAsia"/>
          <w:lang w:val="en-US" w:eastAsia="zh-CN"/>
        </w:rPr>
        <w:t>“十三五”期间我区共实现国土绿化面积11417亩。其中，2016年完成长江防护林工程，造林绿化5000亩；2017年</w:t>
      </w:r>
      <w:r>
        <w:rPr>
          <w:rFonts w:hint="eastAsia"/>
        </w:rPr>
        <w:t>完成人工造林合格面积</w:t>
      </w:r>
      <w:r>
        <w:rPr>
          <w:rFonts w:hint="eastAsia"/>
          <w:lang w:val="en-US" w:eastAsia="zh-CN"/>
        </w:rPr>
        <w:t>2548亩；2018年</w:t>
      </w:r>
      <w:r>
        <w:rPr>
          <w:rFonts w:hint="eastAsia"/>
        </w:rPr>
        <w:t>完成人工造林合格面积</w:t>
      </w:r>
      <w:r>
        <w:rPr>
          <w:rFonts w:hint="eastAsia"/>
          <w:lang w:val="en-US" w:eastAsia="zh-CN"/>
        </w:rPr>
        <w:t>407亩；2019年完成1101亩；2020年完成2361亩造林任务。</w:t>
      </w:r>
    </w:p>
    <w:p>
      <w:pPr>
        <w:wordWrap/>
        <w:spacing w:line="560" w:lineRule="exact"/>
        <w:textAlignment w:val="auto"/>
        <w:rPr>
          <w:rFonts w:hint="eastAsia"/>
          <w:lang w:eastAsia="zh-CN"/>
        </w:rPr>
      </w:pPr>
      <w:r>
        <w:rPr>
          <w:rFonts w:hint="eastAsia"/>
          <w:lang w:val="en-US" w:eastAsia="zh-CN"/>
        </w:rPr>
        <w:t>济青高速公路改扩建工程道路两侧绿化项目顺利完成，项目涉及房镇镇、中埠镇2个镇的12个村，总绿化里程达11.3公里。“十三五”期间累计清理垃圾5万余方，回填土方7万余方，栽植各类苗木16万余株，绿化工作已经基本完成，苗木养护管理工作稳步推进。</w:t>
      </w:r>
    </w:p>
    <w:p>
      <w:pPr>
        <w:wordWrap/>
        <w:spacing w:line="560" w:lineRule="exact"/>
        <w:ind w:firstLine="640" w:firstLineChars="200"/>
        <w:jc w:val="left"/>
        <w:textAlignment w:val="auto"/>
        <w:outlineLvl w:val="1"/>
        <w:rPr>
          <w:rFonts w:hint="eastAsia" w:ascii="楷体_GB2312" w:hAnsi="楷体_GB2312" w:eastAsia="楷体_GB2312" w:cs="楷体_GB2312"/>
          <w:sz w:val="32"/>
          <w:szCs w:val="32"/>
          <w:lang w:val="en-US" w:eastAsia="zh-CN"/>
        </w:rPr>
      </w:pPr>
      <w:bookmarkStart w:id="8" w:name="_Toc17415"/>
      <w:bookmarkStart w:id="9" w:name="_Toc5686"/>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森林资源管理进一步加强</w:t>
      </w:r>
      <w:bookmarkEnd w:id="8"/>
      <w:bookmarkEnd w:id="9"/>
    </w:p>
    <w:p>
      <w:pPr>
        <w:numPr>
          <w:ilvl w:val="0"/>
          <w:numId w:val="2"/>
        </w:numPr>
        <w:wordWrap/>
        <w:spacing w:line="560" w:lineRule="exact"/>
        <w:textAlignment w:val="auto"/>
        <w:rPr>
          <w:rFonts w:hint="eastAsia"/>
          <w:lang w:eastAsia="zh-CN"/>
        </w:rPr>
      </w:pPr>
      <w:r>
        <w:rPr>
          <w:rFonts w:hint="eastAsia"/>
          <w:lang w:val="en-US" w:eastAsia="zh-CN"/>
        </w:rPr>
        <w:t>开展森林资源管理“一张图”年度更新和森林督查工作。</w:t>
      </w:r>
      <w:r>
        <w:rPr>
          <w:rFonts w:hint="eastAsia"/>
        </w:rPr>
        <w:t>为切实加强林地保护管理，根据上级部门关于做好森林资源管理“一张图”年度更新（林地年度变更调查）和森林督查工作的要求，做好资金申请、人员培训、软件更新、实地调查督查等工作，全力保证森林资源调查和森林督查的顺利完成。通过开展森林督查、森林资源审计、绿卫2019森林草原执法专项行动、破坏森林资源违法犯罪案件专项排查整治等工作，</w:t>
      </w:r>
      <w:r>
        <w:rPr>
          <w:rFonts w:hint="eastAsia"/>
          <w:lang w:val="en-US" w:eastAsia="zh-CN"/>
        </w:rPr>
        <w:t>不断</w:t>
      </w:r>
      <w:r>
        <w:rPr>
          <w:rFonts w:hint="eastAsia"/>
        </w:rPr>
        <w:t>提升林业执法水平。依法严厉打击了各类破坏森林资源行为，有效保护了全区森林资源安全</w:t>
      </w:r>
      <w:r>
        <w:rPr>
          <w:rFonts w:hint="eastAsia"/>
          <w:lang w:eastAsia="zh-CN"/>
        </w:rPr>
        <w:t>。</w:t>
      </w:r>
    </w:p>
    <w:p>
      <w:pPr>
        <w:numPr>
          <w:ilvl w:val="0"/>
          <w:numId w:val="2"/>
        </w:numPr>
        <w:wordWrap/>
        <w:spacing w:line="560" w:lineRule="exact"/>
        <w:textAlignment w:val="auto"/>
        <w:rPr>
          <w:rFonts w:hint="eastAsia"/>
          <w:lang w:val="en-US" w:eastAsia="zh-CN"/>
        </w:rPr>
      </w:pPr>
      <w:r>
        <w:rPr>
          <w:rFonts w:hint="eastAsia"/>
          <w:lang w:val="en-US" w:eastAsia="zh-CN"/>
        </w:rPr>
        <w:t>切实做好林木采伐工作。按照“十三五”期间年森林采伐限额标准，在上级下达的采伐限额内，依照法定权限和程序核签林木采伐许可证，确保无任何超采超伐的现象发生。“十三五”期间共办理林木采伐许可177件，采伐面积239.61公顷，采伐蓄积30045.41立方米，采伐树木51.6441万株， 按期办结率100%，满意率100%。</w:t>
      </w:r>
    </w:p>
    <w:p>
      <w:pPr>
        <w:numPr>
          <w:ilvl w:val="0"/>
          <w:numId w:val="2"/>
        </w:numPr>
        <w:wordWrap/>
        <w:spacing w:line="560" w:lineRule="exact"/>
        <w:textAlignment w:val="auto"/>
        <w:rPr>
          <w:rFonts w:hint="eastAsia"/>
          <w:lang w:val="en-US" w:eastAsia="zh-CN"/>
        </w:rPr>
      </w:pPr>
      <w:r>
        <w:rPr>
          <w:rFonts w:hint="eastAsia"/>
          <w:lang w:val="en-US" w:eastAsia="zh-CN"/>
        </w:rPr>
        <w:t>依法做好建设项目使用林地审核上报工作。推行项目联审制度，凡涉及新增用地的建设项目，项目立项前都要经过林业部门审核，确定是否涉及使用林地，并由林业部门签字确认后方可办理立项手续，从源头上避免了建设项目违法使用林地问题。“十三五”期间共审核上报使用林地手续54起，占林地面积245.0236公顷，蓄积3610立方米，收取植被恢复费3464.4582万元。</w:t>
      </w:r>
    </w:p>
    <w:p>
      <w:pPr>
        <w:wordWrap/>
        <w:spacing w:line="560" w:lineRule="exact"/>
        <w:ind w:firstLine="640" w:firstLineChars="200"/>
        <w:jc w:val="left"/>
        <w:textAlignment w:val="auto"/>
        <w:outlineLvl w:val="1"/>
        <w:rPr>
          <w:rFonts w:hint="default" w:ascii="楷体_GB2312" w:hAnsi="楷体_GB2312" w:eastAsia="楷体_GB2312" w:cs="楷体_GB2312"/>
          <w:sz w:val="32"/>
          <w:szCs w:val="32"/>
          <w:lang w:val="en-US" w:eastAsia="zh-CN"/>
        </w:rPr>
      </w:pPr>
      <w:bookmarkStart w:id="10" w:name="_Toc19425"/>
      <w:bookmarkStart w:id="11" w:name="_Toc30093"/>
      <w:r>
        <w:rPr>
          <w:rFonts w:hint="eastAsia" w:ascii="楷体_GB2312" w:hAnsi="楷体_GB2312" w:eastAsia="楷体_GB2312" w:cs="楷体_GB2312"/>
          <w:sz w:val="32"/>
          <w:szCs w:val="32"/>
          <w:lang w:val="en-US" w:eastAsia="zh-CN"/>
        </w:rPr>
        <w:t>（三）森林防火能力显著提高</w:t>
      </w:r>
      <w:bookmarkEnd w:id="10"/>
      <w:bookmarkEnd w:id="11"/>
    </w:p>
    <w:p>
      <w:pPr>
        <w:wordWrap/>
        <w:spacing w:line="560" w:lineRule="exact"/>
        <w:textAlignment w:val="auto"/>
        <w:rPr>
          <w:rFonts w:hint="eastAsia"/>
        </w:rPr>
      </w:pPr>
      <w:r>
        <w:rPr>
          <w:rFonts w:hint="eastAsia"/>
        </w:rPr>
        <w:t>“十三五”期间，在区委、区政府的领导和支持下，全区各级各地坚持以</w:t>
      </w:r>
      <w:r>
        <w:rPr>
          <w:rFonts w:hint="eastAsia"/>
          <w:lang w:eastAsia="zh-CN"/>
        </w:rPr>
        <w:t>“</w:t>
      </w:r>
      <w:r>
        <w:rPr>
          <w:rFonts w:hint="eastAsia"/>
        </w:rPr>
        <w:t>预防、扑救、保障</w:t>
      </w:r>
      <w:r>
        <w:rPr>
          <w:rFonts w:hint="eastAsia"/>
          <w:lang w:eastAsia="zh-CN"/>
        </w:rPr>
        <w:t>”</w:t>
      </w:r>
      <w:r>
        <w:rPr>
          <w:rFonts w:hint="eastAsia"/>
        </w:rPr>
        <w:t>三大体系建设为核心，坚持“预防为主，积极消灭”的工作方针，落实“把住路、守住山、看住人、盯住坟、管住火”的要求，扛实扛牢森林防火工作责任，森林防火能力建设取得长足进展，森林火灾损失控制在较低水平。森林防火体系基本完备，森林防火长效机制基本形成，森林火灾防控能力显著提高，森林防火治理体系和治理能力现代化建设稳步推进，24小时火灾扑灭率达到100%，森林火灾受害率稳定控制在0.9‰以内。</w:t>
      </w:r>
    </w:p>
    <w:p>
      <w:pPr>
        <w:wordWrap/>
        <w:spacing w:line="560" w:lineRule="exact"/>
        <w:textAlignment w:val="auto"/>
        <w:rPr>
          <w:rFonts w:hint="eastAsia"/>
          <w:lang w:val="en-US" w:eastAsia="zh-CN"/>
        </w:rPr>
      </w:pPr>
      <w:r>
        <w:rPr>
          <w:rFonts w:hint="eastAsia"/>
          <w:lang w:val="en-US" w:eastAsia="zh-CN"/>
        </w:rPr>
        <w:t>1、森林防火队伍、防火能力建设显著增强。张店区成立了森林草原防灭火指挥部办公室，确保了日常森林防火工作正常开展。区政府高度重视森林防火工作，多次召开会议，提前安排部署全年有关森林火灾防控工作。</w:t>
      </w:r>
    </w:p>
    <w:p>
      <w:pPr>
        <w:wordWrap/>
        <w:spacing w:line="560" w:lineRule="exact"/>
        <w:textAlignment w:val="auto"/>
        <w:rPr>
          <w:rFonts w:hint="eastAsia"/>
          <w:lang w:val="en-US" w:eastAsia="zh-CN"/>
        </w:rPr>
      </w:pPr>
      <w:r>
        <w:rPr>
          <w:rFonts w:hint="eastAsia"/>
          <w:lang w:val="en-US" w:eastAsia="zh-CN"/>
        </w:rPr>
        <w:t>全区现有护林员100余名，共组建森林消防专业（半专业）队伍6支，其中专业队伍2支，队员46人，半专业队伍4支，队员160人。森林防火队伍配备有相应的扑火机具设备，配建有专属营房，采购风力灭火机、水泵等森林防火物资，森林防火能力建设显著增强。</w:t>
      </w:r>
    </w:p>
    <w:p>
      <w:pPr>
        <w:wordWrap/>
        <w:spacing w:line="560" w:lineRule="exact"/>
        <w:textAlignment w:val="auto"/>
        <w:rPr>
          <w:rFonts w:hint="eastAsia"/>
          <w:lang w:val="en-US" w:eastAsia="zh-CN"/>
        </w:rPr>
      </w:pPr>
      <w:r>
        <w:rPr>
          <w:rFonts w:hint="eastAsia"/>
          <w:lang w:val="en-US" w:eastAsia="zh-CN"/>
        </w:rPr>
        <w:t>2、森林防火通信能力逐步加强。“十三五”期间，在全区所有林区特别是森林火灾高风险区组建和完善超短波通信网，配置浩海森林防火预警系统，具备火警管理、火警屏蔽、火警统计等功能；建设了TRBOSTAR数字无线通信调度平台，具备语音对讲配置、对讲机高级配置、加载地图配置、IP互联配置等。配备电台52台，其中车载台2台、手持台50台，重点区域火场通信覆盖率达到100%，实现全区一调度，实时指挥。</w:t>
      </w:r>
    </w:p>
    <w:p>
      <w:pPr>
        <w:wordWrap/>
        <w:spacing w:line="560" w:lineRule="exact"/>
        <w:textAlignment w:val="auto"/>
        <w:rPr>
          <w:rFonts w:hint="eastAsia"/>
          <w:lang w:val="en-US" w:eastAsia="zh-CN"/>
        </w:rPr>
      </w:pPr>
      <w:r>
        <w:rPr>
          <w:rFonts w:hint="eastAsia"/>
          <w:lang w:val="en-US" w:eastAsia="zh-CN"/>
        </w:rPr>
        <w:t>3、监测预警系统不断完善。张店区建设森林防火监控平台1套，防火瞭望监测系统4套。远程视频监控与人工瞭望、巡护相结合，重点林区监测覆盖率达到90%以上。</w:t>
      </w:r>
    </w:p>
    <w:p>
      <w:pPr>
        <w:wordWrap/>
        <w:spacing w:line="560" w:lineRule="exact"/>
        <w:textAlignment w:val="auto"/>
        <w:rPr>
          <w:rFonts w:hint="eastAsia"/>
          <w:lang w:val="en-US" w:eastAsia="zh-CN"/>
        </w:rPr>
      </w:pPr>
      <w:r>
        <w:rPr>
          <w:rFonts w:hint="eastAsia"/>
          <w:lang w:val="en-US" w:eastAsia="zh-CN"/>
        </w:rPr>
        <w:t>4、森林防火道路、林火阻隔系统密度不断提高。全区重点林区均建设了森林防火道路，基本满足3公里半径作业圈要求。国有林区路网密度、林区林火阻隔网密度也达到了长期规划目标，形成了预防到位、反应快速、扑救处置及时的森林防火体系。</w:t>
      </w:r>
    </w:p>
    <w:p>
      <w:pPr>
        <w:wordWrap/>
        <w:spacing w:line="560" w:lineRule="exact"/>
        <w:ind w:firstLine="640" w:firstLineChars="200"/>
        <w:jc w:val="left"/>
        <w:textAlignment w:val="auto"/>
        <w:outlineLvl w:val="1"/>
        <w:rPr>
          <w:rFonts w:hint="default" w:ascii="楷体_GB2312" w:hAnsi="楷体_GB2312" w:eastAsia="楷体_GB2312" w:cs="楷体_GB2312"/>
          <w:sz w:val="32"/>
          <w:szCs w:val="32"/>
          <w:lang w:val="en-US" w:eastAsia="zh-CN"/>
        </w:rPr>
      </w:pPr>
      <w:bookmarkStart w:id="12" w:name="_Toc27888"/>
      <w:bookmarkStart w:id="13" w:name="_Toc51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林业产业稳步发展</w:t>
      </w:r>
      <w:bookmarkEnd w:id="12"/>
      <w:bookmarkEnd w:id="13"/>
    </w:p>
    <w:p>
      <w:pPr>
        <w:wordWrap/>
        <w:spacing w:line="560" w:lineRule="exact"/>
        <w:ind w:firstLine="640" w:firstLineChars="200"/>
        <w:jc w:val="left"/>
        <w:textAlignment w:val="auto"/>
        <w:outlineLvl w:val="1"/>
        <w:rPr>
          <w:rFonts w:hint="eastAsia"/>
          <w:lang w:val="en-US" w:eastAsia="zh-CN"/>
        </w:rPr>
      </w:pPr>
      <w:r>
        <w:rPr>
          <w:rFonts w:hint="eastAsia"/>
        </w:rPr>
        <w:t>“十三五”期间，以打造“绿色张店”、建设生态城市为目标，以全面改善区域生态环境，提升农民生活环境质量为宗旨，以调整产业结构，增加农民收入，提高城乡居民生活水平为目的，以我区东部荒山</w:t>
      </w:r>
      <w:r>
        <w:rPr>
          <w:rFonts w:hint="eastAsia"/>
          <w:lang w:eastAsia="zh-CN"/>
        </w:rPr>
        <w:t>、</w:t>
      </w:r>
      <w:r>
        <w:rPr>
          <w:rFonts w:hint="eastAsia"/>
        </w:rPr>
        <w:t>绿化为重点，选择适宜发展的经济林树种，营造生态经济林旅游观光园区。主要建立以</w:t>
      </w:r>
      <w:r>
        <w:rPr>
          <w:rFonts w:hint="eastAsia"/>
          <w:lang w:eastAsia="zh-CN"/>
        </w:rPr>
        <w:t>湖田街道办事处</w:t>
      </w:r>
      <w:r>
        <w:rPr>
          <w:rFonts w:hint="eastAsia"/>
        </w:rPr>
        <w:t>东</w:t>
      </w:r>
      <w:r>
        <w:rPr>
          <w:rFonts w:hint="eastAsia"/>
          <w:lang w:eastAsia="zh-CN"/>
        </w:rPr>
        <w:t>南</w:t>
      </w:r>
      <w:r>
        <w:rPr>
          <w:rFonts w:hint="eastAsia"/>
        </w:rPr>
        <w:t>部旅游观光为主的休闲式果园</w:t>
      </w:r>
      <w:r>
        <w:rPr>
          <w:rFonts w:hint="eastAsia"/>
          <w:lang w:eastAsia="zh-CN"/>
        </w:rPr>
        <w:t>，</w:t>
      </w:r>
      <w:r>
        <w:rPr>
          <w:rFonts w:hint="eastAsia"/>
        </w:rPr>
        <w:t>扩大</w:t>
      </w:r>
      <w:r>
        <w:rPr>
          <w:rFonts w:hint="eastAsia"/>
          <w:lang w:val="en-US" w:eastAsia="zh-CN"/>
        </w:rPr>
        <w:t>了</w:t>
      </w:r>
      <w:r>
        <w:rPr>
          <w:rFonts w:hint="eastAsia"/>
        </w:rPr>
        <w:t>生态容量</w:t>
      </w:r>
      <w:r>
        <w:rPr>
          <w:rFonts w:hint="eastAsia"/>
          <w:lang w:val="en-US" w:eastAsia="zh-CN"/>
        </w:rPr>
        <w:t>的同时</w:t>
      </w:r>
      <w:r>
        <w:rPr>
          <w:rFonts w:hint="eastAsia"/>
        </w:rPr>
        <w:t>，</w:t>
      </w:r>
      <w:r>
        <w:rPr>
          <w:rFonts w:hint="eastAsia"/>
          <w:lang w:val="en-US" w:eastAsia="zh-CN"/>
        </w:rPr>
        <w:t>还</w:t>
      </w:r>
      <w:r>
        <w:rPr>
          <w:rFonts w:hint="eastAsia"/>
        </w:rPr>
        <w:t>促进</w:t>
      </w:r>
      <w:r>
        <w:rPr>
          <w:rFonts w:hint="eastAsia"/>
          <w:lang w:val="en-US" w:eastAsia="zh-CN"/>
        </w:rPr>
        <w:t>了</w:t>
      </w:r>
      <w:r>
        <w:rPr>
          <w:rFonts w:hint="eastAsia"/>
        </w:rPr>
        <w:t>乡村旅游业和森林康养业发展，</w:t>
      </w:r>
      <w:r>
        <w:rPr>
          <w:rFonts w:hint="eastAsia"/>
          <w:lang w:val="en-US" w:eastAsia="zh-CN"/>
        </w:rPr>
        <w:t>进一步</w:t>
      </w:r>
      <w:r>
        <w:rPr>
          <w:rFonts w:hint="eastAsia"/>
        </w:rPr>
        <w:t>推动乡村振兴</w:t>
      </w:r>
      <w:r>
        <w:rPr>
          <w:rFonts w:hint="eastAsia"/>
          <w:lang w:val="en-US" w:eastAsia="zh-CN"/>
        </w:rPr>
        <w:t>。</w:t>
      </w:r>
    </w:p>
    <w:p>
      <w:pPr>
        <w:wordWrap/>
        <w:spacing w:line="560" w:lineRule="exact"/>
        <w:textAlignment w:val="auto"/>
        <w:rPr>
          <w:rFonts w:hint="default"/>
          <w:lang w:val="en-US" w:eastAsia="zh-CN"/>
        </w:rPr>
      </w:pPr>
      <w:r>
        <w:rPr>
          <w:rFonts w:hint="eastAsia"/>
          <w:lang w:val="en-US" w:eastAsia="zh-CN"/>
        </w:rPr>
        <w:t>1、开展果品监督抽检和风险监测工作。在抓源头保质量的同时，我区认真制订林产品抽检工作计划，落实抽检任务，并且积极配合省自然资源厅和淄博市自然资源和规划局组织的果品监督抽检和风险检测。“十三五”期间，全区累计完成核桃、柿子等果品的抽检共计106个批次。在配合做好省级、市级食用林产品质量安全监测任务的同时，根据我区实际，科学制定实施方案，有针对性地开展监督抽检和风险监测，扩大食用林产品品种范围，增加检测批次，实现全覆盖。对往年监测中存在不合格食用林产品的地区、企业、种植户加大抽检比例，重点监测。对监测中发现的食用林产品不合格问题，要及时、从严处置。</w:t>
      </w:r>
    </w:p>
    <w:p>
      <w:pPr>
        <w:wordWrap/>
        <w:spacing w:line="560" w:lineRule="exact"/>
        <w:textAlignment w:val="auto"/>
        <w:rPr>
          <w:rFonts w:hint="eastAsia"/>
          <w:lang w:val="en-US" w:eastAsia="zh-CN"/>
        </w:rPr>
      </w:pPr>
      <w:r>
        <w:rPr>
          <w:rFonts w:hint="eastAsia"/>
          <w:lang w:val="en-US" w:eastAsia="zh-CN"/>
        </w:rPr>
        <w:t>2、大力推进“齐鲁放心果品”、“市级果品标准园”创建工作。根据省自然资源厅《关于“食安山东”品牌创建工作的实施意见》以及《淄博市自然资源和规划局关于创建市级果品标准园》等文件要求，积极协助张店汇昌农牧发展合作社组织申报材料，</w:t>
      </w:r>
      <w:r>
        <w:rPr>
          <w:rFonts w:hint="default"/>
          <w:lang w:val="en-US" w:eastAsia="zh-CN"/>
        </w:rPr>
        <w:t>顺利</w:t>
      </w:r>
      <w:r>
        <w:rPr>
          <w:rFonts w:hint="eastAsia"/>
          <w:lang w:val="en-US" w:eastAsia="zh-CN"/>
        </w:rPr>
        <w:t>使</w:t>
      </w:r>
      <w:r>
        <w:rPr>
          <w:rFonts w:hint="default"/>
          <w:lang w:val="en-US" w:eastAsia="zh-CN"/>
        </w:rPr>
        <w:t>该合作社获得“齐鲁放心果品”</w:t>
      </w:r>
      <w:r>
        <w:rPr>
          <w:rFonts w:hint="eastAsia"/>
          <w:lang w:val="en-US" w:eastAsia="zh-CN"/>
        </w:rPr>
        <w:t>、</w:t>
      </w:r>
      <w:r>
        <w:rPr>
          <w:rFonts w:hint="default"/>
          <w:lang w:val="en-US" w:eastAsia="zh-CN"/>
        </w:rPr>
        <w:t>“市级果品标准园”两项荣誉称号</w:t>
      </w:r>
      <w:r>
        <w:rPr>
          <w:rFonts w:hint="eastAsia"/>
          <w:lang w:val="en-US" w:eastAsia="zh-CN"/>
        </w:rPr>
        <w:t>。</w:t>
      </w:r>
    </w:p>
    <w:p>
      <w:pPr>
        <w:wordWrap/>
        <w:spacing w:line="560" w:lineRule="exact"/>
        <w:textAlignment w:val="auto"/>
        <w:rPr>
          <w:rFonts w:hint="eastAsia"/>
          <w:lang w:val="en-US" w:eastAsia="zh-CN"/>
        </w:rPr>
      </w:pPr>
      <w:r>
        <w:rPr>
          <w:rFonts w:hint="eastAsia"/>
          <w:lang w:val="en-US" w:eastAsia="zh-CN"/>
        </w:rPr>
        <w:t>3、积极培育林业龙头企业。“十三五”期间，全区共有省级林业龙头企业6个、市级林业龙头企业5个，为林业产业做强、做大夯实了基础。积极组织涉林企业参加中国林产品交易会等林业产业相关展会，宣传推介我区林产品，提高了我区林产品的品牌知名度。“十三五”期间荣获得全国林产品交易会先进单位2次，带队林企参展的作品累计荣获交易会7金6银，取得丰硕成果，充分展示了张店区林业产业发展成果。</w:t>
      </w:r>
    </w:p>
    <w:p>
      <w:pPr>
        <w:wordWrap/>
        <w:spacing w:line="560" w:lineRule="exact"/>
        <w:ind w:firstLine="640" w:firstLineChars="200"/>
        <w:jc w:val="left"/>
        <w:textAlignment w:val="auto"/>
        <w:outlineLvl w:val="1"/>
        <w:rPr>
          <w:rFonts w:hint="default" w:ascii="楷体_GB2312" w:hAnsi="楷体_GB2312" w:eastAsia="楷体_GB2312" w:cs="楷体_GB2312"/>
          <w:sz w:val="32"/>
          <w:szCs w:val="32"/>
          <w:lang w:val="en-US" w:eastAsia="zh-CN"/>
        </w:rPr>
      </w:pPr>
      <w:bookmarkStart w:id="14" w:name="_Toc9926"/>
      <w:bookmarkStart w:id="15" w:name="_Toc21569"/>
      <w:r>
        <w:rPr>
          <w:rFonts w:hint="eastAsia" w:ascii="楷体_GB2312" w:hAnsi="楷体_GB2312" w:eastAsia="楷体_GB2312" w:cs="楷体_GB2312"/>
          <w:sz w:val="32"/>
          <w:szCs w:val="32"/>
          <w:lang w:val="en-US" w:eastAsia="zh-CN"/>
        </w:rPr>
        <w:t>（五）林业改革发展取得新成效</w:t>
      </w:r>
      <w:bookmarkEnd w:id="14"/>
      <w:bookmarkEnd w:id="15"/>
    </w:p>
    <w:p>
      <w:pPr>
        <w:wordWrap/>
        <w:spacing w:line="560" w:lineRule="exact"/>
        <w:textAlignment w:val="auto"/>
        <w:rPr>
          <w:rFonts w:hint="eastAsia"/>
          <w:lang w:val="en-US" w:eastAsia="zh-CN"/>
        </w:rPr>
      </w:pPr>
      <w:r>
        <w:rPr>
          <w:rFonts w:hint="eastAsia"/>
          <w:lang w:val="en-US" w:eastAsia="zh-CN"/>
        </w:rPr>
        <w:t>1、持续深化集体林权制度改革。</w:t>
      </w:r>
      <w:r>
        <w:rPr>
          <w:lang w:eastAsia="zh-CN"/>
        </w:rPr>
        <w:t>深入贯彻落实《山东省人民政府办公厅关于进一步完善集体林权制度的通知》，健全集体林地“三权”分置运行机制，明晰承包权，放活经营权，落实处置权，保障受益权，鼓励引导集体林权依法规范流转。</w:t>
      </w:r>
      <w:r>
        <w:rPr>
          <w:rFonts w:hint="eastAsia"/>
          <w:lang w:val="en-US" w:eastAsia="zh-CN"/>
        </w:rPr>
        <w:t>我区按照市政府印发的《关于进一步完善集体林权制度的通知》，</w:t>
      </w:r>
      <w:r>
        <w:rPr>
          <w:lang w:eastAsia="zh-CN"/>
        </w:rPr>
        <w:t>通过政府引导、政策鼓励、市场运作等方式，</w:t>
      </w:r>
      <w:r>
        <w:rPr>
          <w:rFonts w:hint="eastAsia"/>
          <w:lang w:val="en-US" w:eastAsia="zh-CN"/>
        </w:rPr>
        <w:t>加快体制机制创新，增强林业发展动力，</w:t>
      </w:r>
      <w:r>
        <w:rPr>
          <w:lang w:eastAsia="zh-CN"/>
        </w:rPr>
        <w:t>推进新型林业经营主体规范化、规模化、专业化发展，推动集体林地适度规模经营。</w:t>
      </w:r>
      <w:r>
        <w:rPr>
          <w:rFonts w:hint="eastAsia"/>
          <w:lang w:val="en-US" w:eastAsia="zh-CN"/>
        </w:rPr>
        <w:t>鼓励引导农户采取出租、转让、合作等多种形式，流转林地经营权和林木所有权，发展林业适度规模经营。</w:t>
      </w:r>
    </w:p>
    <w:p>
      <w:pPr>
        <w:wordWrap/>
        <w:spacing w:line="560" w:lineRule="exact"/>
        <w:textAlignment w:val="auto"/>
        <w:rPr>
          <w:rFonts w:hint="eastAsia"/>
          <w:lang w:val="en-US" w:eastAsia="zh-CN"/>
        </w:rPr>
      </w:pPr>
      <w:r>
        <w:rPr>
          <w:rFonts w:hint="eastAsia"/>
          <w:lang w:val="en-US" w:eastAsia="zh-CN"/>
        </w:rPr>
        <w:t>2、积极开展政策性森林保险工作。按照《淄博市公益林保险共保体统保试点工作方案》，积极推进张店区公益林保险共保体统保试点工作，积极参加市级召开的</w:t>
      </w:r>
      <w:r>
        <w:rPr>
          <w:lang w:eastAsia="zh-CN"/>
        </w:rPr>
        <w:t>森林保险政策培训班</w:t>
      </w:r>
      <w:r>
        <w:rPr>
          <w:rFonts w:hint="eastAsia"/>
          <w:lang w:eastAsia="zh-CN"/>
        </w:rPr>
        <w:t>，</w:t>
      </w:r>
      <w:r>
        <w:rPr>
          <w:lang w:eastAsia="zh-CN"/>
        </w:rPr>
        <w:t>利用网络、标语、宣传单等形式，广泛开展森林保险政策宣传，普及森林保险知识，增强林业经营者的风险意识和保险意识，提高林业经营者的参保积极性。</w:t>
      </w:r>
    </w:p>
    <w:p>
      <w:pPr>
        <w:wordWrap/>
        <w:spacing w:line="560" w:lineRule="exact"/>
        <w:ind w:firstLine="640" w:firstLineChars="200"/>
        <w:jc w:val="left"/>
        <w:textAlignment w:val="auto"/>
        <w:outlineLvl w:val="1"/>
        <w:rPr>
          <w:rFonts w:hint="default" w:ascii="楷体_GB2312" w:hAnsi="楷体_GB2312" w:eastAsia="楷体_GB2312" w:cs="楷体_GB2312"/>
          <w:sz w:val="32"/>
          <w:szCs w:val="32"/>
          <w:lang w:val="en-US" w:eastAsia="zh-CN"/>
        </w:rPr>
      </w:pPr>
      <w:bookmarkStart w:id="16" w:name="_Toc19667"/>
      <w:bookmarkStart w:id="17" w:name="_Toc4727"/>
      <w:bookmarkStart w:id="18" w:name="_Toc29459"/>
      <w:bookmarkStart w:id="19" w:name="_Toc21181"/>
      <w:r>
        <w:rPr>
          <w:rFonts w:hint="eastAsia" w:ascii="楷体_GB2312" w:hAnsi="楷体_GB2312" w:eastAsia="楷体_GB2312" w:cs="楷体_GB2312"/>
          <w:sz w:val="32"/>
          <w:szCs w:val="32"/>
          <w:lang w:val="en-US" w:eastAsia="zh-CN"/>
        </w:rPr>
        <w:t>（六）全面建立林长制</w:t>
      </w:r>
      <w:bookmarkEnd w:id="16"/>
      <w:bookmarkEnd w:id="17"/>
    </w:p>
    <w:p>
      <w:pPr>
        <w:wordWrap/>
        <w:spacing w:line="560" w:lineRule="exact"/>
        <w:textAlignment w:val="auto"/>
        <w:rPr>
          <w:rFonts w:hint="eastAsia"/>
          <w:lang w:val="en-US" w:eastAsia="zh-CN"/>
        </w:rPr>
      </w:pPr>
      <w:r>
        <w:rPr>
          <w:rFonts w:hint="eastAsia"/>
          <w:lang w:val="en-US" w:eastAsia="zh-CN"/>
        </w:rPr>
        <w:t>林长制改革工作是深入践行习近平生态文明思想，构建森林、林地、湿地等生态资源保护发展的长效机制的重要工作。“十三五”期间，全区相关镇办已全部召开了林长制部署会，成立了林长制办公室，印发了镇级林长制实施方案，做到了林长制工作制度、会议制度、督办制度、信息制度、办公室制度等5项制度上墙。明确了各级林长、林长办工作职责，强化了各级党政领导干部保护发展生态资源的责任意识，保证“护林、增林、用林”责任层层落实到位。建立起各级党（政）主要负责人担任总林长，其他负责人担任副林长的区、镇（街道）、村（居）三级林长体系，共设立区级林长6人，镇级林长21人，村级林长138人，“一林一员一技一警”落实到村居社区。</w:t>
      </w:r>
    </w:p>
    <w:p>
      <w:pPr>
        <w:wordWrap/>
        <w:spacing w:line="560" w:lineRule="exact"/>
        <w:ind w:firstLine="640" w:firstLineChars="200"/>
        <w:jc w:val="left"/>
        <w:textAlignment w:val="auto"/>
        <w:outlineLvl w:val="1"/>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（七）生态文化建设取得新进展</w:t>
      </w:r>
      <w:bookmarkEnd w:id="18"/>
      <w:bookmarkEnd w:id="19"/>
    </w:p>
    <w:p>
      <w:pPr>
        <w:numPr>
          <w:ilvl w:val="0"/>
          <w:numId w:val="3"/>
        </w:numPr>
        <w:wordWrap/>
        <w:spacing w:line="560" w:lineRule="exact"/>
        <w:textAlignment w:val="auto"/>
        <w:rPr>
          <w:rFonts w:hint="eastAsia"/>
          <w:lang w:val="en-US" w:eastAsia="zh-CN"/>
        </w:rPr>
      </w:pPr>
      <w:r>
        <w:rPr>
          <w:rFonts w:hint="eastAsia"/>
          <w:lang w:val="en-US" w:eastAsia="zh-CN"/>
        </w:rPr>
        <w:t>森林村镇创建工作圆满完成。根据《淄博市自然资源局关于做好2020年度省级和市级森林乡镇、森林村居创建申报工作的通知》，分局积极组织申报森林村镇，“十三五”期间，我区2个省级森林村居（分别位于房镇镇东平村和积家村）、1个市级森林镇（位于湖田街道）、3个市级森林村居（分别位于湖田街道的上湖村和北焦宋村，以及房镇镇范家村）通过了审核，有效改善了乡村生态面貌，提高了人居环境质量，促进了绿色发展。</w:t>
      </w:r>
    </w:p>
    <w:p>
      <w:pPr>
        <w:numPr>
          <w:ilvl w:val="0"/>
          <w:numId w:val="3"/>
        </w:numPr>
        <w:wordWrap/>
        <w:spacing w:line="560" w:lineRule="exact"/>
        <w:textAlignment w:val="auto"/>
        <w:rPr>
          <w:rFonts w:hint="eastAsia"/>
          <w:lang w:val="en-US" w:eastAsia="zh-CN"/>
        </w:rPr>
      </w:pPr>
      <w:r>
        <w:rPr>
          <w:rFonts w:hint="eastAsia"/>
          <w:lang w:val="en-US" w:eastAsia="zh-CN"/>
        </w:rPr>
        <w:t>完善张店区古树名木资源信息。古树名木是自然界和前人留下来的宝贵遗产，保存了弥足珍贵的物种资源，记录了大自然的历史变迁，传承了人类发展的历史文化，孕育了自然绝美的生态奇观，承载了广大人民群众的乡愁情思，素有“活化石”“活文物”的美誉。一株名木，就是一段历史的生动记载。古树名木具有多元价值性、不可再生性、特定时机性、动态性四个鲜明特点。保护好古树名木，就是保护了一座优良林木种源基因库，保护了祖先留给我们的宝贵财富。做好古树名木保护工作，对于弘扬中华民族植树爱林的优良传统，普及科学知识，增强人民的绿化意识和生态意识，促进社会主义精神文明建设，都具有十分重要的意义。“十三五”期间，我区参照山东省第二次古树名木资源普查结果对张店区古树名木进行了核实校对工作，查清张店区现有古树4棵，其中房镇镇2棵枣树1棵国槐，车站街道1棵银杏。依据《山东省古树名木保护办法》形成详备完整的资源档案，建立古树名木资源数据库。</w:t>
      </w:r>
    </w:p>
    <w:p>
      <w:pPr>
        <w:pStyle w:val="13"/>
        <w:wordWrap/>
        <w:spacing w:before="0" w:beforeAutospacing="0" w:after="0" w:afterAutospacing="0" w:line="560" w:lineRule="exact"/>
        <w:ind w:firstLine="800" w:firstLineChars="250"/>
        <w:textAlignment w:val="auto"/>
        <w:outlineLvl w:val="0"/>
        <w:rPr>
          <w:rFonts w:hint="eastAsia" w:ascii="黑体" w:hAnsi="黑体" w:eastAsia="黑体" w:cs="Arial"/>
          <w:b w:val="0"/>
          <w:bCs w:val="0"/>
          <w:color w:val="000000"/>
          <w:sz w:val="32"/>
          <w:szCs w:val="32"/>
          <w:lang w:eastAsia="zh-CN"/>
        </w:rPr>
      </w:pPr>
      <w:bookmarkStart w:id="20" w:name="_Toc4390"/>
      <w:bookmarkStart w:id="21" w:name="_Toc16525"/>
      <w:r>
        <w:rPr>
          <w:rFonts w:hint="eastAsia" w:ascii="黑体" w:hAnsi="黑体" w:eastAsia="黑体" w:cs="Arial"/>
          <w:b w:val="0"/>
          <w:bCs w:val="0"/>
          <w:color w:val="000000"/>
          <w:sz w:val="32"/>
          <w:szCs w:val="32"/>
        </w:rPr>
        <w:t>二、</w:t>
      </w:r>
      <w:r>
        <w:rPr>
          <w:rFonts w:hint="eastAsia" w:ascii="黑体" w:hAnsi="黑体" w:eastAsia="黑体" w:cs="Arial"/>
          <w:b w:val="0"/>
          <w:bCs w:val="0"/>
          <w:color w:val="000000"/>
          <w:sz w:val="32"/>
          <w:szCs w:val="32"/>
          <w:lang w:eastAsia="zh-CN"/>
        </w:rPr>
        <w:t>“</w:t>
      </w:r>
      <w:r>
        <w:rPr>
          <w:rFonts w:ascii="黑体" w:hAnsi="黑体" w:eastAsia="黑体" w:cs="Arial"/>
          <w:b w:val="0"/>
          <w:bCs w:val="0"/>
          <w:color w:val="000000"/>
          <w:sz w:val="32"/>
          <w:szCs w:val="32"/>
        </w:rPr>
        <w:t>十</w:t>
      </w:r>
      <w:r>
        <w:rPr>
          <w:rFonts w:hint="eastAsia" w:ascii="黑体" w:hAnsi="黑体" w:eastAsia="黑体" w:cs="Arial"/>
          <w:b w:val="0"/>
          <w:bCs w:val="0"/>
          <w:color w:val="000000"/>
          <w:sz w:val="32"/>
          <w:szCs w:val="32"/>
          <w:lang w:val="en-US" w:eastAsia="zh-CN"/>
        </w:rPr>
        <w:t>四</w:t>
      </w:r>
      <w:r>
        <w:rPr>
          <w:rFonts w:ascii="黑体" w:hAnsi="黑体" w:eastAsia="黑体" w:cs="Arial"/>
          <w:b w:val="0"/>
          <w:bCs w:val="0"/>
          <w:color w:val="000000"/>
          <w:sz w:val="32"/>
          <w:szCs w:val="32"/>
        </w:rPr>
        <w:t>五</w:t>
      </w:r>
      <w:r>
        <w:rPr>
          <w:rFonts w:hint="eastAsia" w:ascii="黑体" w:hAnsi="黑体" w:eastAsia="黑体" w:cs="Arial"/>
          <w:b w:val="0"/>
          <w:bCs w:val="0"/>
          <w:color w:val="000000"/>
          <w:sz w:val="32"/>
          <w:szCs w:val="32"/>
          <w:lang w:eastAsia="zh-CN"/>
        </w:rPr>
        <w:t>”</w:t>
      </w:r>
      <w:r>
        <w:rPr>
          <w:rFonts w:ascii="黑体" w:hAnsi="黑体" w:eastAsia="黑体" w:cs="Arial"/>
          <w:b w:val="0"/>
          <w:bCs w:val="0"/>
          <w:color w:val="000000"/>
          <w:sz w:val="32"/>
          <w:szCs w:val="32"/>
        </w:rPr>
        <w:t>林业建设</w:t>
      </w:r>
      <w:bookmarkEnd w:id="20"/>
      <w:r>
        <w:rPr>
          <w:rFonts w:hint="eastAsia" w:ascii="黑体" w:hAnsi="黑体" w:eastAsia="黑体" w:cs="Arial"/>
          <w:b w:val="0"/>
          <w:bCs w:val="0"/>
          <w:color w:val="000000"/>
          <w:sz w:val="32"/>
          <w:szCs w:val="32"/>
          <w:lang w:val="en-US" w:eastAsia="zh-CN"/>
        </w:rPr>
        <w:t>规划</w:t>
      </w:r>
      <w:bookmarkEnd w:id="21"/>
    </w:p>
    <w:p>
      <w:pPr>
        <w:wordWrap/>
        <w:spacing w:line="560" w:lineRule="exact"/>
        <w:ind w:firstLine="640" w:firstLineChars="200"/>
        <w:jc w:val="left"/>
        <w:textAlignment w:val="auto"/>
        <w:outlineLvl w:val="1"/>
        <w:rPr>
          <w:rFonts w:hint="eastAsia" w:ascii="楷体_GB2312" w:hAnsi="楷体_GB2312" w:eastAsia="楷体_GB2312" w:cs="楷体_GB2312"/>
          <w:sz w:val="32"/>
          <w:szCs w:val="32"/>
          <w:lang w:val="en-US" w:eastAsia="zh-CN"/>
        </w:rPr>
      </w:pPr>
      <w:bookmarkStart w:id="22" w:name="_Toc19088"/>
      <w:bookmarkStart w:id="23" w:name="_Toc19749"/>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指导思想</w:t>
      </w:r>
      <w:bookmarkEnd w:id="22"/>
      <w:bookmarkEnd w:id="23"/>
    </w:p>
    <w:p>
      <w:pPr>
        <w:wordWrap/>
        <w:spacing w:line="560" w:lineRule="exact"/>
        <w:textAlignment w:val="auto"/>
        <w:rPr>
          <w:rFonts w:hint="eastAsia"/>
          <w:lang w:val="en-US" w:eastAsia="zh-CN"/>
        </w:rPr>
      </w:pPr>
      <w:r>
        <w:rPr>
          <w:rFonts w:hint="eastAsia"/>
          <w:lang w:val="en-US" w:eastAsia="zh-CN"/>
        </w:rPr>
        <w:t>以习近平新时代中国特色社会主义思想为指导，深入贯彻党的二十大精神，全面落实习近平生态文明思想，坚定践行绿水青山就是金山银山的理念，坚持尊重自然、顺应自然、保护自然，不断提升生态系统多样性、稳定性、持续性。以提高国土绿化水平、提升生态品质为主线，以维护森林生态安全为主攻方向，以增绿增质增效为基本要求，大力培育、保护和合理利用森林、湿地等自然资源，不断深化林业改革创新，科学开展国土绿化，增进绿色惠民，强化基础保障，构筑生态网络，为全域公园城市建设贡献力量。</w:t>
      </w:r>
    </w:p>
    <w:p>
      <w:pPr>
        <w:wordWrap/>
        <w:spacing w:line="560" w:lineRule="exact"/>
        <w:ind w:firstLine="640" w:firstLineChars="200"/>
        <w:jc w:val="left"/>
        <w:textAlignment w:val="auto"/>
        <w:outlineLvl w:val="1"/>
        <w:rPr>
          <w:rFonts w:hint="eastAsia" w:ascii="楷体_GB2312" w:hAnsi="楷体_GB2312" w:eastAsia="楷体_GB2312" w:cs="楷体_GB2312"/>
          <w:sz w:val="32"/>
          <w:szCs w:val="32"/>
        </w:rPr>
      </w:pPr>
      <w:bookmarkStart w:id="24" w:name="_Toc15086"/>
      <w:bookmarkStart w:id="25" w:name="_Toc26422"/>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）基本原则</w:t>
      </w:r>
      <w:bookmarkEnd w:id="24"/>
      <w:bookmarkEnd w:id="25"/>
    </w:p>
    <w:p>
      <w:pPr>
        <w:wordWrap/>
        <w:spacing w:line="560" w:lineRule="exact"/>
        <w:textAlignment w:val="auto"/>
        <w:rPr>
          <w:rFonts w:hint="eastAsia"/>
          <w:lang w:val="en-US" w:eastAsia="zh-CN"/>
        </w:rPr>
      </w:pPr>
      <w:r>
        <w:rPr>
          <w:rFonts w:hint="eastAsia"/>
          <w:lang w:val="en-US" w:eastAsia="zh-CN"/>
        </w:rPr>
        <w:t>“十四五”及今后一个时期，全市林业建设重点把握以下原则:</w:t>
      </w:r>
    </w:p>
    <w:p>
      <w:pPr>
        <w:wordWrap/>
        <w:spacing w:line="560" w:lineRule="exact"/>
        <w:textAlignment w:val="auto"/>
        <w:rPr>
          <w:rFonts w:hint="eastAsia"/>
          <w:lang w:val="en-US" w:eastAsia="zh-CN"/>
        </w:rPr>
      </w:pPr>
      <w:r>
        <w:rPr>
          <w:rFonts w:hint="eastAsia"/>
          <w:b/>
          <w:bCs/>
          <w:lang w:val="en-US" w:eastAsia="zh-CN"/>
        </w:rPr>
        <w:t>坚定不移走生态优先、绿色发展之路。</w:t>
      </w:r>
      <w:r>
        <w:rPr>
          <w:rFonts w:hint="eastAsia"/>
          <w:lang w:val="en-US" w:eastAsia="zh-CN"/>
        </w:rPr>
        <w:t>始终把生态放在首位，将生态贯彻到林业资源工作的全领域、全方位、全过程。严格落实生态环境保护制度，坚持增量发展与存量提质并重。强化生态空间、生态红线管控，突出保障生态安全、提升生态环境质量的作用，加快推动绿色低碳发展，满足经济社会发展合理需求，增强对高质量发展的支撑能力。</w:t>
      </w:r>
    </w:p>
    <w:p>
      <w:pPr>
        <w:wordWrap/>
        <w:spacing w:line="560" w:lineRule="exact"/>
        <w:textAlignment w:val="auto"/>
        <w:rPr>
          <w:rFonts w:hint="eastAsia"/>
          <w:lang w:val="en-US" w:eastAsia="zh-CN"/>
        </w:rPr>
      </w:pPr>
      <w:r>
        <w:rPr>
          <w:rFonts w:hint="eastAsia"/>
          <w:b/>
          <w:bCs/>
          <w:lang w:val="en-US" w:eastAsia="zh-CN"/>
        </w:rPr>
        <w:t>坚持深化改革，创新发展。</w:t>
      </w:r>
      <w:r>
        <w:rPr>
          <w:rFonts w:hint="eastAsia"/>
          <w:lang w:val="en-US" w:eastAsia="zh-CN"/>
        </w:rPr>
        <w:t>全面深化林业改革，坚持以林长制为抓手，加快完善林业发展体制机制，优化资源要素配置，培育林业发展新动力，形成可示范推广的成功经验。加强林业治理体系和治理能力现代化建设，推进简政放权和服务型政府建设，加快形成有利于创新发展的市场环境、产权制度、投融资体制机制，激发林业发展活力。</w:t>
      </w:r>
    </w:p>
    <w:p>
      <w:pPr>
        <w:wordWrap/>
        <w:spacing w:line="560" w:lineRule="exact"/>
        <w:textAlignment w:val="auto"/>
        <w:rPr>
          <w:rFonts w:hint="eastAsia"/>
          <w:lang w:val="en-US" w:eastAsia="zh-CN"/>
        </w:rPr>
      </w:pPr>
      <w:r>
        <w:rPr>
          <w:rFonts w:hint="eastAsia"/>
          <w:b/>
          <w:bCs/>
          <w:lang w:val="en-US" w:eastAsia="zh-CN"/>
        </w:rPr>
        <w:t>坚持科技兴林，人才强林。</w:t>
      </w:r>
      <w:r>
        <w:rPr>
          <w:rFonts w:hint="eastAsia"/>
          <w:lang w:val="en-US" w:eastAsia="zh-CN"/>
        </w:rPr>
        <w:t>依靠科技进步和创新，加快推动新时代林业现代化建设，提高林业先进技术和装备水平，提升林业综合生产能力和市场竞争力，积极引进、推广适用的科技创新应用和成果转化，增强林业发展活力。加强林业人才能力建设，推进人才结构调整，不断拓宽人才引进渠道，创新人才工作机制，优化人才成长环境。</w:t>
      </w:r>
    </w:p>
    <w:p>
      <w:pPr>
        <w:wordWrap/>
        <w:spacing w:line="560" w:lineRule="exact"/>
        <w:textAlignment w:val="auto"/>
        <w:rPr>
          <w:rFonts w:hint="eastAsia"/>
          <w:lang w:val="en-US" w:eastAsia="zh-CN"/>
        </w:rPr>
      </w:pPr>
      <w:r>
        <w:rPr>
          <w:rFonts w:hint="eastAsia"/>
          <w:b/>
          <w:bCs/>
          <w:lang w:val="en-US" w:eastAsia="zh-CN"/>
        </w:rPr>
        <w:t>坚持依法治林，严格保护。</w:t>
      </w:r>
      <w:r>
        <w:rPr>
          <w:rFonts w:hint="eastAsia"/>
          <w:lang w:val="en-US" w:eastAsia="zh-CN"/>
        </w:rPr>
        <w:t>加强林业法治体系建设，做到有法必依、执法必严、违法必究。重视林业执法队伍建设，开展普法教育，增强法治意识，严格依法行政，加大执法力度，维护林农和经营者合法权益；打击破坏森林资源违法行为，促进林业建设法治化、制度化、规范化发展，为改革创新营造良好法治环境。</w:t>
      </w:r>
    </w:p>
    <w:p>
      <w:pPr>
        <w:wordWrap/>
        <w:spacing w:line="560" w:lineRule="exact"/>
        <w:ind w:firstLine="640" w:firstLineChars="200"/>
        <w:jc w:val="left"/>
        <w:textAlignment w:val="auto"/>
        <w:outlineLvl w:val="1"/>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（三）规划依据</w:t>
      </w:r>
      <w:bookmarkStart w:id="52" w:name="_GoBack"/>
      <w:bookmarkEnd w:id="52"/>
    </w:p>
    <w:p>
      <w:pPr>
        <w:wordWrap/>
        <w:spacing w:line="560" w:lineRule="exact"/>
        <w:textAlignment w:val="auto"/>
        <w:rPr>
          <w:rFonts w:hint="eastAsia"/>
        </w:rPr>
      </w:pPr>
      <w:r>
        <w:rPr>
          <w:rFonts w:hint="eastAsia"/>
          <w:lang w:val="en-US" w:eastAsia="zh-CN"/>
        </w:rPr>
        <w:t>1、</w:t>
      </w:r>
      <w:r>
        <w:rPr>
          <w:rFonts w:hint="eastAsia"/>
        </w:rPr>
        <w:t>《中华人民共和国森林法》（2019年修订）</w:t>
      </w:r>
    </w:p>
    <w:p>
      <w:pPr>
        <w:wordWrap/>
        <w:spacing w:line="560" w:lineRule="exact"/>
        <w:textAlignment w:val="auto"/>
        <w:rPr>
          <w:rFonts w:hint="eastAsia"/>
          <w:lang w:val="en-US" w:eastAsia="zh-CN"/>
        </w:rPr>
      </w:pPr>
      <w:r>
        <w:rPr>
          <w:rFonts w:hint="eastAsia"/>
          <w:lang w:val="en-US" w:eastAsia="zh-CN"/>
        </w:rPr>
        <w:t>2、《中华人民共和国湿地保护法》（2022年6月1日起施行）</w:t>
      </w:r>
    </w:p>
    <w:p>
      <w:pPr>
        <w:wordWrap/>
        <w:spacing w:line="560" w:lineRule="exact"/>
        <w:textAlignment w:val="auto"/>
        <w:rPr>
          <w:rFonts w:hint="eastAsia"/>
        </w:rPr>
      </w:pPr>
      <w:r>
        <w:rPr>
          <w:rFonts w:hint="eastAsia"/>
          <w:lang w:val="en-US" w:eastAsia="zh-CN"/>
        </w:rPr>
        <w:t>3、《森林防火条</w:t>
      </w:r>
      <w:r>
        <w:rPr>
          <w:rFonts w:hint="eastAsia"/>
        </w:rPr>
        <w:t>例》（国务院令第541号）</w:t>
      </w:r>
    </w:p>
    <w:p>
      <w:pPr>
        <w:wordWrap/>
        <w:spacing w:line="560" w:lineRule="exact"/>
        <w:textAlignment w:val="auto"/>
        <w:rPr>
          <w:rFonts w:hint="eastAsia"/>
        </w:rPr>
      </w:pPr>
      <w:r>
        <w:rPr>
          <w:rFonts w:hint="eastAsia"/>
          <w:lang w:val="en-US" w:eastAsia="zh-CN"/>
        </w:rPr>
        <w:t>4、</w:t>
      </w:r>
      <w:r>
        <w:rPr>
          <w:rFonts w:hint="eastAsia"/>
        </w:rPr>
        <w:t>《国务院办公厅关于科学绿化的指导意见》（国办发〔2021〕19号）</w:t>
      </w:r>
    </w:p>
    <w:p>
      <w:pPr>
        <w:wordWrap/>
        <w:spacing w:line="560" w:lineRule="exact"/>
        <w:textAlignment w:val="auto"/>
        <w:rPr>
          <w:rFonts w:hint="eastAsia"/>
        </w:rPr>
      </w:pPr>
      <w:r>
        <w:rPr>
          <w:rFonts w:hint="eastAsia"/>
          <w:lang w:val="en-US" w:eastAsia="zh-CN"/>
        </w:rPr>
        <w:t>5、</w:t>
      </w:r>
      <w:r>
        <w:rPr>
          <w:rFonts w:hint="eastAsia"/>
        </w:rPr>
        <w:t>《中共中央办公厅 国务院办公厅印发〈关于建立以国家公园为主体的自然保护地体系的指导意见〉的通知》（中办发〔2019〕42号）</w:t>
      </w:r>
    </w:p>
    <w:p>
      <w:pPr>
        <w:wordWrap/>
        <w:spacing w:line="560" w:lineRule="exact"/>
        <w:textAlignment w:val="auto"/>
        <w:rPr>
          <w:rFonts w:hint="eastAsia"/>
        </w:rPr>
      </w:pPr>
      <w:r>
        <w:rPr>
          <w:rFonts w:hint="eastAsia"/>
          <w:lang w:val="en-US" w:eastAsia="zh-CN"/>
        </w:rPr>
        <w:t>6、</w:t>
      </w:r>
      <w:r>
        <w:rPr>
          <w:rFonts w:hint="eastAsia"/>
        </w:rPr>
        <w:t>《中共中央办公厅 国务院办公厅印发〈关于全面推行林长制的意见〉的通知》（厅字〔2020〕34号）</w:t>
      </w:r>
    </w:p>
    <w:p>
      <w:pPr>
        <w:wordWrap/>
        <w:spacing w:line="560" w:lineRule="exact"/>
        <w:textAlignment w:val="auto"/>
        <w:rPr>
          <w:rFonts w:hint="eastAsia"/>
        </w:rPr>
      </w:pPr>
      <w:r>
        <w:rPr>
          <w:rFonts w:hint="eastAsia"/>
          <w:lang w:val="en-US" w:eastAsia="zh-CN"/>
        </w:rPr>
        <w:t>7、</w:t>
      </w:r>
      <w:r>
        <w:rPr>
          <w:rFonts w:hint="eastAsia"/>
        </w:rPr>
        <w:t>《国务院办公厅关于坚决制止耕地“非农化”行为的通知》（国办发明电〔2020〕24号）</w:t>
      </w:r>
    </w:p>
    <w:p>
      <w:pPr>
        <w:wordWrap/>
        <w:spacing w:line="560" w:lineRule="exact"/>
        <w:textAlignment w:val="auto"/>
        <w:rPr>
          <w:rFonts w:hint="eastAsia"/>
        </w:rPr>
      </w:pPr>
      <w:r>
        <w:rPr>
          <w:rFonts w:hint="eastAsia"/>
          <w:lang w:val="en-US" w:eastAsia="zh-CN"/>
        </w:rPr>
        <w:t>8、</w:t>
      </w:r>
      <w:r>
        <w:rPr>
          <w:rFonts w:hint="eastAsia"/>
        </w:rPr>
        <w:t>《“十四五”林业草原保护发展规划纲要》（国家林业和草原局、国家发展和改革委员会联合印发）</w:t>
      </w:r>
    </w:p>
    <w:p>
      <w:pPr>
        <w:wordWrap/>
        <w:spacing w:line="560" w:lineRule="exact"/>
        <w:textAlignment w:val="auto"/>
        <w:rPr>
          <w:rFonts w:hint="eastAsia"/>
        </w:rPr>
      </w:pPr>
      <w:r>
        <w:rPr>
          <w:rFonts w:hint="eastAsia"/>
          <w:lang w:val="en-US" w:eastAsia="zh-CN"/>
        </w:rPr>
        <w:t>9、</w:t>
      </w:r>
      <w:r>
        <w:rPr>
          <w:rFonts w:hint="eastAsia"/>
        </w:rPr>
        <w:t>《山东省“十四五”自然资源保护和利用规划》（山东省人民政府）</w:t>
      </w:r>
    </w:p>
    <w:p>
      <w:pPr>
        <w:wordWrap/>
        <w:spacing w:line="560" w:lineRule="exact"/>
        <w:textAlignment w:val="auto"/>
        <w:rPr>
          <w:rFonts w:hint="eastAsia"/>
        </w:rPr>
      </w:pPr>
      <w:r>
        <w:rPr>
          <w:rFonts w:hint="eastAsia"/>
          <w:lang w:val="en-US" w:eastAsia="zh-CN"/>
        </w:rPr>
        <w:t>10、</w:t>
      </w:r>
      <w:r>
        <w:rPr>
          <w:rFonts w:hint="eastAsia"/>
        </w:rPr>
        <w:t>《山东省“十四五”林业保护发展规划》（山东省自然资源厅）</w:t>
      </w:r>
    </w:p>
    <w:p>
      <w:pPr>
        <w:wordWrap/>
        <w:spacing w:line="560" w:lineRule="exact"/>
        <w:textAlignment w:val="auto"/>
        <w:rPr>
          <w:rFonts w:hint="eastAsia"/>
        </w:rPr>
      </w:pPr>
      <w:r>
        <w:rPr>
          <w:rFonts w:hint="eastAsia"/>
          <w:lang w:val="en-US" w:eastAsia="zh-CN"/>
        </w:rPr>
        <w:t>11、</w:t>
      </w:r>
      <w:r>
        <w:rPr>
          <w:rFonts w:hint="eastAsia"/>
        </w:rPr>
        <w:t>《</w:t>
      </w:r>
      <w:r>
        <w:rPr>
          <w:rFonts w:hint="eastAsia"/>
          <w:lang w:val="en-US" w:eastAsia="zh-CN"/>
        </w:rPr>
        <w:t>张店</w:t>
      </w:r>
      <w:r>
        <w:rPr>
          <w:rFonts w:hint="eastAsia"/>
        </w:rPr>
        <w:t>区国民经济和社会发展第十四个五年规划和2035年远景目标纲要》（</w:t>
      </w:r>
      <w:r>
        <w:rPr>
          <w:rFonts w:hint="eastAsia"/>
          <w:lang w:val="en-US" w:eastAsia="zh-CN"/>
        </w:rPr>
        <w:t>淄博</w:t>
      </w:r>
      <w:r>
        <w:rPr>
          <w:rFonts w:hint="eastAsia"/>
        </w:rPr>
        <w:t>市</w:t>
      </w:r>
      <w:r>
        <w:rPr>
          <w:rFonts w:hint="eastAsia"/>
          <w:lang w:val="en-US" w:eastAsia="zh-CN"/>
        </w:rPr>
        <w:t>张店</w:t>
      </w:r>
      <w:r>
        <w:rPr>
          <w:rFonts w:hint="eastAsia"/>
        </w:rPr>
        <w:t>区人民政府）</w:t>
      </w:r>
    </w:p>
    <w:p>
      <w:pPr>
        <w:wordWrap/>
        <w:spacing w:line="560" w:lineRule="exact"/>
        <w:textAlignment w:val="auto"/>
        <w:rPr>
          <w:rFonts w:hint="eastAsia"/>
          <w:lang w:val="en-US" w:eastAsia="zh-CN"/>
        </w:rPr>
      </w:pPr>
      <w:r>
        <w:rPr>
          <w:rFonts w:hint="eastAsia"/>
          <w:lang w:val="en-US" w:eastAsia="zh-CN"/>
        </w:rPr>
        <w:t>12、《淄博市森林草原防火 “十四五”规划》（</w:t>
      </w:r>
      <w:r>
        <w:rPr>
          <w:rFonts w:hint="eastAsia"/>
        </w:rPr>
        <w:t>淄博市自然资源和规划局</w:t>
      </w:r>
      <w:r>
        <w:rPr>
          <w:rFonts w:hint="eastAsia"/>
          <w:lang w:val="en-US" w:eastAsia="zh-CN"/>
        </w:rPr>
        <w:t>）</w:t>
      </w:r>
    </w:p>
    <w:p>
      <w:pPr>
        <w:pStyle w:val="2"/>
        <w:wordWrap/>
        <w:spacing w:after="0" w:afterLines="0" w:line="560" w:lineRule="exact"/>
        <w:textAlignment w:val="auto"/>
        <w:rPr>
          <w:rFonts w:hint="default"/>
          <w:lang w:val="en-US" w:eastAsia="zh-CN"/>
        </w:rPr>
      </w:pPr>
      <w:r>
        <w:rPr>
          <w:rFonts w:hint="eastAsia"/>
          <w:lang w:val="en-US" w:eastAsia="zh-CN"/>
        </w:rPr>
        <w:t>13、</w:t>
      </w:r>
      <w:r>
        <w:rPr>
          <w:rFonts w:hint="eastAsia" w:ascii="Times New Roman" w:hAnsi="Times New Roman" w:eastAsia="仿宋_GB2312" w:cs="Times New Roman"/>
          <w:kern w:val="2"/>
          <w:sz w:val="32"/>
          <w:szCs w:val="30"/>
          <w:lang w:val="en-US" w:eastAsia="zh-CN" w:bidi="ar-SA"/>
        </w:rPr>
        <w:t>《淄博市林业发展“十四五”规划》</w:t>
      </w:r>
      <w:r>
        <w:rPr>
          <w:rFonts w:hint="eastAsia" w:cs="Times New Roman"/>
          <w:kern w:val="2"/>
          <w:sz w:val="32"/>
          <w:szCs w:val="30"/>
          <w:lang w:val="en-US" w:eastAsia="zh-CN" w:bidi="ar-SA"/>
        </w:rPr>
        <w:t>（</w:t>
      </w:r>
      <w:r>
        <w:rPr>
          <w:rFonts w:hint="eastAsia"/>
        </w:rPr>
        <w:t>淄博市自然资源和规划局</w:t>
      </w:r>
      <w:r>
        <w:rPr>
          <w:rFonts w:hint="eastAsia" w:cs="Times New Roman"/>
          <w:kern w:val="2"/>
          <w:sz w:val="32"/>
          <w:szCs w:val="30"/>
          <w:lang w:val="en-US" w:eastAsia="zh-CN" w:bidi="ar-SA"/>
        </w:rPr>
        <w:t>）</w:t>
      </w:r>
    </w:p>
    <w:p>
      <w:pPr>
        <w:wordWrap/>
        <w:spacing w:line="560" w:lineRule="exact"/>
        <w:ind w:firstLine="640" w:firstLineChars="200"/>
        <w:jc w:val="left"/>
        <w:textAlignment w:val="auto"/>
        <w:outlineLvl w:val="1"/>
        <w:rPr>
          <w:rFonts w:hint="default" w:ascii="楷体_GB2312" w:hAnsi="楷体_GB2312" w:eastAsia="楷体_GB2312" w:cs="楷体_GB2312"/>
          <w:sz w:val="32"/>
          <w:szCs w:val="32"/>
          <w:lang w:val="en-US" w:eastAsia="zh-CN"/>
        </w:rPr>
      </w:pPr>
      <w:bookmarkStart w:id="26" w:name="_Toc21415"/>
      <w:r>
        <w:rPr>
          <w:rFonts w:hint="eastAsia" w:ascii="楷体_GB2312" w:hAnsi="楷体_GB2312" w:eastAsia="楷体_GB2312" w:cs="楷体_GB2312"/>
          <w:sz w:val="32"/>
          <w:szCs w:val="32"/>
          <w:lang w:val="en-US" w:eastAsia="zh-CN"/>
        </w:rPr>
        <w:t>（四）规划目标</w:t>
      </w:r>
      <w:bookmarkEnd w:id="26"/>
    </w:p>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r>
        <w:rPr>
          <w:rFonts w:hint="eastAsia" w:ascii="Times New Roman" w:hAnsi="Times New Roman"/>
          <w:b w:val="0"/>
          <w:bCs/>
          <w:lang w:val="en-US" w:eastAsia="zh-CN"/>
        </w:rPr>
        <w:t>1、总体目标</w:t>
      </w:r>
    </w:p>
    <w:p>
      <w:pPr>
        <w:wordWrap/>
        <w:spacing w:line="560" w:lineRule="exact"/>
        <w:textAlignment w:val="auto"/>
        <w:rPr>
          <w:rFonts w:hint="default"/>
          <w:lang w:val="en-US" w:eastAsia="zh-CN"/>
        </w:rPr>
      </w:pPr>
      <w:r>
        <w:rPr>
          <w:rFonts w:hint="eastAsia"/>
          <w:b/>
          <w:bCs/>
        </w:rPr>
        <w:t>国土绿化空间布局显著优化</w:t>
      </w:r>
      <w:r>
        <w:rPr>
          <w:rFonts w:hint="eastAsia"/>
          <w:lang w:eastAsia="zh-CN"/>
        </w:rPr>
        <w:t>。</w:t>
      </w:r>
      <w:r>
        <w:rPr>
          <w:rFonts w:hint="eastAsia"/>
        </w:rPr>
        <w:t>生态环境质量持续改善，广大人民群众的绿色生态获得感、幸福感显著增进，全省森林覆盖率完成</w:t>
      </w:r>
      <w:r>
        <w:rPr>
          <w:rFonts w:hint="eastAsia"/>
          <w:lang w:val="en-US" w:eastAsia="zh-CN"/>
        </w:rPr>
        <w:t>绿化造林</w:t>
      </w:r>
      <w:r>
        <w:rPr>
          <w:rFonts w:hint="eastAsia"/>
        </w:rPr>
        <w:t>任务。</w:t>
      </w:r>
    </w:p>
    <w:p>
      <w:pPr>
        <w:wordWrap/>
        <w:spacing w:line="560" w:lineRule="exact"/>
        <w:textAlignment w:val="auto"/>
        <w:rPr>
          <w:rFonts w:hint="eastAsia"/>
        </w:rPr>
      </w:pPr>
      <w:r>
        <w:rPr>
          <w:rFonts w:hint="eastAsia"/>
          <w:b/>
          <w:bCs/>
        </w:rPr>
        <w:t>森林生态环境</w:t>
      </w:r>
      <w:r>
        <w:rPr>
          <w:rFonts w:hint="eastAsia"/>
          <w:b/>
          <w:bCs/>
          <w:lang w:val="en-US" w:eastAsia="zh-CN"/>
        </w:rPr>
        <w:t>得到进一步</w:t>
      </w:r>
      <w:r>
        <w:rPr>
          <w:rFonts w:hint="eastAsia"/>
          <w:b/>
          <w:bCs/>
        </w:rPr>
        <w:t>改善</w:t>
      </w:r>
      <w:r>
        <w:rPr>
          <w:rFonts w:hint="eastAsia"/>
          <w:b/>
          <w:bCs/>
          <w:lang w:eastAsia="zh-CN"/>
        </w:rPr>
        <w:t>。</w:t>
      </w:r>
      <w:r>
        <w:rPr>
          <w:rFonts w:hint="eastAsia"/>
        </w:rPr>
        <w:t>以“打造中心城区城市森林大环境，建设生态文明和谐宜居新家园”为目标，按照“城区绿化精品化，郊区绿化园林化，山区绿化风景化”的思路，以森林资源培育和提高资源质量为重点，扎实开展荒山绿化、四旁绿化、农田林网、绿色通道和村镇绿化工程，进一步推动我区森林生态环境改善和提高，提升人居生活环境，促进人与自然和谐发展。</w:t>
      </w:r>
    </w:p>
    <w:p>
      <w:pPr>
        <w:wordWrap/>
        <w:spacing w:line="560" w:lineRule="exact"/>
        <w:textAlignment w:val="auto"/>
        <w:rPr>
          <w:rFonts w:hint="eastAsia"/>
        </w:rPr>
      </w:pPr>
      <w:r>
        <w:rPr>
          <w:rFonts w:hint="eastAsia"/>
          <w:b/>
          <w:bCs/>
        </w:rPr>
        <w:t>不断加强林地林木保护管理。</w:t>
      </w:r>
      <w:r>
        <w:rPr>
          <w:rFonts w:hint="eastAsia"/>
        </w:rPr>
        <w:t>加强林地保护监管，严禁非法使用林地。实行生态公益林重点保护，适当放活商品林经营，实现森林资源的合理利用和可持续发展。严格执行林木采伐管理制度，严格执行“十四五”林木限额采伐和凭证采伐，规范林木采伐审批手续，严格控制木材采伐量，促进森林资源科学合理利用。</w:t>
      </w:r>
    </w:p>
    <w:p>
      <w:pPr>
        <w:wordWrap/>
        <w:spacing w:line="560" w:lineRule="exact"/>
        <w:textAlignment w:val="auto"/>
        <w:rPr>
          <w:rFonts w:hint="eastAsia"/>
          <w:lang w:val="en-US" w:eastAsia="zh-CN"/>
        </w:rPr>
      </w:pPr>
      <w:r>
        <w:rPr>
          <w:b/>
          <w:bCs/>
        </w:rPr>
        <w:t>推动林业产业转型升级提质增效。</w:t>
      </w:r>
      <w:r>
        <w:rPr>
          <w:rFonts w:hint="eastAsia"/>
          <w:lang w:val="en-US" w:eastAsia="zh-CN"/>
        </w:rPr>
        <w:t>科学利用林地资源发展林下经济，优化林木种苗和花卉产业布局，鼓励发展森林旅游、森林康养新产业新业态，推动一二三产业融合发展，促进林业经济效益实现可持续增长，继续保持林业产业优势。</w:t>
      </w:r>
    </w:p>
    <w:p>
      <w:pPr>
        <w:wordWrap/>
        <w:spacing w:line="560" w:lineRule="exact"/>
        <w:textAlignment w:val="auto"/>
      </w:pPr>
      <w:r>
        <w:rPr>
          <w:b/>
          <w:bCs/>
        </w:rPr>
        <w:t>基础保障能力日臻完善。</w:t>
      </w:r>
      <w:r>
        <w:t>充分运用大数据、物联网等新一代信息技术，提升林业科技创新水平，创新监管模式，开展</w:t>
      </w:r>
      <w:r>
        <w:rPr>
          <w:rFonts w:hint="eastAsia"/>
        </w:rPr>
        <w:t>空天地一体化自然资源监测监管</w:t>
      </w:r>
      <w:r>
        <w:t>，基本形成比较完善的林业服务保障体系和防灾减灾体系。</w:t>
      </w:r>
    </w:p>
    <w:p>
      <w:pPr>
        <w:pStyle w:val="2"/>
        <w:wordWrap/>
        <w:spacing w:after="0" w:afterLines="0" w:line="560" w:lineRule="exact"/>
        <w:textAlignment w:val="auto"/>
        <w:rPr>
          <w:rFonts w:ascii="Times New Roman" w:hAnsi="Times New Roman" w:eastAsia="仿宋_GB2312" w:cs="Times New Roman"/>
          <w:kern w:val="2"/>
          <w:sz w:val="32"/>
          <w:szCs w:val="30"/>
          <w:lang w:val="en-US" w:eastAsia="zh-CN" w:bidi="ar-SA"/>
        </w:rPr>
      </w:pPr>
      <w:r>
        <w:rPr>
          <w:rFonts w:ascii="Times New Roman" w:hAnsi="Times New Roman" w:eastAsia="仿宋_GB2312" w:cs="Times New Roman"/>
          <w:b/>
          <w:bCs/>
          <w:kern w:val="2"/>
          <w:sz w:val="32"/>
          <w:szCs w:val="30"/>
          <w:lang w:val="en-US" w:eastAsia="zh-CN" w:bidi="ar-SA"/>
        </w:rPr>
        <w:t>改革创新能力加速提升。</w:t>
      </w:r>
      <w:r>
        <w:rPr>
          <w:rFonts w:ascii="Times New Roman" w:hAnsi="Times New Roman" w:eastAsia="仿宋_GB2312" w:cs="Times New Roman"/>
          <w:kern w:val="2"/>
          <w:sz w:val="32"/>
          <w:szCs w:val="30"/>
          <w:lang w:val="en-US" w:eastAsia="zh-CN" w:bidi="ar-SA"/>
        </w:rPr>
        <w:t>进一步完善林长制组织体系和工作机制，强化绩效考核和工作创新；巩固国有林场改革成果，确保森林资源安全；依托现代信息技术，完善联通各项业务平台，全面提升林业科技能力；推进林业技术成果的转化推广和应用，促进科技成果转化推广，推动人才队伍建设。</w:t>
      </w:r>
    </w:p>
    <w:p>
      <w:pPr>
        <w:pStyle w:val="2"/>
        <w:wordWrap/>
        <w:spacing w:after="0" w:afterLines="0" w:line="560" w:lineRule="exact"/>
        <w:textAlignment w:val="auto"/>
        <w:rPr>
          <w:rFonts w:ascii="Times New Roman" w:hAnsi="Times New Roman" w:eastAsia="仿宋_GB2312" w:cs="Times New Roman"/>
          <w:kern w:val="2"/>
          <w:sz w:val="32"/>
          <w:szCs w:val="30"/>
          <w:lang w:val="en-US" w:eastAsia="zh-CN" w:bidi="ar-SA"/>
        </w:rPr>
      </w:pPr>
    </w:p>
    <w:p>
      <w:pPr>
        <w:wordWrap/>
        <w:overflowPunct w:val="0"/>
        <w:adjustRightInd w:val="0"/>
        <w:snapToGrid w:val="0"/>
        <w:spacing w:line="560" w:lineRule="exact"/>
        <w:jc w:val="center"/>
        <w:textAlignment w:val="auto"/>
        <w:rPr>
          <w:rFonts w:hint="eastAsia" w:ascii="黑体" w:hAnsi="黑体" w:eastAsia="黑体" w:cs="宋体"/>
          <w:snapToGrid w:val="0"/>
          <w:kern w:val="0"/>
        </w:rPr>
      </w:pPr>
      <w:r>
        <w:rPr>
          <w:rFonts w:hint="eastAsia" w:ascii="黑体" w:hAnsi="黑体" w:eastAsia="黑体" w:cs="宋体"/>
          <w:snapToGrid w:val="0"/>
          <w:kern w:val="0"/>
          <w:lang w:val="en-US" w:eastAsia="zh-CN"/>
        </w:rPr>
        <w:t>张店区</w:t>
      </w:r>
      <w:r>
        <w:rPr>
          <w:rFonts w:hint="eastAsia" w:ascii="黑体" w:hAnsi="黑体" w:eastAsia="黑体" w:cs="宋体"/>
          <w:snapToGrid w:val="0"/>
          <w:kern w:val="0"/>
        </w:rPr>
        <w:t>“十四五”林业保护发展主要指标表</w:t>
      </w:r>
    </w:p>
    <w:tbl>
      <w:tblPr>
        <w:tblStyle w:val="15"/>
        <w:tblW w:w="9586" w:type="dxa"/>
        <w:jc w:val="center"/>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8"/>
        <w:gridCol w:w="1572"/>
        <w:gridCol w:w="1607"/>
        <w:gridCol w:w="1779"/>
      </w:tblGrid>
      <w:tr>
        <w:tblPrEx>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0" w:hRule="exact"/>
          <w:jc w:val="center"/>
        </w:trPr>
        <w:tc>
          <w:tcPr>
            <w:tcW w:w="4628"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eastAsia="en-US"/>
              </w:rPr>
            </w:pPr>
            <w:bookmarkStart w:id="27" w:name="_Toc426064416"/>
            <w:bookmarkStart w:id="28" w:name="_Toc428830651"/>
            <w:bookmarkStart w:id="29" w:name="_Toc426061694"/>
            <w:bookmarkStart w:id="30" w:name="_Toc426061510"/>
            <w:bookmarkStart w:id="31" w:name="_Toc425193771"/>
            <w:bookmarkStart w:id="32" w:name="_Toc427247166"/>
            <w:bookmarkStart w:id="33" w:name="_Toc426061877"/>
            <w:bookmarkStart w:id="34" w:name="_Toc427327853"/>
            <w:bookmarkStart w:id="35" w:name="_Toc425248372"/>
            <w:bookmarkStart w:id="36" w:name="_Toc425234157"/>
            <w:r>
              <w:rPr>
                <w:rFonts w:hint="eastAsia" w:ascii="Times New Roman" w:hAnsi="Times New Roman" w:eastAsia="仿宋_GB2312" w:cs="仿宋_GB2312"/>
                <w:sz w:val="28"/>
                <w:lang w:eastAsia="en-US"/>
              </w:rPr>
              <w:t>指标名称</w:t>
            </w:r>
          </w:p>
        </w:tc>
        <w:tc>
          <w:tcPr>
            <w:tcW w:w="1572"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rPr>
              <w:t>202</w:t>
            </w:r>
            <w:r>
              <w:rPr>
                <w:rFonts w:hint="eastAsia" w:ascii="Times New Roman" w:hAnsi="Times New Roman" w:eastAsia="仿宋_GB2312" w:cs="仿宋_GB2312"/>
                <w:sz w:val="28"/>
                <w:lang w:val="en-US" w:eastAsia="zh-CN"/>
              </w:rPr>
              <w:t>1</w:t>
            </w:r>
            <w:r>
              <w:rPr>
                <w:rFonts w:hint="eastAsia" w:ascii="Times New Roman" w:hAnsi="Times New Roman" w:eastAsia="仿宋_GB2312" w:cs="仿宋_GB2312"/>
                <w:sz w:val="28"/>
              </w:rPr>
              <w:t>年</w:t>
            </w:r>
          </w:p>
        </w:tc>
        <w:tc>
          <w:tcPr>
            <w:tcW w:w="1607"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lang w:eastAsia="en-US"/>
              </w:rPr>
              <w:t>202</w:t>
            </w:r>
            <w:r>
              <w:rPr>
                <w:rFonts w:hint="eastAsia" w:ascii="Times New Roman" w:hAnsi="Times New Roman" w:eastAsia="仿宋_GB2312" w:cs="仿宋_GB2312"/>
                <w:sz w:val="28"/>
              </w:rPr>
              <w:t>5</w:t>
            </w:r>
            <w:r>
              <w:rPr>
                <w:rFonts w:hint="eastAsia" w:ascii="Times New Roman" w:hAnsi="Times New Roman" w:eastAsia="仿宋_GB2312" w:cs="仿宋_GB2312"/>
                <w:sz w:val="28"/>
                <w:lang w:eastAsia="en-US"/>
              </w:rPr>
              <w:t>年</w:t>
            </w:r>
          </w:p>
        </w:tc>
        <w:tc>
          <w:tcPr>
            <w:tcW w:w="1779"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eastAsia="en-US"/>
              </w:rPr>
            </w:pPr>
            <w:r>
              <w:rPr>
                <w:rFonts w:hint="eastAsia" w:ascii="Times New Roman" w:hAnsi="Times New Roman" w:eastAsia="仿宋_GB2312" w:cs="仿宋_GB2312"/>
                <w:sz w:val="28"/>
                <w:lang w:eastAsia="en-US"/>
              </w:rPr>
              <w:t>属性</w:t>
            </w:r>
          </w:p>
        </w:tc>
      </w:tr>
      <w:tr>
        <w:tblPrEx>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eastAsia="en-US"/>
              </w:rPr>
            </w:pPr>
            <w:r>
              <w:rPr>
                <w:rFonts w:hint="eastAsia" w:ascii="Times New Roman" w:hAnsi="Times New Roman" w:eastAsia="仿宋_GB2312" w:cs="仿宋_GB2312"/>
                <w:sz w:val="28"/>
              </w:rPr>
              <w:t>森林覆盖</w:t>
            </w:r>
            <w:r>
              <w:rPr>
                <w:rFonts w:hint="eastAsia" w:ascii="Times New Roman" w:hAnsi="Times New Roman" w:eastAsia="仿宋_GB2312" w:cs="仿宋_GB2312"/>
                <w:sz w:val="28"/>
                <w:lang w:eastAsia="en-US"/>
              </w:rPr>
              <w:t>率（%）</w:t>
            </w:r>
          </w:p>
        </w:tc>
        <w:tc>
          <w:tcPr>
            <w:tcW w:w="1572"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val="en-US" w:eastAsia="zh-CN"/>
              </w:rPr>
            </w:pPr>
            <w:r>
              <w:rPr>
                <w:rFonts w:hint="eastAsia" w:ascii="Times New Roman" w:hAnsi="Times New Roman" w:eastAsia="仿宋_GB2312" w:cs="仿宋_GB2312"/>
                <w:sz w:val="28"/>
                <w:lang w:val="en-US" w:eastAsia="zh-CN"/>
              </w:rPr>
              <w:t>3.93%</w:t>
            </w:r>
          </w:p>
        </w:tc>
        <w:tc>
          <w:tcPr>
            <w:tcW w:w="1607"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val="en-US" w:eastAsia="zh-CN"/>
              </w:rPr>
            </w:pPr>
            <w:r>
              <w:rPr>
                <w:rFonts w:hint="eastAsia" w:ascii="Times New Roman" w:hAnsi="Times New Roman" w:eastAsia="仿宋_GB2312" w:cs="仿宋_GB2312"/>
                <w:sz w:val="28"/>
                <w:lang w:val="en-US" w:eastAsia="zh-CN"/>
              </w:rPr>
              <w:t>3.93%</w:t>
            </w:r>
          </w:p>
        </w:tc>
        <w:tc>
          <w:tcPr>
            <w:tcW w:w="1779"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eastAsia="en-US"/>
              </w:rPr>
            </w:pPr>
            <w:r>
              <w:rPr>
                <w:rFonts w:hint="eastAsia" w:ascii="Times New Roman" w:hAnsi="Times New Roman" w:eastAsia="仿宋_GB2312" w:cs="仿宋_GB2312"/>
                <w:sz w:val="28"/>
                <w:lang w:eastAsia="en-US"/>
              </w:rPr>
              <w:t>约束性</w:t>
            </w:r>
          </w:p>
        </w:tc>
      </w:tr>
      <w:tr>
        <w:tblPrEx>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val="en-US" w:eastAsia="zh-CN"/>
              </w:rPr>
            </w:pPr>
            <w:r>
              <w:rPr>
                <w:rFonts w:hint="eastAsia" w:ascii="Times New Roman" w:hAnsi="Times New Roman" w:eastAsia="仿宋_GB2312" w:cs="仿宋_GB2312"/>
                <w:sz w:val="28"/>
                <w:lang w:val="en-US" w:eastAsia="zh-CN"/>
              </w:rPr>
              <w:t>采伐蓄积年限额</w:t>
            </w:r>
          </w:p>
        </w:tc>
        <w:tc>
          <w:tcPr>
            <w:tcW w:w="1572"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rPr>
              <w:t>——</w:t>
            </w:r>
          </w:p>
        </w:tc>
        <w:tc>
          <w:tcPr>
            <w:tcW w:w="1607"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val="en-US" w:eastAsia="zh-CN"/>
              </w:rPr>
            </w:pPr>
            <w:r>
              <w:rPr>
                <w:rFonts w:hint="eastAsia" w:ascii="Times New Roman" w:hAnsi="Times New Roman" w:eastAsia="仿宋_GB2312" w:cs="仿宋_GB2312"/>
                <w:sz w:val="28"/>
                <w:lang w:val="en-US" w:eastAsia="zh-CN"/>
              </w:rPr>
              <w:t>6009m³</w:t>
            </w:r>
          </w:p>
        </w:tc>
        <w:tc>
          <w:tcPr>
            <w:tcW w:w="1779"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eastAsia="en-US"/>
              </w:rPr>
            </w:pPr>
            <w:r>
              <w:rPr>
                <w:rFonts w:hint="eastAsia" w:ascii="Times New Roman" w:hAnsi="Times New Roman" w:eastAsia="仿宋_GB2312" w:cs="仿宋_GB2312"/>
                <w:sz w:val="28"/>
                <w:lang w:eastAsia="en-US"/>
              </w:rPr>
              <w:t>约束性</w:t>
            </w:r>
          </w:p>
        </w:tc>
      </w:tr>
      <w:tr>
        <w:tblPrEx>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5" w:hRule="exact"/>
          <w:jc w:val="center"/>
        </w:trPr>
        <w:tc>
          <w:tcPr>
            <w:tcW w:w="4628"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lang w:val="en-US" w:eastAsia="zh-CN"/>
              </w:rPr>
              <w:t>林业有害生物成灾率</w:t>
            </w:r>
          </w:p>
        </w:tc>
        <w:tc>
          <w:tcPr>
            <w:tcW w:w="1572"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lang w:val="en-US" w:eastAsia="zh-CN"/>
              </w:rPr>
              <w:t>2.6‰以下</w:t>
            </w:r>
          </w:p>
        </w:tc>
        <w:tc>
          <w:tcPr>
            <w:tcW w:w="1607"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lang w:val="en-US" w:eastAsia="zh-CN"/>
              </w:rPr>
              <w:t>2.6‰以下</w:t>
            </w:r>
          </w:p>
        </w:tc>
        <w:tc>
          <w:tcPr>
            <w:tcW w:w="1779"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rPr>
              <w:t>预期性</w:t>
            </w:r>
          </w:p>
        </w:tc>
      </w:tr>
      <w:tr>
        <w:tblPrEx>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rPr>
              <w:t>森林火灾受害率（‰）</w:t>
            </w:r>
          </w:p>
        </w:tc>
        <w:tc>
          <w:tcPr>
            <w:tcW w:w="1572"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val="en-US"/>
              </w:rPr>
            </w:pPr>
            <w:r>
              <w:rPr>
                <w:rFonts w:hint="eastAsia" w:ascii="Times New Roman" w:hAnsi="Times New Roman" w:eastAsia="仿宋_GB2312" w:cs="仿宋_GB2312"/>
                <w:sz w:val="28"/>
                <w:lang w:val="en-US" w:eastAsia="zh-CN"/>
              </w:rPr>
              <w:t>0.5‰以下</w:t>
            </w:r>
          </w:p>
        </w:tc>
        <w:tc>
          <w:tcPr>
            <w:tcW w:w="1607"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rPr>
            </w:pPr>
            <w:r>
              <w:rPr>
                <w:rFonts w:hint="eastAsia" w:ascii="Times New Roman" w:hAnsi="Times New Roman" w:eastAsia="仿宋_GB2312" w:cs="仿宋_GB2312"/>
                <w:sz w:val="28"/>
                <w:lang w:val="en-US" w:eastAsia="zh-CN"/>
              </w:rPr>
              <w:t>0.5‰以下</w:t>
            </w:r>
          </w:p>
        </w:tc>
        <w:tc>
          <w:tcPr>
            <w:tcW w:w="1779" w:type="dxa"/>
            <w:tcBorders>
              <w:top w:val="single" w:color="auto" w:sz="4" w:space="0"/>
              <w:left w:val="single" w:color="auto" w:sz="4" w:space="0"/>
              <w:bottom w:val="single" w:color="auto" w:sz="4" w:space="0"/>
              <w:right w:val="single" w:color="auto" w:sz="4" w:space="0"/>
            </w:tcBorders>
            <w:vAlign w:val="center"/>
          </w:tcPr>
          <w:p>
            <w:pPr>
              <w:pStyle w:val="18"/>
              <w:wordWrap/>
              <w:spacing w:line="560" w:lineRule="exact"/>
              <w:jc w:val="center"/>
              <w:textAlignment w:val="auto"/>
              <w:rPr>
                <w:rFonts w:hint="eastAsia" w:ascii="Times New Roman" w:hAnsi="Times New Roman" w:eastAsia="仿宋_GB2312" w:cs="仿宋_GB2312"/>
                <w:sz w:val="28"/>
                <w:lang w:eastAsia="en-US"/>
              </w:rPr>
            </w:pPr>
            <w:r>
              <w:rPr>
                <w:rFonts w:hint="eastAsia" w:ascii="Times New Roman" w:hAnsi="Times New Roman" w:eastAsia="仿宋_GB2312" w:cs="仿宋_GB2312"/>
                <w:sz w:val="28"/>
                <w:lang w:eastAsia="en-US"/>
              </w:rPr>
              <w:t>预期性</w:t>
            </w:r>
          </w:p>
        </w:tc>
      </w:tr>
      <w:bookmarkEnd w:id="27"/>
      <w:bookmarkEnd w:id="28"/>
      <w:bookmarkEnd w:id="29"/>
      <w:bookmarkEnd w:id="30"/>
      <w:bookmarkEnd w:id="31"/>
      <w:bookmarkEnd w:id="32"/>
      <w:bookmarkEnd w:id="33"/>
      <w:bookmarkEnd w:id="34"/>
      <w:bookmarkEnd w:id="35"/>
      <w:bookmarkEnd w:id="36"/>
    </w:tbl>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bookmarkStart w:id="37" w:name="_Toc10130"/>
      <w:r>
        <w:rPr>
          <w:rFonts w:hint="eastAsia" w:ascii="Times New Roman" w:hAnsi="Times New Roman"/>
          <w:b w:val="0"/>
          <w:bCs/>
          <w:lang w:val="en-US" w:eastAsia="zh-CN"/>
        </w:rPr>
        <w:t>2、规划范围</w:t>
      </w:r>
      <w:bookmarkEnd w:id="37"/>
    </w:p>
    <w:p>
      <w:pPr>
        <w:pStyle w:val="13"/>
        <w:wordWrap/>
        <w:spacing w:before="0" w:beforeAutospacing="0" w:after="0" w:afterAutospacing="0" w:line="560" w:lineRule="exact"/>
        <w:ind w:firstLine="640" w:firstLineChars="200"/>
        <w:textAlignment w:val="auto"/>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rPr>
        <w:t>张店区</w:t>
      </w:r>
      <w:r>
        <w:rPr>
          <w:rFonts w:hint="eastAsia" w:ascii="仿宋_GB2312" w:hAnsi="仿宋_GB2312" w:eastAsia="仿宋_GB2312" w:cs="Times New Roman"/>
          <w:color w:val="000000"/>
          <w:sz w:val="32"/>
          <w:shd w:val="clear" w:color="auto" w:fill="FFFFFF"/>
          <w:lang w:val="en-US" w:eastAsia="zh-CN"/>
        </w:rPr>
        <w:t>房镇镇、马尚街道办事处、科苑街道办事处、车站街道办事处、体育场街道办事处、公园街道办事处、和平街道办事处、湖田街道办事处，共计</w:t>
      </w:r>
      <w:r>
        <w:rPr>
          <w:rFonts w:hint="eastAsia" w:ascii="仿宋_GB2312" w:hAnsi="Arial" w:eastAsia="仿宋_GB2312" w:cs="Arial"/>
          <w:color w:val="000000"/>
          <w:sz w:val="32"/>
          <w:szCs w:val="32"/>
          <w:lang w:val="en-US" w:eastAsia="zh-CN"/>
        </w:rPr>
        <w:t>1</w:t>
      </w:r>
      <w:r>
        <w:rPr>
          <w:rFonts w:hint="eastAsia" w:ascii="仿宋_GB2312" w:hAnsi="Arial" w:eastAsia="仿宋_GB2312" w:cs="Arial"/>
          <w:color w:val="000000"/>
          <w:sz w:val="32"/>
          <w:szCs w:val="32"/>
        </w:rPr>
        <w:t>个镇、</w:t>
      </w:r>
      <w:r>
        <w:rPr>
          <w:rFonts w:hint="eastAsia" w:ascii="仿宋_GB2312" w:hAnsi="Arial" w:eastAsia="仿宋_GB2312" w:cs="Arial"/>
          <w:color w:val="000000"/>
          <w:sz w:val="32"/>
          <w:szCs w:val="32"/>
          <w:lang w:val="en-US" w:eastAsia="zh-CN"/>
        </w:rPr>
        <w:t>7</w:t>
      </w:r>
      <w:r>
        <w:rPr>
          <w:rFonts w:hint="eastAsia" w:ascii="仿宋_GB2312" w:hAnsi="Arial" w:eastAsia="仿宋_GB2312" w:cs="Arial"/>
          <w:color w:val="000000"/>
          <w:sz w:val="32"/>
          <w:szCs w:val="32"/>
        </w:rPr>
        <w:t>个办事处</w:t>
      </w:r>
      <w:r>
        <w:rPr>
          <w:rFonts w:hint="eastAsia" w:ascii="仿宋_GB2312" w:hAnsi="Arial" w:eastAsia="仿宋_GB2312" w:cs="Arial"/>
          <w:color w:val="000000"/>
          <w:sz w:val="32"/>
          <w:szCs w:val="32"/>
          <w:lang w:eastAsia="zh-CN"/>
        </w:rPr>
        <w:t>。</w:t>
      </w:r>
    </w:p>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bookmarkStart w:id="38" w:name="_Toc6792"/>
      <w:r>
        <w:rPr>
          <w:rFonts w:hint="eastAsia" w:ascii="Times New Roman" w:hAnsi="Times New Roman"/>
          <w:b w:val="0"/>
          <w:bCs/>
          <w:lang w:val="en-US" w:eastAsia="zh-CN"/>
        </w:rPr>
        <w:t>3、林业区划</w:t>
      </w:r>
      <w:bookmarkEnd w:id="38"/>
    </w:p>
    <w:p>
      <w:pPr>
        <w:pStyle w:val="13"/>
        <w:wordWrap/>
        <w:spacing w:before="0" w:beforeAutospacing="0" w:after="0" w:afterAutospacing="0" w:line="560" w:lineRule="exact"/>
        <w:ind w:firstLine="640" w:firstLineChars="200"/>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东部丘陵建设生态恢复环境保护林区，</w:t>
      </w:r>
      <w:r>
        <w:rPr>
          <w:rFonts w:hint="eastAsia" w:ascii="仿宋_GB2312" w:hAnsi="Arial" w:eastAsia="仿宋_GB2312" w:cs="Arial"/>
          <w:color w:val="000000"/>
          <w:sz w:val="32"/>
          <w:szCs w:val="32"/>
          <w:lang w:val="en-US" w:eastAsia="zh-CN"/>
        </w:rPr>
        <w:t>主要</w:t>
      </w:r>
      <w:r>
        <w:rPr>
          <w:rFonts w:hint="eastAsia" w:ascii="仿宋_GB2312" w:hAnsi="Arial" w:eastAsia="仿宋_GB2312" w:cs="Arial"/>
          <w:color w:val="000000"/>
          <w:sz w:val="32"/>
          <w:szCs w:val="32"/>
        </w:rPr>
        <w:t>包括湖田</w:t>
      </w:r>
      <w:r>
        <w:rPr>
          <w:rFonts w:hint="eastAsia" w:ascii="仿宋_GB2312" w:hAnsi="Arial" w:eastAsia="仿宋_GB2312" w:cs="Arial"/>
          <w:color w:val="000000"/>
          <w:sz w:val="32"/>
          <w:szCs w:val="32"/>
          <w:lang w:val="en-US" w:eastAsia="zh-CN"/>
        </w:rPr>
        <w:t>街道</w:t>
      </w:r>
      <w:r>
        <w:rPr>
          <w:rFonts w:hint="eastAsia" w:ascii="仿宋_GB2312" w:hAnsi="Arial" w:eastAsia="仿宋_GB2312" w:cs="Arial"/>
          <w:color w:val="000000"/>
          <w:sz w:val="32"/>
          <w:szCs w:val="32"/>
        </w:rPr>
        <w:t>。中西部平原建设城市环保风景林区，包括</w:t>
      </w:r>
      <w:r>
        <w:rPr>
          <w:rFonts w:hint="eastAsia" w:ascii="仿宋_GB2312" w:hAnsi="Arial" w:eastAsia="仿宋_GB2312" w:cs="Arial"/>
          <w:color w:val="000000"/>
          <w:sz w:val="32"/>
          <w:szCs w:val="32"/>
          <w:lang w:val="en-US" w:eastAsia="zh-CN"/>
        </w:rPr>
        <w:t>张店</w:t>
      </w:r>
      <w:r>
        <w:rPr>
          <w:rFonts w:hint="eastAsia" w:ascii="仿宋_GB2312" w:hAnsi="Arial" w:eastAsia="仿宋_GB2312" w:cs="Arial"/>
          <w:color w:val="000000"/>
          <w:sz w:val="32"/>
          <w:szCs w:val="32"/>
        </w:rPr>
        <w:t>城区、马尚</w:t>
      </w:r>
      <w:r>
        <w:rPr>
          <w:rFonts w:hint="eastAsia" w:ascii="仿宋_GB2312" w:hAnsi="Arial" w:eastAsia="仿宋_GB2312" w:cs="Arial"/>
          <w:color w:val="000000"/>
          <w:sz w:val="32"/>
          <w:szCs w:val="32"/>
          <w:lang w:val="en-US" w:eastAsia="zh-CN"/>
        </w:rPr>
        <w:t>街道</w:t>
      </w:r>
      <w:r>
        <w:rPr>
          <w:rFonts w:hint="eastAsia" w:ascii="仿宋_GB2312" w:hAnsi="Arial" w:eastAsia="仿宋_GB2312" w:cs="Arial"/>
          <w:color w:val="000000"/>
          <w:sz w:val="32"/>
          <w:szCs w:val="32"/>
        </w:rPr>
        <w:t>、房镇镇。</w:t>
      </w:r>
    </w:p>
    <w:p>
      <w:pPr>
        <w:pStyle w:val="13"/>
        <w:wordWrap/>
        <w:spacing w:before="0" w:beforeAutospacing="0" w:after="0" w:afterAutospacing="0" w:line="560" w:lineRule="exact"/>
        <w:ind w:left="0" w:leftChars="0" w:firstLine="640" w:firstLineChars="200"/>
        <w:textAlignment w:val="auto"/>
        <w:rPr>
          <w:rFonts w:hint="eastAsia" w:ascii="黑体" w:hAnsi="黑体" w:eastAsia="黑体" w:cs="Arial"/>
          <w:color w:val="000000"/>
          <w:sz w:val="32"/>
          <w:szCs w:val="32"/>
          <w:lang w:val="en-US" w:eastAsia="zh-CN"/>
        </w:rPr>
      </w:pPr>
      <w:r>
        <w:rPr>
          <w:rFonts w:hint="eastAsia" w:ascii="仿宋_GB2312" w:hAnsi="Arial" w:eastAsia="仿宋_GB2312" w:cs="Arial"/>
          <w:color w:val="000000"/>
          <w:kern w:val="0"/>
          <w:sz w:val="32"/>
          <w:szCs w:val="32"/>
          <w:lang w:val="en-US" w:eastAsia="zh-CN" w:bidi="ar-SA"/>
        </w:rPr>
        <w:pict>
          <v:shape id="图片 4" o:spid="_x0000_s1028" type="#_x0000_t75" style="position:absolute;left:0;margin-left:2.95pt;margin-top:13.8pt;height:296.05pt;width:418.3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10"/>
            <o:lock v:ext="edit" position="f" selection="f" grouping="f" rotation="f" cropping="f" text="f" aspectratio="t"/>
            <w10:wrap type="square"/>
          </v:shape>
        </w:pict>
      </w:r>
      <w:bookmarkStart w:id="39" w:name="_Toc10208"/>
      <w:bookmarkStart w:id="40" w:name="_Toc12245"/>
      <w:r>
        <w:rPr>
          <w:rFonts w:hint="eastAsia" w:ascii="黑体" w:hAnsi="黑体" w:eastAsia="黑体" w:cs="Arial"/>
          <w:color w:val="000000"/>
          <w:sz w:val="32"/>
          <w:szCs w:val="32"/>
          <w:lang w:val="en-US" w:eastAsia="zh-CN"/>
        </w:rPr>
        <w:t>三、重点</w:t>
      </w:r>
      <w:bookmarkEnd w:id="39"/>
      <w:r>
        <w:rPr>
          <w:rFonts w:hint="eastAsia" w:ascii="黑体" w:hAnsi="黑体" w:eastAsia="黑体" w:cs="Arial"/>
          <w:color w:val="000000"/>
          <w:sz w:val="32"/>
          <w:szCs w:val="32"/>
          <w:lang w:val="en-US" w:eastAsia="zh-CN"/>
        </w:rPr>
        <w:t>建设工作</w:t>
      </w:r>
      <w:bookmarkEnd w:id="40"/>
    </w:p>
    <w:p>
      <w:pPr>
        <w:pStyle w:val="13"/>
        <w:numPr>
          <w:numId w:val="0"/>
        </w:numPr>
        <w:wordWrap/>
        <w:spacing w:before="0" w:beforeAutospacing="0" w:after="0" w:afterAutospacing="0" w:line="560" w:lineRule="exact"/>
        <w:ind w:firstLine="640" w:firstLineChars="200"/>
        <w:textAlignment w:val="auto"/>
        <w:outlineLvl w:val="1"/>
        <w:rPr>
          <w:rFonts w:hint="eastAsia" w:ascii="楷体_GB2312" w:hAnsi="楷体_GB2312" w:eastAsia="楷体_GB2312" w:cs="楷体_GB2312"/>
          <w:color w:val="000000"/>
          <w:sz w:val="32"/>
          <w:szCs w:val="32"/>
          <w:lang w:val="en-US" w:eastAsia="zh-CN"/>
        </w:rPr>
      </w:pPr>
      <w:bookmarkStart w:id="41" w:name="_Toc635"/>
      <w:r>
        <w:rPr>
          <w:rFonts w:hint="eastAsia" w:ascii="楷体_GB2312" w:hAnsi="楷体_GB2312" w:eastAsia="楷体_GB2312" w:cs="楷体_GB2312"/>
          <w:color w:val="000000"/>
          <w:sz w:val="32"/>
          <w:szCs w:val="32"/>
          <w:lang w:val="en-US" w:eastAsia="zh-CN"/>
        </w:rPr>
        <w:t>（一）巩固绿化</w:t>
      </w:r>
      <w:bookmarkEnd w:id="41"/>
      <w:r>
        <w:rPr>
          <w:rFonts w:hint="eastAsia" w:ascii="楷体_GB2312" w:hAnsi="楷体_GB2312" w:eastAsia="楷体_GB2312" w:cs="楷体_GB2312"/>
          <w:color w:val="000000"/>
          <w:sz w:val="32"/>
          <w:szCs w:val="32"/>
          <w:lang w:val="en-US" w:eastAsia="zh-CN"/>
        </w:rPr>
        <w:t>造林成果，全力打造公园城市</w:t>
      </w:r>
    </w:p>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r>
        <w:rPr>
          <w:rFonts w:hint="eastAsia"/>
          <w:b w:val="0"/>
          <w:bCs/>
          <w:lang w:val="en-US" w:eastAsia="zh-CN"/>
        </w:rPr>
        <w:t>1、</w:t>
      </w:r>
      <w:r>
        <w:rPr>
          <w:rFonts w:hint="eastAsia" w:ascii="Times New Roman" w:hAnsi="Times New Roman"/>
          <w:b w:val="0"/>
          <w:bCs/>
          <w:lang w:val="en-US" w:eastAsia="zh-CN"/>
        </w:rPr>
        <w:t>科学布局城市绿化。</w:t>
      </w:r>
    </w:p>
    <w:p>
      <w:pPr>
        <w:wordWrap/>
        <w:spacing w:line="560" w:lineRule="exact"/>
        <w:textAlignment w:val="auto"/>
        <w:rPr>
          <w:rFonts w:hint="eastAsia"/>
          <w:lang w:val="en-US" w:eastAsia="zh-CN"/>
        </w:rPr>
      </w:pPr>
      <w:r>
        <w:rPr>
          <w:rFonts w:hint="eastAsia"/>
          <w:lang w:val="en-US" w:eastAsia="zh-CN"/>
        </w:rPr>
        <w:t>根据第三次全国国土调查成果及2020年度国土变更成果，综合考虑土地利用结构、土地适宜性等因素，科学规划绿化用地。依据国土空间规划，基于“三区三线”划定成果，查清宜绿化空间底数，科学规划绿化用地。结合张店区森林资源现情况，森林资源培育和提高资源质量为工作重点，扎实开展绿化改造提升工程，进一步推动我区森林生态环境改善和提高，践行绿色生活与绿色发展方式</w:t>
      </w:r>
      <w:r>
        <w:rPr>
          <w:rFonts w:hint="default"/>
          <w:lang w:val="en-US" w:eastAsia="zh-CN"/>
        </w:rPr>
        <w:t>，全面提升人居生态环境，实现“山青、水秀、林绿、景美”，打造城市最美底色。</w:t>
      </w:r>
    </w:p>
    <w:p>
      <w:pPr>
        <w:pStyle w:val="5"/>
        <w:widowControl w:val="0"/>
        <w:wordWrap/>
        <w:adjustRightInd/>
        <w:snapToGrid/>
        <w:spacing w:before="0" w:beforeLines="0" w:after="0" w:afterLines="0" w:line="560" w:lineRule="exact"/>
        <w:ind w:firstLine="1044"/>
        <w:textAlignment w:val="auto"/>
        <w:rPr>
          <w:rFonts w:hint="eastAsia"/>
          <w:b w:val="0"/>
          <w:bCs/>
          <w:lang w:val="en-US" w:eastAsia="zh-CN"/>
        </w:rPr>
      </w:pPr>
      <w:r>
        <w:rPr>
          <w:rFonts w:hint="eastAsia"/>
          <w:b w:val="0"/>
          <w:bCs/>
          <w:lang w:val="en-US" w:eastAsia="zh-CN"/>
        </w:rPr>
        <w:t>2、积极参与配合淄博市打造全域公园城市的工作。</w:t>
      </w:r>
    </w:p>
    <w:p>
      <w:pPr>
        <w:wordWrap/>
        <w:spacing w:line="560" w:lineRule="exact"/>
        <w:textAlignment w:val="auto"/>
        <w:rPr>
          <w:rFonts w:hint="default"/>
          <w:lang w:val="en-US" w:eastAsia="zh-CN"/>
        </w:rPr>
      </w:pPr>
      <w:r>
        <w:t>根据“园中建城、城中有园、城园相融、人城和谐”的规划理念，</w:t>
      </w:r>
      <w:r>
        <w:rPr>
          <w:rFonts w:hint="eastAsia"/>
          <w:lang w:val="en-US" w:eastAsia="zh-CN"/>
        </w:rPr>
        <w:t>淄博市</w:t>
      </w:r>
      <w:r>
        <w:t>规划构建“三大类、十中类、十七小类”的城市公园体系，按照“四位一体、组群统筹、全域融合”的城市发展思路，着力构建“一心、两环、三带、四片区”的独具淄博特色魅力的公园城市大格局。</w:t>
      </w:r>
      <w:r>
        <w:rPr>
          <w:rFonts w:hint="eastAsia"/>
          <w:lang w:val="en-US" w:eastAsia="zh-CN"/>
        </w:rPr>
        <w:t>这其中，“一心”指的便是</w:t>
      </w:r>
      <w:r>
        <w:t>以张店区为核心的四位一体主城区，着力打造城园一体、现代时尚的城市形态。主城区提质增容，不断提高承载力、辐射力，全面营造主城区“人、境、业、城、制”和谐有序、欣欣向荣的品质活力。</w:t>
      </w:r>
    </w:p>
    <w:p>
      <w:pPr>
        <w:pStyle w:val="5"/>
        <w:widowControl w:val="0"/>
        <w:wordWrap/>
        <w:adjustRightInd/>
        <w:snapToGrid/>
        <w:spacing w:before="0" w:beforeLines="0" w:after="0" w:afterLines="0" w:line="560" w:lineRule="exact"/>
        <w:ind w:firstLine="1044"/>
        <w:textAlignment w:val="auto"/>
        <w:rPr>
          <w:rFonts w:hint="eastAsia"/>
          <w:b w:val="0"/>
          <w:bCs/>
          <w:lang w:val="en-US" w:eastAsia="zh-CN"/>
        </w:rPr>
      </w:pPr>
      <w:r>
        <w:rPr>
          <w:rFonts w:hint="eastAsia"/>
          <w:b w:val="0"/>
          <w:bCs/>
          <w:lang w:val="en-US" w:eastAsia="zh-CN"/>
        </w:rPr>
        <w:t>3、坚持</w:t>
      </w:r>
      <w:r>
        <w:rPr>
          <w:rFonts w:hint="default"/>
          <w:b w:val="0"/>
          <w:bCs/>
          <w:lang w:val="en-US" w:eastAsia="zh-CN"/>
        </w:rPr>
        <w:t>“一路一特色、一园一风貌”，精心做好“山青、水秀、林绿、景美”四篇文章</w:t>
      </w:r>
      <w:r>
        <w:rPr>
          <w:rFonts w:hint="eastAsia"/>
          <w:b w:val="0"/>
          <w:bCs/>
          <w:lang w:val="en-US" w:eastAsia="zh-CN"/>
        </w:rPr>
        <w:t>。</w:t>
      </w:r>
    </w:p>
    <w:p>
      <w:pPr>
        <w:wordWrap/>
        <w:spacing w:line="560" w:lineRule="exact"/>
        <w:textAlignment w:val="auto"/>
        <w:rPr>
          <w:rFonts w:hint="default"/>
          <w:lang w:val="en-US" w:eastAsia="zh-CN"/>
        </w:rPr>
      </w:pPr>
      <w:r>
        <w:rPr>
          <w:rFonts w:hint="eastAsia"/>
          <w:lang w:val="en-US" w:eastAsia="zh-CN"/>
        </w:rPr>
        <w:t>重点实施国省道生态廊道建设工程、城市增绿添彩工程等。</w:t>
      </w:r>
      <w:r>
        <w:t>合理安排城乡绿化用地，留足城乡绿化空间；实施城市生态修复、城市增绿攻坚和城市绿化品质提升，系统推进城市绿环、绿廊、绿楔、绿道建设；实施见缝插绿，推进立体绿化，开展“四旁”植树，做到应绿尽绿；加大城乡公园绿地建设，形成布局合理的公园体系</w:t>
      </w:r>
      <w:r>
        <w:rPr>
          <w:rFonts w:hint="eastAsia"/>
          <w:lang w:eastAsia="zh-CN"/>
        </w:rPr>
        <w:t>。</w:t>
      </w:r>
    </w:p>
    <w:p>
      <w:pPr>
        <w:pStyle w:val="13"/>
        <w:numPr>
          <w:numId w:val="0"/>
        </w:numPr>
        <w:wordWrap/>
        <w:spacing w:before="0" w:beforeAutospacing="0" w:after="0" w:afterAutospacing="0" w:line="560" w:lineRule="exact"/>
        <w:ind w:leftChars="200"/>
        <w:textAlignment w:val="auto"/>
        <w:outlineLvl w:val="1"/>
        <w:rPr>
          <w:rFonts w:hint="eastAsia" w:ascii="楷体_GB2312" w:hAnsi="楷体_GB2312" w:eastAsia="楷体_GB2312" w:cs="楷体_GB2312"/>
          <w:color w:val="000000"/>
          <w:sz w:val="32"/>
          <w:szCs w:val="32"/>
          <w:lang w:val="en-US" w:eastAsia="zh-CN"/>
        </w:rPr>
      </w:pPr>
      <w:bookmarkStart w:id="42" w:name="_Toc12770"/>
      <w:r>
        <w:rPr>
          <w:rFonts w:hint="eastAsia" w:ascii="楷体_GB2312" w:hAnsi="楷体_GB2312" w:eastAsia="楷体_GB2312" w:cs="楷体_GB2312"/>
          <w:color w:val="000000"/>
          <w:sz w:val="32"/>
          <w:szCs w:val="32"/>
          <w:lang w:val="en-US" w:eastAsia="zh-CN"/>
        </w:rPr>
        <w:t>（二）加强经济林建设工作</w:t>
      </w:r>
      <w:bookmarkEnd w:id="42"/>
      <w:r>
        <w:rPr>
          <w:rFonts w:hint="eastAsia" w:ascii="楷体_GB2312" w:hAnsi="楷体_GB2312" w:eastAsia="楷体_GB2312" w:cs="楷体_GB2312"/>
          <w:color w:val="000000"/>
          <w:sz w:val="32"/>
          <w:szCs w:val="32"/>
          <w:lang w:val="en-US" w:eastAsia="zh-CN"/>
        </w:rPr>
        <w:t>，激发林业发展活力</w:t>
      </w:r>
    </w:p>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r>
        <w:rPr>
          <w:rFonts w:hint="eastAsia" w:ascii="Times New Roman" w:hAnsi="Times New Roman"/>
          <w:b w:val="0"/>
          <w:bCs/>
          <w:lang w:val="en-US" w:eastAsia="zh-CN"/>
        </w:rPr>
        <w:t>1、发展新兴林业产业</w:t>
      </w:r>
    </w:p>
    <w:p>
      <w:pPr>
        <w:wordWrap/>
        <w:spacing w:line="560" w:lineRule="exact"/>
        <w:textAlignment w:val="auto"/>
        <w:rPr>
          <w:rFonts w:hint="eastAsia"/>
          <w:lang w:val="en-US" w:eastAsia="zh-CN"/>
        </w:rPr>
      </w:pPr>
      <w:r>
        <w:rPr>
          <w:rFonts w:hint="eastAsia"/>
          <w:lang w:val="en-US" w:eastAsia="zh-CN"/>
        </w:rPr>
        <w:t>优化经济林产业结构，按照因地制宜，特色发展等原则，发展高品质森林旅游观光园区，加快生态旅游产业融合发展，积极培育生态旅游发展新业态；结合我区林地资源稀缺的特点，</w:t>
      </w:r>
      <w:r>
        <w:rPr>
          <w:rFonts w:hint="eastAsia"/>
          <w:lang w:eastAsia="zh-CN"/>
        </w:rPr>
        <w:t>因地制宜发展林下经济，促</w:t>
      </w:r>
      <w:r>
        <w:rPr>
          <w:rFonts w:hint="eastAsia" w:ascii="仿宋_GB2312" w:hAnsi="仿宋_GB2312" w:eastAsia="仿宋_GB2312" w:cs="仿宋_GB2312"/>
          <w:lang w:eastAsia="zh-CN"/>
        </w:rPr>
        <w:t>进林下种</w:t>
      </w:r>
      <w:r>
        <w:rPr>
          <w:rFonts w:hint="eastAsia"/>
          <w:lang w:eastAsia="zh-CN"/>
        </w:rPr>
        <w:t>植养殖业资源共享、循环相生、协调发展，</w:t>
      </w:r>
      <w:r>
        <w:rPr>
          <w:rFonts w:hint="eastAsia"/>
          <w:lang w:val="en-US" w:eastAsia="zh-CN"/>
        </w:rPr>
        <w:t>更加充分、合理的利用我区的林业资源</w:t>
      </w:r>
      <w:r>
        <w:rPr>
          <w:rFonts w:hint="eastAsia"/>
          <w:lang w:eastAsia="zh-CN"/>
        </w:rPr>
        <w:t>，促进形成各具特色的、可持续发展的绿色产业体系，支持林下经济示范基地与综合生产能力建设，拓宽农民增收致富渠道；切实加强技术指导，加快先进实用技术的转化和科技成果推广。</w:t>
      </w:r>
    </w:p>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r>
        <w:rPr>
          <w:rFonts w:hint="eastAsia" w:ascii="Times New Roman" w:hAnsi="Times New Roman"/>
          <w:b w:val="0"/>
          <w:bCs/>
          <w:lang w:val="en-US" w:eastAsia="zh-CN"/>
        </w:rPr>
        <w:t>2、强化林产品质量保障机制</w:t>
      </w:r>
    </w:p>
    <w:p>
      <w:pPr>
        <w:wordWrap/>
        <w:spacing w:line="560" w:lineRule="exact"/>
        <w:textAlignment w:val="auto"/>
        <w:rPr>
          <w:rFonts w:hint="eastAsia" w:eastAsia="仿宋_GB2312"/>
          <w:lang w:eastAsia="zh-CN"/>
        </w:rPr>
      </w:pPr>
      <w:r>
        <w:rPr>
          <w:rFonts w:hint="eastAsia"/>
        </w:rPr>
        <w:t>合</w:t>
      </w:r>
      <w:r>
        <w:rPr>
          <w:rFonts w:hint="eastAsia"/>
          <w:lang w:val="en-US" w:eastAsia="zh-CN"/>
        </w:rPr>
        <w:t>理利用现有经济林资源，在</w:t>
      </w:r>
      <w:r>
        <w:rPr>
          <w:rFonts w:hint="default"/>
          <w:lang w:val="en-US" w:eastAsia="zh-CN"/>
        </w:rPr>
        <w:t>用地现状和产业发展实际基础上，</w:t>
      </w:r>
      <w:r>
        <w:rPr>
          <w:rFonts w:hint="eastAsia"/>
          <w:lang w:val="en-US" w:eastAsia="zh-CN"/>
        </w:rPr>
        <w:t>积极</w:t>
      </w:r>
      <w:r>
        <w:rPr>
          <w:rFonts w:hint="default"/>
          <w:lang w:val="en-US" w:eastAsia="zh-CN"/>
        </w:rPr>
        <w:t>引导</w:t>
      </w:r>
      <w:r>
        <w:rPr>
          <w:rFonts w:hint="eastAsia"/>
          <w:lang w:val="en-US" w:eastAsia="zh-CN"/>
        </w:rPr>
        <w:t>果农</w:t>
      </w:r>
      <w:r>
        <w:rPr>
          <w:rFonts w:hint="default"/>
          <w:lang w:val="en-US" w:eastAsia="zh-CN"/>
        </w:rPr>
        <w:t>发展特色</w:t>
      </w:r>
      <w:r>
        <w:rPr>
          <w:rFonts w:hint="eastAsia"/>
          <w:lang w:val="en-US" w:eastAsia="zh-CN"/>
        </w:rPr>
        <w:t>化</w:t>
      </w:r>
      <w:r>
        <w:rPr>
          <w:rFonts w:hint="default"/>
          <w:lang w:val="en-US" w:eastAsia="zh-CN"/>
        </w:rPr>
        <w:t>产业</w:t>
      </w:r>
      <w:r>
        <w:rPr>
          <w:rFonts w:hint="eastAsia"/>
          <w:lang w:val="en-US" w:eastAsia="zh-CN"/>
        </w:rPr>
        <w:t>；</w:t>
      </w:r>
      <w:r>
        <w:t>开展食用林产品质量安全宣传</w:t>
      </w:r>
      <w:r>
        <w:rPr>
          <w:rFonts w:hint="eastAsia"/>
        </w:rPr>
        <w:t>活动</w:t>
      </w:r>
      <w:r>
        <w:t>，促进林产品从业者规范生产活动，不断提高林产品质量</w:t>
      </w:r>
      <w:r>
        <w:rPr>
          <w:rFonts w:hint="eastAsia"/>
          <w:lang w:eastAsia="zh-CN"/>
        </w:rPr>
        <w:t>；</w:t>
      </w:r>
      <w:r>
        <w:rPr>
          <w:rFonts w:hint="default"/>
          <w:lang w:eastAsia="zh-CN"/>
        </w:rPr>
        <w:t>组织技术人员开展科技下乡活动，推广以绿色防控为重点的生产技术</w:t>
      </w:r>
      <w:r>
        <w:rPr>
          <w:rFonts w:hint="eastAsia"/>
          <w:lang w:eastAsia="zh-CN"/>
        </w:rPr>
        <w:t>；</w:t>
      </w:r>
      <w:r>
        <w:rPr>
          <w:rFonts w:hint="eastAsia"/>
        </w:rPr>
        <w:t>加强</w:t>
      </w:r>
      <w:r>
        <w:t>食用林产品生产标准体系建设，</w:t>
      </w:r>
      <w:r>
        <w:rPr>
          <w:rFonts w:hint="eastAsia"/>
        </w:rPr>
        <w:t>逐步</w:t>
      </w:r>
      <w:r>
        <w:t>建立良种苗木繁育、生产标准体系和管理技术规程，加大标准化生产技术推广力度，</w:t>
      </w:r>
      <w:r>
        <w:rPr>
          <w:rFonts w:hint="eastAsia"/>
        </w:rPr>
        <w:t>积极推荐申报省级经济林标准化示范园</w:t>
      </w:r>
      <w:r>
        <w:rPr>
          <w:rFonts w:hint="eastAsia"/>
          <w:lang w:eastAsia="zh-CN"/>
        </w:rPr>
        <w:t>；</w:t>
      </w:r>
      <w:r>
        <w:rPr>
          <w:rFonts w:hint="default"/>
          <w:lang w:val="en-US" w:eastAsia="zh-CN"/>
        </w:rPr>
        <w:t>认真做好市</w:t>
      </w:r>
      <w:r>
        <w:rPr>
          <w:rFonts w:hint="eastAsia"/>
          <w:lang w:val="en-US" w:eastAsia="zh-CN"/>
        </w:rPr>
        <w:t>、区</w:t>
      </w:r>
      <w:r>
        <w:rPr>
          <w:rFonts w:hint="default"/>
          <w:lang w:val="en-US" w:eastAsia="zh-CN"/>
        </w:rPr>
        <w:t>级</w:t>
      </w:r>
      <w:r>
        <w:rPr>
          <w:rFonts w:hint="eastAsia"/>
          <w:lang w:val="en-US" w:eastAsia="zh-CN"/>
        </w:rPr>
        <w:t>林产</w:t>
      </w:r>
      <w:r>
        <w:rPr>
          <w:rFonts w:hint="default"/>
          <w:lang w:val="en-US" w:eastAsia="zh-CN"/>
        </w:rPr>
        <w:t>品质量安全监督抽检和风险监测</w:t>
      </w:r>
      <w:r>
        <w:rPr>
          <w:rFonts w:hint="eastAsia"/>
          <w:lang w:val="en-US" w:eastAsia="zh-CN"/>
        </w:rPr>
        <w:t>，</w:t>
      </w:r>
      <w:r>
        <w:t>积极开展食用林产品追溯体系建设，实现“生产有记录，流向可追踪，质量可追溯”</w:t>
      </w:r>
      <w:r>
        <w:rPr>
          <w:rFonts w:hint="eastAsia"/>
          <w:lang w:eastAsia="zh-CN"/>
        </w:rPr>
        <w:t>；</w:t>
      </w:r>
      <w:r>
        <w:rPr>
          <w:rFonts w:hint="eastAsia"/>
          <w:lang w:val="en-US" w:eastAsia="zh-CN"/>
        </w:rPr>
        <w:t>积极引进和培育龙头企业，大力推广“公司+农户”“公司+合作社+农户”等多种运作模式，按照规模化、专业化、标准化和集约化的经营模式，走布局合理、特色鲜明、功能齐全、效益良好的特色经济林产业发展道路。</w:t>
      </w:r>
    </w:p>
    <w:p>
      <w:pPr>
        <w:pStyle w:val="13"/>
        <w:wordWrap/>
        <w:spacing w:before="0" w:beforeAutospacing="0" w:after="0" w:afterAutospacing="0" w:line="560" w:lineRule="exact"/>
        <w:ind w:firstLine="640" w:firstLineChars="200"/>
        <w:textAlignment w:val="auto"/>
        <w:outlineLvl w:val="1"/>
        <w:rPr>
          <w:rFonts w:hint="eastAsia" w:ascii="楷体_GB2312" w:hAnsi="楷体_GB2312" w:eastAsia="楷体_GB2312" w:cs="楷体_GB2312"/>
          <w:color w:val="000000"/>
          <w:sz w:val="32"/>
          <w:szCs w:val="32"/>
          <w:lang w:val="en-US" w:eastAsia="zh-CN"/>
        </w:rPr>
      </w:pPr>
      <w:bookmarkStart w:id="43" w:name="_Toc22229"/>
      <w:r>
        <w:rPr>
          <w:rFonts w:hint="eastAsia" w:ascii="楷体_GB2312" w:hAnsi="楷体_GB2312" w:eastAsia="楷体_GB2312" w:cs="楷体_GB2312"/>
          <w:color w:val="000000"/>
          <w:sz w:val="32"/>
          <w:szCs w:val="32"/>
          <w:lang w:val="en-US" w:eastAsia="zh-CN"/>
        </w:rPr>
        <w:t>（三）</w:t>
      </w:r>
      <w:bookmarkEnd w:id="43"/>
      <w:r>
        <w:rPr>
          <w:rFonts w:hint="eastAsia" w:ascii="楷体_GB2312" w:hAnsi="楷体_GB2312" w:eastAsia="楷体_GB2312" w:cs="楷体_GB2312"/>
          <w:color w:val="000000"/>
          <w:sz w:val="32"/>
          <w:szCs w:val="32"/>
          <w:lang w:val="en-US" w:eastAsia="zh-CN"/>
        </w:rPr>
        <w:t>加强林业生态保护管理，构筑生态安全屏障</w:t>
      </w:r>
    </w:p>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r>
        <w:rPr>
          <w:rFonts w:hint="eastAsia" w:ascii="Times New Roman" w:hAnsi="Times New Roman"/>
          <w:b w:val="0"/>
          <w:bCs/>
          <w:lang w:val="en-US" w:eastAsia="zh-CN"/>
        </w:rPr>
        <w:t>1、全面推进森林火灾综合防控，维护森林生态安全。</w:t>
      </w:r>
    </w:p>
    <w:p>
      <w:pPr>
        <w:wordWrap/>
        <w:spacing w:line="560" w:lineRule="exact"/>
        <w:textAlignment w:val="auto"/>
        <w:rPr>
          <w:rFonts w:hint="eastAsia"/>
          <w:lang w:val="en-US" w:eastAsia="zh-CN"/>
        </w:rPr>
      </w:pPr>
      <w:r>
        <w:rPr>
          <w:rFonts w:hint="eastAsia"/>
          <w:lang w:val="en-US" w:eastAsia="zh-CN"/>
        </w:rPr>
        <w:t>“十四五”规划期间，张店区将按照淄博市打造市、县、乡三级统一的森林草原防火信息化平台的总要求，对接淄博市“十四五”防火规划。坚持“预防为主，积极消灭”的工作方针，落实“把住路、守住山、看住人、盯住坟、管住火”的要求，通过完善“预防、扑救和保障”三大体系建设，加强林火监测、通信指挥系统、防火检查站、防火道路、以水灭火等基础设施建设，进一步提高张店区森林防火的预警能力、快速扑救能力和应急处置能力。在完成张店区森林和草原火灾风险普查的基础上，加强普查成果共享应用，促进全区的经济、社会、生态全面协调和可持续发展。加强森林防火宣传教育深入开展防火宣传“五进”活动，加大森林火灾案件查处力度，力争有火不过夜。森林火灾受害率稳定控制在0.5‰以内，确保实现无重大森林火灾、无人员伤亡的目标。</w:t>
      </w:r>
    </w:p>
    <w:p>
      <w:pPr>
        <w:pStyle w:val="5"/>
        <w:widowControl w:val="0"/>
        <w:wordWrap/>
        <w:adjustRightInd/>
        <w:snapToGrid/>
        <w:spacing w:before="0" w:beforeLines="0" w:after="0" w:afterLines="0" w:line="560" w:lineRule="exact"/>
        <w:ind w:firstLine="1044"/>
        <w:textAlignment w:val="auto"/>
        <w:rPr>
          <w:rFonts w:hint="eastAsia" w:ascii="Times New Roman" w:hAnsi="Times New Roman"/>
          <w:b w:val="0"/>
          <w:bCs/>
          <w:lang w:val="en-US" w:eastAsia="zh-CN"/>
        </w:rPr>
      </w:pPr>
      <w:r>
        <w:rPr>
          <w:rFonts w:hint="eastAsia" w:ascii="Times New Roman" w:hAnsi="Times New Roman"/>
          <w:b w:val="0"/>
          <w:bCs/>
          <w:lang w:val="en-US" w:eastAsia="zh-CN"/>
        </w:rPr>
        <w:t>2、扎实推进林业有害生物和外来入侵物种防控工作</w:t>
      </w:r>
    </w:p>
    <w:p>
      <w:pPr>
        <w:wordWrap/>
        <w:spacing w:line="560" w:lineRule="exact"/>
        <w:textAlignment w:val="auto"/>
        <w:rPr>
          <w:rFonts w:hint="eastAsia"/>
          <w:lang w:val="en-US" w:eastAsia="zh-CN"/>
        </w:rPr>
      </w:pPr>
      <w:r>
        <w:rPr>
          <w:rFonts w:hint="eastAsia"/>
          <w:lang w:val="en-US" w:eastAsia="zh-CN"/>
        </w:rPr>
        <w:t>加强林业有害生物测报点建设，以淄博市发布的《淄博病虫快讯》为参照，做好林业有害生物防治技术指导，重点做好松材线虫病、美国白蛾等重大林业有害生物防控。开展松材线虫病疫木管控及林木种苗检疫专项行动,及时发现并按相关规程清理病死松树，严防松材线虫病在我区发生传播。积极筹措资金，购置药品器械，充实区级防控物资储备。结合监测数据，科学研判，指导各地采用飞机防治、人工器械防治、生物防治等综合措施开展林业有害生物防治，秉持“压前控后”防控思路，加大巡查检查力度，开展拉网式排查，着重清理问题位点，补齐防控漏洞，积极开展联防联控，确保及时发现及时除治。综合运用剪除幕网、地面喷药、生物防治等措施，加大绿色无公害防治力度，基本实现有虫不成灾。</w:t>
      </w:r>
    </w:p>
    <w:p>
      <w:pPr>
        <w:wordWrap/>
        <w:spacing w:line="560" w:lineRule="exact"/>
        <w:textAlignment w:val="auto"/>
        <w:rPr>
          <w:rFonts w:hint="eastAsia"/>
          <w:lang w:val="en-US" w:eastAsia="zh-CN"/>
        </w:rPr>
      </w:pPr>
      <w:r>
        <w:rPr>
          <w:rFonts w:hint="eastAsia"/>
          <w:lang w:val="en-US" w:eastAsia="zh-CN"/>
        </w:rPr>
        <w:t>开展外来入侵物种普查工作，查明外来入侵物种的种类、发生面积及危害程度，系统评估外来物种发生危害现状及未来发生趋势，明晰防控重点，制定防控方案，有针对性地对重要区域进行重点防控，有效遏制林业外来物种传播蔓延。</w:t>
      </w:r>
    </w:p>
    <w:p>
      <w:pPr>
        <w:pStyle w:val="5"/>
        <w:widowControl w:val="0"/>
        <w:numPr>
          <w:ilvl w:val="0"/>
          <w:numId w:val="3"/>
        </w:numPr>
        <w:wordWrap/>
        <w:adjustRightInd/>
        <w:snapToGrid/>
        <w:spacing w:before="0" w:beforeLines="0" w:after="0" w:afterLines="0" w:line="560" w:lineRule="exact"/>
        <w:ind w:left="-83" w:leftChars="0" w:firstLine="640" w:firstLineChars="200"/>
        <w:textAlignment w:val="auto"/>
        <w:rPr>
          <w:rFonts w:hint="eastAsia" w:ascii="Times New Roman" w:hAnsi="Times New Roman"/>
          <w:b w:val="0"/>
          <w:bCs/>
          <w:lang w:val="en-US" w:eastAsia="zh-CN"/>
        </w:rPr>
      </w:pPr>
      <w:r>
        <w:rPr>
          <w:rFonts w:hint="eastAsia" w:ascii="Times New Roman" w:hAnsi="Times New Roman"/>
          <w:b w:val="0"/>
          <w:bCs/>
          <w:lang w:val="en-US" w:eastAsia="zh-CN"/>
        </w:rPr>
        <w:t>进一步提高森林资源保护管理水平</w:t>
      </w:r>
    </w:p>
    <w:p>
      <w:pPr>
        <w:wordWrap/>
        <w:spacing w:line="560" w:lineRule="exact"/>
        <w:textAlignment w:val="auto"/>
        <w:rPr>
          <w:rFonts w:hint="eastAsia"/>
          <w:lang w:val="en-US" w:eastAsia="zh-CN"/>
        </w:rPr>
      </w:pPr>
      <w:r>
        <w:rPr>
          <w:rFonts w:hint="eastAsia"/>
          <w:lang w:val="en-US" w:eastAsia="zh-CN"/>
        </w:rPr>
        <w:t>（1）认真执行《中华人民共和国森林法》等法律法规，科学编制新一轮林地保护利用规划，按照林地管理“总量控制、定额管理、节约用地、合理供地、占补平衡”的基本原则，实施林地和森林总量管控，严格林地用途管制、林地使用审核审批和使用林地定额制度，从严控制林地向非林地逆转。认真做好年度森林督查和林草生态综合监测评价工作，如实反映森林资源年度动态变化情况，发现违法行为及时依法依规进行查处，做到查处到位，整改到位。严格执行“十四五”期间年森林采伐限额，我区“十四五”期间年采伐限额为6009立方米，严格限定公益林内、生态保护红线内和自然保护地内的林木采伐，确需采伐的，要在符合规划的造林区域内予以科学补种。积极推进林草生态综合监测评价与国土三调成果、国土空间规划的深度融合，依法依规做好国家级、市级公益林及沿海防护林的范围优化调整工作。</w:t>
      </w:r>
    </w:p>
    <w:p>
      <w:pPr>
        <w:wordWrap/>
        <w:spacing w:line="560" w:lineRule="exact"/>
        <w:textAlignment w:val="auto"/>
        <w:rPr>
          <w:rFonts w:hint="eastAsia"/>
          <w:lang w:val="en-US" w:eastAsia="zh-CN"/>
        </w:rPr>
      </w:pPr>
      <w:r>
        <w:rPr>
          <w:rFonts w:hint="eastAsia"/>
          <w:lang w:val="en-US" w:eastAsia="zh-CN"/>
        </w:rPr>
        <w:t>（2）结合国家下发的卫片疑似图斑数据，完成年度辖区内森林督查任务。加强林地资源的保护与管理，配合相关部门有力打击破坏森林资源的违法行为，加大对涉林违法案件的严打力度，对违法行为及时发现、及时查处，切实保护好全区森林资源。</w:t>
      </w:r>
    </w:p>
    <w:p>
      <w:pPr>
        <w:wordWrap/>
        <w:spacing w:line="560" w:lineRule="exact"/>
        <w:textAlignment w:val="auto"/>
        <w:rPr>
          <w:rFonts w:hint="eastAsia"/>
          <w:lang w:val="en-US" w:eastAsia="zh-CN"/>
        </w:rPr>
      </w:pPr>
      <w:r>
        <w:rPr>
          <w:rFonts w:hint="eastAsia"/>
          <w:lang w:val="en-US" w:eastAsia="zh-CN"/>
        </w:rPr>
        <w:t>（3）建立森林资源保护发展目标责任制，把保护发展森林资源目标责任作为政府目标考核的重要内容，把森林覆盖率、森林保有量、林木蓄积量等指标纳入政府考核体系，将林业建设目标任务摆上重要议事日程，层层分解任务，明确工作责任，落实组织措施，共同推进林业建设进程。</w:t>
      </w:r>
    </w:p>
    <w:p>
      <w:pPr>
        <w:wordWrap/>
        <w:spacing w:line="560" w:lineRule="exact"/>
        <w:textAlignment w:val="auto"/>
        <w:rPr>
          <w:rFonts w:hint="eastAsia"/>
          <w:lang w:val="en-US" w:eastAsia="zh-CN"/>
        </w:rPr>
      </w:pPr>
      <w:r>
        <w:rPr>
          <w:rFonts w:hint="eastAsia"/>
          <w:lang w:val="en-US" w:eastAsia="zh-CN"/>
        </w:rPr>
        <w:t>（4）建立健全森林保险制度和保障机制，为全区生态林进行投保，提高我区公益林保险覆盖率。协调保险机构完善投保程序、简化投保手续、降低保险费率，提高森林出险后的理赔效率，增强林业抵御自然灾害的能力，最大限度地保护森林资源和人民群众的生命财产安全。</w:t>
      </w:r>
    </w:p>
    <w:p>
      <w:pPr>
        <w:wordWrap/>
        <w:spacing w:line="560" w:lineRule="exact"/>
        <w:textAlignment w:val="auto"/>
        <w:rPr>
          <w:rFonts w:hint="eastAsia"/>
          <w:lang w:val="en-US" w:eastAsia="zh-CN"/>
        </w:rPr>
      </w:pPr>
      <w:r>
        <w:rPr>
          <w:rFonts w:hint="eastAsia"/>
          <w:lang w:val="en-US" w:eastAsia="zh-CN"/>
        </w:rPr>
        <w:t>4、开展种质资源保护工作</w:t>
      </w:r>
    </w:p>
    <w:p>
      <w:pPr>
        <w:wordWrap/>
        <w:spacing w:line="560" w:lineRule="exact"/>
        <w:textAlignment w:val="auto"/>
        <w:rPr>
          <w:rFonts w:hint="default"/>
          <w:lang w:val="en-US" w:eastAsia="zh-CN"/>
        </w:rPr>
      </w:pPr>
      <w:r>
        <w:rPr>
          <w:rFonts w:hint="eastAsia"/>
          <w:lang w:val="en-US" w:eastAsia="zh-CN"/>
        </w:rPr>
        <w:t>林草种质资源是良种选育的基础材料，是遗传多样性和物种多样性的重要基础，是维护国家生态安全的重要战略资源。牢固树立和践行“绿水青山就是金山银山”发展理念，深入开展林木种质资源普查、日常巡护、动态监测、科研探索和科普宣教活动。在淄博市自然资源和规划局统筹下，以淄博市柿树国家林木种质资源库、淄博市鲁山省级林木种质资源原地保存库、淄博市文冠果省级林木种质资源库三处林木种质资源库建设成果为我区种质资源保护目标和榜样，发挥种质资源库的多种功能作用，开展林木种质资源库的建设与管理工作。科学制定保护利用规划，完善规范种质资源档案管理，不断更新和补充新的种质材料，确保林木种质资源库的正常运转和资源安全，为实现张店区林木种质资源科学保护和评价利用作出更大贡献。</w:t>
      </w:r>
    </w:p>
    <w:p>
      <w:pPr>
        <w:pStyle w:val="13"/>
        <w:wordWrap/>
        <w:adjustRightInd/>
        <w:snapToGrid/>
        <w:spacing w:before="0" w:beforeAutospacing="0" w:after="0" w:afterAutospacing="0" w:line="560" w:lineRule="exact"/>
        <w:ind w:firstLine="640" w:firstLineChars="200"/>
        <w:textAlignment w:val="auto"/>
        <w:outlineLvl w:val="1"/>
        <w:rPr>
          <w:rFonts w:hint="eastAsia" w:ascii="楷体_GB2312" w:hAnsi="楷体_GB2312" w:eastAsia="楷体_GB2312" w:cs="楷体_GB2312"/>
          <w:color w:val="000000"/>
          <w:sz w:val="32"/>
          <w:szCs w:val="32"/>
          <w:lang w:val="en-US" w:eastAsia="zh-CN"/>
        </w:rPr>
      </w:pPr>
      <w:bookmarkStart w:id="44" w:name="_Toc4857"/>
      <w:r>
        <w:rPr>
          <w:rFonts w:hint="eastAsia" w:ascii="楷体_GB2312" w:hAnsi="楷体_GB2312" w:eastAsia="楷体_GB2312" w:cs="楷体_GB2312"/>
          <w:color w:val="000000"/>
          <w:sz w:val="32"/>
          <w:szCs w:val="32"/>
          <w:lang w:val="en-US" w:eastAsia="zh-CN"/>
        </w:rPr>
        <w:t>（四）落实林长制建设推进重点工作</w:t>
      </w:r>
      <w:bookmarkEnd w:id="44"/>
    </w:p>
    <w:p>
      <w:pPr>
        <w:numPr>
          <w:numId w:val="0"/>
        </w:numPr>
        <w:wordWrap/>
        <w:adjustRightInd/>
        <w:snapToGrid/>
        <w:spacing w:line="560" w:lineRule="exact"/>
        <w:ind w:firstLine="640" w:firstLineChars="200"/>
        <w:textAlignment w:val="auto"/>
        <w:rPr>
          <w:rFonts w:hint="eastAsia"/>
          <w:lang w:val="en-US" w:eastAsia="zh-CN"/>
        </w:rPr>
      </w:pPr>
      <w:r>
        <w:rPr>
          <w:rFonts w:hint="eastAsia"/>
          <w:lang w:val="en-US" w:eastAsia="zh-CN"/>
        </w:rPr>
        <w:t>严格落实各级林长制工作要求，紧紧围绕生态张店建设目标，积极落实各级林长责任，逐步实现林长制运行管理常态化。加快构建责任明确、协调有序、监管严格、保护有力的森林、林地、湿地等生态资源保护发展机制。</w:t>
      </w:r>
    </w:p>
    <w:p>
      <w:pPr>
        <w:pStyle w:val="5"/>
        <w:widowControl w:val="0"/>
        <w:wordWrap/>
        <w:adjustRightInd/>
        <w:snapToGrid/>
        <w:spacing w:before="0" w:beforeLines="0" w:after="0" w:afterLines="0" w:line="560" w:lineRule="exact"/>
        <w:textAlignment w:val="auto"/>
        <w:rPr>
          <w:rFonts w:hint="eastAsia" w:ascii="Times New Roman" w:hAnsi="Times New Roman"/>
          <w:b w:val="0"/>
          <w:bCs/>
          <w:lang w:val="en-US" w:eastAsia="zh-CN"/>
        </w:rPr>
      </w:pPr>
      <w:r>
        <w:rPr>
          <w:rFonts w:hint="eastAsia" w:ascii="Times New Roman" w:hAnsi="Times New Roman"/>
          <w:b w:val="0"/>
          <w:bCs/>
          <w:lang w:val="en-US" w:eastAsia="zh-CN"/>
        </w:rPr>
        <w:t>1、推进林长制信息化建设</w:t>
      </w:r>
    </w:p>
    <w:p>
      <w:pPr>
        <w:numPr>
          <w:numId w:val="0"/>
        </w:numPr>
        <w:wordWrap/>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进一步完善林长制组织体系和工作机制，强化绩效考核和工作创新，明确林长制工作重点，有的放矢推动林长制走深走实，全面形成责任明确、协调有序、监管严格、保障有力的保护管理新机制。进一步健全完善现有林长制体系，全面提升森林资源保护发展合力。加快建设林长制工作信息管理系统，健全完善林长巡林制度，提升林长制工作科学化、信息化水平，促进林长制工作运行规范化，推动林长制由“全面建立”向“全面见效”转变。</w:t>
      </w:r>
    </w:p>
    <w:p>
      <w:pPr>
        <w:pStyle w:val="5"/>
        <w:widowControl w:val="0"/>
        <w:wordWrap/>
        <w:adjustRightInd/>
        <w:snapToGrid/>
        <w:spacing w:before="0" w:beforeLines="0" w:after="0" w:afterLines="0" w:line="560" w:lineRule="exact"/>
        <w:textAlignment w:val="auto"/>
        <w:rPr>
          <w:rFonts w:hint="eastAsia" w:ascii="Times New Roman" w:hAnsi="Times New Roman"/>
          <w:b w:val="0"/>
          <w:bCs/>
          <w:lang w:val="en-US" w:eastAsia="zh-CN"/>
        </w:rPr>
      </w:pPr>
      <w:r>
        <w:rPr>
          <w:rFonts w:hint="eastAsia" w:ascii="Times New Roman" w:hAnsi="Times New Roman"/>
          <w:b w:val="0"/>
          <w:bCs/>
          <w:lang w:val="en-US" w:eastAsia="zh-CN"/>
        </w:rPr>
        <w:t>2、落实森林资源保护发展目标责任制</w:t>
      </w:r>
    </w:p>
    <w:p>
      <w:pPr>
        <w:numPr>
          <w:numId w:val="0"/>
        </w:numPr>
        <w:wordWrap/>
        <w:adjustRightInd/>
        <w:snapToGrid/>
        <w:spacing w:line="560" w:lineRule="exact"/>
        <w:ind w:firstLine="640" w:firstLineChars="200"/>
        <w:textAlignment w:val="auto"/>
        <w:rPr>
          <w:rFonts w:hint="default" w:ascii="Times New Roman" w:hAnsi="Times New Roman"/>
          <w:lang w:val="en-US" w:eastAsia="zh-CN"/>
        </w:rPr>
      </w:pPr>
      <w:r>
        <w:rPr>
          <w:rFonts w:hint="eastAsia" w:ascii="Times New Roman" w:hAnsi="Times New Roman"/>
          <w:lang w:val="en-US" w:eastAsia="zh-CN"/>
        </w:rPr>
        <w:t>加强林地保护监管，严格实行林地用途管制和审核审批制度，严格执行林木限额采伐和凭证采伐制度</w:t>
      </w:r>
      <w:r>
        <w:rPr>
          <w:rFonts w:hint="eastAsia"/>
          <w:lang w:val="en-US" w:eastAsia="zh-CN"/>
        </w:rPr>
        <w:t>，认真开展森林督查工作、林草湿样地调查工作等，依法查处破坏森林资源违法行为，督促全区全面落实森林资源保护发展目标责任制。</w:t>
      </w:r>
    </w:p>
    <w:p>
      <w:pPr>
        <w:pStyle w:val="5"/>
        <w:widowControl w:val="0"/>
        <w:wordWrap/>
        <w:adjustRightInd/>
        <w:snapToGrid/>
        <w:spacing w:before="0" w:beforeLines="0" w:after="0" w:afterLines="0" w:line="560" w:lineRule="exact"/>
        <w:textAlignment w:val="auto"/>
        <w:rPr>
          <w:rFonts w:hint="default" w:ascii="Times New Roman" w:hAnsi="Times New Roman"/>
          <w:b w:val="0"/>
          <w:bCs/>
          <w:lang w:val="en-US" w:eastAsia="zh-CN"/>
        </w:rPr>
      </w:pPr>
      <w:r>
        <w:rPr>
          <w:rFonts w:hint="eastAsia" w:ascii="Times New Roman" w:hAnsi="Times New Roman"/>
          <w:b w:val="0"/>
          <w:bCs/>
          <w:lang w:val="en-US" w:eastAsia="zh-CN"/>
        </w:rPr>
        <w:t>3、推动林业工作重大任务</w:t>
      </w:r>
      <w:r>
        <w:rPr>
          <w:rFonts w:hint="eastAsia"/>
          <w:b w:val="0"/>
          <w:bCs/>
          <w:lang w:val="en-US" w:eastAsia="zh-CN"/>
        </w:rPr>
        <w:t>落实</w:t>
      </w:r>
    </w:p>
    <w:p>
      <w:pPr>
        <w:numPr>
          <w:numId w:val="0"/>
        </w:numPr>
        <w:wordWrap/>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落实贯彻执行国务院办公厅《关于科学绿化的指导意见》，落实推进国土绿化行动，统筹各项林业工程，围绕森林防火、林业有害生物防控、野生动物保护、森林资源监管等重点难点，持续压实各级林长责任，确保林长制落地落实。</w:t>
      </w:r>
    </w:p>
    <w:p>
      <w:pPr>
        <w:pStyle w:val="5"/>
        <w:widowControl w:val="0"/>
        <w:wordWrap/>
        <w:adjustRightInd/>
        <w:snapToGrid/>
        <w:spacing w:before="0" w:beforeLines="0" w:after="0" w:afterLines="0" w:line="560" w:lineRule="exact"/>
        <w:textAlignment w:val="auto"/>
        <w:rPr>
          <w:rFonts w:hint="eastAsia" w:ascii="Times New Roman" w:hAnsi="Times New Roman"/>
          <w:b w:val="0"/>
          <w:bCs/>
          <w:lang w:val="en-US" w:eastAsia="zh-CN"/>
        </w:rPr>
      </w:pPr>
      <w:r>
        <w:rPr>
          <w:rFonts w:hint="eastAsia" w:ascii="Times New Roman" w:hAnsi="Times New Roman"/>
          <w:b w:val="0"/>
          <w:bCs/>
          <w:lang w:val="en-US" w:eastAsia="zh-CN"/>
        </w:rPr>
        <w:t>4、健全完善林长制工作绩效评价制度</w:t>
      </w:r>
    </w:p>
    <w:p>
      <w:pPr>
        <w:numPr>
          <w:numId w:val="0"/>
        </w:numPr>
        <w:wordWrap/>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进一步创新制度机制，推动林长制工作向更高水平发展。认真贯彻执行《山东省林长制工作绩效评价办法》《淄博市林长制工作绩效评价办法》，结合</w:t>
      </w:r>
      <w:r>
        <w:rPr>
          <w:rFonts w:hint="eastAsia"/>
          <w:lang w:val="en-US" w:eastAsia="zh-CN"/>
        </w:rPr>
        <w:t>我区</w:t>
      </w:r>
      <w:r>
        <w:rPr>
          <w:rFonts w:hint="eastAsia" w:ascii="Times New Roman" w:hAnsi="Times New Roman"/>
          <w:lang w:val="en-US" w:eastAsia="zh-CN"/>
        </w:rPr>
        <w:t>林长制工作实践，逐步完善张店区绩效评价细则，科学设定评价指标，推动各级林长履职尽责，全面深化林长制改革任务清单、措施清单和责任清单。</w:t>
      </w:r>
    </w:p>
    <w:p>
      <w:pPr>
        <w:pStyle w:val="13"/>
        <w:wordWrap/>
        <w:adjustRightInd/>
        <w:snapToGrid/>
        <w:spacing w:before="0" w:beforeAutospacing="0" w:after="0" w:afterAutospacing="0" w:line="560" w:lineRule="exact"/>
        <w:ind w:firstLine="640" w:firstLineChars="200"/>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（五）不断提高林业行政执法能力，有效保护生态资源。</w:t>
      </w:r>
    </w:p>
    <w:p>
      <w:pPr>
        <w:numPr>
          <w:numId w:val="0"/>
        </w:numPr>
        <w:wordWrap/>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充实林业执法力量，加强林业执法业务培训，促进执法人员专业水平提升和知识更新，配齐执法常规装备，改进运用新技术办案手段，切实提高执法力量和执法人员林业综合行政执法能力。加大执法监管巡查力度，充分利用卫星遥感等信息化手段，将森林资源动态监管落到实处，加强对建设项目使用林地实施情况的事中事后监管。健全执法协作机制，建立张店区林业监管执法协调联动机制，各责任单位（林业、生态环境、行政审批、综合行政执法、公安等部门）加强协作，形成监管执法合力，强化监管执法力度。加强林业行政执法与公安机关的沟通、协作，完善执法联动、行刑衔接配合机制，及时做好案件线索移交和查处，严厉打击各类破坏森林资源违法犯罪行为。</w:t>
      </w:r>
    </w:p>
    <w:p>
      <w:pPr>
        <w:pStyle w:val="13"/>
        <w:wordWrap/>
        <w:spacing w:before="0" w:beforeAutospacing="0" w:after="0" w:afterAutospacing="0" w:line="560" w:lineRule="exact"/>
        <w:ind w:firstLine="800" w:firstLineChars="250"/>
        <w:textAlignment w:val="auto"/>
        <w:outlineLvl w:val="0"/>
        <w:rPr>
          <w:rFonts w:hint="eastAsia" w:ascii="黑体" w:hAnsi="黑体" w:eastAsia="黑体" w:cs="Arial"/>
          <w:color w:val="000000"/>
          <w:sz w:val="32"/>
          <w:szCs w:val="32"/>
          <w:lang w:val="en-US" w:eastAsia="zh-CN"/>
        </w:rPr>
      </w:pPr>
      <w:bookmarkStart w:id="45" w:name="_Toc19460"/>
      <w:bookmarkStart w:id="46" w:name="_Toc20550"/>
      <w:r>
        <w:rPr>
          <w:rFonts w:hint="eastAsia" w:ascii="黑体" w:hAnsi="黑体" w:eastAsia="黑体" w:cs="Arial"/>
          <w:color w:val="000000"/>
          <w:sz w:val="32"/>
          <w:szCs w:val="32"/>
          <w:lang w:val="en-US" w:eastAsia="zh-CN"/>
        </w:rPr>
        <w:t>四、保障措施</w:t>
      </w:r>
      <w:bookmarkEnd w:id="45"/>
      <w:bookmarkEnd w:id="46"/>
    </w:p>
    <w:p>
      <w:pPr>
        <w:pStyle w:val="13"/>
        <w:wordWrap/>
        <w:spacing w:before="0" w:beforeAutospacing="0" w:after="0" w:afterAutospacing="0" w:line="560" w:lineRule="exact"/>
        <w:ind w:firstLine="640" w:firstLineChars="200"/>
        <w:textAlignment w:val="auto"/>
        <w:outlineLvl w:val="1"/>
        <w:rPr>
          <w:rFonts w:hint="eastAsia" w:ascii="楷体_GB2312" w:hAnsi="楷体_GB2312" w:eastAsia="楷体_GB2312" w:cs="楷体_GB2312"/>
          <w:color w:val="000000"/>
          <w:sz w:val="32"/>
          <w:szCs w:val="32"/>
          <w:lang w:val="en-US" w:eastAsia="zh-CN"/>
        </w:rPr>
      </w:pPr>
      <w:bookmarkStart w:id="47" w:name="_Toc7560"/>
      <w:bookmarkStart w:id="48" w:name="_Toc11045"/>
      <w:r>
        <w:rPr>
          <w:rFonts w:hint="eastAsia" w:ascii="楷体_GB2312" w:hAnsi="楷体_GB2312" w:eastAsia="楷体_GB2312" w:cs="楷体_GB2312"/>
          <w:color w:val="000000"/>
          <w:sz w:val="32"/>
          <w:szCs w:val="32"/>
          <w:lang w:val="en-US" w:eastAsia="zh-CN"/>
        </w:rPr>
        <w:t>（一）</w:t>
      </w:r>
      <w:bookmarkEnd w:id="47"/>
      <w:r>
        <w:rPr>
          <w:rFonts w:hint="eastAsia" w:ascii="楷体_GB2312" w:hAnsi="楷体_GB2312" w:eastAsia="楷体_GB2312" w:cs="楷体_GB2312"/>
          <w:color w:val="000000"/>
          <w:sz w:val="32"/>
          <w:szCs w:val="32"/>
          <w:lang w:val="en-US" w:eastAsia="zh-CN"/>
        </w:rPr>
        <w:t>加强组织领导</w:t>
      </w:r>
      <w:bookmarkEnd w:id="48"/>
    </w:p>
    <w:p>
      <w:pPr>
        <w:wordWrap/>
        <w:spacing w:line="560" w:lineRule="exact"/>
        <w:textAlignment w:val="auto"/>
        <w:rPr>
          <w:rFonts w:hint="eastAsia"/>
        </w:rPr>
      </w:pPr>
      <w:r>
        <w:rPr>
          <w:rFonts w:hint="eastAsia"/>
        </w:rPr>
        <w:t>健全完善党委统一领导、政府负责、林业主管部门具体实施的组织领导工作机制。建立健全规划衔接协调机制，强化规划引领、指导和约束作用，组织编制</w:t>
      </w:r>
      <w:r>
        <w:rPr>
          <w:rFonts w:hint="eastAsia"/>
          <w:lang w:val="en-US" w:eastAsia="zh-CN"/>
        </w:rPr>
        <w:t>张店区</w:t>
      </w:r>
      <w:r>
        <w:rPr>
          <w:rFonts w:hint="eastAsia"/>
        </w:rPr>
        <w:t>林业保护发展规划</w:t>
      </w:r>
      <w:r>
        <w:rPr>
          <w:rFonts w:hint="eastAsia"/>
          <w:lang w:eastAsia="zh-CN"/>
        </w:rPr>
        <w:t>。</w:t>
      </w:r>
      <w:r>
        <w:rPr>
          <w:rFonts w:hint="eastAsia"/>
        </w:rPr>
        <w:t>按照“明确分工，各司其职，各负其责，密切配合，协调行动”的原则，明确各级相关部门在规划实施中的职责，加强沟通协调，建立部门合作会商制度，研究解决“十四五”林业保护发展规划实施中出现的重大问题，推动规划顺利实施</w:t>
      </w:r>
      <w:r>
        <w:rPr>
          <w:rFonts w:hint="eastAsia"/>
          <w:lang w:eastAsia="zh-CN"/>
        </w:rPr>
        <w:t>。</w:t>
      </w:r>
      <w:r>
        <w:rPr>
          <w:rFonts w:hint="eastAsia"/>
        </w:rPr>
        <w:t>充分认识林业的重要性，切实增强抓好林业建设的使命感、责任感和紧迫感，把林业工作列入重要议程，为林业持续健康发展营造良好的发展氛围。明确工作任务，把林业建设纳入政府目标责任制。建立和完善分工负责和统一监管的工作机制，形成区、镇、村分级管理，落实责任制度。对林业重点工程建设项目，做到定期检查，定期通报，确保工作落实到位。</w:t>
      </w:r>
    </w:p>
    <w:p>
      <w:pPr>
        <w:pStyle w:val="13"/>
        <w:wordWrap/>
        <w:spacing w:before="0" w:beforeAutospacing="0" w:after="0" w:afterAutospacing="0" w:line="560" w:lineRule="exact"/>
        <w:ind w:firstLine="640" w:firstLineChars="200"/>
        <w:textAlignment w:val="auto"/>
        <w:outlineLvl w:val="1"/>
        <w:rPr>
          <w:rFonts w:hint="eastAsia" w:ascii="楷体_GB2312" w:hAnsi="楷体_GB2312" w:eastAsia="楷体_GB2312" w:cs="楷体_GB2312"/>
          <w:color w:val="000000"/>
          <w:sz w:val="32"/>
          <w:szCs w:val="32"/>
          <w:lang w:val="en-US" w:eastAsia="zh-CN"/>
        </w:rPr>
      </w:pPr>
      <w:bookmarkStart w:id="49" w:name="_Toc17785"/>
      <w:bookmarkStart w:id="50" w:name="_Toc27243"/>
      <w:r>
        <w:rPr>
          <w:rFonts w:hint="eastAsia" w:ascii="楷体_GB2312" w:hAnsi="楷体_GB2312" w:eastAsia="楷体_GB2312" w:cs="楷体_GB2312"/>
          <w:color w:val="000000"/>
          <w:sz w:val="32"/>
          <w:szCs w:val="32"/>
          <w:lang w:val="en-US" w:eastAsia="zh-CN"/>
        </w:rPr>
        <w:t>（二）</w:t>
      </w:r>
      <w:bookmarkEnd w:id="49"/>
      <w:r>
        <w:rPr>
          <w:rFonts w:hint="eastAsia" w:ascii="楷体_GB2312" w:hAnsi="楷体_GB2312" w:eastAsia="楷体_GB2312" w:cs="楷体_GB2312"/>
          <w:color w:val="000000"/>
          <w:sz w:val="32"/>
          <w:szCs w:val="32"/>
          <w:lang w:val="en-US" w:eastAsia="zh-CN"/>
        </w:rPr>
        <w:t>强化政策支持</w:t>
      </w:r>
      <w:bookmarkEnd w:id="50"/>
    </w:p>
    <w:p>
      <w:pPr>
        <w:pStyle w:val="5"/>
        <w:widowControl w:val="0"/>
        <w:wordWrap/>
        <w:adjustRightInd/>
        <w:snapToGrid/>
        <w:spacing w:before="0" w:beforeLines="0" w:after="0" w:afterLines="0" w:line="560" w:lineRule="exact"/>
        <w:textAlignment w:val="auto"/>
        <w:rPr>
          <w:rFonts w:hint="eastAsia"/>
          <w:b w:val="0"/>
          <w:bCs/>
          <w:lang w:val="en-US" w:eastAsia="zh-CN"/>
        </w:rPr>
      </w:pPr>
      <w:r>
        <w:rPr>
          <w:rFonts w:hint="eastAsia"/>
          <w:b w:val="0"/>
          <w:bCs/>
          <w:lang w:val="en-US" w:eastAsia="zh-CN"/>
        </w:rPr>
        <w:t>1、搞活林业投资机制</w:t>
      </w:r>
    </w:p>
    <w:p>
      <w:pPr>
        <w:pStyle w:val="13"/>
        <w:wordWrap/>
        <w:spacing w:before="0" w:beforeAutospacing="0" w:after="0" w:afterAutospacing="0" w:line="560" w:lineRule="exact"/>
        <w:ind w:firstLine="640" w:firstLineChars="200"/>
        <w:textAlignment w:val="auto"/>
        <w:rPr>
          <w:rFonts w:hint="eastAsia" w:ascii="仿宋_GB2312" w:hAnsi="Verdana" w:eastAsia="仿宋_GB2312"/>
          <w:color w:val="535353"/>
          <w:sz w:val="32"/>
          <w:szCs w:val="32"/>
        </w:rPr>
      </w:pPr>
      <w:r>
        <w:rPr>
          <w:rFonts w:hint="eastAsia" w:ascii="仿宋_GB2312" w:hAnsi="Arial" w:eastAsia="仿宋_GB2312" w:cs="Arial"/>
          <w:color w:val="000000"/>
          <w:sz w:val="32"/>
          <w:szCs w:val="32"/>
        </w:rPr>
        <w:t>积极争取各级财政加大资金支持力度，支持生态公益林建设保护管理、科研监测、规划设计、林业基础设施建设等工作。推广以工代赈方式，积极吸纳农村劳动力参与林业项目建设。鼓励各地在林产品开发利用、林业旅游休闲、森林康养服务等领域运用政府和社会资本合作（PPP）模式，吸引和撬动社会资本投入。以政府投入为引导，调动各方面参与林业建设的积极性，吸引和鼓励社会资金开发林业，形成多元化林业投入的新格局。</w:t>
      </w:r>
    </w:p>
    <w:p>
      <w:pPr>
        <w:pStyle w:val="5"/>
        <w:widowControl w:val="0"/>
        <w:wordWrap/>
        <w:adjustRightInd/>
        <w:snapToGrid/>
        <w:spacing w:before="0" w:beforeLines="0" w:after="0" w:afterLines="0" w:line="560" w:lineRule="exact"/>
        <w:textAlignment w:val="auto"/>
        <w:rPr>
          <w:rFonts w:hint="default" w:ascii="Times New Roman" w:hAnsi="Times New Roman"/>
          <w:b w:val="0"/>
          <w:bCs/>
          <w:lang w:val="en-US" w:eastAsia="zh-CN"/>
        </w:rPr>
      </w:pPr>
      <w:r>
        <w:rPr>
          <w:rFonts w:hint="eastAsia" w:ascii="Times New Roman" w:hAnsi="Times New Roman"/>
          <w:b w:val="0"/>
          <w:bCs/>
          <w:lang w:val="en-US" w:eastAsia="zh-CN"/>
        </w:rPr>
        <w:t>2、用好税费减免政策</w:t>
      </w:r>
    </w:p>
    <w:p>
      <w:pPr>
        <w:wordWrap/>
        <w:spacing w:line="560" w:lineRule="exact"/>
        <w:textAlignment w:val="auto"/>
        <w:rPr>
          <w:rFonts w:hint="eastAsia"/>
          <w:lang w:eastAsia="zh-CN"/>
        </w:rPr>
      </w:pPr>
      <w:r>
        <w:rPr>
          <w:rFonts w:hint="eastAsia"/>
        </w:rPr>
        <w:t>对从事农业生产的单位和个人销售自产林产品，以及农业机耕、排灌、有害生物防治、林业保险以及相关技术培训业务取得的收入按规定免征增值税；对企业从事林木育种育苗、抚育管理和规模造林活动，以及灌溉、产品初加工、农机作业等服务业项目和林产品采集取得的所得，按规定免征企业所得税</w:t>
      </w:r>
      <w:r>
        <w:rPr>
          <w:rFonts w:hint="eastAsia"/>
          <w:lang w:eastAsia="zh-CN"/>
        </w:rPr>
        <w:t>。</w:t>
      </w:r>
    </w:p>
    <w:p>
      <w:pPr>
        <w:pStyle w:val="5"/>
        <w:widowControl w:val="0"/>
        <w:wordWrap/>
        <w:adjustRightInd/>
        <w:snapToGrid/>
        <w:spacing w:before="0" w:beforeLines="0" w:after="0" w:afterLines="0" w:line="560" w:lineRule="exact"/>
        <w:textAlignment w:val="auto"/>
        <w:rPr>
          <w:rFonts w:hint="eastAsia" w:ascii="Times New Roman" w:hAnsi="Times New Roman"/>
          <w:b w:val="0"/>
          <w:bCs/>
          <w:lang w:val="en-US" w:eastAsia="zh-CN"/>
        </w:rPr>
      </w:pPr>
      <w:r>
        <w:rPr>
          <w:rFonts w:hint="eastAsia" w:ascii="Times New Roman" w:hAnsi="Times New Roman"/>
          <w:b w:val="0"/>
          <w:bCs/>
          <w:lang w:val="en-US" w:eastAsia="zh-CN"/>
        </w:rPr>
        <w:t>3、强化科技支撑</w:t>
      </w:r>
    </w:p>
    <w:p>
      <w:pPr>
        <w:wordWrap/>
        <w:spacing w:line="560" w:lineRule="exact"/>
        <w:textAlignment w:val="auto"/>
        <w:rPr>
          <w:rFonts w:hint="eastAsia" w:ascii="Times New Roman" w:hAnsi="Times New Roman"/>
        </w:rPr>
      </w:pPr>
      <w:r>
        <w:rPr>
          <w:rFonts w:hint="eastAsia" w:ascii="Times New Roman" w:hAnsi="Times New Roman"/>
        </w:rPr>
        <w:t>进一步深化林业科技体制改革，加大科技投入，推进林业科技进步，是实施科技兴林，提高工程建设质量的根本保障。</w:t>
      </w:r>
    </w:p>
    <w:p>
      <w:pPr>
        <w:wordWrap/>
        <w:spacing w:line="560" w:lineRule="exact"/>
        <w:textAlignment w:val="auto"/>
        <w:rPr>
          <w:rFonts w:hint="eastAsia" w:ascii="Times New Roman" w:hAnsi="Times New Roman"/>
        </w:rPr>
      </w:pPr>
      <w:r>
        <w:rPr>
          <w:rFonts w:hint="eastAsia" w:ascii="Times New Roman" w:hAnsi="Times New Roman"/>
        </w:rPr>
        <w:t>重视林业科学基础研究，推广和应用先进技术，提高林业科技创新能力。重点研究营造林、低产林改造、林业有害生物防治、森林资源与生态监测、森林防火与控制及主要经济林产品加工技术，推动林科教、技工贸相结合。</w:t>
      </w:r>
    </w:p>
    <w:p>
      <w:pPr>
        <w:pStyle w:val="5"/>
        <w:widowControl w:val="0"/>
        <w:wordWrap/>
        <w:adjustRightInd/>
        <w:snapToGrid/>
        <w:spacing w:before="0" w:beforeLines="0" w:after="0" w:afterLines="0" w:line="560" w:lineRule="exact"/>
        <w:textAlignment w:val="auto"/>
        <w:rPr>
          <w:rFonts w:hint="eastAsia" w:ascii="Times New Roman" w:hAnsi="Times New Roman"/>
          <w:b w:val="0"/>
          <w:bCs/>
          <w:lang w:val="en-US" w:eastAsia="zh-CN"/>
        </w:rPr>
      </w:pPr>
      <w:bookmarkStart w:id="51" w:name="_Toc25695"/>
      <w:r>
        <w:rPr>
          <w:rFonts w:hint="eastAsia" w:ascii="Times New Roman" w:hAnsi="Times New Roman"/>
          <w:b w:val="0"/>
          <w:bCs/>
          <w:lang w:val="en-US" w:eastAsia="zh-CN"/>
        </w:rPr>
        <w:t>4、推动人才队伍建设，创新人才机制体制改革</w:t>
      </w:r>
    </w:p>
    <w:p>
      <w:pPr>
        <w:pStyle w:val="13"/>
        <w:wordWrap/>
        <w:spacing w:before="0" w:beforeAutospacing="0" w:after="0" w:afterAutospacing="0" w:line="560" w:lineRule="exact"/>
        <w:ind w:firstLine="640" w:firstLineChars="200"/>
        <w:textAlignment w:val="auto"/>
        <w:outlineLvl w:val="1"/>
        <w:rPr>
          <w:rFonts w:hint="eastAsia" w:ascii="Times New Roman" w:hAnsi="Times New Roman" w:eastAsia="仿宋_GB2312" w:cs="Times New Roman"/>
          <w:kern w:val="2"/>
          <w:sz w:val="32"/>
          <w:szCs w:val="30"/>
          <w:lang w:val="en-US" w:eastAsia="zh-CN" w:bidi="ar-SA"/>
        </w:rPr>
      </w:pPr>
      <w:r>
        <w:rPr>
          <w:rFonts w:hint="eastAsia" w:ascii="Times New Roman" w:hAnsi="Times New Roman" w:eastAsia="仿宋_GB2312" w:cs="Times New Roman"/>
          <w:kern w:val="2"/>
          <w:sz w:val="32"/>
          <w:szCs w:val="30"/>
          <w:lang w:val="en-US" w:eastAsia="zh-CN" w:bidi="ar-SA"/>
        </w:rPr>
        <w:t>引进林业科研人才，积极培养复合型人才，完善内部专业人才构成。加强专业技术人才队伍的培养，定期组织专业知识和技能培训，形成初、中、高级技能型人才梯队，提高行业发展整体水平。加强管理人员培训，提高管理人员对市场经济的驾驭能力，促进林业发展决策的科学性。推进人才机制体制改革创新，积极探索新时期林业人才工作的新思路和新方法，建立和完善一套林业人才评价、吸引、流动、使用机制与管理体制，充分发挥各类人才的作用。</w:t>
      </w:r>
    </w:p>
    <w:p>
      <w:pPr>
        <w:pStyle w:val="13"/>
        <w:wordWrap/>
        <w:spacing w:before="0" w:beforeAutospacing="0" w:after="0" w:afterAutospacing="0" w:line="560" w:lineRule="exact"/>
        <w:ind w:firstLine="640" w:firstLineChars="200"/>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（三）完善法治体系</w:t>
      </w:r>
      <w:bookmarkEnd w:id="51"/>
    </w:p>
    <w:p>
      <w:pPr>
        <w:wordWrap/>
        <w:spacing w:line="560" w:lineRule="exact"/>
        <w:textAlignment w:val="auto"/>
        <w:rPr>
          <w:rFonts w:hint="eastAsia"/>
          <w:lang w:val="en-US" w:eastAsia="zh-CN"/>
        </w:rPr>
      </w:pPr>
      <w:r>
        <w:rPr>
          <w:rFonts w:hint="eastAsia"/>
        </w:rPr>
        <w:t>完善执法监管共同责任落实机制，严厉打击乱砍滥伐、乱垦乱挖、违规征占用林地湿地等违法违规行为，严禁违规新增占用耕地和永久基本农田植树造林。组织开展森林湿地资源保护专项督查。建立森林资源破坏案件责任追究制度，对不履行工作职责、违反有关法律法规和政策规定造成森林资源破坏的，依法追究行政责任和法律责任。</w:t>
      </w:r>
    </w:p>
    <w:sectPr>
      <w:footerReference r:id="rId8"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Times New Roman" w:hAnsi="Times New Roman" w:eastAsia="仿宋_GB2312"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Times New Roman" w:hAnsi="Times New Roman" w:eastAsia="仿宋_GB2312" w:cs="Times New Roman"/>
        <w:kern w:val="2"/>
        <w:sz w:val="18"/>
        <w:szCs w:val="18"/>
        <w:lang w:val="en-US" w:eastAsia="zh-CN" w:bidi="ar-SA"/>
      </w:rPr>
      <w:pict>
        <v:rect id="文本框 1"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rPr>
        <w:rFonts w:hint="eastAsia"/>
        <w:lang w:val="en-US" w:eastAsia="zh-CN"/>
      </w:rPr>
    </w:pPr>
  </w:p>
  <w:p>
    <w:pPr>
      <w:pStyle w:val="10"/>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single" w:color="auto" w:sz="4" w:space="1"/>
      </w:pBdr>
      <w:jc w:val="center"/>
      <w:rPr>
        <w:rFonts w:hint="eastAsia" w:ascii="宋体" w:hAnsi="宋体" w:eastAsia="宋体" w:cs="宋体"/>
        <w:lang w:val="en-US" w:eastAsia="zh-CN"/>
      </w:rPr>
    </w:pPr>
    <w:r>
      <w:rPr>
        <w:rFonts w:hint="eastAsia" w:ascii="宋体" w:hAnsi="宋体" w:eastAsia="宋体" w:cs="宋体"/>
        <w:lang w:val="en-US" w:eastAsia="zh-CN"/>
      </w:rPr>
      <w:t>淄博市张店区林业发展“十四五”规划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34589492">
    <w:nsid w:val="C0CBEB34"/>
    <w:multiLevelType w:val="singleLevel"/>
    <w:tmpl w:val="C0CBEB34"/>
    <w:lvl w:ilvl="0" w:tentative="1">
      <w:start w:val="1"/>
      <w:numFmt w:val="decimal"/>
      <w:suff w:val="nothing"/>
      <w:lvlText w:val="%1、"/>
      <w:lvlJc w:val="left"/>
      <w:pPr>
        <w:ind w:left="-83"/>
      </w:pPr>
    </w:lvl>
  </w:abstractNum>
  <w:abstractNum w:abstractNumId="1294037547">
    <w:nsid w:val="4D21722B"/>
    <w:multiLevelType w:val="singleLevel"/>
    <w:tmpl w:val="4D21722B"/>
    <w:lvl w:ilvl="0" w:tentative="1">
      <w:start w:val="1"/>
      <w:numFmt w:val="decimal"/>
      <w:suff w:val="nothing"/>
      <w:lvlText w:val="%1、"/>
      <w:lvlJc w:val="left"/>
      <w:pPr>
        <w:ind w:left="-83"/>
      </w:pPr>
    </w:lvl>
  </w:abstractNum>
  <w:abstractNum w:abstractNumId="2737411297">
    <w:nsid w:val="A32994E1"/>
    <w:multiLevelType w:val="singleLevel"/>
    <w:tmpl w:val="A32994E1"/>
    <w:lvl w:ilvl="0" w:tentative="1">
      <w:start w:val="1"/>
      <w:numFmt w:val="chineseCounting"/>
      <w:suff w:val="nothing"/>
      <w:lvlText w:val="%1、"/>
      <w:lvlJc w:val="left"/>
      <w:rPr>
        <w:rFonts w:hint="eastAsia"/>
      </w:rPr>
    </w:lvl>
  </w:abstractNum>
  <w:num w:numId="1">
    <w:abstractNumId w:val="2737411297"/>
  </w:num>
  <w:num w:numId="2">
    <w:abstractNumId w:val="1294037547"/>
  </w:num>
  <w:num w:numId="3">
    <w:abstractNumId w:val="32345894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M2NWFjMjk4MjE3ZGE4OWE1M2M4Y2I1ODRjM2ZjYzAifQ=="/>
  </w:docVars>
  <w:rsids>
    <w:rsidRoot w:val="15DF67CE"/>
    <w:rsid w:val="00B173EA"/>
    <w:rsid w:val="012F099B"/>
    <w:rsid w:val="017D1464"/>
    <w:rsid w:val="02177CDA"/>
    <w:rsid w:val="037C5F19"/>
    <w:rsid w:val="0395714C"/>
    <w:rsid w:val="041F1345"/>
    <w:rsid w:val="069411D7"/>
    <w:rsid w:val="06D77AA3"/>
    <w:rsid w:val="070878D4"/>
    <w:rsid w:val="075B42C3"/>
    <w:rsid w:val="07A65BE7"/>
    <w:rsid w:val="085B5041"/>
    <w:rsid w:val="086D5995"/>
    <w:rsid w:val="0916134F"/>
    <w:rsid w:val="092B6DF2"/>
    <w:rsid w:val="0A864A51"/>
    <w:rsid w:val="0AA51F88"/>
    <w:rsid w:val="0B74634C"/>
    <w:rsid w:val="0B7F5D7C"/>
    <w:rsid w:val="0B8D0492"/>
    <w:rsid w:val="0CC279F2"/>
    <w:rsid w:val="0CDD71F7"/>
    <w:rsid w:val="0E245572"/>
    <w:rsid w:val="0E40026B"/>
    <w:rsid w:val="0E721DAE"/>
    <w:rsid w:val="0E8565F2"/>
    <w:rsid w:val="0EB4481A"/>
    <w:rsid w:val="10B87E7D"/>
    <w:rsid w:val="10D21B04"/>
    <w:rsid w:val="10F70AF4"/>
    <w:rsid w:val="111A55F3"/>
    <w:rsid w:val="1126730E"/>
    <w:rsid w:val="11366B96"/>
    <w:rsid w:val="11A35DB9"/>
    <w:rsid w:val="12E47FAB"/>
    <w:rsid w:val="13BF0FBA"/>
    <w:rsid w:val="13CF4CCE"/>
    <w:rsid w:val="14971190"/>
    <w:rsid w:val="152D038D"/>
    <w:rsid w:val="15DF67CE"/>
    <w:rsid w:val="1606472F"/>
    <w:rsid w:val="161537FD"/>
    <w:rsid w:val="16353308"/>
    <w:rsid w:val="16F82695"/>
    <w:rsid w:val="1734550F"/>
    <w:rsid w:val="17677761"/>
    <w:rsid w:val="189E7B50"/>
    <w:rsid w:val="18FB6F3E"/>
    <w:rsid w:val="194666BA"/>
    <w:rsid w:val="19661C23"/>
    <w:rsid w:val="19703DA0"/>
    <w:rsid w:val="19752055"/>
    <w:rsid w:val="1AB64E0D"/>
    <w:rsid w:val="1B1B7066"/>
    <w:rsid w:val="1BE45A56"/>
    <w:rsid w:val="1BFE0C9D"/>
    <w:rsid w:val="1CDF2969"/>
    <w:rsid w:val="1EC55B13"/>
    <w:rsid w:val="1FEF1353"/>
    <w:rsid w:val="20AF2EA9"/>
    <w:rsid w:val="214665E1"/>
    <w:rsid w:val="217F680C"/>
    <w:rsid w:val="2219440B"/>
    <w:rsid w:val="237B0CCD"/>
    <w:rsid w:val="23FD7CEA"/>
    <w:rsid w:val="24772815"/>
    <w:rsid w:val="24CD28FE"/>
    <w:rsid w:val="24D226C3"/>
    <w:rsid w:val="25994235"/>
    <w:rsid w:val="25BD4FE3"/>
    <w:rsid w:val="26A076CD"/>
    <w:rsid w:val="26D84D52"/>
    <w:rsid w:val="26F05D70"/>
    <w:rsid w:val="27411FDE"/>
    <w:rsid w:val="27BC3C71"/>
    <w:rsid w:val="28031312"/>
    <w:rsid w:val="28BB4440"/>
    <w:rsid w:val="2AFE7391"/>
    <w:rsid w:val="2C0E6144"/>
    <w:rsid w:val="2C4B4C6C"/>
    <w:rsid w:val="2D672D4A"/>
    <w:rsid w:val="2D980304"/>
    <w:rsid w:val="2DA65781"/>
    <w:rsid w:val="2DD32CE2"/>
    <w:rsid w:val="2E250712"/>
    <w:rsid w:val="2E5E1536"/>
    <w:rsid w:val="2E84509E"/>
    <w:rsid w:val="2F043B1B"/>
    <w:rsid w:val="2F7F0405"/>
    <w:rsid w:val="2F84640A"/>
    <w:rsid w:val="2F9641B6"/>
    <w:rsid w:val="2FB3180E"/>
    <w:rsid w:val="2FC214C5"/>
    <w:rsid w:val="306067BE"/>
    <w:rsid w:val="30900086"/>
    <w:rsid w:val="30FF347B"/>
    <w:rsid w:val="310C6864"/>
    <w:rsid w:val="32361DA3"/>
    <w:rsid w:val="32A7081A"/>
    <w:rsid w:val="33BE01F6"/>
    <w:rsid w:val="33C3347E"/>
    <w:rsid w:val="33FB3C61"/>
    <w:rsid w:val="34E44283"/>
    <w:rsid w:val="35141CE3"/>
    <w:rsid w:val="35484D9F"/>
    <w:rsid w:val="36774492"/>
    <w:rsid w:val="37051FF4"/>
    <w:rsid w:val="37D563FC"/>
    <w:rsid w:val="37DC1D15"/>
    <w:rsid w:val="384F6E2D"/>
    <w:rsid w:val="38BC2EBA"/>
    <w:rsid w:val="394C63E4"/>
    <w:rsid w:val="39EB551B"/>
    <w:rsid w:val="39ED4C5D"/>
    <w:rsid w:val="3ADC26D7"/>
    <w:rsid w:val="3BA40D5C"/>
    <w:rsid w:val="3DDE3CA3"/>
    <w:rsid w:val="3DF41C4B"/>
    <w:rsid w:val="3E3B54A5"/>
    <w:rsid w:val="3E923D8A"/>
    <w:rsid w:val="3F7225ED"/>
    <w:rsid w:val="3FE64B26"/>
    <w:rsid w:val="40094AB4"/>
    <w:rsid w:val="419A22C6"/>
    <w:rsid w:val="419D4E7E"/>
    <w:rsid w:val="41A4455D"/>
    <w:rsid w:val="428F2BE8"/>
    <w:rsid w:val="44DD135C"/>
    <w:rsid w:val="464C7614"/>
    <w:rsid w:val="466456F6"/>
    <w:rsid w:val="46874462"/>
    <w:rsid w:val="471B5005"/>
    <w:rsid w:val="47E337F2"/>
    <w:rsid w:val="48E718B7"/>
    <w:rsid w:val="497D499A"/>
    <w:rsid w:val="49B33976"/>
    <w:rsid w:val="49E05067"/>
    <w:rsid w:val="49F22276"/>
    <w:rsid w:val="4AE96CA4"/>
    <w:rsid w:val="4BA73895"/>
    <w:rsid w:val="4BE855C1"/>
    <w:rsid w:val="4C5408E9"/>
    <w:rsid w:val="4C567AE2"/>
    <w:rsid w:val="4D1202AE"/>
    <w:rsid w:val="4F4B4CA8"/>
    <w:rsid w:val="50D3331D"/>
    <w:rsid w:val="511F5077"/>
    <w:rsid w:val="5155351B"/>
    <w:rsid w:val="519145AA"/>
    <w:rsid w:val="520E7B41"/>
    <w:rsid w:val="53747E76"/>
    <w:rsid w:val="53E6640D"/>
    <w:rsid w:val="54257689"/>
    <w:rsid w:val="54A83213"/>
    <w:rsid w:val="54D8599E"/>
    <w:rsid w:val="54E07113"/>
    <w:rsid w:val="55705B9F"/>
    <w:rsid w:val="5617308E"/>
    <w:rsid w:val="56931CA9"/>
    <w:rsid w:val="56A42121"/>
    <w:rsid w:val="57053050"/>
    <w:rsid w:val="58867B8F"/>
    <w:rsid w:val="58FA6008"/>
    <w:rsid w:val="595F15D0"/>
    <w:rsid w:val="5A4A559B"/>
    <w:rsid w:val="5A82085A"/>
    <w:rsid w:val="5B8A2E3D"/>
    <w:rsid w:val="5C29438E"/>
    <w:rsid w:val="5CEB3435"/>
    <w:rsid w:val="5D612E94"/>
    <w:rsid w:val="5D7336BB"/>
    <w:rsid w:val="5E4A5CA8"/>
    <w:rsid w:val="5F2A4ADD"/>
    <w:rsid w:val="60327E35"/>
    <w:rsid w:val="61703881"/>
    <w:rsid w:val="61811CD1"/>
    <w:rsid w:val="61DF162C"/>
    <w:rsid w:val="63FC2C34"/>
    <w:rsid w:val="64610CE9"/>
    <w:rsid w:val="6483597C"/>
    <w:rsid w:val="64FE0789"/>
    <w:rsid w:val="658B39BB"/>
    <w:rsid w:val="66551873"/>
    <w:rsid w:val="66582DF3"/>
    <w:rsid w:val="670C0E60"/>
    <w:rsid w:val="67685CA3"/>
    <w:rsid w:val="67867CD7"/>
    <w:rsid w:val="683E5CDB"/>
    <w:rsid w:val="69CA0603"/>
    <w:rsid w:val="6AAA73DF"/>
    <w:rsid w:val="6B292496"/>
    <w:rsid w:val="6CD86E97"/>
    <w:rsid w:val="6D0D0E36"/>
    <w:rsid w:val="6D583785"/>
    <w:rsid w:val="6E8B0BF5"/>
    <w:rsid w:val="6F9A5633"/>
    <w:rsid w:val="708D6CDD"/>
    <w:rsid w:val="70B6524F"/>
    <w:rsid w:val="70C2650D"/>
    <w:rsid w:val="71597506"/>
    <w:rsid w:val="71B32BE9"/>
    <w:rsid w:val="71C262AF"/>
    <w:rsid w:val="726F52B9"/>
    <w:rsid w:val="730E58DE"/>
    <w:rsid w:val="76857DB0"/>
    <w:rsid w:val="769F33A8"/>
    <w:rsid w:val="76B33BAE"/>
    <w:rsid w:val="76BF52D2"/>
    <w:rsid w:val="776F0C82"/>
    <w:rsid w:val="780E2ADE"/>
    <w:rsid w:val="78735C07"/>
    <w:rsid w:val="794B119D"/>
    <w:rsid w:val="79CC04F7"/>
    <w:rsid w:val="7A682297"/>
    <w:rsid w:val="7AD81AA6"/>
    <w:rsid w:val="7B8C7F39"/>
    <w:rsid w:val="7CD22D5A"/>
    <w:rsid w:val="7D2C6DA1"/>
    <w:rsid w:val="7DC321E7"/>
    <w:rsid w:val="7E426694"/>
    <w:rsid w:val="7F652F4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atLeast"/>
      <w:ind w:firstLine="723" w:firstLineChars="200"/>
      <w:jc w:val="both"/>
    </w:pPr>
    <w:rPr>
      <w:rFonts w:ascii="Times New Roman" w:hAnsi="Times New Roman" w:eastAsia="仿宋_GB2312" w:cs="Times New Roman"/>
      <w:kern w:val="2"/>
      <w:sz w:val="32"/>
      <w:szCs w:val="30"/>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4">
    <w:name w:val="heading 2"/>
    <w:basedOn w:val="1"/>
    <w:next w:val="1"/>
    <w:unhideWhenUsed/>
    <w:qFormat/>
    <w:uiPriority w:val="0"/>
    <w:pPr>
      <w:spacing w:before="160" w:beforeLines="0" w:beforeAutospacing="0" w:after="160" w:afterLines="0" w:afterAutospacing="0" w:line="360" w:lineRule="auto"/>
      <w:ind w:firstLine="0" w:firstLineChars="0"/>
      <w:outlineLvl w:val="1"/>
    </w:pPr>
    <w:rPr>
      <w:rFonts w:ascii="Times New Roman" w:hAnsi="Times New Roman" w:eastAsia="黑体"/>
      <w:b/>
      <w:sz w:val="32"/>
    </w:rPr>
  </w:style>
  <w:style w:type="paragraph" w:styleId="5">
    <w:name w:val="heading 3"/>
    <w:basedOn w:val="1"/>
    <w:next w:val="1"/>
    <w:unhideWhenUsed/>
    <w:qFormat/>
    <w:uiPriority w:val="0"/>
    <w:pPr>
      <w:spacing w:before="120" w:beforeLines="0" w:beforeAutospacing="0" w:after="120" w:afterLines="0" w:afterAutospacing="0" w:line="360" w:lineRule="auto"/>
      <w:ind w:firstLine="1044" w:firstLineChars="200"/>
      <w:outlineLvl w:val="2"/>
    </w:pPr>
    <w:rPr>
      <w:b/>
    </w:rPr>
  </w:style>
  <w:style w:type="paragraph" w:styleId="6">
    <w:name w:val="heading 4"/>
    <w:basedOn w:val="1"/>
    <w:next w:val="1"/>
    <w:unhideWhenUsed/>
    <w:qFormat/>
    <w:uiPriority w:val="0"/>
    <w:pPr>
      <w:spacing w:beforeLines="0" w:beforeAutospacing="0" w:afterLines="0" w:afterAutospacing="0" w:line="360" w:lineRule="auto"/>
      <w:ind w:firstLine="0" w:firstLineChars="0"/>
      <w:outlineLvl w:val="3"/>
    </w:pPr>
    <w:rPr>
      <w:rFonts w:ascii="Times New Roman" w:hAnsi="Times New Roman" w:eastAsia="黑体"/>
      <w:b/>
    </w:rPr>
  </w:style>
  <w:style w:type="character" w:default="1" w:styleId="14">
    <w:name w:val="Default Paragraph Font"/>
    <w:semiHidden/>
    <w:qFormat/>
    <w:uiPriority w:val="0"/>
  </w:style>
  <w:style w:type="table" w:default="1" w:styleId="15">
    <w:name w:val="Normal Table"/>
    <w:semiHidden/>
    <w:qFormat/>
    <w:uiPriority w:val="0"/>
    <w:tblPr>
      <w:tblStyle w:val="15"/>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cs="黑体"/>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样式 首行缩进:  2 字符"/>
    <w:basedOn w:val="1"/>
    <w:qFormat/>
    <w:uiPriority w:val="0"/>
    <w:pPr>
      <w:ind w:firstLine="560"/>
    </w:pPr>
    <w:rPr>
      <w:rFonts w:eastAsia="仿宋_GB2312" w:cs="宋体"/>
      <w:sz w:val="24"/>
      <w:szCs w:val="20"/>
    </w:rPr>
  </w:style>
  <w:style w:type="paragraph" w:customStyle="1" w:styleId="18">
    <w:name w:val="表格"/>
    <w:qFormat/>
    <w:uiPriority w:val="0"/>
    <w:pPr>
      <w:widowControl w:val="0"/>
      <w:jc w:val="both"/>
    </w:pPr>
    <w:rPr>
      <w:rFonts w:ascii="Times New Roman" w:hAnsi="Times New Roman" w:eastAsia="仿宋" w:cs="Times New Roman"/>
      <w:kern w:val="2"/>
      <w:sz w:val="28"/>
      <w:szCs w:val="24"/>
      <w:lang w:val="en-US" w:eastAsia="zh-CN" w:bidi="ar-SA"/>
    </w:rPr>
  </w:style>
  <w:style w:type="paragraph" w:customStyle="1" w:styleId="19">
    <w:name w:val="正文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文本 New"/>
    <w:basedOn w:val="21"/>
    <w:qFormat/>
    <w:uiPriority w:val="0"/>
    <w:pPr>
      <w:spacing w:after="120" w:afterLines="0"/>
    </w:pPr>
    <w:rPr>
      <w:rFonts w:cs="黑体"/>
    </w:rPr>
  </w:style>
  <w:style w:type="paragraph" w:customStyle="1" w:styleId="21">
    <w:name w:val="正文 New New"/>
    <w:next w:val="20"/>
    <w:qFormat/>
    <w:uiPriority w:val="0"/>
    <w:pPr>
      <w:widowControl w:val="0"/>
      <w:spacing w:line="600" w:lineRule="exact"/>
      <w:ind w:left="640" w:leftChars="200"/>
      <w:jc w:val="both"/>
    </w:pPr>
    <w:rPr>
      <w:rFonts w:ascii="Times New Roman" w:hAnsi="Times New Roman" w:eastAsia="仿宋_GB2312" w:cs="黑体"/>
      <w:kern w:val="2"/>
      <w:sz w:val="32"/>
      <w:szCs w:val="24"/>
      <w:lang w:val="en-US" w:eastAsia="zh-CN" w:bidi="ar-SA"/>
    </w:rPr>
  </w:style>
  <w:style w:type="paragraph" w:customStyle="1" w:styleId="22">
    <w:name w:val="正文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CM1"/>
    <w:basedOn w:val="24"/>
    <w:next w:val="24"/>
    <w:qFormat/>
    <w:uiPriority w:val="99"/>
    <w:rPr>
      <w:rFonts w:cs="Times New Roman"/>
      <w:color w:val="auto"/>
    </w:rPr>
  </w:style>
  <w:style w:type="paragraph" w:customStyle="1" w:styleId="24">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9432</Words>
  <Characters>9612</Characters>
  <Lines>0</Lines>
  <Paragraphs>0</Paragraphs>
  <TotalTime>0</TotalTime>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2021-07-19T01:14:00Z</dcterms:created>
  <dc:creator>届かない恋</dc:creator>
  <cp:lastModifiedBy>A</cp:lastModifiedBy>
  <cp:lastPrinted>2022-06-14T08:45:00Z</cp:lastPrinted>
  <dcterms:modified xsi:type="dcterms:W3CDTF">2024-01-10T08:39:32Z</dcterms:modified>
  <dc:title>淄博市张店区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y fmtid="{D5CDD505-2E9C-101B-9397-08002B2CF9AE}" pid="3" name="ICV">
    <vt:lpwstr>7EDA920910824D0DBC1F422757790A40</vt:lpwstr>
  </property>
</Properties>
</file>