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right"/>
        <w:textAlignment w:val="auto"/>
        <w:rPr>
          <w:rFonts w:hint="default" w:ascii="Times New Roman" w:hAnsi="Times New Roman" w:eastAsia="黑体" w:cs="Times New Roman"/>
          <w:bCs/>
          <w:snapToGrid w:val="0"/>
          <w:color w:val="000000"/>
          <w:kern w:val="0"/>
          <w:sz w:val="32"/>
          <w:szCs w:val="32"/>
        </w:rPr>
      </w:pPr>
      <w:r>
        <w:rPr>
          <w:rFonts w:hint="default" w:ascii="Times New Roman" w:hAnsi="Times New Roman" w:eastAsia="黑体" w:cs="Times New Roman"/>
          <w:color w:val="000000"/>
          <w:sz w:val="32"/>
          <w:szCs w:val="32"/>
        </w:rPr>
        <w:t>（</w:t>
      </w:r>
      <w:r>
        <w:rPr>
          <w:rFonts w:hint="default" w:ascii="Times New Roman" w:hAnsi="Times New Roman" w:eastAsia="黑体" w:cs="Times New Roman"/>
          <w:color w:val="000000"/>
          <w:sz w:val="32"/>
          <w:szCs w:val="32"/>
          <w:lang w:val="en-US" w:eastAsia="zh-CN"/>
        </w:rPr>
        <w:t>A</w:t>
      </w:r>
      <w:r>
        <w:rPr>
          <w:rFonts w:hint="default" w:ascii="Times New Roman" w:hAnsi="Times New Roman" w:eastAsia="黑体" w:cs="Times New Roman"/>
          <w:color w:val="000000"/>
          <w:sz w:val="32"/>
          <w:szCs w:val="32"/>
        </w:rPr>
        <w:t>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eastAsia="仿宋_GB2312" w:cs="Times New Roman"/>
          <w:bCs/>
          <w:snapToGrid w:val="0"/>
          <w:color w:val="000000"/>
          <w:kern w:val="0"/>
          <w:sz w:val="32"/>
          <w:szCs w:val="32"/>
          <w:u w:val="none"/>
        </w:rPr>
      </w:pPr>
      <w:r>
        <w:rPr>
          <w:rFonts w:hint="default" w:ascii="Times New Roman" w:hAnsi="Times New Roman" w:eastAsia="仿宋_GB2312" w:cs="Times New Roman"/>
          <w:bCs/>
          <w:snapToGrid w:val="0"/>
          <w:color w:val="000000"/>
          <w:kern w:val="0"/>
          <w:sz w:val="32"/>
          <w:szCs w:val="32"/>
          <w:u w:val="none"/>
        </w:rPr>
        <w:t>张行审发〔2022〕1</w:t>
      </w:r>
      <w:r>
        <w:rPr>
          <w:rFonts w:hint="default" w:ascii="Times New Roman" w:hAnsi="Times New Roman" w:eastAsia="仿宋_GB2312" w:cs="Times New Roman"/>
          <w:bCs/>
          <w:snapToGrid w:val="0"/>
          <w:color w:val="000000"/>
          <w:kern w:val="0"/>
          <w:sz w:val="32"/>
          <w:szCs w:val="32"/>
          <w:u w:val="none"/>
          <w:lang w:val="en-US" w:eastAsia="zh-CN"/>
        </w:rPr>
        <w:t>5</w:t>
      </w:r>
      <w:r>
        <w:rPr>
          <w:rFonts w:hint="default" w:ascii="Times New Roman" w:hAnsi="Times New Roman" w:eastAsia="仿宋_GB2312" w:cs="Times New Roman"/>
          <w:bCs/>
          <w:snapToGrid w:val="0"/>
          <w:color w:val="000000"/>
          <w:kern w:val="0"/>
          <w:sz w:val="32"/>
          <w:szCs w:val="32"/>
          <w:u w:val="none"/>
        </w:rPr>
        <w:t>号                    签发人：李辉</w:t>
      </w:r>
    </w:p>
    <w:p>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rPr>
      </w:pPr>
    </w:p>
    <w:p>
      <w:pPr>
        <w:spacing w:line="480" w:lineRule="exact"/>
        <w:jc w:val="center"/>
        <w:rPr>
          <w:rFonts w:hint="default" w:ascii="Times New Roman" w:hAnsi="Times New Roman" w:eastAsia="方正小标宋简体" w:cs="Times New Roman"/>
          <w:bCs/>
          <w:snapToGrid w:val="0"/>
          <w:color w:val="000000"/>
          <w:kern w:val="0"/>
          <w:sz w:val="44"/>
          <w:szCs w:val="44"/>
        </w:rPr>
      </w:pPr>
      <w:r>
        <w:rPr>
          <w:rFonts w:hint="default" w:ascii="Times New Roman" w:hAnsi="Times New Roman" w:eastAsia="方正小标宋简体" w:cs="Times New Roman"/>
          <w:bCs/>
          <w:snapToGrid w:val="0"/>
          <w:color w:val="000000"/>
          <w:kern w:val="0"/>
          <w:sz w:val="44"/>
          <w:szCs w:val="44"/>
        </w:rPr>
        <w:t>对区政协十</w:t>
      </w:r>
      <w:r>
        <w:rPr>
          <w:rFonts w:hint="default" w:ascii="Times New Roman" w:hAnsi="Times New Roman" w:eastAsia="方正小标宋简体" w:cs="Times New Roman"/>
          <w:bCs/>
          <w:snapToGrid w:val="0"/>
          <w:color w:val="000000"/>
          <w:kern w:val="0"/>
          <w:sz w:val="44"/>
          <w:szCs w:val="44"/>
          <w:lang w:eastAsia="zh-CN"/>
        </w:rPr>
        <w:t>三</w:t>
      </w:r>
      <w:r>
        <w:rPr>
          <w:rFonts w:hint="default" w:ascii="Times New Roman" w:hAnsi="Times New Roman" w:eastAsia="方正小标宋简体" w:cs="Times New Roman"/>
          <w:bCs/>
          <w:snapToGrid w:val="0"/>
          <w:color w:val="000000"/>
          <w:kern w:val="0"/>
          <w:sz w:val="44"/>
          <w:szCs w:val="44"/>
        </w:rPr>
        <w:t>届</w:t>
      </w:r>
      <w:r>
        <w:rPr>
          <w:rFonts w:hint="default" w:ascii="Times New Roman" w:hAnsi="Times New Roman" w:eastAsia="方正小标宋简体" w:cs="Times New Roman"/>
          <w:bCs/>
          <w:snapToGrid w:val="0"/>
          <w:color w:val="000000"/>
          <w:kern w:val="0"/>
          <w:sz w:val="44"/>
          <w:szCs w:val="44"/>
          <w:lang w:eastAsia="zh-CN"/>
        </w:rPr>
        <w:t>一</w:t>
      </w:r>
      <w:r>
        <w:rPr>
          <w:rFonts w:hint="default" w:ascii="Times New Roman" w:hAnsi="Times New Roman" w:eastAsia="方正小标宋简体" w:cs="Times New Roman"/>
          <w:bCs/>
          <w:snapToGrid w:val="0"/>
          <w:color w:val="000000"/>
          <w:kern w:val="0"/>
          <w:sz w:val="44"/>
          <w:szCs w:val="44"/>
        </w:rPr>
        <w:t>次会议委员第</w:t>
      </w:r>
      <w:r>
        <w:rPr>
          <w:rFonts w:hint="default" w:ascii="Times New Roman" w:hAnsi="Times New Roman" w:eastAsia="方正小标宋简体" w:cs="Times New Roman"/>
          <w:bCs/>
          <w:snapToGrid w:val="0"/>
          <w:color w:val="000000"/>
          <w:kern w:val="0"/>
          <w:sz w:val="44"/>
          <w:szCs w:val="44"/>
          <w:lang w:val="en-US" w:eastAsia="zh-CN"/>
        </w:rPr>
        <w:t>52</w:t>
      </w:r>
      <w:r>
        <w:rPr>
          <w:rFonts w:hint="default" w:ascii="Times New Roman" w:hAnsi="Times New Roman" w:eastAsia="方正小标宋简体" w:cs="Times New Roman"/>
          <w:bCs/>
          <w:snapToGrid w:val="0"/>
          <w:color w:val="000000"/>
          <w:kern w:val="0"/>
          <w:sz w:val="44"/>
          <w:szCs w:val="44"/>
        </w:rPr>
        <w:t>号提案的</w:t>
      </w:r>
    </w:p>
    <w:p>
      <w:pPr>
        <w:spacing w:line="480" w:lineRule="exact"/>
        <w:jc w:val="center"/>
        <w:rPr>
          <w:rFonts w:hint="default" w:ascii="Times New Roman" w:hAnsi="Times New Roman" w:eastAsia="方正小标宋简体" w:cs="Times New Roman"/>
          <w:bCs/>
          <w:snapToGrid w:val="0"/>
          <w:color w:val="000000"/>
          <w:kern w:val="0"/>
          <w:sz w:val="44"/>
          <w:szCs w:val="44"/>
        </w:rPr>
      </w:pPr>
      <w:r>
        <w:rPr>
          <w:rFonts w:hint="default" w:ascii="Times New Roman" w:hAnsi="Times New Roman" w:eastAsia="方正小标宋简体" w:cs="Times New Roman"/>
          <w:bCs/>
          <w:snapToGrid w:val="0"/>
          <w:color w:val="000000"/>
          <w:kern w:val="0"/>
          <w:sz w:val="44"/>
          <w:szCs w:val="44"/>
        </w:rPr>
        <w:t>答复</w:t>
      </w:r>
    </w:p>
    <w:p>
      <w:pPr>
        <w:spacing w:line="480" w:lineRule="exact"/>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Cs/>
          <w:snapToGrid w:val="0"/>
          <w:color w:val="000000"/>
          <w:kern w:val="0"/>
          <w:sz w:val="32"/>
          <w:szCs w:val="32"/>
          <w:lang w:eastAsia="zh-CN"/>
        </w:rPr>
        <w:t>孙青山</w:t>
      </w:r>
      <w:r>
        <w:rPr>
          <w:rFonts w:hint="eastAsia" w:ascii="仿宋_GB2312" w:hAnsi="仿宋_GB2312" w:eastAsia="仿宋_GB2312" w:cs="仿宋_GB2312"/>
          <w:bCs/>
          <w:snapToGrid w:val="0"/>
          <w:color w:val="000000"/>
          <w:kern w:val="0"/>
          <w:sz w:val="32"/>
          <w:szCs w:val="32"/>
        </w:rPr>
        <w:t>委员</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您提出的关于</w:t>
      </w:r>
      <w:r>
        <w:rPr>
          <w:rFonts w:hint="eastAsia" w:ascii="仿宋_GB2312" w:hAnsi="仿宋_GB2312" w:eastAsia="仿宋_GB2312" w:cs="仿宋_GB2312"/>
          <w:bCs/>
          <w:snapToGrid w:val="0"/>
          <w:color w:val="000000"/>
          <w:kern w:val="0"/>
          <w:sz w:val="32"/>
          <w:szCs w:val="32"/>
          <w:lang w:eastAsia="zh-CN"/>
        </w:rPr>
        <w:t>搬迁企业享受手续豁免权的建议</w:t>
      </w:r>
      <w:r>
        <w:rPr>
          <w:rFonts w:hint="eastAsia" w:ascii="仿宋_GB2312" w:hAnsi="仿宋_GB2312" w:eastAsia="仿宋_GB2312" w:cs="仿宋_GB2312"/>
          <w:bCs/>
          <w:snapToGrid w:val="0"/>
          <w:color w:val="000000"/>
          <w:kern w:val="0"/>
          <w:sz w:val="32"/>
          <w:szCs w:val="32"/>
        </w:rPr>
        <w:t>的提案收悉，经研究予以解决采纳。</w:t>
      </w:r>
      <w:bookmarkStart w:id="0" w:name="_GoBack"/>
      <w:bookmarkEnd w:id="0"/>
      <w:r>
        <w:rPr>
          <w:rFonts w:hint="eastAsia" w:ascii="仿宋_GB2312" w:hAnsi="仿宋_GB2312" w:eastAsia="仿宋_GB2312" w:cs="仿宋_GB2312"/>
          <w:bCs/>
          <w:snapToGrid w:val="0"/>
          <w:color w:val="000000"/>
          <w:kern w:val="0"/>
          <w:sz w:val="32"/>
          <w:szCs w:val="32"/>
        </w:rPr>
        <w:t>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张店区作为淄博市的中心城区，因其区位属性,住宅区、商业区较为集中，其工业化用地指标少，工业项目投资方拿地较为困难。尤其是一些拿地工业项目申办手续复杂，从最初立项到最后竣工验收合格，需经过发改、工信、自然资源、住建、水利等</w:t>
      </w:r>
      <w:r>
        <w:rPr>
          <w:rFonts w:hint="default" w:ascii="Times New Roman" w:hAnsi="Times New Roman" w:eastAsia="仿宋_GB2312" w:cs="Times New Roman"/>
          <w:bCs/>
          <w:snapToGrid w:val="0"/>
          <w:color w:val="000000"/>
          <w:kern w:val="0"/>
          <w:sz w:val="32"/>
          <w:szCs w:val="32"/>
        </w:rPr>
        <w:t>11</w:t>
      </w:r>
      <w:r>
        <w:rPr>
          <w:rFonts w:hint="eastAsia" w:ascii="仿宋_GB2312" w:hAnsi="仿宋_GB2312" w:eastAsia="仿宋_GB2312" w:cs="仿宋_GB2312"/>
          <w:bCs/>
          <w:snapToGrid w:val="0"/>
          <w:color w:val="000000"/>
          <w:kern w:val="0"/>
          <w:sz w:val="32"/>
          <w:szCs w:val="32"/>
        </w:rPr>
        <w:t>个部门审批，相应部门审批从依法公示、评审、听证、招投标、建设单位按要求整改，再将工业项目投资方资金到位、工期长短等时间计算在内，少则半年，多则一到两年才能达到投产要求，更加剧了不少工业投资项目落脚难、落地慢、落地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淄博市张店区行政审批服务局为进一步深化“</w:t>
      </w:r>
      <w:r>
        <w:rPr>
          <w:rFonts w:hint="eastAsia" w:ascii="Times New Roman" w:hAnsi="Times New Roman" w:eastAsia="仿宋_GB2312" w:cs="Times New Roman"/>
          <w:bCs/>
          <w:snapToGrid w:val="0"/>
          <w:color w:val="000000"/>
          <w:kern w:val="0"/>
          <w:sz w:val="32"/>
          <w:szCs w:val="32"/>
        </w:rPr>
        <w:t>1</w:t>
      </w:r>
      <w:r>
        <w:rPr>
          <w:rFonts w:hint="eastAsia" w:ascii="仿宋_GB2312" w:hAnsi="仿宋_GB2312" w:eastAsia="仿宋_GB2312" w:cs="仿宋_GB2312"/>
          <w:bCs/>
          <w:snapToGrid w:val="0"/>
          <w:color w:val="000000"/>
          <w:kern w:val="0"/>
          <w:sz w:val="32"/>
          <w:szCs w:val="32"/>
        </w:rPr>
        <w:t>+N”审批制度改革，优化提升营商环境、推动经济转型升级，解决部分工业投资项目落地难问题，淄博市张店区推动“</w:t>
      </w:r>
      <w:r>
        <w:rPr>
          <w:rFonts w:hint="eastAsia" w:ascii="Times New Roman" w:hAnsi="Times New Roman" w:eastAsia="仿宋_GB2312" w:cs="Times New Roman"/>
          <w:bCs/>
          <w:snapToGrid w:val="0"/>
          <w:color w:val="000000"/>
          <w:kern w:val="0"/>
          <w:sz w:val="32"/>
          <w:szCs w:val="32"/>
        </w:rPr>
        <w:t>1</w:t>
      </w:r>
      <w:r>
        <w:rPr>
          <w:rFonts w:hint="eastAsia" w:ascii="仿宋_GB2312" w:hAnsi="仿宋_GB2312" w:eastAsia="仿宋_GB2312" w:cs="仿宋_GB2312"/>
          <w:bCs/>
          <w:snapToGrid w:val="0"/>
          <w:color w:val="000000"/>
          <w:kern w:val="0"/>
          <w:sz w:val="32"/>
          <w:szCs w:val="32"/>
        </w:rPr>
        <w:t>+N”审批制度改革，由原来的</w:t>
      </w:r>
      <w:r>
        <w:rPr>
          <w:rFonts w:hint="eastAsia" w:ascii="Times New Roman" w:hAnsi="Times New Roman" w:eastAsia="仿宋_GB2312" w:cs="Times New Roman"/>
          <w:bCs/>
          <w:snapToGrid w:val="0"/>
          <w:color w:val="000000"/>
          <w:kern w:val="0"/>
          <w:sz w:val="32"/>
          <w:szCs w:val="32"/>
        </w:rPr>
        <w:t>1.0</w:t>
      </w:r>
      <w:r>
        <w:rPr>
          <w:rFonts w:hint="eastAsia" w:ascii="仿宋_GB2312" w:hAnsi="仿宋_GB2312" w:eastAsia="仿宋_GB2312" w:cs="仿宋_GB2312"/>
          <w:bCs/>
          <w:snapToGrid w:val="0"/>
          <w:color w:val="000000"/>
          <w:kern w:val="0"/>
          <w:sz w:val="32"/>
          <w:szCs w:val="32"/>
        </w:rPr>
        <w:t>版——“拿地即开工”，升级为“</w:t>
      </w:r>
      <w:r>
        <w:rPr>
          <w:rFonts w:hint="eastAsia" w:ascii="Times New Roman" w:hAnsi="Times New Roman" w:eastAsia="仿宋_GB2312" w:cs="Times New Roman"/>
          <w:bCs/>
          <w:snapToGrid w:val="0"/>
          <w:color w:val="000000"/>
          <w:kern w:val="0"/>
          <w:sz w:val="32"/>
          <w:szCs w:val="32"/>
        </w:rPr>
        <w:t>1</w:t>
      </w:r>
      <w:r>
        <w:rPr>
          <w:rFonts w:hint="eastAsia" w:ascii="仿宋_GB2312" w:hAnsi="仿宋_GB2312" w:eastAsia="仿宋_GB2312" w:cs="仿宋_GB2312"/>
          <w:bCs/>
          <w:snapToGrid w:val="0"/>
          <w:color w:val="000000"/>
          <w:kern w:val="0"/>
          <w:sz w:val="32"/>
          <w:szCs w:val="32"/>
        </w:rPr>
        <w:t>+N”审批制度改革</w:t>
      </w:r>
      <w:r>
        <w:rPr>
          <w:rFonts w:hint="eastAsia" w:ascii="Times New Roman" w:hAnsi="Times New Roman" w:eastAsia="仿宋_GB2312" w:cs="Times New Roman"/>
          <w:bCs/>
          <w:snapToGrid w:val="0"/>
          <w:color w:val="000000"/>
          <w:kern w:val="0"/>
          <w:sz w:val="32"/>
          <w:szCs w:val="32"/>
        </w:rPr>
        <w:t>2.0</w:t>
      </w:r>
      <w:r>
        <w:rPr>
          <w:rFonts w:hint="eastAsia" w:ascii="仿宋_GB2312" w:hAnsi="仿宋_GB2312" w:eastAsia="仿宋_GB2312" w:cs="仿宋_GB2312"/>
          <w:bCs/>
          <w:snapToGrid w:val="0"/>
          <w:color w:val="000000"/>
          <w:kern w:val="0"/>
          <w:sz w:val="32"/>
          <w:szCs w:val="32"/>
        </w:rPr>
        <w:t>版——“租赁即开工”，着力构建高效的工业投资项目审批服务新体系，提升项目审批效率。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一是明确实施范围。对租赁厂房（库房）、符合产业政策、土地产权明晰且不改变用地性质、无新建及改扩建的工业投资项目进行流程再造，创新“租赁即开工”审批模式，提供项目管家全链条服务，实施一表申请、并联审批，信息互通审批互认。项目联审将原来</w:t>
      </w:r>
      <w:r>
        <w:rPr>
          <w:rFonts w:hint="eastAsia" w:ascii="Times New Roman" w:hAnsi="Times New Roman" w:eastAsia="仿宋_GB2312" w:cs="Times New Roman"/>
          <w:bCs/>
          <w:snapToGrid w:val="0"/>
          <w:color w:val="000000"/>
          <w:kern w:val="0"/>
          <w:sz w:val="32"/>
          <w:szCs w:val="32"/>
        </w:rPr>
        <w:t>11</w:t>
      </w:r>
      <w:r>
        <w:rPr>
          <w:rFonts w:hint="eastAsia" w:ascii="仿宋_GB2312" w:hAnsi="仿宋_GB2312" w:eastAsia="仿宋_GB2312" w:cs="仿宋_GB2312"/>
          <w:bCs/>
          <w:snapToGrid w:val="0"/>
          <w:color w:val="000000"/>
          <w:kern w:val="0"/>
          <w:sz w:val="32"/>
          <w:szCs w:val="32"/>
        </w:rPr>
        <w:t>个审批部门压缩至</w:t>
      </w:r>
      <w:r>
        <w:rPr>
          <w:rFonts w:hint="eastAsia" w:ascii="Times New Roman" w:hAnsi="Times New Roman" w:eastAsia="仿宋_GB2312" w:cs="Times New Roman"/>
          <w:bCs/>
          <w:snapToGrid w:val="0"/>
          <w:color w:val="000000"/>
          <w:kern w:val="0"/>
          <w:sz w:val="32"/>
          <w:szCs w:val="32"/>
        </w:rPr>
        <w:t>3</w:t>
      </w:r>
      <w:r>
        <w:rPr>
          <w:rFonts w:hint="eastAsia" w:ascii="仿宋_GB2312" w:hAnsi="仿宋_GB2312" w:eastAsia="仿宋_GB2312" w:cs="仿宋_GB2312"/>
          <w:bCs/>
          <w:snapToGrid w:val="0"/>
          <w:color w:val="000000"/>
          <w:kern w:val="0"/>
          <w:sz w:val="32"/>
          <w:szCs w:val="32"/>
        </w:rPr>
        <w:t>个，分别是自然资源局、生态环境局、行政审批局，其他部门意见汇总为告知承诺，由项目方推行承诺制，通过并联审批，项目签订厂房（库房）租赁合同即可落地开工。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二是突出信息化支撑。在全市率先上线首个手机端投资项目联审平台，将投资项目联审由“线下”变为“线上”。企业登入投资项目联审平台上传项目简介发起业务，平台即时通过短信及微信两种形式向各相关职能部门推送联审信息。联审部门根据上传的项目情况，通过留言板或电话与企业沟通交流、答疑解惑，及时反馈联审意见并自动生成联审意见书。联审通过，企业登入山东省投资项目在线审批监管平台全程网办，审批时限压缩至</w:t>
      </w:r>
      <w:r>
        <w:rPr>
          <w:rFonts w:hint="eastAsia" w:ascii="Times New Roman" w:hAnsi="Times New Roman" w:eastAsia="仿宋_GB2312" w:cs="Times New Roman"/>
          <w:bCs/>
          <w:snapToGrid w:val="0"/>
          <w:color w:val="000000"/>
          <w:kern w:val="0"/>
          <w:sz w:val="32"/>
          <w:szCs w:val="32"/>
        </w:rPr>
        <w:t>1</w:t>
      </w:r>
      <w:r>
        <w:rPr>
          <w:rFonts w:hint="eastAsia" w:ascii="仿宋_GB2312" w:hAnsi="仿宋_GB2312" w:eastAsia="仿宋_GB2312" w:cs="仿宋_GB2312"/>
          <w:bCs/>
          <w:snapToGrid w:val="0"/>
          <w:color w:val="000000"/>
          <w:kern w:val="0"/>
          <w:sz w:val="32"/>
          <w:szCs w:val="32"/>
        </w:rPr>
        <w:t>个工作日，实现不出门就能“掌上办、网上审”，企业足不出户即可自行打印项目备案证明。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三是实施流程再造。优化市政公用设施报装接入服务，建立部门联动服务机制，依托张店微服务平台，同步实现水电气暖业务部门即时获取项目立项信息数据，压缩水电气暖报装环节时限，降低企业生产成本。投资项目手机端联审平台项目预审环节，增设多家水电气暖单位首席代表，方便与企业沟通对接报装事宜，同时增加“公共服务事项办理工作对接提示功能”。当项目通过预审，平台即时通过短信和微信两种形式向水电气暖单位首席代表推送企业项目信息，水电气暖相关单位将主动联系项目单位，对接企业报装意向，精准掌握客户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四是实行管家式服务。建立由审批业务骨干组成的项目管家服务队伍，公布服务电话，印制项目服务卡，构建主动对接、精准订制、全程跟踪服务体系，实行企业开办、项目立项、项目审批、项目服务全链条专业化管家式服务，主动为企业提供送政策、送服务、送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lang w:val="en-US" w:eastAsia="zh-CN"/>
        </w:rPr>
      </w:pPr>
      <w:r>
        <w:rPr>
          <w:rFonts w:hint="eastAsia" w:ascii="仿宋_GB2312" w:hAnsi="仿宋_GB2312" w:eastAsia="仿宋_GB2312" w:cs="仿宋_GB2312"/>
          <w:bCs/>
          <w:snapToGrid w:val="0"/>
          <w:color w:val="000000"/>
          <w:kern w:val="0"/>
          <w:sz w:val="32"/>
          <w:szCs w:val="32"/>
          <w:lang w:val="en-US" w:eastAsia="zh-CN"/>
        </w:rPr>
        <w:t>下一步，</w:t>
      </w:r>
      <w:r>
        <w:rPr>
          <w:rFonts w:hint="eastAsia" w:ascii="仿宋_GB2312" w:hAnsi="仿宋_GB2312" w:eastAsia="仿宋_GB2312" w:cs="仿宋_GB2312"/>
          <w:sz w:val="32"/>
          <w:szCs w:val="32"/>
          <w:lang w:eastAsia="zh-CN"/>
        </w:rPr>
        <w:t>张店</w:t>
      </w:r>
      <w:r>
        <w:rPr>
          <w:rFonts w:hint="eastAsia" w:ascii="仿宋_GB2312" w:hAnsi="仿宋_GB2312" w:eastAsia="仿宋_GB2312" w:cs="仿宋_GB2312"/>
          <w:sz w:val="32"/>
          <w:szCs w:val="32"/>
        </w:rPr>
        <w:t>区</w:t>
      </w:r>
      <w:r>
        <w:rPr>
          <w:rFonts w:hint="eastAsia" w:ascii="仿宋_GB2312" w:hAnsi="仿宋_GB2312" w:eastAsia="仿宋_GB2312" w:cs="仿宋_GB2312"/>
          <w:bCs/>
          <w:snapToGrid w:val="0"/>
          <w:color w:val="000000"/>
          <w:kern w:val="0"/>
          <w:sz w:val="32"/>
          <w:szCs w:val="32"/>
          <w:lang w:val="en-US" w:eastAsia="zh-CN"/>
        </w:rPr>
        <w:t>行政审批服务局</w:t>
      </w:r>
      <w:r>
        <w:rPr>
          <w:rFonts w:hint="eastAsia" w:ascii="仿宋_GB2312" w:hAnsi="仿宋_GB2312" w:eastAsia="仿宋_GB2312" w:cs="仿宋_GB2312"/>
          <w:sz w:val="32"/>
          <w:szCs w:val="32"/>
          <w:lang w:val="en-US" w:eastAsia="zh-CN"/>
        </w:rPr>
        <w:t>将继续围绕项目手续办理，本着服务走在审批前的服务理念，为项目提供全链条项目管家服务，积极推进“一件事”主体服务改革</w:t>
      </w:r>
      <w:r>
        <w:rPr>
          <w:rFonts w:hint="eastAsia" w:ascii="仿宋_GB2312" w:hAnsi="仿宋_GB2312" w:eastAsia="仿宋_GB2312" w:cs="仿宋_GB2312"/>
          <w:sz w:val="32"/>
          <w:szCs w:val="32"/>
        </w:rPr>
        <w:t>，助推投资项目建设审批加速度，努力打造投资项目联合审批“张店品牌”。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napToGrid w:val="0"/>
          <w:color w:val="000000"/>
          <w:kern w:val="0"/>
          <w:sz w:val="32"/>
          <w:szCs w:val="32"/>
          <w:lang w:val="en-US" w:eastAsia="zh-CN"/>
        </w:rPr>
      </w:pPr>
      <w:r>
        <w:rPr>
          <w:rFonts w:hint="eastAsia" w:ascii="仿宋_GB2312" w:hAnsi="仿宋_GB2312" w:eastAsia="仿宋_GB2312" w:cs="仿宋_GB2312"/>
          <w:bCs/>
          <w:snapToGrid w:val="0"/>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ascii="仿宋_GB2312" w:hAnsi="仿宋_GB2312" w:eastAsia="仿宋_GB2312" w:cs="仿宋_GB2312"/>
          <w:bCs/>
          <w:snapToGrid w:val="0"/>
          <w:color w:val="000000"/>
          <w:kern w:val="0"/>
          <w:sz w:val="32"/>
          <w:szCs w:val="32"/>
          <w:lang w:val="en-US" w:eastAsia="zh-CN"/>
        </w:rPr>
      </w:pPr>
      <w:r>
        <w:rPr>
          <w:rFonts w:hint="eastAsia" w:ascii="仿宋_GB2312" w:hAnsi="仿宋_GB2312" w:eastAsia="仿宋_GB2312" w:cs="仿宋_GB2312"/>
          <w:bCs/>
          <w:snapToGrid w:val="0"/>
          <w:color w:val="000000"/>
          <w:kern w:val="0"/>
          <w:sz w:val="32"/>
          <w:szCs w:val="32"/>
          <w:lang w:val="en-US" w:eastAsia="zh-CN"/>
        </w:rPr>
        <w:t>淄博市张店区行政审批服务局</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center"/>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lang w:val="en-US" w:eastAsia="zh-CN"/>
        </w:rPr>
        <w:t xml:space="preserve">                        </w:t>
      </w:r>
      <w:r>
        <w:rPr>
          <w:rFonts w:hint="eastAsia" w:ascii="Times New Roman" w:hAnsi="Times New Roman" w:eastAsia="仿宋_GB2312" w:cs="Times New Roman"/>
          <w:bCs/>
          <w:snapToGrid w:val="0"/>
          <w:color w:val="000000"/>
          <w:kern w:val="0"/>
          <w:sz w:val="32"/>
          <w:szCs w:val="32"/>
        </w:rPr>
        <w:t>202</w:t>
      </w:r>
      <w:r>
        <w:rPr>
          <w:rFonts w:hint="eastAsia" w:ascii="Times New Roman" w:hAnsi="Times New Roman" w:eastAsia="仿宋_GB2312" w:cs="Times New Roman"/>
          <w:bCs/>
          <w:snapToGrid w:val="0"/>
          <w:color w:val="000000"/>
          <w:kern w:val="0"/>
          <w:sz w:val="32"/>
          <w:szCs w:val="32"/>
          <w:lang w:val="en-US" w:eastAsia="zh-CN"/>
        </w:rPr>
        <w:t>2</w:t>
      </w:r>
      <w:r>
        <w:rPr>
          <w:rFonts w:hint="eastAsia" w:ascii="Times New Roman" w:hAnsi="Times New Roman" w:eastAsia="仿宋_GB2312" w:cs="Times New Roman"/>
          <w:bCs/>
          <w:snapToGrid w:val="0"/>
          <w:color w:val="000000"/>
          <w:kern w:val="0"/>
          <w:sz w:val="32"/>
          <w:szCs w:val="32"/>
        </w:rPr>
        <w:t>年</w:t>
      </w:r>
      <w:r>
        <w:rPr>
          <w:rFonts w:hint="eastAsia" w:ascii="Times New Roman" w:hAnsi="Times New Roman" w:eastAsia="仿宋_GB2312" w:cs="Times New Roman"/>
          <w:bCs/>
          <w:snapToGrid w:val="0"/>
          <w:color w:val="000000"/>
          <w:kern w:val="0"/>
          <w:sz w:val="32"/>
          <w:szCs w:val="32"/>
          <w:lang w:val="en-US" w:eastAsia="zh-CN"/>
        </w:rPr>
        <w:t>7</w:t>
      </w:r>
      <w:r>
        <w:rPr>
          <w:rFonts w:hint="eastAsia" w:ascii="Times New Roman" w:hAnsi="Times New Roman" w:eastAsia="仿宋_GB2312" w:cs="Times New Roman"/>
          <w:bCs/>
          <w:snapToGrid w:val="0"/>
          <w:color w:val="000000"/>
          <w:kern w:val="0"/>
          <w:sz w:val="32"/>
          <w:szCs w:val="32"/>
        </w:rPr>
        <w:t>月</w:t>
      </w:r>
      <w:r>
        <w:rPr>
          <w:rFonts w:hint="eastAsia" w:ascii="Times New Roman" w:hAnsi="Times New Roman" w:eastAsia="仿宋_GB2312" w:cs="Times New Roman"/>
          <w:bCs/>
          <w:snapToGrid w:val="0"/>
          <w:color w:val="000000"/>
          <w:kern w:val="0"/>
          <w:sz w:val="32"/>
          <w:szCs w:val="32"/>
          <w:lang w:val="en-US" w:eastAsia="zh-CN"/>
        </w:rPr>
        <w:t>5</w:t>
      </w:r>
      <w:r>
        <w:rPr>
          <w:rFonts w:hint="eastAsia" w:ascii="仿宋_GB2312" w:hAnsi="仿宋_GB2312" w:eastAsia="仿宋_GB2312" w:cs="仿宋_GB2312"/>
          <w:bCs/>
          <w:snapToGrid w:val="0"/>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150"/>
        <w:textAlignment w:val="auto"/>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（联系人：</w:t>
      </w:r>
      <w:r>
        <w:rPr>
          <w:rFonts w:hint="eastAsia" w:ascii="仿宋_GB2312" w:hAnsi="仿宋_GB2312" w:eastAsia="仿宋_GB2312" w:cs="仿宋_GB2312"/>
          <w:bCs/>
          <w:snapToGrid w:val="0"/>
          <w:color w:val="000000"/>
          <w:kern w:val="0"/>
          <w:sz w:val="32"/>
          <w:szCs w:val="32"/>
          <w:lang w:val="en-US" w:eastAsia="zh-CN"/>
        </w:rPr>
        <w:t>段春晖</w:t>
      </w:r>
      <w:r>
        <w:rPr>
          <w:rFonts w:hint="eastAsia" w:ascii="仿宋_GB2312" w:hAnsi="仿宋_GB2312" w:eastAsia="仿宋_GB2312" w:cs="仿宋_GB2312"/>
          <w:bCs/>
          <w:snapToGrid w:val="0"/>
          <w:color w:val="000000"/>
          <w:kern w:val="0"/>
          <w:sz w:val="32"/>
          <w:szCs w:val="32"/>
        </w:rPr>
        <w:t>，联系电话：</w:t>
      </w:r>
      <w:r>
        <w:rPr>
          <w:rFonts w:hint="eastAsia" w:ascii="Times New Roman" w:hAnsi="Times New Roman" w:eastAsia="仿宋_GB2312" w:cs="Times New Roman"/>
          <w:bCs/>
          <w:snapToGrid w:val="0"/>
          <w:color w:val="000000"/>
          <w:kern w:val="0"/>
          <w:sz w:val="32"/>
          <w:szCs w:val="32"/>
          <w:lang w:val="en-US" w:eastAsia="zh-CN"/>
        </w:rPr>
        <w:t>0533-2273223</w:t>
      </w:r>
      <w:r>
        <w:rPr>
          <w:rFonts w:hint="eastAsia" w:ascii="仿宋_GB2312" w:hAnsi="仿宋_GB2312" w:eastAsia="仿宋_GB2312" w:cs="仿宋_GB2312"/>
          <w:bCs/>
          <w:snapToGrid w:val="0"/>
          <w:color w:val="000000"/>
          <w:kern w:val="0"/>
          <w:sz w:val="32"/>
          <w:szCs w:val="32"/>
        </w:rPr>
        <w:t>）</w:t>
      </w:r>
    </w:p>
    <w:p>
      <w:pPr>
        <w:ind w:firstLine="420" w:firstLineChars="200"/>
        <w:rPr>
          <w:rFonts w:hint="eastAsia" w:ascii="仿宋_GB2312" w:hAnsi="仿宋_GB2312" w:eastAsia="仿宋_GB2312" w:cs="仿宋_GB2312"/>
          <w:lang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2QwMjIxYzFiMDUyMmZmMmU0MTgyZTU1YzFkZTMifQ=="/>
  </w:docVars>
  <w:rsids>
    <w:rsidRoot w:val="00000000"/>
    <w:rsid w:val="048547F5"/>
    <w:rsid w:val="1AED4AA9"/>
    <w:rsid w:val="1DD330C3"/>
    <w:rsid w:val="205C7FDB"/>
    <w:rsid w:val="20EA59C4"/>
    <w:rsid w:val="35421AA5"/>
    <w:rsid w:val="35A827C3"/>
    <w:rsid w:val="3B4F1C64"/>
    <w:rsid w:val="448D4F55"/>
    <w:rsid w:val="49D65E94"/>
    <w:rsid w:val="4AC94D68"/>
    <w:rsid w:val="565C3133"/>
    <w:rsid w:val="578D7F15"/>
    <w:rsid w:val="57B2737C"/>
    <w:rsid w:val="5CBB2094"/>
    <w:rsid w:val="633F3467"/>
    <w:rsid w:val="6D080A78"/>
    <w:rsid w:val="742E4CEE"/>
    <w:rsid w:val="7A580A3F"/>
    <w:rsid w:val="7BC04649"/>
    <w:rsid w:val="7F764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小标宋简体" w:hAnsi="方正小标宋简体" w:eastAsia="方正小标宋简体" w:cs="方正小标宋简体"/>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1384</Words>
  <Characters>1415</Characters>
  <Lines>0</Lines>
  <Paragraphs>0</Paragraphs>
  <TotalTime>30</TotalTime>
  <ScaleCrop>false</ScaleCrop>
  <LinksUpToDate>false</LinksUpToDate>
  <CharactersWithSpaces>1463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2021-06-28T03:31:00Z</dcterms:created>
  <dc:creator>Administrator</dc:creator>
  <cp:lastModifiedBy>Administrator</cp:lastModifiedBy>
  <cp:lastPrinted>2022-07-05T07:02:00Z</cp:lastPrinted>
  <dcterms:modified xsi:type="dcterms:W3CDTF">2022-09-20T00:56:49Z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2BA28FE78634416699465B9B77191951</vt:lpwstr>
  </property>
</Properties>
</file>