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855" w:hanging="3855"/>
        <w:spacing w:before="208" w:line="249" w:lineRule="auto"/>
        <w:outlineLvl w:val="0"/>
        <w:rPr>
          <w:rFonts w:ascii="SimHei" w:hAnsi="SimHei" w:eastAsia="SimHei" w:cs="SimHei"/>
          <w:sz w:val="64"/>
          <w:szCs w:val="64"/>
        </w:rPr>
      </w:pPr>
      <w:r>
        <w:rPr>
          <w:rFonts w:ascii="SimHei" w:hAnsi="SimHei" w:eastAsia="SimHei" w:cs="SimHei"/>
          <w:sz w:val="64"/>
          <w:szCs w:val="64"/>
          <w:spacing w:val="-2"/>
        </w:rPr>
        <w:t>2024年淄博市张店区信访局部门</w:t>
      </w:r>
      <w:r>
        <w:rPr>
          <w:rFonts w:ascii="SimHei" w:hAnsi="SimHei" w:eastAsia="SimHei" w:cs="SimHei"/>
          <w:sz w:val="64"/>
          <w:szCs w:val="64"/>
          <w:spacing w:val="11"/>
        </w:rPr>
        <w:t xml:space="preserve"> </w:t>
      </w:r>
      <w:r>
        <w:rPr>
          <w:rFonts w:ascii="SimHei" w:hAnsi="SimHei" w:eastAsia="SimHei" w:cs="SimHei"/>
          <w:sz w:val="64"/>
          <w:szCs w:val="64"/>
          <w:spacing w:val="-9"/>
        </w:rPr>
        <w:t>预算</w:t>
      </w:r>
    </w:p>
    <w:p>
      <w:pPr>
        <w:spacing w:line="249" w:lineRule="auto"/>
        <w:sectPr>
          <w:pgSz w:w="11900" w:h="16840"/>
          <w:pgMar w:top="1431" w:right="1468" w:bottom="0" w:left="1491" w:header="0" w:footer="0" w:gutter="0"/>
        </w:sectPr>
        <w:rPr>
          <w:rFonts w:ascii="SimHei" w:hAnsi="SimHei" w:eastAsia="SimHei" w:cs="SimHei"/>
          <w:sz w:val="64"/>
          <w:szCs w:val="64"/>
        </w:rPr>
      </w:pPr>
    </w:p>
    <w:p>
      <w:pPr>
        <w:pStyle w:val="BodyText"/>
        <w:ind w:left="3995"/>
        <w:spacing w:before="180" w:line="222" w:lineRule="auto"/>
        <w:rPr>
          <w:sz w:val="32"/>
          <w:szCs w:val="32"/>
        </w:rPr>
      </w:pPr>
      <w:r>
        <w:rPr>
          <w:sz w:val="32"/>
          <w:szCs w:val="32"/>
          <w:spacing w:val="-27"/>
        </w:rPr>
        <w:t>目</w:t>
      </w:r>
      <w:r>
        <w:rPr>
          <w:sz w:val="32"/>
          <w:szCs w:val="32"/>
          <w:spacing w:val="7"/>
        </w:rPr>
        <w:t xml:space="preserve">  </w:t>
      </w:r>
      <w:r>
        <w:rPr>
          <w:sz w:val="32"/>
          <w:szCs w:val="32"/>
          <w:spacing w:val="-27"/>
        </w:rPr>
        <w:t>录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before="91" w:line="221" w:lineRule="auto"/>
        <w:rPr/>
      </w:pPr>
      <w:r>
        <w:rPr>
          <w:spacing w:val="-1"/>
        </w:rPr>
        <w:t>第一部分</w:t>
      </w:r>
      <w:r>
        <w:rPr>
          <w:spacing w:val="-1"/>
        </w:rPr>
        <w:t xml:space="preserve"> </w:t>
      </w:r>
      <w:r>
        <w:rPr>
          <w:spacing w:val="-1"/>
        </w:rPr>
        <w:t>部门概况</w:t>
      </w:r>
    </w:p>
    <w:p>
      <w:pPr>
        <w:ind w:left="564"/>
        <w:spacing w:before="165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一、主要职责</w:t>
      </w:r>
    </w:p>
    <w:p>
      <w:pPr>
        <w:ind w:left="561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二、机构设置情况</w:t>
      </w:r>
    </w:p>
    <w:p>
      <w:pPr>
        <w:pStyle w:val="BodyText"/>
        <w:spacing w:before="155" w:line="222" w:lineRule="auto"/>
        <w:rPr/>
      </w:pPr>
      <w:r>
        <w:rPr>
          <w:spacing w:val="-1"/>
        </w:rPr>
        <w:t>第二部分</w:t>
      </w:r>
      <w:r>
        <w:rPr>
          <w:spacing w:val="-1"/>
        </w:rPr>
        <w:t xml:space="preserve"> </w:t>
      </w:r>
      <w:r>
        <w:rPr>
          <w:spacing w:val="-1"/>
        </w:rPr>
        <w:t>2024年部门预算表</w:t>
      </w:r>
    </w:p>
    <w:p>
      <w:pPr>
        <w:ind w:left="564"/>
        <w:spacing w:before="164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一、收支总体情况表</w:t>
      </w:r>
    </w:p>
    <w:p>
      <w:pPr>
        <w:ind w:left="561"/>
        <w:spacing w:before="155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二、收入总体情况表</w:t>
      </w:r>
    </w:p>
    <w:p>
      <w:pPr>
        <w:ind w:left="555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三、支出总体情况表</w:t>
      </w:r>
    </w:p>
    <w:p>
      <w:pPr>
        <w:ind w:left="573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四、财政拨款收支总体情况表</w:t>
      </w:r>
    </w:p>
    <w:p>
      <w:pPr>
        <w:ind w:left="562"/>
        <w:spacing w:before="155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五、一般公共预算支出情况表</w:t>
      </w:r>
    </w:p>
    <w:p>
      <w:pPr>
        <w:ind w:left="567"/>
        <w:spacing w:before="157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六、一般公共预算基本支出情况表</w:t>
      </w:r>
    </w:p>
    <w:p>
      <w:pPr>
        <w:ind w:left="565"/>
        <w:spacing w:before="159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七、一般公共预算“三公”经费支出情况表</w:t>
      </w:r>
    </w:p>
    <w:p>
      <w:pPr>
        <w:ind w:left="563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八、政府性基金预算支出情况表</w:t>
      </w:r>
    </w:p>
    <w:p>
      <w:pPr>
        <w:ind w:left="562"/>
        <w:spacing w:before="156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九、国有资本经营预算支出情况表</w:t>
      </w:r>
    </w:p>
    <w:p>
      <w:pPr>
        <w:ind w:left="567"/>
        <w:spacing w:before="159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十、基本支出预算情况表</w:t>
      </w:r>
    </w:p>
    <w:p>
      <w:pPr>
        <w:ind w:left="567"/>
        <w:spacing w:before="158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十一、项目支出预算情况表</w:t>
      </w:r>
    </w:p>
    <w:p>
      <w:pPr>
        <w:ind w:left="567"/>
        <w:spacing w:before="156" w:line="22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十二、政府采购预算情况表</w:t>
      </w:r>
    </w:p>
    <w:p>
      <w:pPr>
        <w:pStyle w:val="BodyText"/>
        <w:ind w:right="2857"/>
        <w:spacing w:before="155" w:line="316" w:lineRule="auto"/>
        <w:rPr/>
      </w:pPr>
      <w:r>
        <w:rPr>
          <w:spacing w:val="-1"/>
        </w:rPr>
        <w:t>第三部分</w:t>
      </w:r>
      <w:r>
        <w:rPr>
          <w:spacing w:val="-1"/>
        </w:rPr>
        <w:t xml:space="preserve"> </w:t>
      </w:r>
      <w:r>
        <w:rPr>
          <w:spacing w:val="-1"/>
        </w:rPr>
        <w:t>2024年部门预算情况和重要事项说明</w:t>
      </w:r>
      <w:r>
        <w:rPr>
          <w:spacing w:val="11"/>
        </w:rPr>
        <w:t xml:space="preserve"> </w:t>
      </w:r>
      <w:r>
        <w:rPr>
          <w:spacing w:val="-1"/>
        </w:rPr>
        <w:t>第四部分</w:t>
      </w:r>
      <w:r>
        <w:rPr>
          <w:spacing w:val="-1"/>
        </w:rPr>
        <w:t xml:space="preserve"> </w:t>
      </w:r>
      <w:r>
        <w:rPr>
          <w:spacing w:val="-1"/>
        </w:rPr>
        <w:t>名词解释</w:t>
      </w:r>
    </w:p>
    <w:p>
      <w:pPr>
        <w:spacing w:line="316" w:lineRule="auto"/>
        <w:sectPr>
          <w:footerReference w:type="default" r:id="rId1"/>
          <w:pgSz w:w="11900" w:h="16840"/>
          <w:pgMar w:top="1431" w:right="1785" w:bottom="726" w:left="1528" w:header="0" w:footer="563" w:gutter="0"/>
        </w:sectPr>
        <w:rPr/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5"/>
        </w:rPr>
        <w:t>第一部分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64"/>
        <w:spacing w:before="143" w:line="221" w:lineRule="auto"/>
        <w:rPr>
          <w:sz w:val="44"/>
          <w:szCs w:val="44"/>
        </w:rPr>
      </w:pPr>
      <w:r>
        <w:rPr>
          <w:sz w:val="44"/>
          <w:szCs w:val="44"/>
          <w:spacing w:val="-6"/>
        </w:rPr>
        <w:t>部门概况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726" w:left="1234" w:header="0" w:footer="563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1" w:line="221" w:lineRule="auto"/>
        <w:outlineLvl w:val="0"/>
        <w:rPr/>
      </w:pPr>
      <w:r>
        <w:rPr>
          <w:spacing w:val="-5"/>
        </w:rPr>
        <w:t>一、主要职责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right="10" w:firstLine="560"/>
        <w:spacing w:before="91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（1）处理人民群众的来信，办理通过互联网、传真、电话等形式提出的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信访事项，接待上访群众。</w:t>
      </w:r>
    </w:p>
    <w:p>
      <w:pPr>
        <w:ind w:left="560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（2）负责汇总分析通过信访渠道提出的重要</w:t>
      </w:r>
      <w:r>
        <w:rPr>
          <w:rFonts w:ascii="FangSong" w:hAnsi="FangSong" w:eastAsia="FangSong" w:cs="FangSong"/>
          <w:sz w:val="28"/>
          <w:szCs w:val="28"/>
          <w:spacing w:val="-3"/>
        </w:rPr>
        <w:t>意见建议。</w:t>
      </w:r>
    </w:p>
    <w:p>
      <w:pPr>
        <w:ind w:right="2" w:firstLine="560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（3）承办上级有关机关批转的信访事项，承办区委、</w:t>
      </w:r>
      <w:r>
        <w:rPr>
          <w:rFonts w:ascii="FangSong" w:hAnsi="FangSong" w:eastAsia="FangSong" w:cs="FangSong"/>
          <w:sz w:val="28"/>
          <w:szCs w:val="28"/>
          <w:spacing w:val="-2"/>
        </w:rPr>
        <w:t>区政府批转的信访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事项。</w:t>
      </w:r>
    </w:p>
    <w:p>
      <w:pPr>
        <w:ind w:left="560"/>
        <w:spacing w:before="22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（4）对信访问题进行查办或者协调处理。</w:t>
      </w:r>
    </w:p>
    <w:p>
      <w:pPr>
        <w:ind w:left="1" w:firstLine="558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（5）向有关镇（街道）和部门转送、交办和督查来信来访问</w:t>
      </w:r>
      <w:r>
        <w:rPr>
          <w:rFonts w:ascii="FangSong" w:hAnsi="FangSong" w:eastAsia="FangSong" w:cs="FangSong"/>
          <w:sz w:val="28"/>
          <w:szCs w:val="28"/>
          <w:spacing w:val="-2"/>
        </w:rPr>
        <w:t>题，并审查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处理结果。</w:t>
      </w:r>
    </w:p>
    <w:p>
      <w:pPr>
        <w:ind w:left="560"/>
        <w:spacing w:before="22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（6）综合分析、调查研究来信来访反映的情</w:t>
      </w:r>
      <w:r>
        <w:rPr>
          <w:rFonts w:ascii="FangSong" w:hAnsi="FangSong" w:eastAsia="FangSong" w:cs="FangSong"/>
          <w:sz w:val="28"/>
          <w:szCs w:val="28"/>
          <w:spacing w:val="-3"/>
        </w:rPr>
        <w:t>况和问题。</w:t>
      </w:r>
    </w:p>
    <w:p>
      <w:pPr>
        <w:ind w:left="560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（7）加强信访法规宣传教育，维护信访秩序。</w:t>
      </w:r>
    </w:p>
    <w:p>
      <w:pPr>
        <w:ind w:left="560"/>
        <w:spacing w:before="224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（8）承担区信访事项复查相关工作。</w:t>
      </w:r>
    </w:p>
    <w:p>
      <w:pPr>
        <w:ind w:left="560"/>
        <w:spacing w:before="227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（9）负责本部门职责范围的安全监督管理工作。</w:t>
      </w:r>
    </w:p>
    <w:p>
      <w:pPr>
        <w:ind w:left="560"/>
        <w:spacing w:before="226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（10）负责本部门和所属单位党的建设工作。</w:t>
      </w:r>
    </w:p>
    <w:p>
      <w:pPr>
        <w:ind w:left="560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（11）完成区委、区政府交办的其他任务。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56"/>
        <w:spacing w:before="92" w:line="222" w:lineRule="auto"/>
        <w:outlineLvl w:val="0"/>
        <w:rPr/>
      </w:pPr>
      <w:r>
        <w:rPr>
          <w:spacing w:val="-2"/>
        </w:rPr>
        <w:t>二、机构设置情况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564"/>
        <w:spacing w:before="9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淄博市张店区信访局部门预算包括：局机关预算、局属事业单位预算。</w:t>
      </w:r>
    </w:p>
    <w:p>
      <w:pPr>
        <w:ind w:left="1" w:right="402" w:firstLine="562"/>
        <w:spacing w:before="226" w:line="3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纳入淄博市张店区信访局2024年部门预算编制范围的二级预算单位包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1"/>
        </w:rPr>
        <w:t>括：</w:t>
      </w:r>
    </w:p>
    <w:p>
      <w:pPr>
        <w:ind w:left="572"/>
        <w:spacing w:before="4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1.淄博市张店区信访局机关</w:t>
      </w:r>
    </w:p>
    <w:p>
      <w:pPr>
        <w:ind w:left="55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2.淄博市张店区信访综合服务中心</w:t>
      </w:r>
    </w:p>
    <w:p>
      <w:pPr>
        <w:spacing w:line="222" w:lineRule="auto"/>
        <w:sectPr>
          <w:footerReference w:type="default" r:id="rId3"/>
          <w:pgSz w:w="11900" w:h="16840"/>
          <w:pgMar w:top="1431" w:right="1319" w:bottom="726" w:left="123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第二部分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970"/>
        <w:spacing w:before="143" w:line="222" w:lineRule="auto"/>
        <w:rPr>
          <w:sz w:val="44"/>
          <w:szCs w:val="44"/>
        </w:rPr>
      </w:pPr>
      <w:r>
        <w:rPr>
          <w:sz w:val="44"/>
          <w:szCs w:val="44"/>
          <w:spacing w:val="-2"/>
        </w:rPr>
        <w:t>2024年部门预算表</w:t>
      </w:r>
    </w:p>
    <w:p>
      <w:pPr>
        <w:spacing w:line="222" w:lineRule="auto"/>
        <w:sectPr>
          <w:footerReference w:type="default" r:id="rId4"/>
          <w:pgSz w:w="11900" w:h="16840"/>
          <w:pgMar w:top="1431" w:right="1785" w:bottom="726" w:left="1234" w:header="0" w:footer="563" w:gutter="0"/>
        </w:sectPr>
        <w:rPr>
          <w:sz w:val="44"/>
          <w:szCs w:val="44"/>
        </w:rPr>
      </w:pPr>
    </w:p>
    <w:p>
      <w:pPr>
        <w:ind w:left="9559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</w:t>
      </w:r>
    </w:p>
    <w:p>
      <w:pPr>
        <w:pStyle w:val="BodyText"/>
        <w:ind w:left="4242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收支总体情况表</w:t>
      </w:r>
    </w:p>
    <w:p>
      <w:pPr>
        <w:ind w:left="48"/>
        <w:spacing w:before="83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01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7"/>
        <w:gridCol w:w="2261"/>
        <w:gridCol w:w="2826"/>
        <w:gridCol w:w="2262"/>
      </w:tblGrid>
      <w:tr>
        <w:trPr>
          <w:trHeight w:val="363" w:hRule="atLeast"/>
        </w:trPr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71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69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1229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852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232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85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5"/>
              </w:rPr>
              <w:t>一、财政拨款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664"/>
              <w:spacing w:before="141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6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一、一般公共服务支出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3"/>
              <w:spacing w:before="141" w:line="190" w:lineRule="auto"/>
              <w:rPr/>
            </w:pPr>
            <w:r>
              <w:rPr>
                <w:spacing w:val="3"/>
              </w:rPr>
              <w:t>434.11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20"/>
              <w:spacing w:before="113" w:line="227" w:lineRule="auto"/>
              <w:rPr/>
            </w:pPr>
            <w:r>
              <w:rPr>
                <w:spacing w:val="7"/>
              </w:rPr>
              <w:t>一般公共预算拨款收入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664"/>
              <w:spacing w:before="142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二、外交支出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9"/>
              <w:spacing w:before="114" w:line="226" w:lineRule="auto"/>
              <w:rPr/>
            </w:pPr>
            <w:r>
              <w:rPr>
                <w:spacing w:val="7"/>
              </w:rPr>
              <w:t>政府性基金预算拨款收入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三、公共安全支出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6"/>
              <w:spacing w:before="114" w:line="226" w:lineRule="auto"/>
              <w:rPr/>
            </w:pPr>
            <w:r>
              <w:rPr>
                <w:spacing w:val="5"/>
              </w:rPr>
              <w:t>国有资本经营预算拨款收入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0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四、教育支出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7"/>
              </w:rPr>
              <w:t>二、财政专户管理资金收入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五、科学技术支出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"/>
              <w:spacing w:before="115" w:line="227" w:lineRule="auto"/>
              <w:rPr/>
            </w:pPr>
            <w:r>
              <w:rPr>
                <w:spacing w:val="6"/>
              </w:rPr>
              <w:t>三、事业收入（不含教育收费）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六、文化旅游体育与传媒支出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5"/>
              </w:rPr>
              <w:t>四、事业单位经营收入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七、社会保障和就业支出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762"/>
              <w:spacing w:before="143" w:line="190" w:lineRule="auto"/>
              <w:rPr/>
            </w:pPr>
            <w:r>
              <w:rPr>
                <w:spacing w:val="2"/>
              </w:rPr>
              <w:t>55.17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6"/>
              </w:rPr>
              <w:t>五、其他收入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八、卫生健康支出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761"/>
              <w:spacing w:before="144" w:line="189" w:lineRule="auto"/>
              <w:rPr/>
            </w:pPr>
            <w:r>
              <w:rPr>
                <w:spacing w:val="2"/>
              </w:rPr>
              <w:t>29.27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九、节能环保支出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十、城乡社区支出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十一、农林水支出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十二、交通运输支出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十三、资源勘探工业信息等支出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十四、商业服务业等支出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十五、金融支出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十六、自然资源海洋气象等支出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十七、住房保障支出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762"/>
              <w:spacing w:before="146" w:line="189" w:lineRule="auto"/>
              <w:rPr/>
            </w:pPr>
            <w:r>
              <w:rPr>
                <w:spacing w:val="2"/>
              </w:rPr>
              <w:t>35.56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十八、粮油物资储备支出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十九、国有资本经营预算支出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二十、灾害防治及应急管理支出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二十一、其他支出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17"/>
              <w:spacing w:before="119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664"/>
              <w:spacing w:before="147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20"/>
              <w:spacing w:before="119" w:line="226" w:lineRule="auto"/>
              <w:rPr/>
            </w:pPr>
            <w:r>
              <w:rPr>
                <w:spacing w:val="-3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支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8"/>
              <w:spacing w:before="147" w:line="190" w:lineRule="auto"/>
              <w:rPr/>
            </w:pPr>
            <w:r>
              <w:rPr>
                <w:spacing w:val="2"/>
              </w:rPr>
              <w:t>554.11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6"/>
              </w:rPr>
              <w:t>上级补助收入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56"/>
              <w:spacing w:before="120" w:line="226" w:lineRule="auto"/>
              <w:rPr/>
            </w:pPr>
            <w:r>
              <w:rPr>
                <w:spacing w:val="5"/>
              </w:rPr>
              <w:t>附属单位上缴收入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对附属单位补助支出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7"/>
              </w:rPr>
              <w:t>使用非财政拨款结余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上缴上级支出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9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905"/>
              <w:spacing w:before="119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664"/>
              <w:spacing w:before="147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903"/>
              <w:spacing w:before="119" w:line="227" w:lineRule="auto"/>
              <w:rPr/>
            </w:pPr>
            <w:r>
              <w:rPr>
                <w:spacing w:val="-6"/>
              </w:rPr>
              <w:t>支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8"/>
              <w:spacing w:before="147" w:line="190" w:lineRule="auto"/>
              <w:rPr/>
            </w:pPr>
            <w:r>
              <w:rPr>
                <w:spacing w:val="2"/>
              </w:rPr>
              <w:t>554.11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0"/>
          <w:pgMar w:top="715" w:right="859" w:bottom="724" w:left="859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564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pStyle w:val="BodyText"/>
        <w:ind w:left="7641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4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7" w:type="dxa"/>
            <w:vAlign w:val="top"/>
            <w:gridSpan w:val="4"/>
          </w:tcPr>
          <w:p>
            <w:pPr>
              <w:pStyle w:val="TableText"/>
              <w:ind w:left="1473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251" w:right="74" w:hanging="165"/>
              <w:spacing w:before="1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64" w:hanging="84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3" w:hRule="atLeast"/>
        </w:trPr>
        <w:tc>
          <w:tcPr>
            <w:tcW w:w="4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3" w:right="68" w:hanging="167"/>
              <w:spacing w:before="27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9" w:right="67" w:hanging="84"/>
              <w:spacing w:before="27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76" w:right="67" w:firstLine="15"/>
              <w:spacing w:before="274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4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02"/>
              <w:spacing w:before="17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554.11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2"/>
              <w:spacing w:before="17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554.11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3"/>
              <w:spacing w:before="17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554.11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5"/>
              <w:spacing w:before="15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一般公共服务支出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5" w:right="119" w:firstLine="149"/>
              <w:spacing w:before="79" w:line="20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党委办公厅（室）及相关机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构事务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498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8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99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02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2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03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7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5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5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4"/>
              <w:spacing w:before="15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85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85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8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3" w:right="119" w:firstLine="291"/>
              <w:spacing w:before="80" w:line="20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险缴费支出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4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4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4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8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3"/>
              <w:spacing w:before="15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61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61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62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4"/>
              <w:spacing w:before="15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661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61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662"/>
              <w:spacing w:before="18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4"/>
              <w:spacing w:before="15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6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6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44"/>
              <w:spacing w:before="15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95"/>
              <w:spacing w:before="15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40" w:h="11900"/>
          <w:pgMar w:top="1011" w:right="286" w:bottom="726" w:left="28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564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pStyle w:val="BodyText"/>
        <w:ind w:left="7641"/>
        <w:spacing w:before="73" w:line="226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30" w:lineRule="auto"/>
        <w:rPr>
          <w:rFonts w:ascii="SimSun" w:hAnsi="SimSun" w:eastAsia="SimSun" w:cs="SimSun"/>
          <w:sz w:val="16"/>
          <w:szCs w:val="16"/>
        </w:rPr>
      </w:pPr>
      <w:r>
        <w:pict>
          <v:shape id="_x0000_s2" style="position:absolute;margin-left:768.109pt;margin-top:6.13522pt;mso-position-vertical-relative:text;mso-position-horizontal-relative:text;width:44.05pt;height:1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0" w:lineRule="auto"/>
                    <w:rPr>
                      <w:rFonts w:ascii="SimSun" w:hAnsi="SimSun" w:eastAsia="SimSun" w:cs="SimSun"/>
                      <w:sz w:val="16"/>
                      <w:szCs w:val="16"/>
                    </w:rPr>
                  </w:pPr>
                  <w:r>
                    <w:rPr>
                      <w:rFonts w:ascii="SimSun" w:hAnsi="SimSun" w:eastAsia="SimSun" w:cs="SimSun"/>
                      <w:sz w:val="16"/>
                      <w:szCs w:val="16"/>
                      <w:spacing w:val="8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6"/>
          <w:szCs w:val="16"/>
          <w:spacing w:val="9"/>
        </w:rPr>
        <w:t>部门（单位）：淄博市张店区信访局</w:t>
      </w:r>
    </w:p>
    <w:p>
      <w:pPr>
        <w:spacing w:line="43" w:lineRule="exact"/>
        <w:rPr/>
      </w:pPr>
      <w:r/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3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7" w:type="dxa"/>
            <w:vAlign w:val="top"/>
            <w:gridSpan w:val="4"/>
          </w:tcPr>
          <w:p>
            <w:pPr>
              <w:pStyle w:val="TableText"/>
              <w:ind w:left="1473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251" w:right="74" w:hanging="165"/>
              <w:spacing w:before="1" w:line="2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 w:right="64" w:hanging="84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3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3" w:right="68" w:hanging="167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9" w:right="67" w:hanging="84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76" w:right="67" w:firstLine="15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45"/>
              <w:spacing w:before="15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577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7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578"/>
              <w:spacing w:before="17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40" w:h="11900"/>
          <w:pgMar w:top="1011" w:right="286" w:bottom="724" w:left="28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3660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pStyle w:val="BodyText"/>
        <w:ind w:left="6235"/>
        <w:spacing w:before="74" w:line="225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5"/>
        <w:gridCol w:w="706"/>
        <w:gridCol w:w="4243"/>
        <w:gridCol w:w="1979"/>
        <w:gridCol w:w="1979"/>
        <w:gridCol w:w="1979"/>
        <w:gridCol w:w="1982"/>
      </w:tblGrid>
      <w:tr>
        <w:trPr>
          <w:trHeight w:val="362" w:hRule="atLeast"/>
        </w:trPr>
        <w:tc>
          <w:tcPr>
            <w:tcW w:w="2117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7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1"/>
              <w:spacing w:before="11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274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5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554.11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454.70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一般公共服务支出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5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6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党委办公厅（室）及相关机构事务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5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495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8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7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5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5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5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65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6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9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6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4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4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pStyle w:val="TableText"/>
              <w:ind w:left="281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pStyle w:val="TableText"/>
              <w:ind w:left="196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ind w:left="28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TableText"/>
              <w:ind w:left="347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571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40" w:h="11900"/>
          <w:pgMar w:top="1011" w:right="1276" w:bottom="726" w:left="1278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96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pStyle w:val="BodyText"/>
        <w:ind w:left="6069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财政拨款收支总体情况表</w:t>
      </w:r>
    </w:p>
    <w:p>
      <w:pPr>
        <w:ind w:left="48"/>
        <w:spacing w:before="85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7"/>
              </w:rPr>
              <w:t>一、一般公共预算拨款收入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805"/>
              <w:spacing w:before="141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5"/>
              <w:spacing w:before="114" w:line="227" w:lineRule="auto"/>
              <w:rPr/>
            </w:pPr>
            <w:r>
              <w:rPr>
                <w:spacing w:val="7"/>
              </w:rPr>
              <w:t>一、一般公共服务支出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5"/>
              <w:spacing w:before="142" w:line="190" w:lineRule="auto"/>
              <w:rPr/>
            </w:pPr>
            <w:r>
              <w:rPr>
                <w:spacing w:val="3"/>
              </w:rPr>
              <w:t>434.11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6"/>
              <w:spacing w:before="142" w:line="190" w:lineRule="auto"/>
              <w:rPr/>
            </w:pPr>
            <w:r>
              <w:rPr>
                <w:spacing w:val="3"/>
              </w:rPr>
              <w:t>434.11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5"/>
              <w:spacing w:before="114" w:line="226" w:lineRule="auto"/>
              <w:rPr/>
            </w:pPr>
            <w:r>
              <w:rPr>
                <w:spacing w:val="7"/>
              </w:rPr>
              <w:t>二、政府性基金预算拨款收入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8" w:lineRule="auto"/>
              <w:rPr/>
            </w:pPr>
            <w:r>
              <w:rPr>
                <w:spacing w:val="6"/>
              </w:rPr>
              <w:t>二、外交支出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1"/>
              <w:spacing w:before="114" w:line="226" w:lineRule="auto"/>
              <w:rPr/>
            </w:pPr>
            <w:r>
              <w:rPr>
                <w:spacing w:val="7"/>
              </w:rPr>
              <w:t>三、国有资本经营预算拨款收入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"/>
              <w:spacing w:before="114" w:line="227" w:lineRule="auto"/>
              <w:rPr/>
            </w:pPr>
            <w:r>
              <w:rPr>
                <w:spacing w:val="7"/>
              </w:rPr>
              <w:t>三、公共安全支出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4"/>
              </w:rPr>
              <w:t>四、教育支出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五、科学技术支出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8"/>
              </w:rPr>
              <w:t>六、文化旅游体育与传媒支出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7"/>
              </w:rPr>
              <w:t>七、社会保障和就业支出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93"/>
              <w:spacing w:before="144" w:line="190" w:lineRule="auto"/>
              <w:rPr/>
            </w:pPr>
            <w:r>
              <w:rPr>
                <w:spacing w:val="2"/>
              </w:rPr>
              <w:t>55.17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94"/>
              <w:spacing w:before="144" w:line="190" w:lineRule="auto"/>
              <w:rPr/>
            </w:pPr>
            <w:r>
              <w:rPr>
                <w:spacing w:val="2"/>
              </w:rPr>
              <w:t>55.17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八、卫生健康支出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92"/>
              <w:spacing w:before="144" w:line="189" w:lineRule="auto"/>
              <w:rPr/>
            </w:pPr>
            <w:r>
              <w:rPr>
                <w:spacing w:val="2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93"/>
              <w:spacing w:before="144" w:line="189" w:lineRule="auto"/>
              <w:rPr/>
            </w:pPr>
            <w:r>
              <w:rPr>
                <w:spacing w:val="2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7"/>
              </w:rPr>
              <w:t>九、节能环保支出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7"/>
              </w:rPr>
              <w:t>十、城乡社区支出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4"/>
              </w:rPr>
              <w:t>十一、农林水支出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7"/>
              </w:rPr>
              <w:t>十二、交通运输支出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8"/>
              </w:rPr>
              <w:t>十三、资源勘探工业信息等支出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7"/>
              </w:rPr>
              <w:t>十四、商业服务业等支出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8" w:lineRule="auto"/>
              <w:rPr/>
            </w:pPr>
            <w:r>
              <w:rPr>
                <w:spacing w:val="7"/>
              </w:rPr>
              <w:t>十五、金融支出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8"/>
              </w:rPr>
              <w:t>十六、自然资源海洋气象等支出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8" w:line="227" w:lineRule="auto"/>
              <w:rPr/>
            </w:pPr>
            <w:r>
              <w:rPr>
                <w:spacing w:val="7"/>
              </w:rPr>
              <w:t>十七、住房保障支出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93"/>
              <w:spacing w:before="146" w:line="189" w:lineRule="auto"/>
              <w:rPr/>
            </w:pPr>
            <w:r>
              <w:rPr>
                <w:spacing w:val="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94"/>
              <w:spacing w:before="146" w:line="189" w:lineRule="auto"/>
              <w:rPr/>
            </w:pPr>
            <w:r>
              <w:rPr>
                <w:spacing w:val="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40" w:h="11900"/>
          <w:pgMar w:top="715" w:right="910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396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pStyle w:val="BodyText"/>
        <w:ind w:left="6069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财政拨款收支总体情况表</w:t>
      </w:r>
    </w:p>
    <w:p>
      <w:pPr>
        <w:ind w:left="48"/>
        <w:spacing w:before="85" w:line="222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  <w:position w:val="1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  <w:position w:val="1"/>
        </w:rPr>
        <w:t>）：</w:t>
      </w:r>
      <w:r>
        <w:rPr>
          <w:rFonts w:ascii="SimSun" w:hAnsi="SimSun" w:eastAsia="SimSun" w:cs="SimSun"/>
          <w:sz w:val="16"/>
          <w:szCs w:val="16"/>
          <w:spacing w:val="8"/>
          <w:position w:val="1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  <w:position w:val="1"/>
        </w:rPr>
        <w:t xml:space="preserve">                        </w:t>
      </w:r>
      <w:r>
        <w:rPr>
          <w:rFonts w:ascii="SimSun" w:hAnsi="SimSun" w:eastAsia="SimSun" w:cs="SimSun"/>
          <w:sz w:val="16"/>
          <w:szCs w:val="16"/>
          <w:position w:val="1"/>
        </w:rPr>
        <w:t xml:space="preserve">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  <w:position w:val="-4"/>
        </w:rPr>
        <w:t>单位：万元</w:t>
      </w:r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3" w:line="227" w:lineRule="auto"/>
              <w:rPr/>
            </w:pPr>
            <w:r>
              <w:rPr>
                <w:spacing w:val="7"/>
              </w:rPr>
              <w:t>十八、粮油物资储备支出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7"/>
              </w:rPr>
              <w:t>十九、国有资本经营预算支出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7" w:lineRule="auto"/>
              <w:rPr/>
            </w:pPr>
            <w:r>
              <w:rPr>
                <w:spacing w:val="7"/>
              </w:rPr>
              <w:t>二十、灾害防治及应急管理支出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4"/>
              </w:rPr>
              <w:t>二十一、其他支出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513"/>
              <w:spacing w:before="115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入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805"/>
              <w:spacing w:before="143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5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9"/>
              <w:spacing w:before="143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0"/>
              <w:spacing w:before="143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9"/>
              <w:spacing w:before="116" w:line="227" w:lineRule="auto"/>
              <w:rPr/>
            </w:pPr>
            <w:r>
              <w:rPr>
                <w:spacing w:val="5"/>
              </w:rPr>
              <w:t>结转下年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24"/>
              <w:spacing w:before="116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总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805"/>
              <w:spacing w:before="144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6" w:line="228" w:lineRule="auto"/>
              <w:rPr/>
            </w:pPr>
            <w:r>
              <w:rPr>
                <w:spacing w:val="-5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出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总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9"/>
              <w:spacing w:before="144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0"/>
              <w:spacing w:before="144" w:line="190" w:lineRule="auto"/>
              <w:rPr/>
            </w:pPr>
            <w:r>
              <w:rPr>
                <w:spacing w:val="2"/>
              </w:rPr>
              <w:t>554.11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40" w:h="11900"/>
          <w:pgMar w:top="715" w:right="910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67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pStyle w:val="BodyText"/>
        <w:ind w:left="520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6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rPr>
          <w:trHeight w:val="364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8" w:type="dxa"/>
            <w:vAlign w:val="top"/>
            <w:gridSpan w:val="3"/>
          </w:tcPr>
          <w:p>
            <w:pPr>
              <w:pStyle w:val="TableText"/>
              <w:ind w:left="2173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3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7"/>
              <w:spacing w:before="113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79"/>
              <w:spacing w:before="113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23"/>
              <w:spacing w:before="113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554.11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7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454.70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422.84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7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303.76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党委办公厅（室）及相关机构事务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0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434.11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303.76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行政运行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1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334.70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303.76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30.94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7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一般行政管理事务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28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208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55.17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54.25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53.55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52.63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行政单位离退休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12.45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9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11.53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7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7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4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7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37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210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5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4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行政单位医疗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29.27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221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19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住房改革支出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TableText"/>
              <w:ind w:left="346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40" w:h="11900"/>
          <w:pgMar w:top="715" w:right="1771" w:bottom="726" w:left="1773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1610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公开表6</w:t>
      </w:r>
    </w:p>
    <w:p>
      <w:pPr>
        <w:pStyle w:val="BodyText"/>
        <w:ind w:left="4414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一般公共预算基本支出情况表</w:t>
      </w:r>
    </w:p>
    <w:p>
      <w:pPr>
        <w:ind w:left="48"/>
        <w:spacing w:before="86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22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5"/>
        <w:gridCol w:w="2758"/>
        <w:gridCol w:w="564"/>
        <w:gridCol w:w="564"/>
        <w:gridCol w:w="2758"/>
        <w:gridCol w:w="1484"/>
        <w:gridCol w:w="1484"/>
        <w:gridCol w:w="1485"/>
      </w:tblGrid>
      <w:tr>
        <w:trPr>
          <w:trHeight w:val="365" w:hRule="atLeast"/>
        </w:trPr>
        <w:tc>
          <w:tcPr>
            <w:tcW w:w="1130" w:type="dxa"/>
            <w:vAlign w:val="top"/>
            <w:gridSpan w:val="2"/>
          </w:tcPr>
          <w:p>
            <w:pPr>
              <w:pStyle w:val="TableText"/>
              <w:ind w:left="19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297" w:line="227" w:lineRule="auto"/>
              <w:rPr/>
            </w:pPr>
            <w:r>
              <w:rPr>
                <w:spacing w:val="7"/>
              </w:rPr>
              <w:t>部门预算支出经济分类科目名称</w:t>
            </w:r>
          </w:p>
        </w:tc>
        <w:tc>
          <w:tcPr>
            <w:tcW w:w="1128" w:type="dxa"/>
            <w:vAlign w:val="top"/>
            <w:gridSpan w:val="2"/>
          </w:tcPr>
          <w:p>
            <w:pPr>
              <w:pStyle w:val="TableText"/>
              <w:ind w:left="191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7" w:line="227" w:lineRule="auto"/>
              <w:rPr/>
            </w:pPr>
            <w:r>
              <w:rPr>
                <w:spacing w:val="8"/>
              </w:rPr>
              <w:t>政府预算支出经济分类科目名称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666"/>
              <w:spacing w:before="113" w:line="227" w:lineRule="auto"/>
              <w:rPr/>
            </w:pPr>
            <w:r>
              <w:rPr>
                <w:spacing w:val="7"/>
              </w:rPr>
              <w:t>基本支出预算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7"/>
              <w:spacing w:before="111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191"/>
              <w:spacing w:before="11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188"/>
              <w:spacing w:before="111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3"/>
              <w:spacing w:before="11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565"/>
              <w:spacing w:before="111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11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6"/>
              <w:spacing w:before="111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2"/>
              <w:spacing w:before="125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6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454.70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7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422.84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7"/>
              <w:spacing w:before="14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6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406.83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7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406.83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287.76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287.76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0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5.82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5.82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8.51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9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8.51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1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18.75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18.75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公务员医疗补助缴费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1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7.71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7.71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9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14.54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85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14.54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3.46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5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3.46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6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11.34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8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11.34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15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1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16.01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16.01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11.53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11.53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00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医疗费补助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4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2.81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15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2.81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40" w:h="11900"/>
          <w:pgMar w:top="715" w:right="2303" w:bottom="726" w:left="2303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4396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公开表7</w:t>
      </w:r>
    </w:p>
    <w:p>
      <w:pPr>
        <w:pStyle w:val="BodyText"/>
        <w:ind w:left="5279"/>
        <w:spacing w:before="73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一般公共预算“三公”经费支出情况表</w:t>
      </w:r>
    </w:p>
    <w:p>
      <w:pPr>
        <w:ind w:left="48"/>
        <w:spacing w:before="86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0"/>
        <w:gridCol w:w="1385"/>
        <w:gridCol w:w="1229"/>
        <w:gridCol w:w="1229"/>
        <w:gridCol w:w="1231"/>
        <w:gridCol w:w="1231"/>
        <w:gridCol w:w="1229"/>
        <w:gridCol w:w="1328"/>
        <w:gridCol w:w="1229"/>
        <w:gridCol w:w="1229"/>
        <w:gridCol w:w="1231"/>
        <w:gridCol w:w="1234"/>
      </w:tblGrid>
      <w:tr>
        <w:trPr>
          <w:trHeight w:val="363" w:hRule="atLeast"/>
        </w:trPr>
        <w:tc>
          <w:tcPr>
            <w:tcW w:w="7535" w:type="dxa"/>
            <w:vAlign w:val="top"/>
            <w:gridSpan w:val="6"/>
          </w:tcPr>
          <w:p>
            <w:pPr>
              <w:pStyle w:val="TableText"/>
              <w:ind w:left="3207"/>
              <w:spacing w:before="114" w:line="227" w:lineRule="auto"/>
              <w:rPr/>
            </w:pPr>
            <w:r>
              <w:rPr>
                <w:spacing w:val="5"/>
              </w:rPr>
              <w:t>2023年预算数</w:t>
            </w:r>
          </w:p>
        </w:tc>
        <w:tc>
          <w:tcPr>
            <w:tcW w:w="7480" w:type="dxa"/>
            <w:vAlign w:val="top"/>
            <w:gridSpan w:val="6"/>
          </w:tcPr>
          <w:p>
            <w:pPr>
              <w:pStyle w:val="TableText"/>
              <w:ind w:left="3181"/>
              <w:spacing w:before="114" w:line="227" w:lineRule="auto"/>
              <w:rPr/>
            </w:pPr>
            <w:r>
              <w:rPr>
                <w:spacing w:val="5"/>
              </w:rPr>
              <w:t>2024年预算数</w:t>
            </w:r>
          </w:p>
        </w:tc>
      </w:tr>
      <w:tr>
        <w:trPr>
          <w:trHeight w:val="360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8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31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3"/>
              <w:spacing w:before="113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2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 w:right="199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7"/>
              <w:spacing w:before="113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4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</w:tr>
      <w:tr>
        <w:trPr>
          <w:trHeight w:val="560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/>
              <w:spacing w:before="215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2" w:right="45" w:hanging="372"/>
              <w:spacing w:before="120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0" w:right="46" w:hanging="279"/>
              <w:spacing w:before="120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9"/>
              <w:spacing w:before="215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 w:right="41" w:hanging="372"/>
              <w:spacing w:before="120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4" w:right="42" w:hanging="279"/>
              <w:spacing w:before="120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30" w:type="dxa"/>
            <w:vAlign w:val="top"/>
          </w:tcPr>
          <w:p>
            <w:pPr>
              <w:pStyle w:val="TableText"/>
              <w:ind w:left="900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901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904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902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905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908"/>
              <w:spacing w:before="18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40" w:h="11900"/>
          <w:pgMar w:top="1011" w:right="909" w:bottom="726" w:left="910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2642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公开表8</w:t>
      </w:r>
    </w:p>
    <w:p>
      <w:pPr>
        <w:pStyle w:val="BodyText"/>
        <w:ind w:left="5056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政府性基金预算支出情况表</w:t>
      </w:r>
    </w:p>
    <w:p>
      <w:pPr>
        <w:ind w:left="48"/>
        <w:spacing w:before="85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32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7"/>
        <w:gridCol w:w="436"/>
        <w:gridCol w:w="438"/>
        <w:gridCol w:w="4526"/>
        <w:gridCol w:w="1484"/>
        <w:gridCol w:w="1484"/>
        <w:gridCol w:w="1484"/>
        <w:gridCol w:w="1485"/>
        <w:gridCol w:w="1487"/>
      </w:tblGrid>
      <w:tr>
        <w:trPr>
          <w:trHeight w:val="363" w:hRule="atLeast"/>
        </w:trPr>
        <w:tc>
          <w:tcPr>
            <w:tcW w:w="1311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452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2"/>
              <w:spacing w:before="59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9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856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48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417" w:hRule="atLeast"/>
        </w:trPr>
        <w:tc>
          <w:tcPr>
            <w:tcW w:w="437" w:type="dxa"/>
            <w:vAlign w:val="top"/>
          </w:tcPr>
          <w:p>
            <w:pPr>
              <w:pStyle w:val="TableText"/>
              <w:ind w:left="124"/>
              <w:spacing w:before="142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6" w:type="dxa"/>
            <w:vAlign w:val="top"/>
          </w:tcPr>
          <w:p>
            <w:pPr>
              <w:pStyle w:val="TableText"/>
              <w:ind w:left="128"/>
              <w:spacing w:before="14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31"/>
              <w:spacing w:before="142" w:line="228" w:lineRule="auto"/>
              <w:rPr/>
            </w:pPr>
            <w:r>
              <w:rPr/>
              <w:t>项</w:t>
            </w:r>
          </w:p>
        </w:tc>
        <w:tc>
          <w:tcPr>
            <w:tcW w:w="45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472"/>
              <w:spacing w:before="141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42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7"/>
              <w:spacing w:before="142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（注：2024年没有使用政府性基金预算拨款安排的支出。）</w:t>
      </w:r>
    </w:p>
    <w:p>
      <w:pPr>
        <w:spacing w:line="225" w:lineRule="auto"/>
        <w:sectPr>
          <w:footerReference w:type="default" r:id="rId14"/>
          <w:pgSz w:w="16840" w:h="11900"/>
          <w:pgMar w:top="1011" w:right="1785" w:bottom="726" w:left="1787" w:header="0" w:footer="563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1779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公开表9</w:t>
      </w:r>
    </w:p>
    <w:p>
      <w:pPr>
        <w:pStyle w:val="BodyText"/>
        <w:ind w:left="451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  <w:spacing w:val="-1"/>
        </w:rPr>
        <w:t>国有资本经营预算支出情况表</w:t>
      </w:r>
    </w:p>
    <w:p>
      <w:pPr>
        <w:ind w:left="48"/>
        <w:spacing w:before="85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23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"/>
        <w:gridCol w:w="437"/>
        <w:gridCol w:w="438"/>
        <w:gridCol w:w="3168"/>
        <w:gridCol w:w="1554"/>
        <w:gridCol w:w="1554"/>
        <w:gridCol w:w="1554"/>
        <w:gridCol w:w="1556"/>
        <w:gridCol w:w="1699"/>
      </w:tblGrid>
      <w:tr>
        <w:trPr>
          <w:trHeight w:val="363" w:hRule="atLeast"/>
        </w:trPr>
        <w:tc>
          <w:tcPr>
            <w:tcW w:w="1313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1"/>
              <w:spacing w:before="297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9"/>
              <w:spacing w:before="297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664" w:type="dxa"/>
            <w:vAlign w:val="top"/>
            <w:gridSpan w:val="3"/>
          </w:tcPr>
          <w:p>
            <w:pPr>
              <w:pStyle w:val="TableText"/>
              <w:ind w:left="1961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0"/>
              <w:spacing w:before="297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360" w:hRule="atLeast"/>
        </w:trPr>
        <w:tc>
          <w:tcPr>
            <w:tcW w:w="438" w:type="dxa"/>
            <w:vAlign w:val="top"/>
          </w:tcPr>
          <w:p>
            <w:pPr>
              <w:pStyle w:val="TableText"/>
              <w:ind w:left="124"/>
              <w:spacing w:before="113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pStyle w:val="TableText"/>
              <w:ind w:left="127"/>
              <w:spacing w:before="113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29"/>
              <w:spacing w:before="113" w:line="228" w:lineRule="auto"/>
              <w:rPr/>
            </w:pPr>
            <w:r>
              <w:rPr/>
              <w:t>项</w:t>
            </w:r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ind w:left="506"/>
              <w:spacing w:before="113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408"/>
              <w:spacing w:before="113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556" w:type="dxa"/>
            <w:vAlign w:val="top"/>
          </w:tcPr>
          <w:p>
            <w:pPr>
              <w:pStyle w:val="TableText"/>
              <w:ind w:left="253"/>
              <w:spacing w:before="113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（注：2024年没有使用国有资本经营预</w:t>
      </w:r>
      <w:r>
        <w:rPr>
          <w:rFonts w:ascii="SimSun" w:hAnsi="SimSun" w:eastAsia="SimSun" w:cs="SimSun"/>
          <w:sz w:val="20"/>
          <w:szCs w:val="20"/>
          <w:spacing w:val="5"/>
        </w:rPr>
        <w:t>算拨款安排的支出。）</w:t>
      </w:r>
    </w:p>
    <w:p>
      <w:pPr>
        <w:spacing w:line="225" w:lineRule="auto"/>
        <w:sectPr>
          <w:footerReference w:type="default" r:id="rId15"/>
          <w:pgSz w:w="16840" w:h="11900"/>
          <w:pgMar w:top="1011" w:right="2217" w:bottom="726" w:left="2218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14848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公开表10</w:t>
      </w:r>
    </w:p>
    <w:p>
      <w:pPr>
        <w:pStyle w:val="BodyText"/>
        <w:ind w:left="6601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基本支出预算情况表</w:t>
      </w:r>
    </w:p>
    <w:p>
      <w:pPr>
        <w:ind w:left="48"/>
        <w:spacing w:before="85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5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1981"/>
        <w:gridCol w:w="423"/>
        <w:gridCol w:w="423"/>
        <w:gridCol w:w="1980"/>
        <w:gridCol w:w="1131"/>
        <w:gridCol w:w="1131"/>
        <w:gridCol w:w="1131"/>
        <w:gridCol w:w="1131"/>
        <w:gridCol w:w="1131"/>
        <w:gridCol w:w="1131"/>
        <w:gridCol w:w="1131"/>
        <w:gridCol w:w="989"/>
        <w:gridCol w:w="990"/>
      </w:tblGrid>
      <w:tr>
        <w:trPr>
          <w:trHeight w:val="365" w:hRule="atLeast"/>
        </w:trPr>
        <w:tc>
          <w:tcPr>
            <w:tcW w:w="847" w:type="dxa"/>
            <w:vAlign w:val="top"/>
            <w:gridSpan w:val="2"/>
          </w:tcPr>
          <w:p>
            <w:pPr>
              <w:pStyle w:val="TableText"/>
              <w:ind w:left="49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4" w:right="46" w:hanging="751"/>
              <w:spacing w:before="58" w:line="210" w:lineRule="auto"/>
              <w:rPr/>
            </w:pPr>
            <w:r>
              <w:rPr>
                <w:spacing w:val="7"/>
              </w:rPr>
              <w:t>部门预算支出经济分类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846" w:type="dxa"/>
            <w:vAlign w:val="top"/>
            <w:gridSpan w:val="2"/>
          </w:tcPr>
          <w:p>
            <w:pPr>
              <w:pStyle w:val="TableText"/>
              <w:ind w:left="49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198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6" w:right="44" w:hanging="753"/>
              <w:spacing w:before="58" w:line="210" w:lineRule="auto"/>
              <w:rPr/>
            </w:pPr>
            <w:r>
              <w:rPr>
                <w:spacing w:val="7"/>
              </w:rPr>
              <w:t>政府预算支出经济分类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524" w:type="dxa"/>
            <w:vAlign w:val="top"/>
            <w:gridSpan w:val="4"/>
          </w:tcPr>
          <w:p>
            <w:pPr>
              <w:pStyle w:val="TableText"/>
              <w:ind w:left="1891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 w:right="89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6"/>
              <w:spacing w:before="208" w:line="193" w:lineRule="auto"/>
              <w:rPr/>
            </w:pPr>
            <w:r>
              <w:rPr>
                <w:spacing w:val="6"/>
              </w:rPr>
              <w:t>使用非财</w:t>
            </w:r>
          </w:p>
          <w:p>
            <w:pPr>
              <w:pStyle w:val="TableText"/>
              <w:ind w:left="125"/>
              <w:spacing w:line="193" w:lineRule="auto"/>
              <w:rPr/>
            </w:pPr>
            <w:r>
              <w:rPr>
                <w:spacing w:val="6"/>
              </w:rPr>
              <w:t>政拨款结</w:t>
            </w:r>
          </w:p>
          <w:p>
            <w:pPr>
              <w:pStyle w:val="TableText"/>
              <w:ind w:left="409"/>
              <w:spacing w:line="228" w:lineRule="auto"/>
              <w:rPr/>
            </w:pPr>
            <w:r>
              <w:rPr/>
              <w:t>余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1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0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pStyle w:val="TableText"/>
              <w:ind w:left="11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21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19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8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476" w:right="90" w:hanging="374"/>
              <w:spacing w:before="116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82" w:right="90" w:hanging="282"/>
              <w:spacing w:before="116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289" w:right="89" w:hanging="170"/>
              <w:spacing w:before="116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3"/>
              <w:spacing w:before="134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454.70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454.70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454.70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3"/>
              <w:spacing w:before="134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406.83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1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406.83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2"/>
              <w:spacing w:before="1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406.83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2"/>
              <w:spacing w:before="135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6"/>
              <w:spacing w:before="134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287.76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287.76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64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287.76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2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6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5.82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5.82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5.82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4"/>
              <w:spacing w:before="136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6"/>
              <w:spacing w:before="135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3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8.51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8.51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5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8.51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51" w:right="129" w:firstLine="140"/>
              <w:spacing w:before="60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17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41.10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2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18.75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18.75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18.75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公务员医疗补助缴费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7.71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7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7.71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7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7.71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2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3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35.56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4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3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1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31.86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6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14.54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14.54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14.54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5"/>
              <w:spacing w:before="13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3.46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3.46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6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3.46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31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9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公务用车运行维护费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2"/>
              <w:spacing w:before="13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11.34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11.34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11.34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2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99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3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0.92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1" w:type="dxa"/>
            <w:vAlign w:val="top"/>
          </w:tcPr>
          <w:p>
            <w:pPr>
              <w:pStyle w:val="TableText"/>
              <w:ind w:left="41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0" w:type="dxa"/>
            <w:vAlign w:val="top"/>
          </w:tcPr>
          <w:p>
            <w:pPr>
              <w:pStyle w:val="TableText"/>
              <w:ind w:left="43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16.01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16.01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16.01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3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6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8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11.53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11.53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2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11.53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197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1.67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80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1.67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TableText"/>
              <w:ind w:left="102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39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1981" w:type="dxa"/>
            <w:vAlign w:val="top"/>
          </w:tcPr>
          <w:p>
            <w:pPr>
              <w:pStyle w:val="TableText"/>
              <w:ind w:left="200"/>
              <w:spacing w:before="13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医疗费补助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03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TableText"/>
              <w:ind w:left="140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TableText"/>
              <w:ind w:left="195"/>
              <w:spacing w:before="13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4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2.81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5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2.81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795"/>
              <w:spacing w:before="16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2.81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40" w:h="11900"/>
          <w:pgMar w:top="715" w:right="642" w:bottom="726" w:left="642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991"/>
        <w:spacing w:before="33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公开表11</w:t>
      </w:r>
    </w:p>
    <w:p>
      <w:pPr>
        <w:pStyle w:val="BodyText"/>
        <w:ind w:left="6672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项目支出预算情况表</w:t>
      </w:r>
    </w:p>
    <w:p>
      <w:pPr>
        <w:ind w:left="50"/>
        <w:spacing w:before="85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9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5"/>
        <w:gridCol w:w="1201"/>
        <w:gridCol w:w="1059"/>
        <w:gridCol w:w="1059"/>
        <w:gridCol w:w="1059"/>
        <w:gridCol w:w="1060"/>
        <w:gridCol w:w="1061"/>
        <w:gridCol w:w="1060"/>
        <w:gridCol w:w="1059"/>
        <w:gridCol w:w="1059"/>
        <w:gridCol w:w="1063"/>
      </w:tblGrid>
      <w:tr>
        <w:trPr>
          <w:trHeight w:val="364" w:hRule="atLeast"/>
        </w:trPr>
        <w:tc>
          <w:tcPr>
            <w:tcW w:w="4955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2"/>
              <w:spacing w:before="58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59" w:line="227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239" w:type="dxa"/>
            <w:vAlign w:val="top"/>
            <w:gridSpan w:val="4"/>
          </w:tcPr>
          <w:p>
            <w:pPr>
              <w:pStyle w:val="TableText"/>
              <w:ind w:left="1746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06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 w:right="55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 w:right="52" w:hanging="94"/>
              <w:spacing w:before="58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06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7" w:hRule="atLeast"/>
        </w:trPr>
        <w:tc>
          <w:tcPr>
            <w:tcW w:w="49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49"/>
              <w:spacing w:before="211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38" w:right="56" w:hanging="374"/>
              <w:spacing w:before="117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46" w:right="55" w:hanging="282"/>
              <w:spacing w:before="117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061" w:type="dxa"/>
            <w:vAlign w:val="top"/>
          </w:tcPr>
          <w:p>
            <w:pPr>
              <w:pStyle w:val="TableText"/>
              <w:ind w:left="252" w:right="56" w:hanging="170"/>
              <w:spacing w:before="117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2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4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645"/>
              <w:spacing w:before="1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99.41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TableText"/>
              <w:ind w:left="42"/>
              <w:spacing w:before="137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律师参与化解和代理社会矛盾或信访问题经费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5"/>
              <w:spacing w:before="13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18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0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0.40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721"/>
              <w:spacing w:before="1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0.40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9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（注：根据国家保密法律法规和有关保密事项范围的规</w:t>
      </w:r>
      <w:r>
        <w:rPr>
          <w:rFonts w:ascii="SimSun" w:hAnsi="SimSun" w:eastAsia="SimSun" w:cs="SimSun"/>
          <w:sz w:val="20"/>
          <w:szCs w:val="20"/>
          <w:spacing w:val="6"/>
        </w:rPr>
        <w:t>定，部分具体项目信息公开时予以剔除。）</w:t>
      </w:r>
    </w:p>
    <w:p>
      <w:pPr>
        <w:spacing w:line="225" w:lineRule="auto"/>
        <w:sectPr>
          <w:footerReference w:type="default" r:id="rId17"/>
          <w:pgSz w:w="16840" w:h="11900"/>
          <w:pgMar w:top="715" w:right="569" w:bottom="726" w:left="569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ind w:left="14961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公开表12</w:t>
      </w:r>
    </w:p>
    <w:p>
      <w:pPr>
        <w:pStyle w:val="BodyText"/>
        <w:ind w:left="6918"/>
        <w:spacing w:before="74" w:line="224" w:lineRule="auto"/>
        <w:outlineLvl w:val="1"/>
        <w:rPr>
          <w:sz w:val="26"/>
          <w:szCs w:val="26"/>
        </w:rPr>
      </w:pPr>
      <w:r>
        <w:rPr>
          <w:sz w:val="26"/>
          <w:szCs w:val="26"/>
          <w:b/>
          <w:bCs/>
        </w:rPr>
        <w:t>政府采购预算表</w:t>
      </w:r>
    </w:p>
    <w:p>
      <w:pPr>
        <w:ind w:left="48"/>
        <w:spacing w:before="85" w:line="230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部门（单位</w:t>
      </w:r>
      <w:r>
        <w:rPr>
          <w:rFonts w:ascii="SimSun" w:hAnsi="SimSun" w:eastAsia="SimSun" w:cs="SimSun"/>
          <w:sz w:val="16"/>
          <w:szCs w:val="16"/>
          <w:spacing w:val="15"/>
        </w:rPr>
        <w:t>）：</w:t>
      </w:r>
      <w:r>
        <w:rPr>
          <w:rFonts w:ascii="SimSun" w:hAnsi="SimSun" w:eastAsia="SimSun" w:cs="SimSun"/>
          <w:sz w:val="16"/>
          <w:szCs w:val="16"/>
          <w:spacing w:val="8"/>
        </w:rPr>
        <w:t>淄博市张店区信访局</w:t>
      </w:r>
      <w:r>
        <w:rPr>
          <w:rFonts w:ascii="SimSun" w:hAnsi="SimSun" w:eastAsia="SimSun" w:cs="SimSun"/>
          <w:sz w:val="16"/>
          <w:szCs w:val="16"/>
          <w:spacing w:val="1"/>
        </w:rPr>
        <w:t xml:space="preserve">                                   </w:t>
      </w:r>
      <w:r>
        <w:rPr>
          <w:rFonts w:ascii="SimSun" w:hAnsi="SimSun" w:eastAsia="SimSun" w:cs="SimSun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43" w:lineRule="exact"/>
        <w:rPr/>
      </w:pPr>
      <w:r/>
    </w:p>
    <w:tbl>
      <w:tblPr>
        <w:tblStyle w:val="TableNormal"/>
        <w:tblW w:w="156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"/>
        <w:gridCol w:w="479"/>
        <w:gridCol w:w="551"/>
        <w:gridCol w:w="3395"/>
        <w:gridCol w:w="1413"/>
        <w:gridCol w:w="1413"/>
        <w:gridCol w:w="1130"/>
        <w:gridCol w:w="1130"/>
        <w:gridCol w:w="1132"/>
        <w:gridCol w:w="1130"/>
        <w:gridCol w:w="1130"/>
        <w:gridCol w:w="1130"/>
        <w:gridCol w:w="1137"/>
      </w:tblGrid>
      <w:tr>
        <w:trPr>
          <w:trHeight w:val="363" w:hRule="atLeast"/>
        </w:trPr>
        <w:tc>
          <w:tcPr>
            <w:tcW w:w="1525" w:type="dxa"/>
            <w:vAlign w:val="top"/>
            <w:gridSpan w:val="3"/>
          </w:tcPr>
          <w:p>
            <w:pPr>
              <w:pStyle w:val="TableText"/>
              <w:ind w:left="388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395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4"/>
              <w:spacing w:before="59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0745" w:type="dxa"/>
            <w:vAlign w:val="top"/>
            <w:gridSpan w:val="9"/>
          </w:tcPr>
          <w:p>
            <w:pPr>
              <w:pStyle w:val="TableText"/>
              <w:ind w:left="4300"/>
              <w:spacing w:before="114" w:line="227" w:lineRule="auto"/>
              <w:rPr/>
            </w:pPr>
            <w:r>
              <w:rPr>
                <w:spacing w:val="-1"/>
              </w:rPr>
              <w:t>资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金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来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源</w:t>
            </w:r>
          </w:p>
        </w:tc>
      </w:tr>
      <w:tr>
        <w:trPr>
          <w:trHeight w:val="361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58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79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59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8" w:line="228" w:lineRule="auto"/>
              <w:rPr/>
            </w:pPr>
            <w:r>
              <w:rPr/>
              <w:t>项</w:t>
            </w:r>
          </w:p>
        </w:tc>
        <w:tc>
          <w:tcPr>
            <w:tcW w:w="33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805" w:type="dxa"/>
            <w:vAlign w:val="top"/>
            <w:gridSpan w:val="4"/>
          </w:tcPr>
          <w:p>
            <w:pPr>
              <w:pStyle w:val="TableText"/>
              <w:ind w:left="2032"/>
              <w:spacing w:before="113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 w:right="87" w:hanging="190"/>
              <w:spacing w:before="58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 w:right="84" w:hanging="94"/>
              <w:spacing w:before="59" w:line="210" w:lineRule="auto"/>
              <w:rPr/>
            </w:pPr>
            <w:r>
              <w:rPr>
                <w:spacing w:val="6"/>
              </w:rPr>
              <w:t>使用非财政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拨款结余</w:t>
            </w:r>
          </w:p>
        </w:tc>
        <w:tc>
          <w:tcPr>
            <w:tcW w:w="1137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8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ind w:left="529"/>
              <w:spacing w:before="214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476" w:right="89" w:hanging="374"/>
              <w:spacing w:before="120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4" w:right="87" w:hanging="282"/>
              <w:spacing w:before="120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91" w:right="88" w:hanging="170"/>
              <w:spacing w:before="120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（注：2024年未安排政府采购预算。）</w:t>
      </w:r>
    </w:p>
    <w:p>
      <w:pPr>
        <w:spacing w:line="225" w:lineRule="auto"/>
        <w:sectPr>
          <w:footerReference w:type="default" r:id="rId18"/>
          <w:pgSz w:w="16840" w:h="11900"/>
          <w:pgMar w:top="1011" w:right="583" w:bottom="726" w:left="585" w:header="0" w:footer="56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第三部分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10"/>
        <w:spacing w:before="143" w:line="221" w:lineRule="auto"/>
        <w:rPr>
          <w:sz w:val="44"/>
          <w:szCs w:val="44"/>
        </w:rPr>
      </w:pPr>
      <w:r>
        <w:rPr>
          <w:sz w:val="44"/>
          <w:szCs w:val="44"/>
          <w:spacing w:val="-1"/>
        </w:rPr>
        <w:t>2024年部门预算情况和重要事项说明</w:t>
      </w:r>
    </w:p>
    <w:p>
      <w:pPr>
        <w:spacing w:line="221" w:lineRule="auto"/>
        <w:sectPr>
          <w:footerReference w:type="default" r:id="rId19"/>
          <w:pgSz w:w="11900" w:h="16840"/>
          <w:pgMar w:top="1431" w:right="1785" w:bottom="726" w:left="1234" w:header="0" w:footer="564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66"/>
        <w:spacing w:before="91" w:line="221" w:lineRule="auto"/>
        <w:rPr/>
      </w:pPr>
      <w:r>
        <w:rPr>
          <w:spacing w:val="-3"/>
        </w:rPr>
        <w:t>一、预算收支增减变化情况说明</w:t>
      </w:r>
    </w:p>
    <w:p>
      <w:pPr>
        <w:ind w:left="10" w:firstLine="558"/>
        <w:spacing w:before="225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按照综合预算的原则，本部门所有收入和支出均纳入部门预算管理,部门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本级和所属单位的收入和支出均包含在部门预算中。</w:t>
      </w:r>
    </w:p>
    <w:p>
      <w:pPr>
        <w:ind w:left="9" w:right="140" w:firstLine="560"/>
        <w:spacing w:before="47" w:line="29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（一）收入预算：2024年收入预算554.11万元，其中：一般公共预算收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入554.11万元。</w:t>
      </w:r>
    </w:p>
    <w:p>
      <w:pPr>
        <w:ind w:right="980" w:firstLine="569"/>
        <w:spacing w:before="218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（二）支出预算：2024年支出预算554.11万元，其中：基本支出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454.70万元，项目支出99.41万元。</w:t>
      </w:r>
    </w:p>
    <w:p>
      <w:pPr>
        <w:ind w:left="14" w:firstLine="555"/>
        <w:spacing w:before="220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（三）增减变化情况：2024年收支预算</w:t>
      </w:r>
      <w:r>
        <w:rPr>
          <w:rFonts w:ascii="FangSong" w:hAnsi="FangSong" w:eastAsia="FangSong" w:cs="FangSong"/>
          <w:sz w:val="28"/>
          <w:szCs w:val="28"/>
          <w:spacing w:val="-1"/>
        </w:rPr>
        <w:t>554.11万元，比上年增加33.94万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元，其中：</w:t>
      </w:r>
    </w:p>
    <w:p>
      <w:pPr>
        <w:ind w:left="581"/>
        <w:spacing w:before="22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1.收入预算增加33.94万元，其中一般公共预算收入增加33.94万元。</w:t>
      </w:r>
    </w:p>
    <w:p>
      <w:pPr>
        <w:ind w:left="4" w:firstLine="559"/>
        <w:spacing w:before="225" w:line="3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2.支出预算增加33.94万元，其中基本支出</w:t>
      </w:r>
      <w:r>
        <w:rPr>
          <w:rFonts w:ascii="FangSong" w:hAnsi="FangSong" w:eastAsia="FangSong" w:cs="FangSong"/>
          <w:sz w:val="28"/>
          <w:szCs w:val="28"/>
          <w:spacing w:val="-1"/>
        </w:rPr>
        <w:t>增加4.53万元，项目支出增加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29.41万元。</w:t>
      </w:r>
    </w:p>
    <w:p>
      <w:pPr>
        <w:ind w:left="8" w:right="140" w:firstLine="557"/>
        <w:spacing w:before="41" w:line="36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3.收支预算增加的主要原因，一是部门人员变动以及公积金、保险等基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数调整，因此基本支出增加；二是年内业务工作进行优化调整，项目支出增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加。</w:t>
      </w:r>
    </w:p>
    <w:p>
      <w:pPr>
        <w:pStyle w:val="BodyText"/>
        <w:ind w:left="566"/>
        <w:spacing w:before="36" w:line="222" w:lineRule="auto"/>
        <w:rPr/>
      </w:pPr>
      <w:r>
        <w:rPr>
          <w:spacing w:val="-2"/>
        </w:rPr>
        <w:t>二、“三公”经费支出情况</w:t>
      </w:r>
    </w:p>
    <w:p>
      <w:pPr>
        <w:ind w:left="14" w:right="420" w:firstLine="550"/>
        <w:spacing w:before="224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2024年通过一般公共预算财政拨款安排</w:t>
      </w:r>
      <w:r>
        <w:rPr>
          <w:rFonts w:ascii="FangSong" w:hAnsi="FangSong" w:eastAsia="FangSong" w:cs="FangSong"/>
          <w:sz w:val="28"/>
          <w:szCs w:val="28"/>
          <w:spacing w:val="-1"/>
        </w:rPr>
        <w:t>的“三公”经费预算共1.60万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元，与上年基本持平。</w:t>
      </w:r>
    </w:p>
    <w:p>
      <w:pPr>
        <w:ind w:left="572"/>
        <w:spacing w:before="4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其中：</w:t>
      </w:r>
    </w:p>
    <w:p>
      <w:pPr>
        <w:ind w:left="581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1.因公出国（境）费0.00万元，与上年基本持平。</w:t>
      </w:r>
    </w:p>
    <w:p>
      <w:pPr>
        <w:ind w:left="12" w:right="140" w:firstLine="552"/>
        <w:spacing w:before="223" w:line="35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2.公务用车购置及运行费1.60万元，包括</w:t>
      </w:r>
      <w:r>
        <w:rPr>
          <w:rFonts w:ascii="FangSong" w:hAnsi="FangSong" w:eastAsia="FangSong" w:cs="FangSong"/>
          <w:sz w:val="28"/>
          <w:szCs w:val="28"/>
          <w:spacing w:val="-1"/>
        </w:rPr>
        <w:t>公务用车购置费0.00万元，与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上年基本持平；公务用车运行维护费1.60万元，与上年基本持平。</w:t>
      </w:r>
    </w:p>
    <w:p>
      <w:pPr>
        <w:ind w:left="566"/>
        <w:spacing w:before="4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3.公务接待费0.00万元，与上年基本持平。</w:t>
      </w:r>
    </w:p>
    <w:p>
      <w:pPr>
        <w:pStyle w:val="BodyText"/>
        <w:ind w:left="567"/>
        <w:spacing w:before="224" w:line="222" w:lineRule="auto"/>
        <w:rPr/>
      </w:pPr>
      <w:r>
        <w:rPr>
          <w:spacing w:val="-2"/>
        </w:rPr>
        <w:t>三、机关运行经费情况</w:t>
      </w:r>
    </w:p>
    <w:p>
      <w:pPr>
        <w:spacing w:line="222" w:lineRule="auto"/>
        <w:sectPr>
          <w:footerReference w:type="default" r:id="rId20"/>
          <w:pgSz w:w="11900" w:h="16840"/>
          <w:pgMar w:top="1431" w:right="1302" w:bottom="726" w:left="1226" w:header="0" w:footer="564" w:gutter="0"/>
        </w:sectPr>
        <w:rPr/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5" w:right="158" w:firstLine="557"/>
        <w:spacing w:before="91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机关运行经费指为保障行政单位（包括参照公务员法管</w:t>
      </w:r>
      <w:r>
        <w:rPr>
          <w:rFonts w:ascii="FangSong" w:hAnsi="FangSong" w:eastAsia="FangSong" w:cs="FangSong"/>
          <w:sz w:val="28"/>
          <w:szCs w:val="28"/>
          <w:spacing w:val="-2"/>
        </w:rPr>
        <w:t>理的事业单位）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运行用于购买货物和服务的各项资金，包括办公及印刷费、邮电费、差旅</w:t>
      </w:r>
    </w:p>
    <w:p>
      <w:pPr>
        <w:ind w:right="140" w:firstLine="12"/>
        <w:spacing w:before="44" w:line="36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费、会议费、福利费、日常维修费、专用材料及一般设备购置费、办公用房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水电费、办公用房取暖费、办公用房物业管理费、公务用车运行维护费以及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其他费用。2024年本部门机关运行经费安排3</w:t>
      </w:r>
      <w:r>
        <w:rPr>
          <w:rFonts w:ascii="FangSong" w:hAnsi="FangSong" w:eastAsia="FangSong" w:cs="FangSong"/>
          <w:sz w:val="28"/>
          <w:szCs w:val="28"/>
          <w:spacing w:val="-1"/>
        </w:rPr>
        <w:t>1.86万元，较2023年预算增加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3.38万元，增长11.87%。主要原因是：年内</w:t>
      </w:r>
      <w:r>
        <w:rPr>
          <w:rFonts w:ascii="FangSong" w:hAnsi="FangSong" w:eastAsia="FangSong" w:cs="FangSong"/>
          <w:sz w:val="28"/>
          <w:szCs w:val="28"/>
          <w:spacing w:val="-2"/>
        </w:rPr>
        <w:t>人员变动，人员经费相应变化。</w:t>
      </w:r>
    </w:p>
    <w:p>
      <w:pPr>
        <w:pStyle w:val="BodyText"/>
        <w:ind w:left="572"/>
        <w:spacing w:before="45" w:line="223" w:lineRule="auto"/>
        <w:rPr/>
      </w:pPr>
      <w:r>
        <w:rPr>
          <w:spacing w:val="-4"/>
        </w:rPr>
        <w:t>四、政府采购情况</w:t>
      </w:r>
    </w:p>
    <w:p>
      <w:pPr>
        <w:ind w:left="4" w:right="140" w:firstLine="553"/>
        <w:spacing w:before="222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2024年政府采购预算0.00万元，其中：政</w:t>
      </w:r>
      <w:r>
        <w:rPr>
          <w:rFonts w:ascii="FangSong" w:hAnsi="FangSong" w:eastAsia="FangSong" w:cs="FangSong"/>
          <w:sz w:val="28"/>
          <w:szCs w:val="28"/>
          <w:spacing w:val="-1"/>
        </w:rPr>
        <w:t>府采购货物预算0.00万元，政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府采购工程预算0.00万元，政府采购服务预算0.00万元。</w:t>
      </w:r>
    </w:p>
    <w:p>
      <w:pPr>
        <w:pStyle w:val="BodyText"/>
        <w:ind w:left="563"/>
        <w:spacing w:before="45" w:line="222" w:lineRule="auto"/>
        <w:rPr/>
      </w:pPr>
      <w:r>
        <w:rPr>
          <w:spacing w:val="-2"/>
        </w:rPr>
        <w:t>五、国有资产占有使用情况</w:t>
      </w:r>
    </w:p>
    <w:p>
      <w:pPr>
        <w:ind w:left="5" w:firstLine="557"/>
        <w:spacing w:before="226" w:line="3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截至2023年12月31日，本部门共有车辆1辆，其中机要通信用车0辆、应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急保障用车1辆、执法执勤用车0辆、特种专业技术用车0辆、其他按照规定配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备的公务用车0辆。</w:t>
      </w:r>
    </w:p>
    <w:p>
      <w:pPr>
        <w:ind w:left="568"/>
        <w:spacing w:before="49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单位价值100万元以上的设备0台（件、套）。</w:t>
      </w:r>
    </w:p>
    <w:p>
      <w:pPr>
        <w:ind w:left="557"/>
        <w:spacing w:before="22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2024年预算未安排购置单位价值100万元以上大型设备。</w:t>
      </w:r>
    </w:p>
    <w:p>
      <w:pPr>
        <w:pStyle w:val="BodyText"/>
        <w:ind w:left="564"/>
        <w:spacing w:before="224" w:line="221" w:lineRule="auto"/>
        <w:rPr/>
      </w:pPr>
      <w:r>
        <w:rPr>
          <w:spacing w:val="-2"/>
        </w:rPr>
        <w:t>六、绩效目标情况说明</w:t>
      </w:r>
    </w:p>
    <w:p>
      <w:pPr>
        <w:ind w:left="574"/>
        <w:spacing w:before="225" w:line="22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（一）预算绩效管理情况</w:t>
      </w:r>
    </w:p>
    <w:p>
      <w:pPr>
        <w:ind w:left="3" w:firstLine="564"/>
        <w:spacing w:before="225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淄博市张店区信访局2024年项目支出全面实施绩效目标管理，涉及预算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项目支出1个，预算资金0.4万元，其中财政拨款0.4万元。拟对律师参与化解</w:t>
      </w:r>
      <w:r>
        <w:rPr>
          <w:rFonts w:ascii="FangSong" w:hAnsi="FangSong" w:eastAsia="FangSong" w:cs="FangSong"/>
          <w:sz w:val="28"/>
          <w:szCs w:val="28"/>
          <w:spacing w:val="1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和代理社会矛盾或信访问题经费等1个项目开展部门重点绩效评价，涉及预算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资金0.4万元，其中财政拨款0.4万元。根据以前年度绩效评价结果，优化律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师参与化解和代理社会矛盾或信访问题经费等项目支出2024年预算安排，进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5"/>
        </w:rPr>
        <w:t>一步改进管理、完善政策。</w:t>
      </w:r>
    </w:p>
    <w:p>
      <w:pPr>
        <w:spacing w:line="364" w:lineRule="auto"/>
        <w:sectPr>
          <w:footerReference w:type="default" r:id="rId21"/>
          <w:pgSz w:w="11900" w:h="16840"/>
          <w:pgMar w:top="1431" w:right="1302" w:bottom="726" w:left="1233" w:header="0" w:footer="56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1443"/>
        <w:spacing w:before="58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（二）部门预算项目绩效目标表</w:t>
      </w:r>
    </w:p>
    <w:p>
      <w:pPr>
        <w:pStyle w:val="BodyText"/>
        <w:ind w:left="4365"/>
        <w:spacing w:before="259" w:line="221" w:lineRule="auto"/>
        <w:rPr/>
      </w:pPr>
      <w:r>
        <w:rPr>
          <w:spacing w:val="-2"/>
        </w:rPr>
        <w:t>项目支出绩效目标表</w:t>
      </w:r>
    </w:p>
    <w:p>
      <w:pPr>
        <w:spacing w:line="166" w:lineRule="exact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2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律师参与化解和代理社会矛盾或信访问题经费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5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淄博市张店区信访局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淄博市张店区信访局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 w:right="261" w:hanging="8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0.40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0.40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3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3" w:right="151" w:hanging="3"/>
              <w:spacing w:before="128" w:line="29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通过律师参与化解和代理社会矛盾或信访问题，着力推进信访问题源头治理，有效调解矛盾纠纷，保障 群众合法权益，促进把信访纳入法治化轨道工作进程，维护社会和谐稳</w:t>
            </w:r>
            <w:r>
              <w:rPr>
                <w:sz w:val="12"/>
                <w:szCs w:val="12"/>
                <w:spacing w:val="6"/>
              </w:rPr>
              <w:t xml:space="preserve"> </w:t>
            </w:r>
            <w:r>
              <w:rPr>
                <w:sz w:val="12"/>
                <w:szCs w:val="12"/>
                <w:spacing w:val="-4"/>
              </w:rPr>
              <w:t>定。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2022、2023年工作顾问费总额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≤8万元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2024年春节前支付总额的5%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≤0.4万元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剩余需支付总额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≤7.6万元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律师参与信访工作人数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≤5人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律师参与信访工作协调信访案件数量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≥20件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7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矛盾纠纷调解力度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显著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7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矛盾纠纷调解率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3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≥80%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按时到岗参与调解矛盾纠纷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按时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有效调解案件登记数量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≥10件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7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可持续发展影响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 w:right="123"/>
              <w:spacing w:before="97" w:line="20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律师参与接访，及时妥善处理矛盾纠纷，有效维护信访人</w:t>
            </w:r>
            <w:r>
              <w:rPr>
                <w:sz w:val="13"/>
                <w:szCs w:val="13"/>
                <w:spacing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合法权益，促进把信访纳入法治化轨道工作进程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维护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律师满意度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0" w:h="16840"/>
          <w:pgMar w:top="541" w:right="385" w:bottom="726" w:left="385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51"/>
        <w:spacing w:before="91" w:line="221" w:lineRule="auto"/>
        <w:rPr/>
      </w:pPr>
      <w:r>
        <w:rPr>
          <w:spacing w:val="-1"/>
        </w:rPr>
        <w:t>七、其他特殊事项说明</w:t>
      </w:r>
    </w:p>
    <w:p>
      <w:pPr>
        <w:ind w:firstLine="561"/>
        <w:spacing w:before="225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根据国家保密法律法规和有关保密事项范围的规定，部分涉密事项在预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算公开时予以剔除。</w:t>
      </w:r>
    </w:p>
    <w:p>
      <w:pPr>
        <w:spacing w:line="354" w:lineRule="auto"/>
        <w:sectPr>
          <w:footerReference w:type="default" r:id="rId23"/>
          <w:pgSz w:w="11900" w:h="16840"/>
          <w:pgMar w:top="1431" w:right="1442" w:bottom="726" w:left="123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before="176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第四部分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857"/>
        <w:spacing w:before="143" w:line="222" w:lineRule="auto"/>
        <w:rPr>
          <w:sz w:val="44"/>
          <w:szCs w:val="44"/>
        </w:rPr>
      </w:pPr>
      <w:r>
        <w:rPr>
          <w:sz w:val="44"/>
          <w:szCs w:val="44"/>
          <w:spacing w:val="-4"/>
        </w:rPr>
        <w:t>名词解释</w:t>
      </w:r>
    </w:p>
    <w:p>
      <w:pPr>
        <w:spacing w:line="222" w:lineRule="auto"/>
        <w:sectPr>
          <w:footerReference w:type="default" r:id="rId24"/>
          <w:pgSz w:w="11900" w:h="16840"/>
          <w:pgMar w:top="1431" w:right="1785" w:bottom="726" w:left="1234" w:header="0" w:footer="563" w:gutter="0"/>
        </w:sectPr>
        <w:rPr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29" w:right="140" w:firstLine="564"/>
        <w:spacing w:before="91" w:line="3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一、财政拨款收入：指由县（区）级财政拨款形成的部门收入，包括一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般公共预算拨款收入、政府性基金预算拨款收入和国有资本经营预算拨款收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38" w:right="140" w:firstLine="560"/>
        <w:spacing w:before="200" w:line="3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二、财政专户管理资金：指缴入财政专户、实行专项管理的高中以上学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费、住宿费、高校委托培养费、函大、电大、夜大及短训班培训费等教育收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费。</w:t>
      </w:r>
    </w:p>
    <w:p>
      <w:pPr>
        <w:ind w:left="29" w:right="420" w:firstLine="567"/>
        <w:spacing w:before="219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三、事业收入：指事业单位开展专业业务活动及辅助活动所取得的收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入，不含纳入财政专户管理的教育收费。</w:t>
      </w:r>
    </w:p>
    <w:p>
      <w:pPr>
        <w:ind w:left="29" w:right="140" w:firstLine="593"/>
        <w:spacing w:before="224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四、事业单位经营收入：指事业单位在专业业务活动及其辅助活动之外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开展非独立核算经营活动取得的收入。</w:t>
      </w:r>
    </w:p>
    <w:p>
      <w:pPr>
        <w:ind w:left="29" w:right="140" w:firstLine="564"/>
        <w:spacing w:before="225" w:line="3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五、其他收入：指除“财政拨款收入”“财政专户管理资金”“事业收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入”“事业单位经营收入”“上级补助收入”“附属单位上缴收入”等以外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的收入。主要包括利息存款收入、事业单位固定资产出租收入等。</w:t>
      </w:r>
    </w:p>
    <w:p>
      <w:pPr>
        <w:ind w:left="29" w:right="140" w:firstLine="562"/>
        <w:spacing w:before="226" w:line="30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六、上级补助收入：指单位从主管部门和上级单位取得的非财政补助收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26" w:right="140" w:firstLine="568"/>
        <w:spacing w:before="201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七、附属单位上缴收入：指本部门所属纳入部门预算编报范围的单位按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有关规定上缴的收入。</w:t>
      </w:r>
    </w:p>
    <w:p>
      <w:pPr>
        <w:ind w:firstLine="588"/>
        <w:spacing w:before="222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八、使用非财政拨款结余：指本部门在预计用当年的“财政拨款</w:t>
      </w:r>
      <w:r>
        <w:rPr>
          <w:rFonts w:ascii="FangSong" w:hAnsi="FangSong" w:eastAsia="FangSong" w:cs="FangSong"/>
          <w:sz w:val="28"/>
          <w:szCs w:val="28"/>
          <w:spacing w:val="3"/>
        </w:rPr>
        <w:t>收入”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“财政专户管理资金收入”“事业收入”“事业单位经营收入”“上级补助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 </w:t>
      </w:r>
      <w:r>
        <w:rPr>
          <w:rFonts w:ascii="FangSong" w:hAnsi="FangSong" w:eastAsia="FangSong" w:cs="FangSong"/>
          <w:sz w:val="28"/>
          <w:szCs w:val="28"/>
        </w:rPr>
        <w:t>收入”“附属单位上缴收入”“其他收入”等不足以安排当年支出的情况</w:t>
      </w:r>
    </w:p>
    <w:p>
      <w:pPr>
        <w:ind w:left="34"/>
        <w:spacing w:before="22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下，使用以前年度积累结余弥补本年度收支缺口的资金。</w:t>
      </w:r>
    </w:p>
    <w:p>
      <w:pPr>
        <w:ind w:left="30" w:right="140" w:firstLine="568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九、上年结转：指以前年度尚未完成、结转到本年仍按原规定用途继续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使用的资金。</w:t>
      </w:r>
    </w:p>
    <w:p>
      <w:pPr>
        <w:ind w:left="597"/>
        <w:spacing w:before="22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十、基本支出：指为保障机构正常运转、完成日常工作任务而发生的人</w:t>
      </w:r>
    </w:p>
    <w:p>
      <w:pPr>
        <w:spacing w:line="219" w:lineRule="auto"/>
        <w:sectPr>
          <w:footerReference w:type="default" r:id="rId25"/>
          <w:pgSz w:w="11900" w:h="16840"/>
          <w:pgMar w:top="1431" w:right="1302" w:bottom="726" w:left="120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22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员支出和日常公用支出。</w:t>
      </w:r>
    </w:p>
    <w:p>
      <w:pPr>
        <w:ind w:left="8" w:right="18" w:firstLine="560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十一、项目支出：指在基本支出之外为完成特定任务和事业发展目标所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发生的支出。</w:t>
      </w:r>
    </w:p>
    <w:p>
      <w:pPr>
        <w:ind w:left="568"/>
        <w:spacing w:before="22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十二、上缴上级支出：指下级单位上缴上级的支出。</w:t>
      </w:r>
    </w:p>
    <w:p>
      <w:pPr>
        <w:ind w:left="4" w:firstLine="564"/>
        <w:spacing w:before="226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十三、事业单位经营支出：指事业单位在专业业务活动及其辅助活动之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外开展非独立核算经营活动发生的支出。</w:t>
      </w:r>
    </w:p>
    <w:p>
      <w:pPr>
        <w:ind w:left="568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十四、对下级单位补助支出：指对下级单位补助发生的支出。</w:t>
      </w:r>
    </w:p>
    <w:p>
      <w:pPr>
        <w:ind w:firstLine="567"/>
        <w:spacing w:before="22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十五、结转下年：指以前年度预算安排、因客观条件发生变化无法按原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计划实施，需延迟到以后年度按原规定用途继续使用的资金。</w:t>
      </w:r>
    </w:p>
    <w:p>
      <w:pPr>
        <w:ind w:left="568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十六、“三公”经费：指县（区）级部门单位安排的因公出国（境）</w:t>
      </w:r>
    </w:p>
    <w:p>
      <w:pPr>
        <w:ind w:firstLine="8"/>
        <w:spacing w:before="225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费、公务用车购置及运行费和公务接待费。其中，因公出国（境）费反映单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位公务出国（境）的国际差旅费、国外城市间交通费、住宿费、伙食费、培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训费、公杂费等支出；公务用车购置及运行费反映单位公务用车车辆购置支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出（含车辆购置税）及燃料费、维修费、过路过桥费、保险费、安全奖励费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用等支出；公务接待费反映单位按规定开支的各类接待（含外宾接待）支</w:t>
      </w:r>
    </w:p>
    <w:p>
      <w:pPr>
        <w:ind w:left="29"/>
        <w:spacing w:before="47" w:line="22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2"/>
        </w:rPr>
        <w:t>出。</w:t>
      </w:r>
    </w:p>
    <w:p>
      <w:pPr>
        <w:ind w:firstLine="567"/>
        <w:spacing w:before="215" w:line="35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十七、机关运行经费：指为保障行政单位（包括参照公务员法管理的事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业单位）运行用于购买货物和服务的各项资金，包括办公及印刷费、邮电</w:t>
      </w:r>
    </w:p>
    <w:p>
      <w:pPr>
        <w:ind w:firstLine="9"/>
        <w:spacing w:before="48" w:line="35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费、差旅费、会议费、福利费、日常维修费、专用材料及一般设备购置费、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办公用房水电费、办公用房取暖费、办公用房物业管理费、公务用车运行维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护费以及其他费用。</w:t>
      </w:r>
    </w:p>
    <w:sectPr>
      <w:footerReference w:type="default" r:id="rId26"/>
      <w:pgSz w:w="11900" w:h="16840"/>
      <w:pgMar w:top="1431" w:right="1442" w:bottom="726" w:left="1235" w:header="0" w:footer="56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11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38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13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54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14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15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16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17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18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19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9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20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21 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22 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23 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24 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8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25 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26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2024-05-29T10:47:01Z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2024-05-29T14:18:02</vt:filetime>
  </property>
</Properties>
</file>