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张店区信访局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  <w:t>政府信息公开工作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年度报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告</w:t>
      </w:r>
    </w:p>
    <w:p>
      <w:pP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本年度报告根据《中华人民共和国政府信息公开条例》和《国务院办公厅政府信息与政务公开办公室关于印发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&lt;中华人民共和国政府信息公开工作年度报告格式&gt;的通知》（国办公开办函〔2021〕30号）相关要求编制。本报告所列数据的统计时限自202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年1月1日起至202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年12月31日止。如对报告内容有疑问，请与淄博市张店区信访局办公室联系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地址：山东省淄博市张店区新村西路226号;邮编:2550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0;联系电话:0533-2868600；邮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箱：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begin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instrText xml:space="preserve"> HYPERLINK "mailto:zdqxfjbgs@zb.shandong" </w:instrTex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separate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zdqxfjbgs@zb.shandong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fldChar w:fldCharType="end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.cn</w:t>
      </w:r>
    </w:p>
    <w:p>
      <w:pPr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ind w:firstLine="640" w:firstLineChars="20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张店区信访局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政府信息公开工作在区委、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区政府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的正确领导下，坚持以习近平新时代中国特色社会主义思想为指导，认真贯彻落实《中华人民共和国政府信息公开条例》，结合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信访</w:t>
      </w:r>
      <w:bookmarkStart w:id="10" w:name="_GoBack"/>
      <w:bookmarkEnd w:id="1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工作实际，加强组织领导，建立健全机制，规范运作程序，扎实推进全局政府信息公开工作。具体情况如下：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（一）主动公开方面。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主动公开政府信息，不断提升基础信息公开质量，严格依据《中华人民共和国政府信息公开条例》第二十条要求，全面公开履职依据、机构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职能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领导信息、会议公开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政策解读、业务动态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等信息。202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年1月1日至202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年12月31日，淄博市张店区信访局共公开政务信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35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次（条）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，并且提供文本下载功能，极大的方便了人民群众查阅相关内容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（二）依申请公开工作方面。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年度无依申请公开的信息。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（三）政府信息管理方面。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一是完善制度提质增效。修订完善相关配套措施，对政府信息公开流程、依申请公开制度、保密审查制度等方面进行完善，着力推进政务公开制度化规范化。二是高度重视明确责任。制订《张店区信访局202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年政务公开工作实施方案》，对政府信息公开工作进行任务分解，按照职能划分将工作任务落实到相关科室，有效提高工作透明度和工作效率。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（四）政府信息公开平台建设方面。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我局充分运用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政府门户网站部门栏目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张店区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信访局和“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张店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信访”微信公众号在信息公开中的主平台作用，进一步加强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信访局政务新媒体建设和管理，通过公众号，用大家喜闻乐见的文字和图片形式呈现《信访工作条例》相关内容，提高了阅读量和点击量。202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张店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信访”微信公众号粉丝数量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235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共发布文章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200余篇，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提高了公众对信访工作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知晓率。</w:t>
      </w:r>
    </w:p>
    <w:p>
      <w:pPr>
        <w:ind w:firstLine="643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（五）监督保障方面。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一是强化组织领导。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调整完善了局政务公开工作领导小组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，明确局办公室为信息公开机构，配齐配强政务公开工作人员，保持政务公开队伍相对稳定。二是加强培训指导。积极参加上级组织的业务培训会议，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制定张店区信访局2023年政务公开工作培训计划，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组织学习政府信息公开新条例，准确把握新条例各项规定，稳步提升工作人员的政务公开意识和能力。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4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Calibri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  <w:highlight w:val="none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auto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auto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宋体"/>
                <w:color w:val="auto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Calibri"/>
                <w:color w:val="auto"/>
                <w:kern w:val="0"/>
                <w:szCs w:val="21"/>
                <w:lang w:val="en-US" w:eastAsia="zh-CN"/>
              </w:rPr>
              <w:t>　 0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4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40"/>
        <w:gridCol w:w="540"/>
        <w:gridCol w:w="720"/>
        <w:gridCol w:w="675"/>
        <w:gridCol w:w="525"/>
        <w:gridCol w:w="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楷体_GB2312"/>
                <w:kern w:val="0"/>
                <w:szCs w:val="21"/>
              </w:rPr>
            </w:pPr>
            <w:r>
              <w:rPr>
                <w:rFonts w:hint="eastAsia" w:ascii="Times New Roman" w:hAnsi="Times New Roman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6" w:leftChars="-51" w:right="-107" w:rightChars="-51" w:hanging="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 w:right="-107" w:rightChars="-5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7" w:leftChars="-51" w:right="-107" w:rightChars="-5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06" w:leftChars="-51" w:right="-107" w:rightChars="-51" w:hanging="1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63" w:leftChars="-30" w:right="-134" w:rightChars="-64"/>
              <w:jc w:val="center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Times New Roman" w:hAnsi="Times New Roman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（一）予以公开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Times New Roman" w:hAnsi="Times New Roman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Times New Roman" w:hAnsi="Times New Roman" w:eastAsia="黑体"/>
                <w:kern w:val="0"/>
                <w:szCs w:val="21"/>
              </w:rPr>
              <w:t>）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107" w:leftChars="-51"/>
              <w:textAlignment w:val="auto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49" w:leftChars="-71" w:right="-170" w:rightChars="-81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49" w:leftChars="-71" w:right="-170" w:rightChars="-8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43" w:leftChars="-21" w:right="-132" w:rightChars="-63" w:hanging="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82" w:leftChars="-39" w:right="-97" w:rightChars="-46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18" w:leftChars="-56" w:right="-118" w:rightChars="-56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18" w:leftChars="-56" w:right="-118" w:rightChars="-56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bookmarkStart w:id="9" w:name="_Hlk67039688"/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26" w:rightChars="-60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86" w:leftChars="-41" w:right="-88" w:rightChars="-42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26" w:leftChars="-60" w:right="-136" w:rightChars="-65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26" w:leftChars="-60" w:right="-136" w:rightChars="-65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64" w:leftChars="-78" w:right="-153" w:rightChars="-73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64" w:leftChars="-78" w:right="-153" w:rightChars="-73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99" w:leftChars="-47" w:right="-78" w:rightChars="-37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36" w:leftChars="-65" w:right="-124" w:rightChars="-59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36" w:leftChars="-65" w:right="-124" w:rightChars="-59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73" w:leftChars="-83" w:right="-134" w:rightChars="-64" w:hanging="1"/>
              <w:jc w:val="center"/>
              <w:textAlignment w:val="auto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173" w:leftChars="-83" w:right="-134" w:rightChars="-64" w:hanging="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-67" w:leftChars="-33" w:right="-105" w:rightChars="-50" w:hanging="2" w:hangingChars="1"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8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一是未能做到进一步丰富政策解读形式，运用简明问答、图表图解、卡通动漫等多元化形式和生动灵活的语言解读本部门出台的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文件和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。改进措施：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创新政策解读形式，细化工作责任，督促相关科室做好政策解读、互动回应方面的工作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二是在主动回应和互动回应群众关切方面有所欠缺。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改进措施：</w:t>
      </w:r>
      <w:r>
        <w:rPr>
          <w:rFonts w:hint="eastAsia" w:ascii="仿宋_GB2312" w:hAnsi="仿宋_GB2312" w:eastAsia="仿宋_GB2312" w:cs="仿宋_GB2312"/>
          <w:sz w:val="32"/>
          <w:szCs w:val="32"/>
        </w:rPr>
        <w:t>广泛听取群众的意见和建议，主动公开回应群众普遍关心的热点、焦点问题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（一）依据《政府信息公开信息处理费管理办法》收取信息处理费的情况。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2023年度未收取信息处理费。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本年度人大代表建议和政协提案办理情况。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2023年度未承办人大代表建议、政协委员提案。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本单位在政务公开制度、内容、形式和平台建设方面的创新实践情况。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为丰富信息公开的内容和形式，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利用“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张店信访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微信公众号、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接访大厅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LED屏、宣传栏等媒介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及时主动公开群众关切的政务信息，取得良好效果。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（四）《2023年张店区政务公开工作方案》落实情况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店区信访局认真落实2023年张店区政务公开工作方案，通过加强组织领导、完善政务公开机制、规范公开内容方式、加强督查考核等方式，深化重点领域信息公开，做好关切回应和群众参与，全面提升标准化规范化水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张店区信访局</w:t>
      </w:r>
    </w:p>
    <w:p>
      <w:pPr>
        <w:ind w:firstLine="4480" w:firstLineChars="14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1F4474"/>
    <w:multiLevelType w:val="singleLevel"/>
    <w:tmpl w:val="E31F447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N2E1ZDVhNWRkYWQ4YjFjMDk3ODllYTQyY2Q3YzYifQ=="/>
  </w:docVars>
  <w:rsids>
    <w:rsidRoot w:val="00000000"/>
    <w:rsid w:val="00B561ED"/>
    <w:rsid w:val="04545D1C"/>
    <w:rsid w:val="05940AC6"/>
    <w:rsid w:val="0D43731A"/>
    <w:rsid w:val="12AD1C97"/>
    <w:rsid w:val="13307FAC"/>
    <w:rsid w:val="143017A1"/>
    <w:rsid w:val="147D6BCA"/>
    <w:rsid w:val="171C091C"/>
    <w:rsid w:val="17FC1F93"/>
    <w:rsid w:val="18041ADC"/>
    <w:rsid w:val="193D3811"/>
    <w:rsid w:val="1B7712D1"/>
    <w:rsid w:val="1B9C15A5"/>
    <w:rsid w:val="1BAD65FA"/>
    <w:rsid w:val="1CEF4891"/>
    <w:rsid w:val="1CFF19B1"/>
    <w:rsid w:val="21066D67"/>
    <w:rsid w:val="22A85759"/>
    <w:rsid w:val="243629A0"/>
    <w:rsid w:val="28F52FEB"/>
    <w:rsid w:val="2AAD417B"/>
    <w:rsid w:val="2C372028"/>
    <w:rsid w:val="2F522CD5"/>
    <w:rsid w:val="36E763F9"/>
    <w:rsid w:val="39A607ED"/>
    <w:rsid w:val="3CEF4259"/>
    <w:rsid w:val="4283791D"/>
    <w:rsid w:val="439873F8"/>
    <w:rsid w:val="43A55671"/>
    <w:rsid w:val="483F712A"/>
    <w:rsid w:val="493A02D3"/>
    <w:rsid w:val="4DDE1EAC"/>
    <w:rsid w:val="53073C53"/>
    <w:rsid w:val="53780771"/>
    <w:rsid w:val="53E75832"/>
    <w:rsid w:val="55215DAD"/>
    <w:rsid w:val="55601D2A"/>
    <w:rsid w:val="560C77D2"/>
    <w:rsid w:val="5C8C7E10"/>
    <w:rsid w:val="5E6F4DA2"/>
    <w:rsid w:val="5F185D87"/>
    <w:rsid w:val="5FDB0323"/>
    <w:rsid w:val="612754C0"/>
    <w:rsid w:val="622A170C"/>
    <w:rsid w:val="628E1C9B"/>
    <w:rsid w:val="69F85C4B"/>
    <w:rsid w:val="6B9E2823"/>
    <w:rsid w:val="6DC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2024-01-15T01:54:00Z</dcterms:created>
  <dc:creator>Administrator.USER-20190905ZK</dc:creator>
  <cp:lastModifiedBy>自己掏钱打工</cp:lastModifiedBy>
  <cp:lastPrinted>2024-01-18T01:45:00Z</cp:lastPrinted>
  <dcterms:modified xsi:type="dcterms:W3CDTF">2024-01-18T06:49:41Z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7DD5546377BA467BA60AA357A8A25AA0_12</vt:lpwstr>
  </property>
</Properties>
</file>