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3"/>
      <w:r>
        <w:rPr>
          <w:rFonts w:hint="eastAsia" w:ascii="方正小标宋_GBK" w:hAnsi="方正小标宋_GBK" w:eastAsia="方正小标宋_GBK"/>
          <w:b w:val="0"/>
          <w:bCs w:val="0"/>
          <w:sz w:val="30"/>
        </w:rPr>
        <w:t>（二十）公共文化服务</w:t>
      </w:r>
      <w:bookmarkStart w:id="1" w:name="_GoBack"/>
      <w:bookmarkEnd w:id="1"/>
      <w:r>
        <w:rPr>
          <w:rFonts w:hint="eastAsia" w:ascii="方正小标宋_GBK" w:hAnsi="方正小标宋_GBK" w:eastAsia="方正小标宋_GBK"/>
          <w:b w:val="0"/>
          <w:bCs w:val="0"/>
          <w:sz w:val="30"/>
        </w:rPr>
        <w:t>领域基层政务公开标准目录</w:t>
      </w:r>
      <w:bookmarkEnd w:id="0"/>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3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14" w:type="dxa"/>
            <w:vMerge w:val="continue"/>
            <w:noWrap w:val="0"/>
            <w:vAlign w:val="center"/>
          </w:tcPr>
          <w:p>
            <w:pPr>
              <w:widowControl/>
              <w:jc w:val="left"/>
              <w:rPr>
                <w:rFonts w:ascii="黑体" w:hAnsi="宋体" w:eastAsia="黑体" w:cs="宋体"/>
                <w:color w:val="000000"/>
                <w:kern w:val="0"/>
                <w:sz w:val="22"/>
              </w:rPr>
            </w:pPr>
          </w:p>
        </w:tc>
        <w:tc>
          <w:tcPr>
            <w:tcW w:w="1426"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ascii="仿宋_GB2312" w:hAnsi="Times New Roman" w:eastAsia="仿宋_GB2312"/>
                <w:sz w:val="18"/>
                <w:szCs w:val="18"/>
              </w:rPr>
            </w:pP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对互联网上网服务营业场所违法行为的行政处罚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ascii="仿宋_GB2312" w:hAnsi="Times New Roman" w:eastAsia="仿宋_GB2312"/>
                <w:sz w:val="18"/>
                <w:szCs w:val="18"/>
              </w:rPr>
            </w:pP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hint="eastAsia" w:ascii="仿宋_GB2312" w:hAnsi="Times New Roman" w:eastAsia="仿宋_GB2312"/>
                <w:sz w:val="18"/>
                <w:szCs w:val="18"/>
              </w:rPr>
            </w:pP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hint="eastAsia" w:ascii="仿宋_GB2312" w:hAnsi="Times New Roman" w:eastAsia="仿宋_GB2312"/>
                <w:sz w:val="18"/>
                <w:szCs w:val="18"/>
              </w:rPr>
            </w:pP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对艺术品经营违法行为的行政处罚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文化和旅游行政部门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ascii="仿宋_GB2312" w:hAnsi="Times New Roman" w:eastAsia="仿宋_GB2312"/>
                <w:sz w:val="18"/>
                <w:szCs w:val="18"/>
              </w:rPr>
            </w:pP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对擅自在文物保护单位的保护范围内进行建设工程或者爆破、钻探、挖掘等作业的行为进行处罚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hint="eastAsia" w:ascii="仿宋_GB2312" w:hAnsi="Times New Roman" w:eastAsia="仿宋_GB2312"/>
                <w:sz w:val="18"/>
                <w:szCs w:val="18"/>
              </w:rPr>
            </w:pP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hint="eastAsia" w:ascii="仿宋_GB2312" w:hAnsi="Times New Roman" w:eastAsia="仿宋_GB2312"/>
                <w:sz w:val="18"/>
                <w:szCs w:val="18"/>
              </w:rPr>
            </w:pP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对擅自迁移、拆除不可移动文物的行为进行处罚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hint="eastAsia" w:ascii="仿宋_GB2312" w:hAnsi="Times New Roman" w:eastAsia="仿宋_GB2312"/>
                <w:sz w:val="18"/>
                <w:szCs w:val="18"/>
              </w:rPr>
            </w:pP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对擅自修缮不可移动文物，明显改变文物原状的行为进行处罚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hint="eastAsia" w:ascii="仿宋_GB2312" w:hAnsi="Times New Roman" w:eastAsia="仿宋_GB2312"/>
                <w:sz w:val="18"/>
                <w:szCs w:val="18"/>
              </w:rPr>
            </w:pP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对擅自在原址重建已全部毁坏的不可移动文物，造成文物破坏的行为进行处罚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hint="eastAsia" w:ascii="仿宋_GB2312" w:hAnsi="Times New Roman" w:eastAsia="仿宋_GB2312"/>
                <w:sz w:val="18"/>
                <w:szCs w:val="18"/>
              </w:rPr>
            </w:pP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对施工单位未取得文物保护工程资质证书，擅自从事文物修缮、迁移、重建的行为进行处罚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hint="eastAsia" w:ascii="仿宋_GB2312" w:hAnsi="Times New Roman" w:eastAsia="仿宋_GB2312"/>
                <w:sz w:val="18"/>
                <w:szCs w:val="18"/>
              </w:rPr>
            </w:pP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对转让或者抵押国有不可移动文物的行为进行处罚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hint="eastAsia" w:ascii="仿宋_GB2312" w:hAnsi="Times New Roman" w:eastAsia="仿宋_GB2312"/>
                <w:sz w:val="18"/>
                <w:szCs w:val="18"/>
              </w:rPr>
            </w:pP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对将国有不可移动文物作为企业资产经营的行为进行处罚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hint="eastAsia" w:ascii="仿宋_GB2312" w:hAnsi="Times New Roman" w:eastAsia="仿宋_GB2312"/>
                <w:sz w:val="18"/>
                <w:szCs w:val="18"/>
              </w:rPr>
            </w:pP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对将非国有不可移动文物转让或者抵押给外国人的行为进行处罚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hint="eastAsia" w:ascii="仿宋_GB2312" w:hAnsi="Times New Roman" w:eastAsia="仿宋_GB2312"/>
                <w:sz w:val="18"/>
                <w:szCs w:val="18"/>
              </w:rPr>
            </w:pPr>
          </w:p>
        </w:tc>
        <w:tc>
          <w:tcPr>
            <w:tcW w:w="734"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对擅自改变国有文物保护单位用途的行为进行处罚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hint="eastAsia" w:ascii="仿宋_GB2312" w:hAnsi="Times New Roman" w:eastAsia="仿宋_GB2312"/>
                <w:sz w:val="18"/>
                <w:szCs w:val="18"/>
              </w:rPr>
            </w:pP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对文物收藏单位未按照国家有关规定配备防火、防盗、防自然损坏的设施的行为进行处罚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hint="eastAsia" w:ascii="仿宋_GB2312" w:hAnsi="Times New Roman" w:eastAsia="仿宋_GB2312"/>
                <w:sz w:val="18"/>
                <w:szCs w:val="18"/>
              </w:rPr>
            </w:pPr>
          </w:p>
        </w:tc>
        <w:tc>
          <w:tcPr>
            <w:tcW w:w="734"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对国有文物收藏单位法定代表人离任时未按照馆藏文物档案移交馆藏文物，或者所移交的馆藏文物与馆藏文物档案不符的行为进行处罚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hint="eastAsia" w:ascii="仿宋_GB2312" w:hAnsi="Times New Roman" w:eastAsia="仿宋_GB2312"/>
                <w:sz w:val="18"/>
                <w:szCs w:val="18"/>
              </w:rPr>
            </w:pP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对将国有馆藏文物赠与、出租或者出售给其他单位、个人的行为进行处罚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hint="eastAsia" w:ascii="仿宋_GB2312" w:hAnsi="Times New Roman" w:eastAsia="仿宋_GB2312"/>
                <w:sz w:val="18"/>
                <w:szCs w:val="18"/>
              </w:rPr>
            </w:pPr>
          </w:p>
        </w:tc>
        <w:tc>
          <w:tcPr>
            <w:tcW w:w="734"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对违法借用、交换、处置国有馆藏文物的行为进行处罚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hint="eastAsia" w:ascii="仿宋_GB2312" w:hAnsi="Times New Roman" w:eastAsia="仿宋_GB2312"/>
                <w:sz w:val="18"/>
                <w:szCs w:val="18"/>
              </w:rPr>
            </w:pP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对违法挪用或者侵占依法调拨、交换、出借文物所得补偿费用的行为进行处罚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hint="eastAsia" w:ascii="仿宋_GB2312" w:hAnsi="Times New Roman" w:eastAsia="仿宋_GB2312"/>
                <w:sz w:val="18"/>
                <w:szCs w:val="18"/>
              </w:rPr>
            </w:pP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对发现文物隐匿不报，或者拒不上交的行为进行处罚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ascii="仿宋_GB2312" w:hAnsi="Times New Roman" w:eastAsia="仿宋_GB2312"/>
                <w:sz w:val="18"/>
                <w:szCs w:val="18"/>
              </w:rPr>
            </w:pP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对未按照规定移交拣选文物的行为进行处罚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ascii="仿宋_GB2312" w:hAnsi="Times New Roman" w:eastAsia="仿宋_GB2312"/>
                <w:sz w:val="18"/>
                <w:szCs w:val="18"/>
              </w:rPr>
            </w:pP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对未取得相应等级的文物保护工程资质证书，擅自承担文物保护单位的修缮、迁移、重建工程逾期不改正，或者造成严重后果的行为进行处罚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ascii="仿宋_GB2312" w:hAnsi="Times New Roman" w:eastAsia="仿宋_GB2312"/>
                <w:sz w:val="18"/>
                <w:szCs w:val="18"/>
              </w:rPr>
            </w:pP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ascii="仿宋_GB2312" w:hAnsi="Times New Roman" w:eastAsia="仿宋_GB2312"/>
                <w:sz w:val="18"/>
                <w:szCs w:val="18"/>
              </w:rPr>
            </w:pP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对擅自修复、复制、拓印馆藏珍贵文物的行为进行处罚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ascii="仿宋_GB2312" w:hAnsi="Times New Roman" w:eastAsia="仿宋_GB2312"/>
                <w:sz w:val="18"/>
                <w:szCs w:val="18"/>
              </w:rPr>
            </w:pP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ascii="仿宋_GB2312" w:hAnsi="Times New Roman" w:eastAsia="仿宋_GB2312"/>
                <w:sz w:val="18"/>
                <w:szCs w:val="18"/>
              </w:rPr>
            </w:pP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ascii="仿宋_GB2312" w:hAnsi="Times New Roman" w:eastAsia="仿宋_GB2312"/>
                <w:sz w:val="18"/>
                <w:szCs w:val="18"/>
              </w:rPr>
            </w:pP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ascii="仿宋_GB2312" w:hAnsi="Times New Roman" w:eastAsia="仿宋_GB2312"/>
                <w:sz w:val="18"/>
                <w:szCs w:val="18"/>
              </w:rPr>
            </w:pP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ascii="仿宋_GB2312" w:hAnsi="Times New Roman" w:eastAsia="仿宋_GB2312"/>
                <w:sz w:val="18"/>
                <w:szCs w:val="18"/>
              </w:rPr>
            </w:pP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ascii="仿宋_GB2312" w:hAnsi="Times New Roman" w:eastAsia="仿宋_GB2312"/>
                <w:sz w:val="18"/>
                <w:szCs w:val="18"/>
              </w:rPr>
            </w:pP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ascii="仿宋_GB2312" w:hAnsi="Times New Roman" w:eastAsia="仿宋_GB2312"/>
                <w:sz w:val="18"/>
                <w:szCs w:val="18"/>
              </w:rPr>
            </w:pP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numPr>
                <w:ilvl w:val="0"/>
                <w:numId w:val="1"/>
              </w:numPr>
              <w:spacing w:line="240" w:lineRule="exact"/>
              <w:ind w:left="425" w:leftChars="0" w:hanging="425" w:firstLineChars="0"/>
              <w:rPr>
                <w:rFonts w:ascii="仿宋_GB2312" w:hAnsi="Times New Roman" w:eastAsia="仿宋_GB2312"/>
                <w:sz w:val="18"/>
                <w:szCs w:val="18"/>
              </w:rPr>
            </w:pPr>
          </w:p>
        </w:tc>
        <w:tc>
          <w:tcPr>
            <w:tcW w:w="73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27301"/>
    <w:multiLevelType w:val="singleLevel"/>
    <w:tmpl w:val="48827301"/>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73D7E"/>
    <w:rsid w:val="06473D7E"/>
    <w:rsid w:val="42EA2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2020-09-17T06:33:00Z</dcterms:created>
  <dc:creator>燕～٩(๑´3｀๑)۶～</dc:creator>
  <cp:lastModifiedBy>燕～٩(๑´3｀๑)۶～</cp:lastModifiedBy>
  <dcterms:modified xsi:type="dcterms:W3CDTF">2020-09-18T03:56:45Z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