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7" w:beforeAutospacing="0" w:after="47" w:afterAutospacing="0" w:line="560" w:lineRule="atLeast"/>
        <w:ind w:left="47" w:right="47" w:firstLine="501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张店区退役军人事务局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7" w:beforeAutospacing="0" w:after="47" w:afterAutospacing="0" w:line="560" w:lineRule="atLeast"/>
        <w:ind w:left="47" w:right="47" w:firstLine="501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本报告是根据《中华人民共和国政府信息公开条例》（以下简称《条例》）要求</w:t>
      </w:r>
      <w:r>
        <w:rPr>
          <w:rFonts w:hint="eastAsia" w:ascii="仿宋_GB2312" w:hAnsi="微软雅黑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由张店区退役军人事务局编制。本年度报告中所列数据的统计期限自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年1月1日至12月31日止。本报告电子版可以在张店区退役军人事务局门户网站查阅下载（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http://www.zhangdian.gov.cn/gongkai/site_zdqtyjrswj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）。如对报告内容有疑问，请与张店区退役军人事务局政务公开工作领导小组办公室联系（地址：张店区马尚街道人民路165号光彩大厦4楼区退役军人事务局，邮编：255020，电话：0533-2180899）。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今年以来，退役军人事务局主动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公开基本信息1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0余项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其中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重点领域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履职文件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行政执法公示类28项，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公开会议信息及会议解读1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次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，其它主动公开内容50余项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针对政务公开、电话咨询、12345热线中群众咨询多、社会反响强烈问题，坚持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“民生无小事，枝叶总关情”，积极做好公开解读工作，现将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主要情况汇报如下：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75" w:leftChars="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全局主动公开政府信息的情况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/>
        </w:rPr>
        <w:t>1.基本信息公开。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</w:rPr>
        <w:t>年来，张店区退役军人事务局始终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秉承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</w:rPr>
        <w:t>“公开为原则,不公开为例外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”的工作公开原则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做好政务公开工作。根据单位机构调整和人事任免情况，及时公开并更新单位职能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领导信息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en-US"/>
        </w:rPr>
        <w:t>岗位编制、内设机构、职责分工，便于群众查询和监督。 强化组织领导，明确工作职责，加强对退役军人相关政策解读，不断提升为民、为退役军人办事的能力，确保本单位政务公开工作有序有效运行。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2.公文主动公开。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针对上级部门下发的各类规范公文做好统计登记工作，建立健全“规范文件备案库”。坚持“快捷、高效、便民”原则，畅通便民渠道。通过互联网、电子邮件、电话传真、网络平台、书信涵件、访谈等方式为市民提供监督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会议及重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大决策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主动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建立完善全局重大决策清单目录，明确重大决策事项预公开范围，对重大决策事项，通过互联网、电子邮件、电话咨询、网络平台、书信函件、正面访谈等多种监督建议方式，畅通群众监督和反应问题渠道。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1123315</wp:posOffset>
            </wp:positionV>
            <wp:extent cx="5250815" cy="2589530"/>
            <wp:effectExtent l="0" t="0" r="6985" b="1270"/>
            <wp:wrapSquare wrapText="bothSides"/>
            <wp:docPr id="1026" name="图片 1" descr="8cd8186ba63d7d7e23a4242de06b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8cd8186ba63d7d7e23a4242de06b078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58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4.行政权力主动公开。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编制职责边界清单和行政处罚清单，及时公开本年度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权责清单，广泛接受群众监督和意见建议，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做到执法结果公开透明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，让“权力在阳光下运行”。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94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1904365</wp:posOffset>
            </wp:positionH>
            <wp:positionV relativeFrom="page">
              <wp:posOffset>5168265</wp:posOffset>
            </wp:positionV>
            <wp:extent cx="3780155" cy="3576320"/>
            <wp:effectExtent l="0" t="0" r="10795" b="5080"/>
            <wp:wrapTopAndBottom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54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健全依申请公开政府信息制度，规范制定信息公开申请指南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基本目录及申请流程图，明确公开信息申请途径、办法以及答复时限等事项。202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5项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已均按照相关政策文件在规定期限内答复，答复率100%。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（三）政府信息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着力做好政务信息管理维护工作，继续健全完善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政府信息公开平台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。2021年初，我局召开政务公开培训会议，研究部署年度政务信息公开工作，及时公开信息，推动重大决策部署贯彻落实，继续推进服务理念、服务模式改革。坚持“舆论引导”于“信息服务”之中，不断增强统计信息公开工作的准确性、及时性和权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7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（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四</w:t>
      </w: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）政府信息公开平台建设情况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75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建成了统一的政府信息公开平台，由区退役军人局政务公开领导小组召开培训会议，研究部署本年度政府信息公开工作。明确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1名专职信息公开人员，各科室、各服务中心负责人协同开展政府信息公开工作。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仿宋_GB2312" w:hAnsi="仿宋_GB2312" w:eastAsia="楷体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监督保障工作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局机关高度重视政务公开工作，坚持将政务公开工作情况、社会评议和责任追究纳入年度考核范畴，对标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政府信息公开工作年度报告的要求，坚决做好本机关政务公开工作，坚持周汇报、月讲评、季总结、年考核的工作制度，及时查纠问题，及时总结经验，及时解读相关政策文件，严格保密，严格执行。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right="0" w:firstLine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主动公开政府信息情况  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right="0" w:firstLine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tbl>
      <w:tblPr>
        <w:tblStyle w:val="3"/>
        <w:tblW w:w="892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8" w:hRule="atLeas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3"/>
              <w:tblpPr w:leftFromText="180" w:rightFromText="180" w:vertAnchor="text" w:horzAnchor="page" w:tblpX="256" w:tblpY="881"/>
              <w:tblOverlap w:val="never"/>
              <w:tblW w:w="87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9"/>
              <w:gridCol w:w="1991"/>
              <w:gridCol w:w="1950"/>
              <w:gridCol w:w="23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770" w:type="dxa"/>
                  <w:gridSpan w:val="4"/>
                  <w:tcBorders>
                    <w:bottom w:val="single" w:color="auto" w:sz="4" w:space="0"/>
                  </w:tcBorders>
                  <w:shd w:val="clear" w:color="auto" w:fill="C6D9F1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第二十条第（一）项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9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本年</w:t>
                  </w: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制发件数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本年</w:t>
                  </w: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废止件数</w:t>
                  </w:r>
                </w:p>
              </w:tc>
              <w:tc>
                <w:tcPr>
                  <w:tcW w:w="2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现行有效件数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政策文件</w:t>
                  </w:r>
                </w:p>
              </w:tc>
              <w:tc>
                <w:tcPr>
                  <w:tcW w:w="19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2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规范性文件</w:t>
                  </w:r>
                </w:p>
              </w:tc>
              <w:tc>
                <w:tcPr>
                  <w:tcW w:w="19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770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C6D9F1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第二十条第（五）项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本年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处理决定数量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行政许可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770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C6D9F1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第二十条第（六）项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本年处理决定数量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行政处罚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行政强制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770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C6D9F1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第二十条第（八）项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本年收费金额（单位：万元）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3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行政事业性</w:t>
                  </w:r>
                  <w:r>
                    <w:rPr>
                      <w:rFonts w:hint="eastAsia" w:ascii="仿宋_GB2312" w:hAnsi="仿宋_GB2312" w:cs="仿宋_GB2312"/>
                      <w:sz w:val="24"/>
                      <w:szCs w:val="24"/>
                      <w:lang w:val="en-US" w:eastAsia="zh-CN"/>
                    </w:rPr>
                    <w:t>收费</w:t>
                  </w:r>
                </w:p>
              </w:tc>
              <w:tc>
                <w:tcPr>
                  <w:tcW w:w="63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00" w:beforeAutospacing="0" w:after="10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7" w:beforeAutospacing="0" w:after="47" w:afterAutospacing="0" w:line="391" w:lineRule="atLeast"/>
              <w:ind w:left="0" w:right="4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560" w:lineRule="exact"/>
              <w:ind w:right="45" w:firstLine="654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560" w:lineRule="exact"/>
              <w:ind w:right="45" w:firstLine="654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560" w:lineRule="exact"/>
              <w:ind w:right="45" w:firstLine="654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560" w:lineRule="exact"/>
              <w:ind w:right="45" w:firstLine="654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560" w:lineRule="exact"/>
              <w:ind w:right="45" w:firstLine="654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3"/>
              <w:tblW w:w="8780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0"/>
              <w:gridCol w:w="615"/>
              <w:gridCol w:w="2580"/>
              <w:gridCol w:w="695"/>
              <w:gridCol w:w="675"/>
              <w:gridCol w:w="735"/>
              <w:gridCol w:w="825"/>
              <w:gridCol w:w="810"/>
              <w:gridCol w:w="615"/>
              <w:gridCol w:w="6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3825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955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3825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9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自然人</w:t>
                  </w:r>
                </w:p>
              </w:tc>
              <w:tc>
                <w:tcPr>
                  <w:tcW w:w="366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法人或其他组织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18"/>
                      <w:szCs w:val="18"/>
                      <w:lang w:val="en-US" w:eastAsia="zh-CN"/>
                    </w:rPr>
                    <w:t>总</w:t>
                  </w: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5" w:hRule="atLeast"/>
              </w:trPr>
              <w:tc>
                <w:tcPr>
                  <w:tcW w:w="3825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9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商业企业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社会公益组织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法律服务机构</w:t>
                  </w:r>
                </w:p>
              </w:tc>
              <w:tc>
                <w:tcPr>
                  <w:tcW w:w="6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2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一、本年新收政府信息公开申请数量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2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二、上年结转政府信息公开申请数量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三、本年度办理结果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（一）予以公开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（三）不予公开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1.属于国家秘密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5" w:hRule="atLeast"/>
              </w:trPr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2.其他法律行政法规禁止公开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3.危及“三安全一稳定”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4.保护第三方合法权益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5.属于三类内部事务信息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6.属于四类过程性信息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7.属于行政执法案卷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8.属于行政查询事项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（四）无法提供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1.本机关不掌握相关政府信息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2.没有现成信息需要另行制作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3.补正后申请内容仍不明确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（五）不予处理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1.信访举报投诉类申请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2.重复申请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3.要求提供公开出版物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4.无正当理由大量反复申请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5.要求行政机关确认或重新出具已获取信息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</w:trPr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六）其他出理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18"/>
                      <w:szCs w:val="18"/>
                      <w:lang w:val="en-US" w:eastAsia="zh-CN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0" w:hRule="atLeast"/>
              </w:trPr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cs="仿宋_GB2312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default" w:ascii="仿宋_GB2312" w:hAnsi="仿宋_GB2312" w:cs="仿宋_GB231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18"/>
                      <w:szCs w:val="18"/>
                      <w:lang w:val="en-US" w:eastAsia="zh-CN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cs="仿宋_GB2312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580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default" w:ascii="仿宋_GB2312" w:hAnsi="仿宋_GB2312" w:cs="仿宋_GB231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18"/>
                      <w:szCs w:val="18"/>
                      <w:lang w:val="en-US" w:eastAsia="zh-CN"/>
                    </w:rPr>
                    <w:t>3.其他</w:t>
                  </w:r>
                </w:p>
              </w:tc>
              <w:tc>
                <w:tcPr>
                  <w:tcW w:w="695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default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（七）总计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82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四、结转下年度继续办理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0" w:after="100" w:afterAutospacing="0" w:line="3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300" w:lineRule="exact"/>
              <w:ind w:left="47" w:right="47" w:firstLine="501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beforeAutospacing="0" w:after="47" w:afterAutospacing="0" w:line="300" w:lineRule="exact"/>
              <w:ind w:left="47" w:right="47" w:firstLine="501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7" w:beforeAutospacing="0" w:after="47" w:afterAutospacing="0" w:line="391" w:lineRule="atLeast"/>
              <w:ind w:left="47" w:right="47" w:firstLine="501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四、政府信息公开行政复议、行政诉讼情况</w:t>
            </w:r>
          </w:p>
          <w:tbl>
            <w:tblPr>
              <w:tblStyle w:val="3"/>
              <w:tblW w:w="8879" w:type="dxa"/>
              <w:tblInd w:w="-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64"/>
              <w:gridCol w:w="694"/>
              <w:gridCol w:w="603"/>
              <w:gridCol w:w="666"/>
              <w:gridCol w:w="558"/>
              <w:gridCol w:w="573"/>
              <w:gridCol w:w="558"/>
              <w:gridCol w:w="573"/>
              <w:gridCol w:w="560"/>
              <w:gridCol w:w="543"/>
              <w:gridCol w:w="543"/>
              <w:gridCol w:w="573"/>
              <w:gridCol w:w="543"/>
              <w:gridCol w:w="6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 w:hRule="atLeast"/>
              </w:trPr>
              <w:tc>
                <w:tcPr>
                  <w:tcW w:w="3231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行政复议</w:t>
                  </w:r>
                </w:p>
              </w:tc>
              <w:tc>
                <w:tcPr>
                  <w:tcW w:w="5648" w:type="dxa"/>
                  <w:gridSpan w:val="10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行政诉讼</w:t>
                  </w:r>
                </w:p>
              </w:tc>
            </w:tr>
            <w:bookmarkEnd w:id="0"/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 w:hRule="atLeast"/>
              </w:trPr>
              <w:tc>
                <w:tcPr>
                  <w:tcW w:w="604" w:type="dxa"/>
                  <w:vMerge w:val="restart"/>
                  <w:tcBorders>
                    <w:top w:val="single" w:color="auto" w:sz="6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结果维持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结果纠正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其他结果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尚未审结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2822" w:type="dxa"/>
                  <w:gridSpan w:val="5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未经复议直接起诉</w:t>
                  </w:r>
                </w:p>
              </w:tc>
              <w:tc>
                <w:tcPr>
                  <w:tcW w:w="2826" w:type="dxa"/>
                  <w:gridSpan w:val="5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3" w:hRule="atLeast"/>
              </w:trPr>
              <w:tc>
                <w:tcPr>
                  <w:tcW w:w="604" w:type="dxa"/>
                  <w:vMerge w:val="continue"/>
                  <w:tcBorders>
                    <w:top w:val="single" w:color="auto" w:sz="6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vMerge w:val="continue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vMerge w:val="continue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结果维持</w:t>
                  </w:r>
                </w:p>
              </w:tc>
              <w:tc>
                <w:tcPr>
                  <w:tcW w:w="57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结果纠正</w:t>
                  </w:r>
                </w:p>
              </w:tc>
              <w:tc>
                <w:tcPr>
                  <w:tcW w:w="558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其他结果</w:t>
                  </w:r>
                </w:p>
              </w:tc>
              <w:tc>
                <w:tcPr>
                  <w:tcW w:w="573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尚未审结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543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结果维持</w:t>
                  </w:r>
                </w:p>
              </w:tc>
              <w:tc>
                <w:tcPr>
                  <w:tcW w:w="543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结果纠正</w:t>
                  </w:r>
                </w:p>
              </w:tc>
              <w:tc>
                <w:tcPr>
                  <w:tcW w:w="573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其他结果</w:t>
                  </w:r>
                </w:p>
              </w:tc>
              <w:tc>
                <w:tcPr>
                  <w:tcW w:w="543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尚未审结</w:t>
                  </w:r>
                </w:p>
              </w:tc>
              <w:tc>
                <w:tcPr>
                  <w:tcW w:w="624" w:type="dxa"/>
                  <w:tcBorders>
                    <w:top w:val="single" w:color="auto" w:sz="8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4" w:hRule="atLeast"/>
              </w:trPr>
              <w:tc>
                <w:tcPr>
                  <w:tcW w:w="604" w:type="dxa"/>
                  <w:tcBorders>
                    <w:top w:val="single" w:color="auto" w:sz="6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bookmarkStart w:id="1" w:name="_GoBack" w:colFirst="0" w:colLast="14"/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color="auto" w:sz="6" w:space="0"/>
                    <w:left w:val="single" w:color="auto" w:sz="6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10" w:type="dxa"/>
                    <w:right w:w="1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11"/>
                      <w:sz w:val="18"/>
                      <w:szCs w:val="18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年，张店区退役军人事务局政府信息公开工作总体上稳步推进，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群众反映良好，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但也存在一些问题，主要表现在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：一是政务信息公开及时与群众知晓率低的矛盾，在政务信息公开时，相关退役军人及军属知晓率较低。二是政府信息公开相关责任人员发挥作用不足，体系建设有待完善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本机关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理论水平与实践工作水平有待提高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jc w:val="left"/>
        <w:textAlignment w:val="auto"/>
        <w:outlineLvl w:val="9"/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一是拓宽公开渠道。着眼于看似鸡毛蒜皮却关乎人民切身利益之事，换位思考，及时答复人民群众相关申请。立足人民群众实际，就退役军人事务局规划计划、会议公开、政策解读、统计信息等及时通过线上线下全面准确规范公开，提高人民群众政务信息知晓率，让人民群众找准门路、少走弯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00"/>
        <w:textAlignment w:val="auto"/>
        <w:outlineLvl w:val="9"/>
        <w:rPr>
          <w:rFonts w:hint="eastAsia"/>
          <w:lang w:val="en-US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二是强化责任主体。持续推进服务理念、服务模式改革，增强责任心，守住本心。将政务信息公开工作纳入“放管服”改革重要内容，按规定公开法定主动公开内容、依申请公开内容，着力提高本机关工作服务水平。做好政务信息公开工作责任人专业技能培训以及思想提升工作，全力推进本机关政务信息工作高效</w:t>
      </w:r>
      <w:r>
        <w:rPr>
          <w:rFonts w:hint="eastAsia"/>
          <w:lang w:val="en-US"/>
        </w:rPr>
        <w:t>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/>
          <w:lang w:val="en-US"/>
        </w:rPr>
        <w:t>三是强化队伍建设。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积极做好业务培训工作，通过举办培训班、以会代训等形式，着力提升政务信息公开工作人员工作和能力水平。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282" w:firstLine="673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282" w:firstLine="673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本报告中所列数据的统计期限自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日起至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日止，并在张店区人民政府门户网站（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http://www.zhangdian.gov.cn/gongkai/site_zdqtyjrswj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）全文公开。如对本年度报告有任何疑问，请与张店区退役军人事务局办公室联系（电话：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0533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2180899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shd w:val="clear" w:color="auto" w:fill="FFFFFF"/>
        </w:rPr>
        <w:instrText xml:space="preserve"> HYPERLINK "mailto:%E9%82%AE%E7%AE%B1tyjrswj2018@126.com" \t "http://www.zhangdian.gov.cn/gongkai/_blank"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0000FF"/>
          <w:spacing w:val="0"/>
          <w:sz w:val="32"/>
          <w:szCs w:val="32"/>
          <w:u w:val="single"/>
          <w:shd w:val="clear" w:color="auto" w:fill="FFFFFF"/>
        </w:rPr>
        <w:t>邮箱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FF"/>
          <w:spacing w:val="0"/>
          <w:sz w:val="32"/>
          <w:szCs w:val="32"/>
          <w:u w:val="single"/>
          <w:shd w:val="clear" w:color="auto" w:fill="FFFFFF"/>
        </w:rPr>
        <w:t>tyjrswj2018@126.com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3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383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张店区退役军人事务局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383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eastAsia="微软雅黑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AndChars" w:linePitch="435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documentProtection w:enforcement="0"/>
  <w:defaultTabStop w:val="420"/>
  <w:drawingGridHorizontalSpacing w:val="164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0291A"/>
    <w:rsid w:val="72A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snapToGrid w:val="0"/>
      <w:color w:val="00000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2899</Words>
  <Characters>3109</Characters>
  <Paragraphs>427</Paragraphs>
  <TotalTime>2</TotalTime>
  <ScaleCrop>false</ScaleCrop>
  <LinksUpToDate>false</LinksUpToDate>
  <CharactersWithSpaces>3249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2022-01-12T06:58:00Z</dcterms:created>
  <dc:creator>Administrator</dc:creator>
  <cp:lastModifiedBy>lullaby</cp:lastModifiedBy>
  <cp:lastPrinted>2022-01-14T02:45:00Z</cp:lastPrinted>
  <dcterms:modified xsi:type="dcterms:W3CDTF">2022-03-09T08:34:30Z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10afcac122dc45948c7866240e559546</vt:lpwstr>
  </property>
</Properties>
</file>