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b/>
          <w:sz w:val="36"/>
          <w:szCs w:val="36"/>
        </w:rPr>
        <w:t>淄博市张店区统计局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sz w:val="36"/>
          <w:szCs w:val="36"/>
        </w:rPr>
        <w:t>2012年政府信息公开工作年度报告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ascii="仿宋_GB2312" w:hAnsi="仿宋_GB2312" w:eastAsia="仿宋_GB2312" w:cs="仿宋_GB2312"/>
          <w:sz w:val="32"/>
          <w:szCs w:val="32"/>
        </w:rPr>
        <w:t>根据《中华人民共和国政府信息公开条例》规定，按照张店区政府信息公开的统一部署，特公布2012年度本机关政府信息公开年度报告。本报告中所列数据的统计期限自2012年1月1日起，至2012年12月31日止。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ascii="黑体" w:hAnsi="黑体" w:eastAsia="黑体" w:cs="黑体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ascii="楷体_GB2312" w:hAnsi="楷体_GB2312" w:eastAsia="楷体_GB2312" w:cs="楷体_GB2312"/>
          <w:sz w:val="32"/>
          <w:szCs w:val="32"/>
        </w:rPr>
        <w:t>（一）加强组织领导，落实工作责任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为了确保政府信息公开工作顺利有序开展，我局及时明确分管领导，根据政府信息公开工作各项职责及要求，确定综合法规科为政府信息公开工作责任科室，指定专人负责政府信息公开工作。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（二）编制《张店区统计局政府信息公开制度》等，做到有据可查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按照张店区政府电子政务办公室关于信息公开的要求，及时编制了《张店区统计局政府信息公开制度》，使张店区统计局政府信息公开工作做到了有据可查。同时一并编制了《数据使用和发布工作制度》、《统计资料管理工作制度》、《保密工作制度》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（三）制定和落实相关配套措施，确保工作稳步推进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由于政府信息公开涉及内容较多，在要求各科室队配合的同时，特别指定办公室专人负责协助提供有关信息。对公开的信息要求由各科室队负责人和分管局长严格把关，确保信息符合国家法律法规及政策规定，保证公开内容及时、真实、有效，并在实际工作中执行到位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</w:pPr>
      <w:r>
        <w:rPr>
          <w:rFonts w:hint="eastAsia" w:ascii="楷体_GB2312" w:hAnsi="楷体_GB2312" w:eastAsia="楷体_GB2312" w:cs="楷体_GB2312"/>
          <w:sz w:val="32"/>
          <w:szCs w:val="32"/>
        </w:rPr>
        <w:t>    （四）建立健全工作机制，规范公开行为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在信息产生、信息发布与审核、信息安全、信息存档、应急等方面，我局严格执行本局的保密制度、统计资料提供和发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布制度、政务公开制度、首问责任制等管理制度，同时也严格按区政府信息公开要求做好有关工作，做到有条不紊、规范公开。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（一）主动公开政府信息数量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一年来，我局共公开各类信息150余条。同时，通过新闻媒体发布统计信息，主要是在《张店通讯》上发布全区统计公报。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（二）主动公开政府信息主要类别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我局政府信息公开主要包括机构概况、政策文件、规划计划、工作信息、人事信息、数据信息和财政信息等七大类信息。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（三）政府信息公开形式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我局结合统计工作实际，采取多种渠道、多种方式向社会广泛公开政府信息，同时按照便利、实用、有效的原则，着力创新信息公开的载体和形式，不断拓宽政府信息公开的广度。主要采用以下信息公开形式：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1、出版印刷统计资料，对外公布。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目前对外公开的统计资料为《全区国民经济和社会发展统计公报》、《张店区统计年鉴》及张店区重大国情国力调查汇总资料。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2、刊登报纸对外公开。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每年都会在《张店通讯》上刊登《全区国民经济和社会发展统计公报》，以此形式对外公开。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楷体_GB2312" w:hAnsi="楷体_GB2312" w:eastAsia="楷体_GB2312" w:cs="楷体_GB2312"/>
          <w:sz w:val="32"/>
          <w:szCs w:val="32"/>
        </w:rPr>
        <w:t>3、业务科室接受来访群众。</w:t>
      </w:r>
      <w:r>
        <w:rPr>
          <w:rFonts w:hint="eastAsia" w:ascii="仿宋_GB2312" w:hAnsi="仿宋_GB2312" w:eastAsia="仿宋_GB2312" w:cs="仿宋_GB2312"/>
          <w:sz w:val="32"/>
          <w:szCs w:val="32"/>
        </w:rPr>
        <w:t>局内主要由综合科对外公开统计数据，由于统计数据的保密性，只对部分数据接受群众来访可以公开。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本单位2012年度未收到信息公开申请。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本单位无收费情况。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本单位2012年度未发生上述案件。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七、所属事业单位信息公开推进情况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本局所属事业单位所需公开的信息由局内统一管理、对外公开。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黑体" w:hAnsi="黑体" w:eastAsia="黑体" w:cs="黑体"/>
          <w:sz w:val="32"/>
          <w:szCs w:val="32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通过积极努力、认真细致的工作，我局的政府信息公开工作有了新的进展。但也存在一些不足和问题，如：信息时效性有待提高，信息种类可以更加丰富，网上办事功能不够强等问题。2013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snapToGrid w:val="0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2013年1月24日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6D535020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Administrator</cp:lastModifiedBy>
  <dcterms:modified xsi:type="dcterms:W3CDTF">2020-12-22T03:11:43Z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