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18E2074">
      <w:pPr>
        <w:rPr>
          <w:rFonts w:hint="eastAsia" w:ascii="宋体" w:hAnsi="宋体" w:eastAsia="宋体" w:cs="宋体"/>
          <w:sz w:val="36"/>
          <w:szCs w:val="36"/>
        </w:rPr>
      </w:pPr>
      <w:bookmarkStart w:id="0" w:name="_Hlk57883707"/>
      <w:bookmarkStart w:id="1" w:name="_Hlk57884087"/>
    </w:p>
    <w:p w14:paraId="447FAA27">
      <w:pPr>
        <w:rPr>
          <w:rFonts w:hint="eastAsia" w:ascii="宋体" w:hAnsi="宋体" w:eastAsia="宋体" w:cs="宋体"/>
          <w:sz w:val="36"/>
          <w:szCs w:val="36"/>
        </w:rPr>
      </w:pPr>
    </w:p>
    <w:p w14:paraId="72AE6F53">
      <w:pPr>
        <w:rPr>
          <w:rFonts w:ascii="仿宋_GB2312" w:hAnsi="仿宋_GB2312" w:eastAsia="仿宋_GB2312" w:cs="仿宋_GB2312"/>
          <w:color w:val="0000FF"/>
          <w:spacing w:val="0"/>
          <w:kern w:val="21"/>
          <w:sz w:val="36"/>
          <w:szCs w:val="36"/>
        </w:rPr>
      </w:pPr>
    </w:p>
    <w:p w14:paraId="350B0C75">
      <w:pPr>
        <w:rPr>
          <w:rFonts w:ascii="仿宋_GB2312" w:hAnsi="仿宋_GB2312" w:eastAsia="仿宋_GB2312" w:cs="仿宋_GB2312"/>
          <w:color w:val="0000FF"/>
          <w:spacing w:val="0"/>
          <w:kern w:val="21"/>
          <w:sz w:val="36"/>
          <w:szCs w:val="36"/>
        </w:rPr>
      </w:pPr>
    </w:p>
    <w:p w14:paraId="36930419">
      <w:pPr>
        <w:pStyle w:val="37"/>
        <w:rPr>
          <w:color w:val="0000FF"/>
        </w:rPr>
      </w:pPr>
    </w:p>
    <w:p w14:paraId="5268023E">
      <w:pPr>
        <w:rPr>
          <w:color w:val="auto"/>
        </w:rPr>
      </w:pPr>
    </w:p>
    <w:p w14:paraId="653D776D">
      <w:pPr>
        <w:rPr>
          <w:rFonts w:hint="eastAsia" w:ascii="仿宋_GB2312" w:hAnsi="仿宋_GB2312" w:eastAsia="仿宋_GB2312" w:cs="仿宋_GB2312"/>
          <w:color w:val="auto"/>
          <w:spacing w:val="0"/>
          <w:kern w:val="21"/>
          <w:sz w:val="36"/>
          <w:szCs w:val="36"/>
        </w:rPr>
      </w:pPr>
    </w:p>
    <w:p w14:paraId="4AF0A159">
      <w:pPr>
        <w:adjustRightInd w:val="0"/>
        <w:snapToGrid w:val="0"/>
        <w:jc w:val="center"/>
        <w:outlineLvl w:val="0"/>
        <w:rPr>
          <w:rFonts w:hint="eastAsia" w:ascii="方正小标宋_GBK" w:eastAsia="方正小标宋_GBK"/>
          <w:bCs/>
          <w:color w:val="auto"/>
          <w:spacing w:val="0"/>
          <w:kern w:val="21"/>
          <w:sz w:val="72"/>
          <w:szCs w:val="72"/>
        </w:rPr>
      </w:pPr>
      <w:r>
        <w:rPr>
          <w:rFonts w:hint="eastAsia" w:ascii="方正小标宋_GBK" w:eastAsia="方正小标宋_GBK"/>
          <w:bCs/>
          <w:color w:val="auto"/>
          <w:spacing w:val="0"/>
          <w:kern w:val="21"/>
          <w:sz w:val="72"/>
          <w:szCs w:val="72"/>
        </w:rPr>
        <w:t>建设项目环境影响报告表</w:t>
      </w:r>
    </w:p>
    <w:p w14:paraId="46F85152">
      <w:pPr>
        <w:adjustRightInd w:val="0"/>
        <w:snapToGrid w:val="0"/>
        <w:spacing w:before="192" w:beforeLines="80"/>
        <w:jc w:val="center"/>
        <w:rPr>
          <w:rFonts w:hint="eastAsia" w:ascii="楷体_GB2312" w:eastAsia="楷体_GB2312"/>
          <w:bCs/>
          <w:color w:val="auto"/>
          <w:spacing w:val="0"/>
          <w:kern w:val="21"/>
          <w:sz w:val="48"/>
          <w:szCs w:val="48"/>
        </w:rPr>
      </w:pPr>
      <w:r>
        <w:rPr>
          <w:rFonts w:hint="eastAsia" w:ascii="楷体_GB2312" w:eastAsia="楷体_GB2312"/>
          <w:bCs/>
          <w:color w:val="auto"/>
          <w:spacing w:val="0"/>
          <w:kern w:val="21"/>
          <w:sz w:val="48"/>
          <w:szCs w:val="48"/>
        </w:rPr>
        <w:t>（污染影响类）</w:t>
      </w:r>
    </w:p>
    <w:p w14:paraId="26D49052">
      <w:pPr>
        <w:adjustRightInd w:val="0"/>
        <w:snapToGrid w:val="0"/>
        <w:spacing w:line="288" w:lineRule="auto"/>
        <w:jc w:val="center"/>
        <w:outlineLvl w:val="0"/>
        <w:rPr>
          <w:rFonts w:hint="eastAsia" w:ascii="华文仿宋" w:hAnsi="华文仿宋" w:eastAsia="华文仿宋" w:cs="华文仿宋"/>
          <w:color w:val="auto"/>
          <w:spacing w:val="0"/>
          <w:kern w:val="21"/>
          <w:sz w:val="44"/>
          <w:szCs w:val="44"/>
          <w:lang w:eastAsia="zh-CN"/>
        </w:rPr>
      </w:pPr>
    </w:p>
    <w:p w14:paraId="04E789AA">
      <w:pPr>
        <w:ind w:firstLine="1040"/>
        <w:rPr>
          <w:rFonts w:eastAsia="仿宋"/>
          <w:color w:val="auto"/>
          <w:spacing w:val="0"/>
          <w:kern w:val="21"/>
          <w:sz w:val="44"/>
          <w:szCs w:val="44"/>
        </w:rPr>
      </w:pPr>
    </w:p>
    <w:p w14:paraId="07113160">
      <w:pPr>
        <w:ind w:firstLine="1040"/>
        <w:rPr>
          <w:rFonts w:eastAsia="仿宋"/>
          <w:color w:val="auto"/>
          <w:spacing w:val="0"/>
          <w:kern w:val="21"/>
          <w:sz w:val="44"/>
          <w:szCs w:val="44"/>
        </w:rPr>
      </w:pPr>
    </w:p>
    <w:p w14:paraId="5E824CF4">
      <w:pPr>
        <w:ind w:firstLine="1040"/>
        <w:rPr>
          <w:rFonts w:eastAsia="仿宋"/>
          <w:color w:val="auto"/>
          <w:spacing w:val="0"/>
          <w:kern w:val="21"/>
          <w:sz w:val="44"/>
          <w:szCs w:val="44"/>
        </w:rPr>
      </w:pPr>
    </w:p>
    <w:p w14:paraId="2302D81A">
      <w:pPr>
        <w:pStyle w:val="37"/>
        <w:rPr>
          <w:rFonts w:hint="default" w:ascii="Times New Roman" w:hAnsi="Times New Roman" w:cs="Times New Roman"/>
          <w:color w:val="auto"/>
        </w:rPr>
      </w:pPr>
    </w:p>
    <w:p w14:paraId="262C4351">
      <w:pPr>
        <w:ind w:firstLine="1040"/>
        <w:rPr>
          <w:rFonts w:hint="default" w:ascii="Times New Roman" w:hAnsi="Times New Roman" w:eastAsia="仿宋" w:cs="Times New Roman"/>
          <w:color w:val="auto"/>
          <w:spacing w:val="0"/>
          <w:kern w:val="21"/>
          <w:sz w:val="44"/>
          <w:szCs w:val="44"/>
        </w:rPr>
      </w:pPr>
    </w:p>
    <w:p w14:paraId="3504C47B">
      <w:pPr>
        <w:keepNext w:val="0"/>
        <w:keepLines w:val="0"/>
        <w:pageBreakBefore w:val="0"/>
        <w:widowControl w:val="0"/>
        <w:kinsoku/>
        <w:wordWrap/>
        <w:overflowPunct/>
        <w:topLinePunct w:val="0"/>
        <w:autoSpaceDE/>
        <w:autoSpaceDN/>
        <w:bidi w:val="0"/>
        <w:adjustRightInd w:val="0"/>
        <w:snapToGrid w:val="0"/>
        <w:spacing w:line="360" w:lineRule="auto"/>
        <w:ind w:left="2159" w:leftChars="171" w:hanging="1800" w:hangingChars="500"/>
        <w:jc w:val="both"/>
        <w:textAlignment w:val="auto"/>
        <w:rPr>
          <w:rFonts w:hint="default" w:ascii="Times New Roman" w:hAnsi="Times New Roman" w:eastAsia="仿宋_GB2312" w:cs="Times New Roman"/>
          <w:color w:val="auto"/>
          <w:spacing w:val="0"/>
          <w:kern w:val="21"/>
          <w:sz w:val="36"/>
          <w:szCs w:val="36"/>
          <w:lang w:val="en-US" w:eastAsia="zh-CN"/>
        </w:rPr>
      </w:pPr>
      <w:r>
        <w:rPr>
          <w:rFonts w:hint="default" w:ascii="Times New Roman" w:hAnsi="Times New Roman" w:eastAsia="仿宋_GB2312" w:cs="Times New Roman"/>
          <w:color w:val="auto"/>
          <w:spacing w:val="0"/>
          <w:kern w:val="21"/>
          <w:sz w:val="36"/>
          <w:szCs w:val="36"/>
        </w:rPr>
        <w:t>项目名称：</w:t>
      </w: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eastAsia" w:ascii="Times New Roman" w:hAnsi="Times New Roman" w:eastAsia="仿宋_GB2312" w:cs="Times New Roman"/>
          <w:color w:val="auto"/>
          <w:spacing w:val="0"/>
          <w:kern w:val="21"/>
          <w:sz w:val="36"/>
          <w:szCs w:val="36"/>
          <w:u w:val="single"/>
          <w:lang w:eastAsia="zh-CN"/>
        </w:rPr>
        <w:t>淄博东润一枝新材料有限公司年产2000吨聚乙烯蜡项目</w:t>
      </w:r>
      <w:r>
        <w:rPr>
          <w:rFonts w:hint="eastAsia" w:eastAsia="仿宋_GB2312" w:cs="Times New Roman"/>
          <w:color w:val="auto"/>
          <w:spacing w:val="0"/>
          <w:kern w:val="21"/>
          <w:sz w:val="36"/>
          <w:szCs w:val="36"/>
          <w:u w:val="single"/>
          <w:lang w:val="en-US" w:eastAsia="zh-CN"/>
        </w:rPr>
        <w:t xml:space="preserve">                     </w:t>
      </w:r>
      <w:r>
        <w:rPr>
          <w:rFonts w:hint="eastAsia" w:ascii="Times New Roman" w:hAnsi="Times New Roman" w:eastAsia="仿宋_GB2312" w:cs="Times New Roman"/>
          <w:color w:val="auto"/>
          <w:spacing w:val="0"/>
          <w:kern w:val="21"/>
          <w:sz w:val="36"/>
          <w:szCs w:val="36"/>
          <w:u w:val="single"/>
          <w:lang w:val="en-US" w:eastAsia="zh-CN"/>
        </w:rPr>
        <w:t xml:space="preserve"> </w:t>
      </w:r>
    </w:p>
    <w:p w14:paraId="6BFF2E95">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jc w:val="both"/>
        <w:textAlignment w:val="auto"/>
        <w:rPr>
          <w:rFonts w:hint="default" w:ascii="Times New Roman" w:hAnsi="Times New Roman" w:eastAsia="仿宋_GB2312" w:cs="Times New Roman"/>
          <w:color w:val="auto"/>
          <w:spacing w:val="0"/>
          <w:kern w:val="21"/>
          <w:sz w:val="36"/>
          <w:szCs w:val="36"/>
          <w:u w:val="single"/>
          <w:lang w:val="en-US" w:eastAsia="zh-CN"/>
        </w:rPr>
      </w:pPr>
      <w:r>
        <w:rPr>
          <w:rFonts w:hint="default" w:ascii="Times New Roman" w:hAnsi="Times New Roman" w:eastAsia="仿宋_GB2312" w:cs="Times New Roman"/>
          <w:color w:val="auto"/>
          <w:spacing w:val="0"/>
          <w:kern w:val="21"/>
          <w:sz w:val="36"/>
          <w:szCs w:val="36"/>
        </w:rPr>
        <w:t>建设单位（盖章）：</w:t>
      </w: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eastAsia" w:ascii="Times New Roman" w:hAnsi="Times New Roman" w:eastAsia="仿宋_GB2312" w:cs="Times New Roman"/>
          <w:color w:val="auto"/>
          <w:spacing w:val="0"/>
          <w:kern w:val="21"/>
          <w:sz w:val="36"/>
          <w:szCs w:val="36"/>
          <w:u w:val="single"/>
          <w:lang w:eastAsia="zh-CN"/>
        </w:rPr>
        <w:t>淄博东润一枝新材料有限公司</w:t>
      </w:r>
      <w:r>
        <w:rPr>
          <w:rFonts w:hint="eastAsia" w:ascii="Times New Roman" w:hAnsi="Times New Roman" w:eastAsia="仿宋_GB2312" w:cs="Times New Roman"/>
          <w:color w:val="auto"/>
          <w:spacing w:val="0"/>
          <w:kern w:val="21"/>
          <w:sz w:val="36"/>
          <w:szCs w:val="36"/>
          <w:u w:val="single"/>
          <w:lang w:val="en-US" w:eastAsia="zh-CN"/>
        </w:rPr>
        <w:t xml:space="preserve"> </w:t>
      </w:r>
    </w:p>
    <w:p w14:paraId="4D3A7524">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textAlignment w:val="auto"/>
        <w:rPr>
          <w:rFonts w:hint="eastAsia" w:ascii="仿宋_GB2312" w:eastAsia="仿宋_GB2312"/>
          <w:color w:val="auto"/>
          <w:spacing w:val="0"/>
          <w:kern w:val="21"/>
          <w:sz w:val="36"/>
          <w:szCs w:val="36"/>
        </w:rPr>
      </w:pPr>
      <w:r>
        <w:rPr>
          <w:rFonts w:hint="default" w:ascii="Times New Roman" w:hAnsi="Times New Roman" w:eastAsia="仿宋_GB2312" w:cs="Times New Roman"/>
          <w:color w:val="auto"/>
          <w:spacing w:val="0"/>
          <w:kern w:val="21"/>
          <w:sz w:val="36"/>
          <w:szCs w:val="36"/>
        </w:rPr>
        <w:t>编制日期：</w:t>
      </w: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eastAsia" w:eastAsia="仿宋_GB2312" w:cs="Times New Roman"/>
          <w:color w:val="auto"/>
          <w:spacing w:val="0"/>
          <w:kern w:val="21"/>
          <w:sz w:val="36"/>
          <w:szCs w:val="36"/>
          <w:u w:val="single"/>
          <w:lang w:val="en-US" w:eastAsia="zh-CN"/>
        </w:rPr>
        <w:t xml:space="preserve">    </w:t>
      </w:r>
      <w:r>
        <w:rPr>
          <w:rFonts w:hint="default" w:ascii="Times New Roman" w:hAnsi="Times New Roman" w:eastAsia="仿宋_GB2312" w:cs="Times New Roman"/>
          <w:color w:val="auto"/>
          <w:spacing w:val="0"/>
          <w:kern w:val="21"/>
          <w:sz w:val="36"/>
          <w:szCs w:val="36"/>
          <w:u w:val="single"/>
          <w:lang w:val="en-US" w:eastAsia="zh-CN"/>
        </w:rPr>
        <w:t>202</w:t>
      </w:r>
      <w:r>
        <w:rPr>
          <w:rFonts w:hint="eastAsia" w:eastAsia="仿宋_GB2312" w:cs="Times New Roman"/>
          <w:color w:val="auto"/>
          <w:spacing w:val="0"/>
          <w:kern w:val="21"/>
          <w:sz w:val="36"/>
          <w:szCs w:val="36"/>
          <w:u w:val="single"/>
          <w:lang w:val="en-US" w:eastAsia="zh-CN"/>
        </w:rPr>
        <w:t>5</w:t>
      </w:r>
      <w:r>
        <w:rPr>
          <w:rFonts w:hint="default" w:ascii="Times New Roman" w:hAnsi="Times New Roman" w:eastAsia="仿宋_GB2312" w:cs="Times New Roman"/>
          <w:color w:val="auto"/>
          <w:spacing w:val="0"/>
          <w:kern w:val="21"/>
          <w:sz w:val="36"/>
          <w:szCs w:val="36"/>
          <w:u w:val="single"/>
          <w:lang w:val="en-US" w:eastAsia="zh-CN"/>
        </w:rPr>
        <w:t>年</w:t>
      </w:r>
      <w:r>
        <w:rPr>
          <w:rFonts w:hint="eastAsia" w:eastAsia="仿宋_GB2312" w:cs="Times New Roman"/>
          <w:color w:val="auto"/>
          <w:spacing w:val="0"/>
          <w:kern w:val="21"/>
          <w:sz w:val="36"/>
          <w:szCs w:val="36"/>
          <w:u w:val="single"/>
          <w:lang w:val="en-US" w:eastAsia="zh-CN"/>
        </w:rPr>
        <w:t>9</w:t>
      </w:r>
      <w:r>
        <w:rPr>
          <w:rFonts w:hint="default" w:ascii="Times New Roman" w:hAnsi="Times New Roman" w:eastAsia="仿宋_GB2312" w:cs="Times New Roman"/>
          <w:color w:val="auto"/>
          <w:spacing w:val="0"/>
          <w:kern w:val="21"/>
          <w:sz w:val="36"/>
          <w:szCs w:val="36"/>
          <w:u w:val="single"/>
          <w:lang w:val="en-US" w:eastAsia="zh-CN"/>
        </w:rPr>
        <w:t xml:space="preserve">月  </w:t>
      </w:r>
      <w:r>
        <w:rPr>
          <w:rFonts w:hint="eastAsia" w:eastAsia="仿宋_GB2312" w:cs="Times New Roman"/>
          <w:color w:val="auto"/>
          <w:spacing w:val="0"/>
          <w:kern w:val="21"/>
          <w:sz w:val="36"/>
          <w:szCs w:val="36"/>
          <w:u w:val="single"/>
          <w:lang w:val="en-US" w:eastAsia="zh-CN"/>
        </w:rPr>
        <w:t xml:space="preserve"> </w:t>
      </w: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eastAsia" w:eastAsia="仿宋_GB2312" w:cs="Times New Roman"/>
          <w:color w:val="auto"/>
          <w:spacing w:val="0"/>
          <w:kern w:val="21"/>
          <w:sz w:val="36"/>
          <w:szCs w:val="36"/>
          <w:u w:val="single"/>
          <w:lang w:val="en-US" w:eastAsia="zh-CN"/>
        </w:rPr>
        <w:t xml:space="preserve"> </w:t>
      </w: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eastAsia" w:ascii="仿宋_GB2312" w:eastAsia="仿宋_GB2312"/>
          <w:color w:val="auto"/>
          <w:spacing w:val="0"/>
          <w:kern w:val="21"/>
          <w:sz w:val="36"/>
          <w:szCs w:val="36"/>
        </w:rPr>
        <w:t xml:space="preserve"> </w:t>
      </w:r>
    </w:p>
    <w:p w14:paraId="6884C722">
      <w:pPr>
        <w:adjustRightInd w:val="0"/>
        <w:snapToGrid w:val="0"/>
        <w:spacing w:line="288" w:lineRule="auto"/>
        <w:ind w:firstLine="1040"/>
        <w:rPr>
          <w:rFonts w:ascii="仿宋_GB2312" w:eastAsia="仿宋_GB2312"/>
          <w:color w:val="auto"/>
          <w:spacing w:val="0"/>
          <w:kern w:val="21"/>
          <w:sz w:val="36"/>
          <w:szCs w:val="36"/>
          <w:u w:val="single"/>
        </w:rPr>
      </w:pPr>
    </w:p>
    <w:p w14:paraId="566577C6">
      <w:pPr>
        <w:adjustRightInd w:val="0"/>
        <w:snapToGrid w:val="0"/>
        <w:spacing w:line="288" w:lineRule="auto"/>
        <w:ind w:firstLine="1040"/>
        <w:rPr>
          <w:rFonts w:ascii="仿宋_GB2312" w:eastAsia="仿宋_GB2312"/>
          <w:color w:val="auto"/>
          <w:spacing w:val="0"/>
          <w:kern w:val="21"/>
          <w:sz w:val="36"/>
          <w:szCs w:val="36"/>
        </w:rPr>
      </w:pPr>
    </w:p>
    <w:p w14:paraId="3D594F95">
      <w:pPr>
        <w:adjustRightInd w:val="0"/>
        <w:snapToGrid w:val="0"/>
        <w:spacing w:line="288" w:lineRule="auto"/>
        <w:ind w:firstLine="1040"/>
        <w:rPr>
          <w:rFonts w:hint="eastAsia" w:ascii="仿宋_GB2312" w:eastAsia="仿宋_GB2312"/>
          <w:color w:val="auto"/>
          <w:spacing w:val="0"/>
          <w:kern w:val="21"/>
          <w:sz w:val="36"/>
          <w:szCs w:val="36"/>
        </w:rPr>
      </w:pPr>
    </w:p>
    <w:p w14:paraId="08140176">
      <w:pPr>
        <w:adjustRightInd w:val="0"/>
        <w:snapToGrid w:val="0"/>
        <w:spacing w:line="288" w:lineRule="auto"/>
        <w:jc w:val="center"/>
        <w:rPr>
          <w:rFonts w:hint="default" w:ascii="Times New Roman" w:hAnsi="Times New Roman" w:eastAsia="宋体" w:cs="Times New Roman"/>
          <w:color w:val="000000" w:themeColor="text1"/>
          <w14:textFill>
            <w14:solidFill>
              <w14:schemeClr w14:val="tx1"/>
            </w14:solidFill>
          </w14:textFill>
        </w:rPr>
      </w:pPr>
      <w:r>
        <w:rPr>
          <w:rFonts w:hint="eastAsia" w:ascii="楷体_GB2312" w:eastAsia="楷体_GB2312"/>
          <w:color w:val="auto"/>
          <w:spacing w:val="0"/>
          <w:kern w:val="21"/>
          <w:sz w:val="36"/>
          <w:szCs w:val="36"/>
        </w:rPr>
        <w:t>中华人民共和国生态环境部制</w:t>
      </w:r>
    </w:p>
    <w:p w14:paraId="7BEFCD6A">
      <w:pPr>
        <w:rPr>
          <w:rFonts w:hint="default" w:ascii="Times New Roman" w:hAnsi="Times New Roman" w:eastAsia="宋体" w:cs="Times New Roman"/>
          <w:color w:val="000000" w:themeColor="text1"/>
          <w14:textFill>
            <w14:solidFill>
              <w14:schemeClr w14:val="tx1"/>
            </w14:solidFill>
          </w14:textFill>
        </w:rPr>
      </w:pPr>
    </w:p>
    <w:p w14:paraId="489DEACF">
      <w:pPr>
        <w:rPr>
          <w:rFonts w:hint="eastAsia" w:ascii="Times New Roman" w:hAnsi="Times New Roman" w:eastAsia="宋体" w:cs="Times New Roman"/>
          <w:color w:val="000000" w:themeColor="text1"/>
          <w:lang w:eastAsia="zh-CN"/>
          <w14:textFill>
            <w14:solidFill>
              <w14:schemeClr w14:val="tx1"/>
            </w14:solidFill>
          </w14:textFill>
        </w:rPr>
      </w:pPr>
    </w:p>
    <w:bookmarkEnd w:id="0"/>
    <w:bookmarkEnd w:id="1"/>
    <w:p w14:paraId="0288BA8D">
      <w:pPr>
        <w:pStyle w:val="33"/>
        <w:jc w:val="center"/>
        <w:outlineLvl w:val="0"/>
        <w:rPr>
          <w:rFonts w:hint="default" w:ascii="Times New Roman" w:hAnsi="Times New Roman" w:eastAsia="宋体" w:cs="Times New Roman"/>
          <w:snapToGrid w:val="0"/>
          <w:color w:val="000000" w:themeColor="text1"/>
          <w:sz w:val="30"/>
          <w:szCs w:val="30"/>
          <w14:textFill>
            <w14:solidFill>
              <w14:schemeClr w14:val="tx1"/>
            </w14:solidFill>
          </w14:textFill>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36079583">
      <w:pPr>
        <w:pStyle w:val="33"/>
        <w:jc w:val="center"/>
        <w:outlineLvl w:val="0"/>
      </w:pPr>
      <w:r>
        <w:drawing>
          <wp:inline distT="0" distB="0" distL="114300" distR="114300">
            <wp:extent cx="5614035" cy="7591425"/>
            <wp:effectExtent l="0" t="0" r="5715" b="952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2"/>
                    <a:stretch>
                      <a:fillRect/>
                    </a:stretch>
                  </pic:blipFill>
                  <pic:spPr>
                    <a:xfrm>
                      <a:off x="0" y="0"/>
                      <a:ext cx="5614035" cy="7591425"/>
                    </a:xfrm>
                    <a:prstGeom prst="rect">
                      <a:avLst/>
                    </a:prstGeom>
                    <a:noFill/>
                    <a:ln>
                      <a:noFill/>
                    </a:ln>
                  </pic:spPr>
                </pic:pic>
              </a:graphicData>
            </a:graphic>
          </wp:inline>
        </w:drawing>
      </w:r>
      <w:r>
        <w:drawing>
          <wp:inline distT="0" distB="0" distL="114300" distR="114300">
            <wp:extent cx="5611495" cy="7729855"/>
            <wp:effectExtent l="0" t="0" r="8255" b="4445"/>
            <wp:docPr id="1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
                    <pic:cNvPicPr>
                      <a:picLocks noChangeAspect="1"/>
                    </pic:cNvPicPr>
                  </pic:nvPicPr>
                  <pic:blipFill>
                    <a:blip r:embed="rId13"/>
                    <a:stretch>
                      <a:fillRect/>
                    </a:stretch>
                  </pic:blipFill>
                  <pic:spPr>
                    <a:xfrm>
                      <a:off x="0" y="0"/>
                      <a:ext cx="5611495" cy="7729855"/>
                    </a:xfrm>
                    <a:prstGeom prst="rect">
                      <a:avLst/>
                    </a:prstGeom>
                    <a:noFill/>
                    <a:ln>
                      <a:noFill/>
                    </a:ln>
                  </pic:spPr>
                </pic:pic>
              </a:graphicData>
            </a:graphic>
          </wp:inline>
        </w:drawing>
      </w:r>
      <w:r>
        <w:drawing>
          <wp:inline distT="0" distB="0" distL="114300" distR="114300">
            <wp:extent cx="5614035" cy="7808595"/>
            <wp:effectExtent l="0" t="0" r="5715" b="1905"/>
            <wp:docPr id="1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pic:cNvPicPr>
                      <a:picLocks noChangeAspect="1"/>
                    </pic:cNvPicPr>
                  </pic:nvPicPr>
                  <pic:blipFill>
                    <a:blip r:embed="rId14"/>
                    <a:stretch>
                      <a:fillRect/>
                    </a:stretch>
                  </pic:blipFill>
                  <pic:spPr>
                    <a:xfrm>
                      <a:off x="0" y="0"/>
                      <a:ext cx="5614035" cy="7808595"/>
                    </a:xfrm>
                    <a:prstGeom prst="rect">
                      <a:avLst/>
                    </a:prstGeom>
                    <a:noFill/>
                    <a:ln>
                      <a:noFill/>
                    </a:ln>
                  </pic:spPr>
                </pic:pic>
              </a:graphicData>
            </a:graphic>
          </wp:inline>
        </w:drawing>
      </w:r>
      <w:r>
        <w:drawing>
          <wp:inline distT="0" distB="0" distL="114300" distR="114300">
            <wp:extent cx="5615940" cy="7187565"/>
            <wp:effectExtent l="0" t="0" r="3810" b="13335"/>
            <wp:docPr id="1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
                    <pic:cNvPicPr>
                      <a:picLocks noChangeAspect="1"/>
                    </pic:cNvPicPr>
                  </pic:nvPicPr>
                  <pic:blipFill>
                    <a:blip r:embed="rId15"/>
                    <a:stretch>
                      <a:fillRect/>
                    </a:stretch>
                  </pic:blipFill>
                  <pic:spPr>
                    <a:xfrm>
                      <a:off x="0" y="0"/>
                      <a:ext cx="5615940" cy="7187565"/>
                    </a:xfrm>
                    <a:prstGeom prst="rect">
                      <a:avLst/>
                    </a:prstGeom>
                    <a:noFill/>
                    <a:ln>
                      <a:noFill/>
                    </a:ln>
                  </pic:spPr>
                </pic:pic>
              </a:graphicData>
            </a:graphic>
          </wp:inline>
        </w:drawing>
      </w:r>
    </w:p>
    <w:p w14:paraId="597604A6">
      <w:pPr>
        <w:pStyle w:val="33"/>
        <w:jc w:val="center"/>
        <w:outlineLvl w:val="0"/>
      </w:pPr>
    </w:p>
    <w:p w14:paraId="7B3A6E4F">
      <w:pPr>
        <w:pStyle w:val="33"/>
        <w:jc w:val="center"/>
        <w:outlineLvl w:val="0"/>
      </w:pPr>
    </w:p>
    <w:p w14:paraId="77DDF019">
      <w:pPr>
        <w:pStyle w:val="33"/>
        <w:jc w:val="both"/>
        <w:outlineLvl w:val="0"/>
      </w:pPr>
      <w:r>
        <w:drawing>
          <wp:inline distT="0" distB="0" distL="114300" distR="114300">
            <wp:extent cx="6957695" cy="2879725"/>
            <wp:effectExtent l="0" t="0" r="15875" b="14605"/>
            <wp:docPr id="1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
                    <pic:cNvPicPr>
                      <a:picLocks noChangeAspect="1"/>
                    </pic:cNvPicPr>
                  </pic:nvPicPr>
                  <pic:blipFill>
                    <a:blip r:embed="rId16"/>
                    <a:stretch>
                      <a:fillRect/>
                    </a:stretch>
                  </pic:blipFill>
                  <pic:spPr>
                    <a:xfrm rot="16200000">
                      <a:off x="0" y="0"/>
                      <a:ext cx="6957695" cy="2879725"/>
                    </a:xfrm>
                    <a:prstGeom prst="rect">
                      <a:avLst/>
                    </a:prstGeom>
                    <a:noFill/>
                    <a:ln>
                      <a:noFill/>
                    </a:ln>
                  </pic:spPr>
                </pic:pic>
              </a:graphicData>
            </a:graphic>
          </wp:inline>
        </w:drawing>
      </w:r>
      <w:r>
        <w:drawing>
          <wp:inline distT="0" distB="0" distL="114300" distR="114300">
            <wp:extent cx="6641465" cy="5400040"/>
            <wp:effectExtent l="0" t="0" r="10160" b="6985"/>
            <wp:docPr id="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
                    <pic:cNvPicPr>
                      <a:picLocks noChangeAspect="1"/>
                    </pic:cNvPicPr>
                  </pic:nvPicPr>
                  <pic:blipFill>
                    <a:blip r:embed="rId17"/>
                    <a:stretch>
                      <a:fillRect/>
                    </a:stretch>
                  </pic:blipFill>
                  <pic:spPr>
                    <a:xfrm rot="16200000">
                      <a:off x="0" y="0"/>
                      <a:ext cx="6641465" cy="5400040"/>
                    </a:xfrm>
                    <a:prstGeom prst="rect">
                      <a:avLst/>
                    </a:prstGeom>
                    <a:noFill/>
                    <a:ln>
                      <a:noFill/>
                    </a:ln>
                  </pic:spPr>
                </pic:pic>
              </a:graphicData>
            </a:graphic>
          </wp:inline>
        </w:drawing>
      </w:r>
    </w:p>
    <w:p w14:paraId="52696CEB">
      <w:pPr>
        <w:pStyle w:val="33"/>
        <w:jc w:val="center"/>
        <w:outlineLvl w:val="0"/>
        <w:rPr>
          <w:rFonts w:hint="default" w:ascii="Times New Roman" w:hAnsi="Times New Roman" w:eastAsia="宋体" w:cs="Times New Roman"/>
          <w:snapToGrid w:val="0"/>
          <w:color w:val="000000" w:themeColor="text1"/>
          <w:sz w:val="30"/>
          <w:szCs w:val="30"/>
          <w14:textFill>
            <w14:solidFill>
              <w14:schemeClr w14:val="tx1"/>
            </w14:solidFill>
          </w14:textFill>
        </w:rPr>
      </w:pPr>
      <w:r>
        <w:rPr>
          <w:rFonts w:hint="default" w:ascii="Times New Roman" w:hAnsi="Times New Roman" w:eastAsia="宋体" w:cs="Times New Roman"/>
          <w:snapToGrid w:val="0"/>
          <w:color w:val="000000" w:themeColor="text1"/>
          <w:sz w:val="30"/>
          <w:szCs w:val="30"/>
          <w14:textFill>
            <w14:solidFill>
              <w14:schemeClr w14:val="tx1"/>
            </w14:solidFill>
          </w14:textFill>
        </w:rPr>
        <w:t>一、建设项目基本情况</w:t>
      </w:r>
    </w:p>
    <w:tbl>
      <w:tblPr>
        <w:tblStyle w:val="38"/>
        <w:tblW w:w="553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712"/>
        <w:gridCol w:w="2482"/>
        <w:gridCol w:w="1667"/>
        <w:gridCol w:w="4969"/>
      </w:tblGrid>
      <w:tr w14:paraId="69318E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318447F8">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建设项目名称</w:t>
            </w:r>
          </w:p>
        </w:tc>
        <w:tc>
          <w:tcPr>
            <w:tcW w:w="4637" w:type="pct"/>
            <w:gridSpan w:val="3"/>
            <w:vAlign w:val="center"/>
          </w:tcPr>
          <w:p w14:paraId="3AC9C258">
            <w:pPr>
              <w:adjustRightInd w:val="0"/>
              <w:snapToGrid w:val="0"/>
              <w:jc w:val="center"/>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cs="Times New Roman"/>
                <w:color w:val="000000" w:themeColor="text1"/>
                <w:sz w:val="24"/>
                <w:lang w:eastAsia="zh-CN"/>
                <w14:textFill>
                  <w14:solidFill>
                    <w14:schemeClr w14:val="tx1"/>
                  </w14:solidFill>
                </w14:textFill>
              </w:rPr>
              <w:t>淄博东润一枝新材料有限公司年产2000吨聚乙烯蜡项目</w:t>
            </w:r>
          </w:p>
        </w:tc>
      </w:tr>
      <w:tr w14:paraId="352B12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2D29FBE5">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项目代码</w:t>
            </w:r>
          </w:p>
        </w:tc>
        <w:tc>
          <w:tcPr>
            <w:tcW w:w="4637" w:type="pct"/>
            <w:gridSpan w:val="3"/>
            <w:vAlign w:val="center"/>
          </w:tcPr>
          <w:p w14:paraId="3EB15C34">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2508-370303-89-01-341201</w:t>
            </w:r>
          </w:p>
        </w:tc>
      </w:tr>
      <w:tr w14:paraId="7BCD17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507E23FC">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建设单位联系人</w:t>
            </w:r>
          </w:p>
        </w:tc>
        <w:tc>
          <w:tcPr>
            <w:tcW w:w="1262" w:type="pct"/>
            <w:vAlign w:val="center"/>
          </w:tcPr>
          <w:p w14:paraId="123753A4">
            <w:pPr>
              <w:adjustRightInd w:val="0"/>
              <w:snapToGrid w:val="0"/>
              <w:jc w:val="center"/>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董旭业</w:t>
            </w:r>
          </w:p>
        </w:tc>
        <w:tc>
          <w:tcPr>
            <w:tcW w:w="848" w:type="pct"/>
            <w:vAlign w:val="center"/>
          </w:tcPr>
          <w:p w14:paraId="6F906CED">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联系方式</w:t>
            </w:r>
          </w:p>
        </w:tc>
        <w:tc>
          <w:tcPr>
            <w:tcW w:w="2526" w:type="pct"/>
            <w:vAlign w:val="center"/>
          </w:tcPr>
          <w:p w14:paraId="12AFC2B3">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13953379113</w:t>
            </w:r>
          </w:p>
        </w:tc>
      </w:tr>
      <w:tr w14:paraId="57BC44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060E7EB5">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建设地点</w:t>
            </w:r>
          </w:p>
        </w:tc>
        <w:tc>
          <w:tcPr>
            <w:tcW w:w="4637" w:type="pct"/>
            <w:gridSpan w:val="3"/>
            <w:vAlign w:val="center"/>
          </w:tcPr>
          <w:p w14:paraId="751F95A1">
            <w:pPr>
              <w:adjustRightInd w:val="0"/>
              <w:snapToGrid w:val="0"/>
              <w:jc w:val="center"/>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cs="Times New Roman"/>
                <w:color w:val="000000" w:themeColor="text1"/>
                <w:kern w:val="0"/>
                <w:sz w:val="24"/>
                <w:lang w:eastAsia="zh-CN"/>
                <w14:textFill>
                  <w14:solidFill>
                    <w14:schemeClr w14:val="tx1"/>
                  </w14:solidFill>
                </w14:textFill>
              </w:rPr>
              <w:t>山东省淄博市张店区湖田街道办事处南焦宋村南首</w:t>
            </w:r>
          </w:p>
        </w:tc>
      </w:tr>
      <w:tr w14:paraId="610B97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6C959098">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地理坐标</w:t>
            </w:r>
          </w:p>
        </w:tc>
        <w:tc>
          <w:tcPr>
            <w:tcW w:w="4637" w:type="pct"/>
            <w:gridSpan w:val="3"/>
            <w:vAlign w:val="center"/>
          </w:tcPr>
          <w:p w14:paraId="40D907C3">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（E：118度</w:t>
            </w:r>
            <w:r>
              <w:rPr>
                <w:rFonts w:hint="eastAsia" w:cs="Times New Roman"/>
                <w:color w:val="000000" w:themeColor="text1"/>
                <w:kern w:val="0"/>
                <w:sz w:val="24"/>
                <w:lang w:val="en-US" w:eastAsia="zh-CN"/>
                <w14:textFill>
                  <w14:solidFill>
                    <w14:schemeClr w14:val="tx1"/>
                  </w14:solidFill>
                </w14:textFill>
              </w:rPr>
              <w:t>8</w:t>
            </w:r>
            <w:r>
              <w:rPr>
                <w:rFonts w:hint="default" w:ascii="Times New Roman" w:hAnsi="Times New Roman" w:eastAsia="宋体" w:cs="Times New Roman"/>
                <w:color w:val="000000" w:themeColor="text1"/>
                <w:kern w:val="0"/>
                <w:sz w:val="24"/>
                <w14:textFill>
                  <w14:solidFill>
                    <w14:schemeClr w14:val="tx1"/>
                  </w14:solidFill>
                </w14:textFill>
              </w:rPr>
              <w:t>分</w:t>
            </w:r>
            <w:r>
              <w:rPr>
                <w:rFonts w:hint="eastAsia" w:cs="Times New Roman"/>
                <w:color w:val="000000" w:themeColor="text1"/>
                <w:kern w:val="0"/>
                <w:sz w:val="24"/>
                <w:lang w:val="en-US" w:eastAsia="zh-CN"/>
                <w14:textFill>
                  <w14:solidFill>
                    <w14:schemeClr w14:val="tx1"/>
                  </w14:solidFill>
                </w14:textFill>
              </w:rPr>
              <w:t>49.739</w:t>
            </w:r>
            <w:r>
              <w:rPr>
                <w:rFonts w:hint="default" w:ascii="Times New Roman" w:hAnsi="Times New Roman" w:eastAsia="宋体" w:cs="Times New Roman"/>
                <w:color w:val="000000" w:themeColor="text1"/>
                <w:kern w:val="0"/>
                <w:sz w:val="24"/>
                <w14:textFill>
                  <w14:solidFill>
                    <w14:schemeClr w14:val="tx1"/>
                  </w14:solidFill>
                </w14:textFill>
              </w:rPr>
              <w:t>秒，N：36度4</w:t>
            </w:r>
            <w:r>
              <w:rPr>
                <w:rFonts w:hint="eastAsia" w:ascii="Times New Roman" w:hAnsi="Times New Roman" w:eastAsia="宋体" w:cs="Times New Roman"/>
                <w:color w:val="000000" w:themeColor="text1"/>
                <w:kern w:val="0"/>
                <w:sz w:val="24"/>
                <w:lang w:val="en-US" w:eastAsia="zh-CN"/>
                <w14:textFill>
                  <w14:solidFill>
                    <w14:schemeClr w14:val="tx1"/>
                  </w14:solidFill>
                </w14:textFill>
              </w:rPr>
              <w:t>7</w:t>
            </w:r>
            <w:r>
              <w:rPr>
                <w:rFonts w:hint="default" w:ascii="Times New Roman" w:hAnsi="Times New Roman" w:eastAsia="宋体" w:cs="Times New Roman"/>
                <w:color w:val="000000" w:themeColor="text1"/>
                <w:kern w:val="0"/>
                <w:sz w:val="24"/>
                <w14:textFill>
                  <w14:solidFill>
                    <w14:schemeClr w14:val="tx1"/>
                  </w14:solidFill>
                </w14:textFill>
              </w:rPr>
              <w:t>分2</w:t>
            </w:r>
            <w:r>
              <w:rPr>
                <w:rFonts w:hint="eastAsia" w:cs="Times New Roman"/>
                <w:color w:val="000000" w:themeColor="text1"/>
                <w:kern w:val="0"/>
                <w:sz w:val="24"/>
                <w:lang w:val="en-US" w:eastAsia="zh-CN"/>
                <w14:textFill>
                  <w14:solidFill>
                    <w14:schemeClr w14:val="tx1"/>
                  </w14:solidFill>
                </w14:textFill>
              </w:rPr>
              <w:t>4</w:t>
            </w:r>
            <w:r>
              <w:rPr>
                <w:rFonts w:hint="default" w:ascii="Times New Roman" w:hAnsi="Times New Roman" w:eastAsia="宋体" w:cs="Times New Roman"/>
                <w:color w:val="000000" w:themeColor="text1"/>
                <w:kern w:val="0"/>
                <w:sz w:val="24"/>
                <w14:textFill>
                  <w14:solidFill>
                    <w14:schemeClr w14:val="tx1"/>
                  </w14:solidFill>
                </w14:textFill>
              </w:rPr>
              <w:t>.</w:t>
            </w:r>
            <w:r>
              <w:rPr>
                <w:rFonts w:hint="eastAsia" w:cs="Times New Roman"/>
                <w:color w:val="000000" w:themeColor="text1"/>
                <w:kern w:val="0"/>
                <w:sz w:val="24"/>
                <w:lang w:val="en-US" w:eastAsia="zh-CN"/>
                <w14:textFill>
                  <w14:solidFill>
                    <w14:schemeClr w14:val="tx1"/>
                  </w14:solidFill>
                </w14:textFill>
              </w:rPr>
              <w:t>910</w:t>
            </w:r>
            <w:r>
              <w:rPr>
                <w:rFonts w:hint="default" w:ascii="Times New Roman" w:hAnsi="Times New Roman" w:eastAsia="宋体" w:cs="Times New Roman"/>
                <w:color w:val="000000" w:themeColor="text1"/>
                <w:kern w:val="0"/>
                <w:sz w:val="24"/>
                <w14:textFill>
                  <w14:solidFill>
                    <w14:schemeClr w14:val="tx1"/>
                  </w14:solidFill>
                </w14:textFill>
              </w:rPr>
              <w:t>秒）</w:t>
            </w:r>
          </w:p>
        </w:tc>
      </w:tr>
      <w:tr w14:paraId="38BC88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3DFA6A1D">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国民经济行业类别</w:t>
            </w:r>
          </w:p>
        </w:tc>
        <w:tc>
          <w:tcPr>
            <w:tcW w:w="1262" w:type="pct"/>
            <w:shd w:val="clear" w:color="auto" w:fill="auto"/>
            <w:vAlign w:val="center"/>
          </w:tcPr>
          <w:p w14:paraId="4AC5AE28">
            <w:pPr>
              <w:jc w:val="left"/>
              <w:rPr>
                <w:rFonts w:hint="default" w:ascii="宋体" w:hAnsi="宋体" w:eastAsia="宋体" w:cs="宋体"/>
                <w:kern w:val="2"/>
                <w:sz w:val="24"/>
                <w:szCs w:val="24"/>
                <w:highlight w:val="yellow"/>
                <w:lang w:val="en-US" w:eastAsia="zh-CN" w:bidi="ar-SA"/>
              </w:rPr>
            </w:pPr>
            <w:r>
              <w:rPr>
                <w:rFonts w:hint="eastAsia" w:ascii="宋体" w:hAnsi="宋体" w:cs="宋体"/>
                <w:sz w:val="24"/>
                <w:lang w:val="en-US" w:eastAsia="zh-CN"/>
              </w:rPr>
              <w:t>C2661 化学试剂和助剂制造</w:t>
            </w:r>
          </w:p>
        </w:tc>
        <w:tc>
          <w:tcPr>
            <w:tcW w:w="848" w:type="pct"/>
            <w:vAlign w:val="center"/>
          </w:tcPr>
          <w:p w14:paraId="1CB70349">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建设项目</w:t>
            </w:r>
          </w:p>
          <w:p w14:paraId="3405B753">
            <w:pPr>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行业类别</w:t>
            </w:r>
          </w:p>
        </w:tc>
        <w:tc>
          <w:tcPr>
            <w:tcW w:w="2526" w:type="pct"/>
            <w:shd w:val="clear" w:color="auto" w:fill="auto"/>
            <w:vAlign w:val="center"/>
          </w:tcPr>
          <w:p w14:paraId="69D558CC">
            <w:pPr>
              <w:jc w:val="left"/>
              <w:rPr>
                <w:rFonts w:hint="default" w:ascii="宋体" w:hAnsi="宋体" w:eastAsia="宋体" w:cs="宋体"/>
                <w:kern w:val="2"/>
                <w:sz w:val="24"/>
                <w:szCs w:val="24"/>
                <w:highlight w:val="none"/>
                <w:lang w:val="en-US" w:eastAsia="zh-CN" w:bidi="ar-SA"/>
              </w:rPr>
            </w:pPr>
            <w:r>
              <w:rPr>
                <w:rFonts w:hint="eastAsia" w:ascii="宋体" w:hAnsi="宋体" w:eastAsia="宋体" w:cs="宋体"/>
                <w:sz w:val="24"/>
                <w:lang w:val="en-US" w:eastAsia="zh-CN"/>
              </w:rPr>
              <w:t>“</w:t>
            </w:r>
            <w:r>
              <w:rPr>
                <w:rFonts w:hint="eastAsia" w:ascii="宋体" w:hAnsi="宋体" w:cs="宋体"/>
                <w:sz w:val="24"/>
                <w:lang w:val="en-US" w:eastAsia="zh-CN"/>
              </w:rPr>
              <w:t>二十三、化学原料和化学制品制造业 26之44-单纯物理分离、物理提纯、混合、分装的（不产生废水或挥发性有机物的除外）</w:t>
            </w:r>
            <w:r>
              <w:rPr>
                <w:rFonts w:hint="eastAsia" w:ascii="宋体" w:hAnsi="宋体" w:eastAsia="宋体" w:cs="宋体"/>
                <w:sz w:val="24"/>
                <w:lang w:val="en-US" w:eastAsia="zh-CN"/>
              </w:rPr>
              <w:t>”</w:t>
            </w:r>
          </w:p>
        </w:tc>
      </w:tr>
      <w:tr w14:paraId="5D1518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33D3B395">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建设性质</w:t>
            </w:r>
          </w:p>
        </w:tc>
        <w:tc>
          <w:tcPr>
            <w:tcW w:w="1262" w:type="pct"/>
            <w:vAlign w:val="center"/>
          </w:tcPr>
          <w:p w14:paraId="5B9D1C17">
            <w:pPr>
              <w:adjustRightInd w:val="0"/>
              <w:snapToGrid w:val="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sym w:font="Wingdings 2" w:char="0052"/>
            </w:r>
            <w:r>
              <w:rPr>
                <w:rFonts w:hint="default" w:ascii="Times New Roman" w:hAnsi="Times New Roman" w:eastAsia="宋体" w:cs="Times New Roman"/>
                <w:color w:val="000000" w:themeColor="text1"/>
                <w:sz w:val="24"/>
                <w14:textFill>
                  <w14:solidFill>
                    <w14:schemeClr w14:val="tx1"/>
                  </w14:solidFill>
                </w14:textFill>
              </w:rPr>
              <w:t>新建（迁建）</w:t>
            </w:r>
          </w:p>
          <w:p w14:paraId="354B8AB4">
            <w:pPr>
              <w:adjustRightInd w:val="0"/>
              <w:snapToGrid w:val="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sym w:font="Wingdings 2" w:char="00A3"/>
            </w:r>
            <w:r>
              <w:rPr>
                <w:rFonts w:hint="default" w:ascii="Times New Roman" w:hAnsi="Times New Roman" w:eastAsia="宋体" w:cs="Times New Roman"/>
                <w:color w:val="000000" w:themeColor="text1"/>
                <w:sz w:val="24"/>
                <w14:textFill>
                  <w14:solidFill>
                    <w14:schemeClr w14:val="tx1"/>
                  </w14:solidFill>
                </w14:textFill>
              </w:rPr>
              <w:t>改建</w:t>
            </w:r>
          </w:p>
          <w:p w14:paraId="2E14E7E5">
            <w:pPr>
              <w:adjustRightInd w:val="0"/>
              <w:snapToGrid w:val="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sym w:font="Wingdings 2" w:char="00A3"/>
            </w:r>
            <w:r>
              <w:rPr>
                <w:rFonts w:hint="default" w:ascii="Times New Roman" w:hAnsi="Times New Roman" w:eastAsia="宋体" w:cs="Times New Roman"/>
                <w:color w:val="000000" w:themeColor="text1"/>
                <w:sz w:val="24"/>
                <w14:textFill>
                  <w14:solidFill>
                    <w14:schemeClr w14:val="tx1"/>
                  </w14:solidFill>
                </w14:textFill>
              </w:rPr>
              <w:t>扩建</w:t>
            </w:r>
          </w:p>
          <w:p w14:paraId="7311011F">
            <w:pPr>
              <w:adjustRightInd w:val="0"/>
              <w:snapToGrid w:val="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sym w:font="Wingdings 2" w:char="00A3"/>
            </w:r>
            <w:r>
              <w:rPr>
                <w:rFonts w:hint="default" w:ascii="Times New Roman" w:hAnsi="Times New Roman" w:eastAsia="宋体" w:cs="Times New Roman"/>
                <w:color w:val="000000" w:themeColor="text1"/>
                <w:sz w:val="24"/>
                <w14:textFill>
                  <w14:solidFill>
                    <w14:schemeClr w14:val="tx1"/>
                  </w14:solidFill>
                </w14:textFill>
              </w:rPr>
              <w:t>技术改造</w:t>
            </w:r>
          </w:p>
        </w:tc>
        <w:tc>
          <w:tcPr>
            <w:tcW w:w="848" w:type="pct"/>
            <w:vAlign w:val="center"/>
          </w:tcPr>
          <w:p w14:paraId="6E6506A8">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建设项目</w:t>
            </w:r>
          </w:p>
          <w:p w14:paraId="34BD59BC">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申报情形</w:t>
            </w:r>
          </w:p>
        </w:tc>
        <w:tc>
          <w:tcPr>
            <w:tcW w:w="2526" w:type="pct"/>
            <w:vAlign w:val="center"/>
          </w:tcPr>
          <w:p w14:paraId="5F286121">
            <w:pPr>
              <w:adjustRightInd w:val="0"/>
              <w:snapToGrid w:val="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sym w:font="Wingdings 2" w:char="0052"/>
            </w:r>
            <w:r>
              <w:rPr>
                <w:rFonts w:hint="default" w:ascii="Times New Roman" w:hAnsi="Times New Roman" w:eastAsia="宋体" w:cs="Times New Roman"/>
                <w:color w:val="000000" w:themeColor="text1"/>
                <w:sz w:val="24"/>
                <w14:textFill>
                  <w14:solidFill>
                    <w14:schemeClr w14:val="tx1"/>
                  </w14:solidFill>
                </w14:textFill>
              </w:rPr>
              <w:t>首次申报项目</w:t>
            </w:r>
          </w:p>
          <w:p w14:paraId="2B23150B">
            <w:pPr>
              <w:adjustRightInd w:val="0"/>
              <w:snapToGrid w:val="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sym w:font="Wingdings 2" w:char="00A3"/>
            </w:r>
            <w:r>
              <w:rPr>
                <w:rFonts w:hint="default" w:ascii="Times New Roman" w:hAnsi="Times New Roman" w:eastAsia="宋体" w:cs="Times New Roman"/>
                <w:color w:val="000000" w:themeColor="text1"/>
                <w:sz w:val="24"/>
                <w14:textFill>
                  <w14:solidFill>
                    <w14:schemeClr w14:val="tx1"/>
                  </w14:solidFill>
                </w14:textFill>
              </w:rPr>
              <w:t>不予批准后再次申报项目</w:t>
            </w:r>
          </w:p>
          <w:p w14:paraId="7BEB099B">
            <w:pPr>
              <w:adjustRightInd w:val="0"/>
              <w:snapToGrid w:val="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sym w:font="Wingdings 2" w:char="00A3"/>
            </w:r>
            <w:r>
              <w:rPr>
                <w:rFonts w:hint="default" w:ascii="Times New Roman" w:hAnsi="Times New Roman" w:eastAsia="宋体" w:cs="Times New Roman"/>
                <w:color w:val="000000" w:themeColor="text1"/>
                <w:sz w:val="24"/>
                <w14:textFill>
                  <w14:solidFill>
                    <w14:schemeClr w14:val="tx1"/>
                  </w14:solidFill>
                </w14:textFill>
              </w:rPr>
              <w:t>超五年重新审核项目</w:t>
            </w:r>
          </w:p>
          <w:p w14:paraId="02DC6B82">
            <w:pPr>
              <w:adjustRightInd w:val="0"/>
              <w:snapToGrid w:val="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sym w:font="Wingdings 2" w:char="00A3"/>
            </w:r>
            <w:r>
              <w:rPr>
                <w:rFonts w:hint="default" w:ascii="Times New Roman" w:hAnsi="Times New Roman" w:eastAsia="宋体" w:cs="Times New Roman"/>
                <w:color w:val="000000" w:themeColor="text1"/>
                <w:sz w:val="24"/>
                <w14:textFill>
                  <w14:solidFill>
                    <w14:schemeClr w14:val="tx1"/>
                  </w14:solidFill>
                </w14:textFill>
              </w:rPr>
              <w:t>重大变动重新报批项目</w:t>
            </w:r>
          </w:p>
        </w:tc>
      </w:tr>
      <w:tr w14:paraId="53E790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0D64F0EE">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项目备案部门</w:t>
            </w:r>
          </w:p>
        </w:tc>
        <w:tc>
          <w:tcPr>
            <w:tcW w:w="1262" w:type="pct"/>
            <w:vAlign w:val="center"/>
          </w:tcPr>
          <w:p w14:paraId="747B8205">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张店区行政审批服务局</w:t>
            </w:r>
          </w:p>
        </w:tc>
        <w:tc>
          <w:tcPr>
            <w:tcW w:w="848" w:type="pct"/>
            <w:vAlign w:val="center"/>
          </w:tcPr>
          <w:p w14:paraId="4137F66C">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项目备案文号</w:t>
            </w:r>
          </w:p>
        </w:tc>
        <w:tc>
          <w:tcPr>
            <w:tcW w:w="2526" w:type="pct"/>
            <w:vAlign w:val="center"/>
          </w:tcPr>
          <w:p w14:paraId="1AF569C6">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2508-370303-89-01-341201</w:t>
            </w:r>
          </w:p>
        </w:tc>
      </w:tr>
      <w:tr w14:paraId="6D94DB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75AF65DA">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总投资（万元）</w:t>
            </w:r>
          </w:p>
        </w:tc>
        <w:tc>
          <w:tcPr>
            <w:tcW w:w="1262" w:type="pct"/>
            <w:vAlign w:val="center"/>
          </w:tcPr>
          <w:p w14:paraId="64E35E45">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宋体" w:hAnsi="宋体" w:cs="宋体"/>
                <w:sz w:val="24"/>
                <w:highlight w:val="none"/>
                <w:lang w:val="en-US" w:eastAsia="zh-CN"/>
              </w:rPr>
              <w:t>200</w:t>
            </w:r>
          </w:p>
        </w:tc>
        <w:tc>
          <w:tcPr>
            <w:tcW w:w="848" w:type="pct"/>
            <w:tcMar>
              <w:top w:w="16" w:type="dxa"/>
              <w:left w:w="16" w:type="dxa"/>
              <w:right w:w="16" w:type="dxa"/>
            </w:tcMar>
            <w:vAlign w:val="center"/>
          </w:tcPr>
          <w:p w14:paraId="01A4637F">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环保投资</w:t>
            </w:r>
          </w:p>
          <w:p w14:paraId="1A89BE3B">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（万元）</w:t>
            </w:r>
          </w:p>
        </w:tc>
        <w:tc>
          <w:tcPr>
            <w:tcW w:w="2526" w:type="pct"/>
            <w:vAlign w:val="center"/>
          </w:tcPr>
          <w:p w14:paraId="31538EAA">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10</w:t>
            </w:r>
          </w:p>
        </w:tc>
      </w:tr>
      <w:tr w14:paraId="1D0E09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02BD2C3F">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环保投资占比（%）</w:t>
            </w:r>
          </w:p>
        </w:tc>
        <w:tc>
          <w:tcPr>
            <w:tcW w:w="1262" w:type="pct"/>
            <w:vAlign w:val="center"/>
          </w:tcPr>
          <w:p w14:paraId="2E573066">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5</w:t>
            </w:r>
          </w:p>
        </w:tc>
        <w:tc>
          <w:tcPr>
            <w:tcW w:w="848" w:type="pct"/>
            <w:tcMar>
              <w:top w:w="16" w:type="dxa"/>
              <w:left w:w="16" w:type="dxa"/>
              <w:right w:w="16" w:type="dxa"/>
            </w:tcMar>
            <w:vAlign w:val="center"/>
          </w:tcPr>
          <w:p w14:paraId="61E885C8">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施工工期</w:t>
            </w:r>
          </w:p>
        </w:tc>
        <w:tc>
          <w:tcPr>
            <w:tcW w:w="2526" w:type="pct"/>
            <w:vAlign w:val="center"/>
          </w:tcPr>
          <w:p w14:paraId="30613A80">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4</w:t>
            </w:r>
            <w:r>
              <w:rPr>
                <w:rFonts w:hint="default" w:ascii="Times New Roman" w:hAnsi="Times New Roman" w:eastAsia="宋体" w:cs="Times New Roman"/>
                <w:color w:val="000000" w:themeColor="text1"/>
                <w:sz w:val="24"/>
                <w14:textFill>
                  <w14:solidFill>
                    <w14:schemeClr w14:val="tx1"/>
                  </w14:solidFill>
                </w14:textFill>
              </w:rPr>
              <w:t>个月</w:t>
            </w:r>
          </w:p>
        </w:tc>
      </w:tr>
      <w:tr w14:paraId="6628A7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3E802B06">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是否开工建设</w:t>
            </w:r>
          </w:p>
        </w:tc>
        <w:tc>
          <w:tcPr>
            <w:tcW w:w="1262" w:type="pct"/>
            <w:vAlign w:val="center"/>
          </w:tcPr>
          <w:p w14:paraId="55FF5354">
            <w:pPr>
              <w:adjustRightInd w:val="0"/>
              <w:snapToGrid w:val="0"/>
              <w:ind w:firstLine="105"/>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sym w:font="Wingdings 2" w:char="0052"/>
            </w:r>
            <w:r>
              <w:rPr>
                <w:rFonts w:hint="default" w:ascii="Times New Roman" w:hAnsi="Times New Roman" w:eastAsia="宋体" w:cs="Times New Roman"/>
                <w:color w:val="000000" w:themeColor="text1"/>
                <w:sz w:val="24"/>
                <w14:textFill>
                  <w14:solidFill>
                    <w14:schemeClr w14:val="tx1"/>
                  </w14:solidFill>
                </w14:textFill>
              </w:rPr>
              <w:t>否</w:t>
            </w:r>
          </w:p>
          <w:p w14:paraId="3F2CA8AA">
            <w:pPr>
              <w:adjustRightInd w:val="0"/>
              <w:snapToGrid w:val="0"/>
              <w:ind w:firstLine="92"/>
              <w:jc w:val="left"/>
              <w:rPr>
                <w:rFonts w:hint="eastAsia"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sym w:font="Wingdings 2" w:char="00A3"/>
            </w:r>
            <w:r>
              <w:rPr>
                <w:rFonts w:hint="default" w:ascii="Times New Roman" w:hAnsi="Times New Roman" w:eastAsia="宋体" w:cs="Times New Roman"/>
                <w:color w:val="000000" w:themeColor="text1"/>
                <w:sz w:val="24"/>
                <w14:textFill>
                  <w14:solidFill>
                    <w14:schemeClr w14:val="tx1"/>
                  </w14:solidFill>
                </w14:textFill>
              </w:rPr>
              <w:t>是：</w:t>
            </w:r>
          </w:p>
        </w:tc>
        <w:tc>
          <w:tcPr>
            <w:tcW w:w="848" w:type="pct"/>
            <w:vAlign w:val="center"/>
          </w:tcPr>
          <w:p w14:paraId="2F4F51DC">
            <w:pPr>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用地面积（m</w:t>
            </w:r>
            <w:r>
              <w:rPr>
                <w:rFonts w:hint="default" w:ascii="Times New Roman" w:hAnsi="Times New Roman" w:eastAsia="宋体" w:cs="Times New Roman"/>
                <w:color w:val="000000" w:themeColor="text1"/>
                <w:sz w:val="24"/>
                <w:vertAlign w:val="superscript"/>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w:t>
            </w:r>
          </w:p>
        </w:tc>
        <w:tc>
          <w:tcPr>
            <w:tcW w:w="2526" w:type="pct"/>
            <w:vAlign w:val="center"/>
          </w:tcPr>
          <w:p w14:paraId="11041F12">
            <w:pPr>
              <w:adjustRightInd w:val="0"/>
              <w:snapToGrid w:val="0"/>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400</w:t>
            </w:r>
          </w:p>
        </w:tc>
      </w:tr>
      <w:tr w14:paraId="1D3CCB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40A3D33B">
            <w:pPr>
              <w:autoSpaceDE w:val="0"/>
              <w:autoSpaceDN w:val="0"/>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专项评价设置</w:t>
            </w:r>
          </w:p>
          <w:p w14:paraId="67EB47A3">
            <w:pPr>
              <w:autoSpaceDE w:val="0"/>
              <w:autoSpaceDN w:val="0"/>
              <w:adjustRightInd w:val="0"/>
              <w:snapToGrid w:val="0"/>
              <w:jc w:val="center"/>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情况</w:t>
            </w:r>
          </w:p>
        </w:tc>
        <w:tc>
          <w:tcPr>
            <w:tcW w:w="4637" w:type="pct"/>
            <w:gridSpan w:val="3"/>
            <w:tcMar>
              <w:top w:w="16" w:type="dxa"/>
              <w:left w:w="16" w:type="dxa"/>
              <w:right w:w="16" w:type="dxa"/>
            </w:tcMar>
            <w:vAlign w:val="center"/>
          </w:tcPr>
          <w:p w14:paraId="482823D0">
            <w:pPr>
              <w:autoSpaceDE w:val="0"/>
              <w:autoSpaceDN w:val="0"/>
              <w:adjustRightInd w:val="0"/>
              <w:snapToGrid w:val="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表1-1</w:t>
            </w:r>
            <w:r>
              <w:rPr>
                <w:rFonts w:hint="eastAsia" w:cs="Times New Roman"/>
                <w:b/>
                <w:bCs/>
                <w:color w:val="000000" w:themeColor="text1"/>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14:textFill>
                  <w14:solidFill>
                    <w14:schemeClr w14:val="tx1"/>
                  </w14:solidFill>
                </w14:textFill>
              </w:rPr>
              <w:t>专项评价设置情况表</w:t>
            </w:r>
          </w:p>
          <w:tbl>
            <w:tblPr>
              <w:tblStyle w:val="38"/>
              <w:tblW w:w="494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69"/>
              <w:gridCol w:w="5022"/>
              <w:gridCol w:w="1939"/>
              <w:gridCol w:w="832"/>
            </w:tblGrid>
            <w:tr w14:paraId="41E410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2" w:type="pct"/>
                  <w:tcBorders>
                    <w:tl2br w:val="nil"/>
                    <w:tr2bl w:val="nil"/>
                  </w:tcBorders>
                  <w:vAlign w:val="center"/>
                </w:tcPr>
                <w:p w14:paraId="46F2B61C">
                  <w:pPr>
                    <w:autoSpaceDE w:val="0"/>
                    <w:autoSpaceDN w:val="0"/>
                    <w:adjustRightInd w:val="0"/>
                    <w:snapToGri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专项评价类别</w:t>
                  </w:r>
                </w:p>
              </w:tc>
              <w:tc>
                <w:tcPr>
                  <w:tcW w:w="2800" w:type="pct"/>
                  <w:tcBorders>
                    <w:tl2br w:val="nil"/>
                    <w:tr2bl w:val="nil"/>
                  </w:tcBorders>
                  <w:vAlign w:val="center"/>
                </w:tcPr>
                <w:p w14:paraId="684117F3">
                  <w:pPr>
                    <w:autoSpaceDE w:val="0"/>
                    <w:autoSpaceDN w:val="0"/>
                    <w:adjustRightInd w:val="0"/>
                    <w:snapToGri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设置原则</w:t>
                  </w:r>
                </w:p>
              </w:tc>
              <w:tc>
                <w:tcPr>
                  <w:tcW w:w="1081" w:type="pct"/>
                  <w:tcBorders>
                    <w:tl2br w:val="nil"/>
                    <w:tr2bl w:val="nil"/>
                  </w:tcBorders>
                  <w:vAlign w:val="center"/>
                </w:tcPr>
                <w:p w14:paraId="2440C5EE">
                  <w:pPr>
                    <w:autoSpaceDE w:val="0"/>
                    <w:autoSpaceDN w:val="0"/>
                    <w:adjustRightInd w:val="0"/>
                    <w:snapToGri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本项目情况</w:t>
                  </w:r>
                </w:p>
              </w:tc>
              <w:tc>
                <w:tcPr>
                  <w:tcW w:w="464" w:type="pct"/>
                  <w:tcBorders>
                    <w:tl2br w:val="nil"/>
                    <w:tr2bl w:val="nil"/>
                  </w:tcBorders>
                  <w:vAlign w:val="center"/>
                </w:tcPr>
                <w:p w14:paraId="63F61094">
                  <w:pPr>
                    <w:autoSpaceDE w:val="0"/>
                    <w:autoSpaceDN w:val="0"/>
                    <w:adjustRightInd w:val="0"/>
                    <w:snapToGri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是否</w:t>
                  </w:r>
                </w:p>
                <w:p w14:paraId="71E6E4CA">
                  <w:pPr>
                    <w:autoSpaceDE w:val="0"/>
                    <w:autoSpaceDN w:val="0"/>
                    <w:adjustRightInd w:val="0"/>
                    <w:snapToGri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设置</w:t>
                  </w:r>
                </w:p>
              </w:tc>
            </w:tr>
            <w:tr w14:paraId="0D98D0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2" w:type="pct"/>
                  <w:tcBorders>
                    <w:tl2br w:val="nil"/>
                    <w:tr2bl w:val="nil"/>
                  </w:tcBorders>
                  <w:vAlign w:val="center"/>
                </w:tcPr>
                <w:p w14:paraId="654F117A">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大气</w:t>
                  </w:r>
                </w:p>
              </w:tc>
              <w:tc>
                <w:tcPr>
                  <w:tcW w:w="2800" w:type="pct"/>
                  <w:tcBorders>
                    <w:tl2br w:val="nil"/>
                    <w:tr2bl w:val="nil"/>
                  </w:tcBorders>
                  <w:vAlign w:val="center"/>
                </w:tcPr>
                <w:p w14:paraId="255E6D0F">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排放废气含有毒有害污染物：二噁英、苯并[a]芘、氰化物、氯气且厂界外500米范围内有环境空气保护目标的建设项目</w:t>
                  </w:r>
                </w:p>
              </w:tc>
              <w:tc>
                <w:tcPr>
                  <w:tcW w:w="1081" w:type="pct"/>
                  <w:tcBorders>
                    <w:tl2br w:val="nil"/>
                    <w:tr2bl w:val="nil"/>
                  </w:tcBorders>
                  <w:vAlign w:val="center"/>
                </w:tcPr>
                <w:p w14:paraId="328A95F7">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本项目不涉及有毒有害污染物</w:t>
                  </w:r>
                </w:p>
              </w:tc>
              <w:tc>
                <w:tcPr>
                  <w:tcW w:w="464" w:type="pct"/>
                  <w:tcBorders>
                    <w:tl2br w:val="nil"/>
                    <w:tr2bl w:val="nil"/>
                  </w:tcBorders>
                  <w:vAlign w:val="center"/>
                </w:tcPr>
                <w:p w14:paraId="09A80372">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否</w:t>
                  </w:r>
                </w:p>
              </w:tc>
            </w:tr>
            <w:tr w14:paraId="76304E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2" w:type="pct"/>
                  <w:tcBorders>
                    <w:tl2br w:val="nil"/>
                    <w:tr2bl w:val="nil"/>
                  </w:tcBorders>
                  <w:vAlign w:val="center"/>
                </w:tcPr>
                <w:p w14:paraId="3A7C1A67">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地表水</w:t>
                  </w:r>
                </w:p>
              </w:tc>
              <w:tc>
                <w:tcPr>
                  <w:tcW w:w="2800" w:type="pct"/>
                  <w:tcBorders>
                    <w:tl2br w:val="nil"/>
                    <w:tr2bl w:val="nil"/>
                  </w:tcBorders>
                  <w:vAlign w:val="center"/>
                </w:tcPr>
                <w:p w14:paraId="460DA1A2">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新增工业废水直排建设项目（槽罐车外送污水处理厂的除外）；新增废水直排的污水集中处理厂</w:t>
                  </w:r>
                </w:p>
              </w:tc>
              <w:tc>
                <w:tcPr>
                  <w:tcW w:w="1081" w:type="pct"/>
                  <w:tcBorders>
                    <w:tl2br w:val="nil"/>
                    <w:tr2bl w:val="nil"/>
                  </w:tcBorders>
                  <w:vAlign w:val="center"/>
                </w:tcPr>
                <w:p w14:paraId="13FE90E2">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本项目无废水直接外排</w:t>
                  </w:r>
                </w:p>
              </w:tc>
              <w:tc>
                <w:tcPr>
                  <w:tcW w:w="464" w:type="pct"/>
                  <w:tcBorders>
                    <w:tl2br w:val="nil"/>
                    <w:tr2bl w:val="nil"/>
                  </w:tcBorders>
                  <w:vAlign w:val="center"/>
                </w:tcPr>
                <w:p w14:paraId="2808D717">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否</w:t>
                  </w:r>
                </w:p>
              </w:tc>
            </w:tr>
            <w:tr w14:paraId="5855A0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2" w:type="pct"/>
                  <w:tcBorders>
                    <w:tl2br w:val="nil"/>
                    <w:tr2bl w:val="nil"/>
                  </w:tcBorders>
                  <w:vAlign w:val="center"/>
                </w:tcPr>
                <w:p w14:paraId="1DD5672E">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环境风险</w:t>
                  </w:r>
                </w:p>
              </w:tc>
              <w:tc>
                <w:tcPr>
                  <w:tcW w:w="2800" w:type="pct"/>
                  <w:tcBorders>
                    <w:tl2br w:val="nil"/>
                    <w:tr2bl w:val="nil"/>
                  </w:tcBorders>
                  <w:vAlign w:val="center"/>
                </w:tcPr>
                <w:p w14:paraId="1EE41CBD">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有毒有害和易燃易爆危险物质存储量超过临界量的建设项目</w:t>
                  </w:r>
                </w:p>
              </w:tc>
              <w:tc>
                <w:tcPr>
                  <w:tcW w:w="1081" w:type="pct"/>
                  <w:tcBorders>
                    <w:tl2br w:val="nil"/>
                    <w:tr2bl w:val="nil"/>
                  </w:tcBorders>
                  <w:vAlign w:val="center"/>
                </w:tcPr>
                <w:p w14:paraId="302F4E03">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本项目</w:t>
                  </w:r>
                  <w:r>
                    <w:rPr>
                      <w:rFonts w:hint="eastAsia" w:cs="Times New Roman"/>
                      <w:color w:val="000000" w:themeColor="text1"/>
                      <w:kern w:val="0"/>
                      <w:szCs w:val="21"/>
                      <w:lang w:val="en-US" w:eastAsia="zh-CN"/>
                      <w14:textFill>
                        <w14:solidFill>
                          <w14:schemeClr w14:val="tx1"/>
                        </w14:solidFill>
                      </w14:textFill>
                    </w:rPr>
                    <w:t>涉及的危险物质不超过临界量</w:t>
                  </w:r>
                </w:p>
              </w:tc>
              <w:tc>
                <w:tcPr>
                  <w:tcW w:w="464" w:type="pct"/>
                  <w:tcBorders>
                    <w:tl2br w:val="nil"/>
                    <w:tr2bl w:val="nil"/>
                  </w:tcBorders>
                  <w:vAlign w:val="center"/>
                </w:tcPr>
                <w:p w14:paraId="21D08A48">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否</w:t>
                  </w:r>
                </w:p>
              </w:tc>
            </w:tr>
            <w:tr w14:paraId="1D8F5E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2" w:type="pct"/>
                  <w:tcBorders>
                    <w:tl2br w:val="nil"/>
                    <w:tr2bl w:val="nil"/>
                  </w:tcBorders>
                  <w:vAlign w:val="center"/>
                </w:tcPr>
                <w:p w14:paraId="680219B6">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生态</w:t>
                  </w:r>
                </w:p>
              </w:tc>
              <w:tc>
                <w:tcPr>
                  <w:tcW w:w="2800" w:type="pct"/>
                  <w:tcBorders>
                    <w:tl2br w:val="nil"/>
                    <w:tr2bl w:val="nil"/>
                  </w:tcBorders>
                  <w:vAlign w:val="center"/>
                </w:tcPr>
                <w:p w14:paraId="33A1478A">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取水口下游500米范围内有重要水生生物的自然产卵场、索饵场、越冬场和洄游通道的新增河道取水的污染类建设项目</w:t>
                  </w:r>
                </w:p>
              </w:tc>
              <w:tc>
                <w:tcPr>
                  <w:tcW w:w="1081" w:type="pct"/>
                  <w:tcBorders>
                    <w:tl2br w:val="nil"/>
                    <w:tr2bl w:val="nil"/>
                  </w:tcBorders>
                  <w:vAlign w:val="center"/>
                </w:tcPr>
                <w:p w14:paraId="4D424C9A">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本项目不涉及</w:t>
                  </w:r>
                </w:p>
              </w:tc>
              <w:tc>
                <w:tcPr>
                  <w:tcW w:w="464" w:type="pct"/>
                  <w:tcBorders>
                    <w:tl2br w:val="nil"/>
                    <w:tr2bl w:val="nil"/>
                  </w:tcBorders>
                  <w:vAlign w:val="center"/>
                </w:tcPr>
                <w:p w14:paraId="03819720">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否</w:t>
                  </w:r>
                </w:p>
              </w:tc>
            </w:tr>
            <w:tr w14:paraId="194768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52" w:type="pct"/>
                  <w:tcBorders>
                    <w:tl2br w:val="nil"/>
                    <w:tr2bl w:val="nil"/>
                  </w:tcBorders>
                  <w:vAlign w:val="center"/>
                </w:tcPr>
                <w:p w14:paraId="202FC13B">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海洋</w:t>
                  </w:r>
                </w:p>
              </w:tc>
              <w:tc>
                <w:tcPr>
                  <w:tcW w:w="2800" w:type="pct"/>
                  <w:tcBorders>
                    <w:tl2br w:val="nil"/>
                    <w:tr2bl w:val="nil"/>
                  </w:tcBorders>
                  <w:vAlign w:val="center"/>
                </w:tcPr>
                <w:p w14:paraId="6314B89E">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直接向海排放污染物的海洋工程建设项目</w:t>
                  </w:r>
                </w:p>
              </w:tc>
              <w:tc>
                <w:tcPr>
                  <w:tcW w:w="1081" w:type="pct"/>
                  <w:tcBorders>
                    <w:tl2br w:val="nil"/>
                    <w:tr2bl w:val="nil"/>
                  </w:tcBorders>
                  <w:vAlign w:val="center"/>
                </w:tcPr>
                <w:p w14:paraId="2CFB6A7A">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本项目不涉及</w:t>
                  </w:r>
                </w:p>
              </w:tc>
              <w:tc>
                <w:tcPr>
                  <w:tcW w:w="464" w:type="pct"/>
                  <w:tcBorders>
                    <w:tl2br w:val="nil"/>
                    <w:tr2bl w:val="nil"/>
                  </w:tcBorders>
                  <w:vAlign w:val="center"/>
                </w:tcPr>
                <w:p w14:paraId="4430A56F">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否</w:t>
                  </w:r>
                </w:p>
              </w:tc>
            </w:tr>
          </w:tbl>
          <w:p w14:paraId="637BBE34">
            <w:pPr>
              <w:pStyle w:val="37"/>
              <w:spacing w:before="120" w:beforeLines="50"/>
              <w:ind w:left="0" w:leftChars="0"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根据上表，本次环评无需设置专项评价。</w:t>
            </w:r>
          </w:p>
        </w:tc>
      </w:tr>
      <w:tr w14:paraId="7BA222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40652072">
            <w:pPr>
              <w:autoSpaceDE w:val="0"/>
              <w:autoSpaceDN w:val="0"/>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规划情况</w:t>
            </w:r>
          </w:p>
        </w:tc>
        <w:tc>
          <w:tcPr>
            <w:tcW w:w="4637" w:type="pct"/>
            <w:gridSpan w:val="3"/>
            <w:tcMar>
              <w:top w:w="16" w:type="dxa"/>
              <w:left w:w="16" w:type="dxa"/>
              <w:right w:w="16" w:type="dxa"/>
            </w:tcMar>
            <w:vAlign w:val="center"/>
          </w:tcPr>
          <w:p w14:paraId="029A7C60">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规划名称：《张店区湖田街道工业集聚区总体发展规划（2024-2035年）》</w:t>
            </w:r>
          </w:p>
          <w:p w14:paraId="032C724B">
            <w:pPr>
              <w:autoSpaceDE w:val="0"/>
              <w:autoSpaceDN w:val="0"/>
              <w:adjustRightInd w:val="0"/>
              <w:snapToGrid w:val="0"/>
              <w:spacing w:line="360" w:lineRule="auto"/>
              <w:ind w:firstLine="480" w:firstLineChars="200"/>
              <w:rPr>
                <w:rFonts w:hint="default" w:ascii="Times New Roman" w:hAnsi="Times New Roman" w:eastAsia="宋体" w:cs="Times New Roman"/>
                <w:color w:val="FF0000"/>
                <w:sz w:val="24"/>
              </w:rPr>
            </w:pPr>
            <w:r>
              <w:rPr>
                <w:rFonts w:hint="eastAsia" w:ascii="Times New Roman" w:hAnsi="Times New Roman" w:eastAsia="宋体" w:cs="Times New Roman"/>
                <w:color w:val="000000" w:themeColor="text1"/>
                <w:sz w:val="24"/>
                <w:lang w:val="en-US" w:eastAsia="zh-CN"/>
                <w14:textFill>
                  <w14:solidFill>
                    <w14:schemeClr w14:val="tx1"/>
                  </w14:solidFill>
                </w14:textFill>
              </w:rPr>
              <w:t>2021年9月1日，由张店区人民政府以张政发〔2021〕16号同意设立湖田街道工业集聚区，规划范围为湖田街道淄东铁路以东至临淄界、胶济铁路-烯田路以北至高新区界区域，规划面积约2086.96公顷。</w:t>
            </w:r>
          </w:p>
        </w:tc>
      </w:tr>
      <w:tr w14:paraId="5F3982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362" w:type="pct"/>
            <w:tcMar>
              <w:top w:w="16" w:type="dxa"/>
              <w:left w:w="16" w:type="dxa"/>
              <w:right w:w="16" w:type="dxa"/>
            </w:tcMar>
            <w:vAlign w:val="center"/>
          </w:tcPr>
          <w:p w14:paraId="1620C778">
            <w:pPr>
              <w:autoSpaceDE w:val="0"/>
              <w:autoSpaceDN w:val="0"/>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规划环境影响</w:t>
            </w:r>
          </w:p>
          <w:p w14:paraId="0290F3C8">
            <w:pPr>
              <w:autoSpaceDE w:val="0"/>
              <w:autoSpaceDN w:val="0"/>
              <w:adjustRightInd w:val="0"/>
              <w:snapToGrid w:val="0"/>
              <w:jc w:val="center"/>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评价情况</w:t>
            </w:r>
          </w:p>
        </w:tc>
        <w:tc>
          <w:tcPr>
            <w:tcW w:w="4637" w:type="pct"/>
            <w:gridSpan w:val="3"/>
            <w:tcMar>
              <w:top w:w="16" w:type="dxa"/>
              <w:left w:w="16" w:type="dxa"/>
              <w:right w:w="16" w:type="dxa"/>
            </w:tcMar>
            <w:vAlign w:val="center"/>
          </w:tcPr>
          <w:p w14:paraId="0DE4E114">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规划环境影响评价名称：《张店区湖田街道工业集聚区总体发展规划（2024-2035年）环境影响报告书》</w:t>
            </w:r>
          </w:p>
          <w:p w14:paraId="209B7032">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审批单位：淄博市生态环境局张店分局</w:t>
            </w:r>
          </w:p>
          <w:p w14:paraId="062BF3ED">
            <w:pPr>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审批文件名称及文号：《关于&lt;张店区湖田街道工业集聚区总体发展规划（2024-2035年）环境影响报告书&gt;的审查意见》（张环审[2025]1号）</w:t>
            </w:r>
          </w:p>
        </w:tc>
      </w:tr>
      <w:tr w14:paraId="48F408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3" w:hRule="atLeast"/>
          <w:jc w:val="center"/>
        </w:trPr>
        <w:tc>
          <w:tcPr>
            <w:tcW w:w="362" w:type="pct"/>
            <w:tcMar>
              <w:top w:w="16" w:type="dxa"/>
              <w:left w:w="16" w:type="dxa"/>
              <w:right w:w="16" w:type="dxa"/>
            </w:tcMar>
            <w:vAlign w:val="center"/>
          </w:tcPr>
          <w:p w14:paraId="3C57B7F6">
            <w:pPr>
              <w:autoSpaceDE w:val="0"/>
              <w:autoSpaceDN w:val="0"/>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规划及规划环境影响评价符合性分析</w:t>
            </w:r>
          </w:p>
        </w:tc>
        <w:tc>
          <w:tcPr>
            <w:tcW w:w="4637" w:type="pct"/>
            <w:gridSpan w:val="3"/>
            <w:tcMar>
              <w:top w:w="16" w:type="dxa"/>
              <w:left w:w="16" w:type="dxa"/>
              <w:right w:w="16" w:type="dxa"/>
            </w:tcMar>
            <w:vAlign w:val="center"/>
          </w:tcPr>
          <w:p w14:paraId="0C393548">
            <w:pPr>
              <w:autoSpaceDE w:val="0"/>
              <w:autoSpaceDN w:val="0"/>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1、规划范围</w:t>
            </w:r>
          </w:p>
          <w:p w14:paraId="09BDC7A1">
            <w:pPr>
              <w:autoSpaceDE w:val="0"/>
              <w:autoSpaceDN w:val="0"/>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湖田街道工业集聚区四至范围为淄东铁路以东至临淄界、胶济铁路-烯田路以北至高新区界区域，规划面积约2086.96公顷，重点发展装备制造、新材料、塑料制品及食品加工等产业。</w:t>
            </w:r>
          </w:p>
          <w:p w14:paraId="50A00F01">
            <w:pPr>
              <w:autoSpaceDE w:val="0"/>
              <w:autoSpaceDN w:val="0"/>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2、规划定位</w:t>
            </w:r>
          </w:p>
          <w:p w14:paraId="276C76F3">
            <w:pPr>
              <w:autoSpaceDE w:val="0"/>
              <w:autoSpaceDN w:val="0"/>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功能定位：围绕装备制造、新材料、塑料制品及食品加工等具有良好发展前景和优势的行业领域，以高新技术应用为发展方向，以未来产业和可持续发展为重点，延伸产业链条、促进产业集聚，把湖田街道工业集聚区建设成为带动张店、走向全国的现代化新型工业集聚区。</w:t>
            </w:r>
          </w:p>
          <w:p w14:paraId="071C1D1A">
            <w:pPr>
              <w:autoSpaceDE w:val="0"/>
              <w:autoSpaceDN w:val="0"/>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产业定位：湖田街道工业集聚区重点发展装备制造、新材料、塑料制品及食品加工四大主导产业。根据对照《国民经济行业分类》（GB/T4754-2017），装备制造涉及的主导产业有C33-C39制造业，新材料涉及的主导产业有C30非金属矿物制品业，塑料制品涉及的主导产业有C292塑料制品业，食品加工涉及的主导产业有C13农副产品加工、C14食品制造、C15酒、饮料和精制茶制造业。</w:t>
            </w:r>
          </w:p>
          <w:p w14:paraId="5C95133C">
            <w:pPr>
              <w:autoSpaceDE w:val="0"/>
              <w:autoSpaceDN w:val="0"/>
              <w:spacing w:line="360" w:lineRule="auto"/>
              <w:ind w:firstLine="480" w:firstLineChars="200"/>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3、行业准入管控要求</w:t>
            </w:r>
          </w:p>
          <w:p w14:paraId="5E0FC5C1">
            <w:pPr>
              <w:autoSpaceDE w:val="0"/>
              <w:autoSpaceDN w:val="0"/>
              <w:adjustRightInd w:val="0"/>
              <w:snapToGrid w:val="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表1-2</w:t>
            </w:r>
            <w:r>
              <w:rPr>
                <w:rFonts w:hint="eastAsia" w:cs="Times New Roman"/>
                <w:b/>
                <w:bCs/>
                <w:color w:val="000000" w:themeColor="text1"/>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14:textFill>
                  <w14:solidFill>
                    <w14:schemeClr w14:val="tx1"/>
                  </w14:solidFill>
                </w14:textFill>
              </w:rPr>
              <w:t>集聚区行业控制级别表</w:t>
            </w:r>
          </w:p>
          <w:tbl>
            <w:tblPr>
              <w:tblStyle w:val="38"/>
              <w:tblW w:w="494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15"/>
              <w:gridCol w:w="1056"/>
              <w:gridCol w:w="3284"/>
              <w:gridCol w:w="833"/>
              <w:gridCol w:w="2974"/>
            </w:tblGrid>
            <w:tr w14:paraId="55ABFA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455" w:type="pct"/>
                  <w:tcBorders>
                    <w:tl2br w:val="nil"/>
                    <w:tr2bl w:val="nil"/>
                  </w:tcBorders>
                  <w:shd w:val="clear" w:color="auto" w:fill="auto"/>
                  <w:vAlign w:val="center"/>
                </w:tcPr>
                <w:p w14:paraId="1E22589A">
                  <w:pPr>
                    <w:widowControl/>
                    <w:adjustRightInd w:val="0"/>
                    <w:snapToGrid w:val="0"/>
                    <w:jc w:val="center"/>
                    <w:textAlignment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发展定位</w:t>
                  </w:r>
                </w:p>
              </w:tc>
              <w:tc>
                <w:tcPr>
                  <w:tcW w:w="2421" w:type="pct"/>
                  <w:gridSpan w:val="2"/>
                  <w:tcBorders>
                    <w:tl2br w:val="nil"/>
                    <w:tr2bl w:val="nil"/>
                  </w:tcBorders>
                  <w:shd w:val="clear" w:color="auto" w:fill="auto"/>
                  <w:vAlign w:val="center"/>
                </w:tcPr>
                <w:p w14:paraId="26ADDD78">
                  <w:pPr>
                    <w:widowControl/>
                    <w:adjustRightInd w:val="0"/>
                    <w:snapToGrid w:val="0"/>
                    <w:jc w:val="center"/>
                    <w:textAlignment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行业类别</w:t>
                  </w:r>
                </w:p>
              </w:tc>
              <w:tc>
                <w:tcPr>
                  <w:tcW w:w="465" w:type="pct"/>
                  <w:tcBorders>
                    <w:tl2br w:val="nil"/>
                    <w:tr2bl w:val="nil"/>
                  </w:tcBorders>
                  <w:shd w:val="clear" w:color="auto" w:fill="auto"/>
                  <w:vAlign w:val="center"/>
                </w:tcPr>
                <w:p w14:paraId="7716100B">
                  <w:pPr>
                    <w:widowControl/>
                    <w:adjustRightInd w:val="0"/>
                    <w:snapToGrid w:val="0"/>
                    <w:jc w:val="center"/>
                    <w:textAlignment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限制类型</w:t>
                  </w:r>
                </w:p>
              </w:tc>
              <w:tc>
                <w:tcPr>
                  <w:tcW w:w="1657" w:type="pct"/>
                  <w:tcBorders>
                    <w:tl2br w:val="nil"/>
                    <w:tr2bl w:val="nil"/>
                  </w:tcBorders>
                  <w:shd w:val="clear" w:color="auto" w:fill="auto"/>
                  <w:vAlign w:val="center"/>
                </w:tcPr>
                <w:p w14:paraId="247272D4">
                  <w:pPr>
                    <w:widowControl/>
                    <w:adjustRightInd w:val="0"/>
                    <w:snapToGrid w:val="0"/>
                    <w:jc w:val="center"/>
                    <w:textAlignment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控制条件</w:t>
                  </w:r>
                </w:p>
              </w:tc>
            </w:tr>
            <w:tr w14:paraId="6E8E81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restart"/>
                  <w:tcBorders>
                    <w:tl2br w:val="nil"/>
                    <w:tr2bl w:val="nil"/>
                  </w:tcBorders>
                  <w:shd w:val="clear" w:color="auto" w:fill="auto"/>
                  <w:vAlign w:val="center"/>
                </w:tcPr>
                <w:p w14:paraId="41A9249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食品</w:t>
                  </w:r>
                </w:p>
              </w:tc>
              <w:tc>
                <w:tcPr>
                  <w:tcW w:w="589" w:type="pct"/>
                  <w:vMerge w:val="restart"/>
                  <w:tcBorders>
                    <w:tl2br w:val="nil"/>
                    <w:tr2bl w:val="nil"/>
                  </w:tcBorders>
                  <w:shd w:val="clear" w:color="auto" w:fill="auto"/>
                  <w:vAlign w:val="center"/>
                </w:tcPr>
                <w:p w14:paraId="10ED1D4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C13农副产品加工</w:t>
                  </w:r>
                </w:p>
              </w:tc>
              <w:tc>
                <w:tcPr>
                  <w:tcW w:w="1832" w:type="pct"/>
                  <w:tcBorders>
                    <w:tl2br w:val="nil"/>
                    <w:tr2bl w:val="nil"/>
                  </w:tcBorders>
                  <w:shd w:val="clear" w:color="auto" w:fill="auto"/>
                  <w:vAlign w:val="center"/>
                </w:tcPr>
                <w:p w14:paraId="7388182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C131谷物磨制</w:t>
                  </w:r>
                </w:p>
              </w:tc>
              <w:tc>
                <w:tcPr>
                  <w:tcW w:w="465" w:type="pct"/>
                  <w:tcBorders>
                    <w:tl2br w:val="nil"/>
                    <w:tr2bl w:val="nil"/>
                  </w:tcBorders>
                  <w:shd w:val="clear" w:color="auto" w:fill="auto"/>
                  <w:vAlign w:val="center"/>
                </w:tcPr>
                <w:p w14:paraId="4712C22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restart"/>
                  <w:tcBorders>
                    <w:tl2br w:val="nil"/>
                    <w:tr2bl w:val="nil"/>
                  </w:tcBorders>
                  <w:shd w:val="clear" w:color="auto" w:fill="auto"/>
                  <w:vAlign w:val="center"/>
                </w:tcPr>
                <w:p w14:paraId="35AFC22A">
                  <w:pPr>
                    <w:widowControl/>
                    <w:adjustRightInd w:val="0"/>
                    <w:snapToGrid w:val="0"/>
                    <w:jc w:val="center"/>
                    <w:textAlignment w:val="center"/>
                    <w:rPr>
                      <w:rStyle w:val="100"/>
                      <w:rFonts w:hint="default" w:ascii="Times New Roman" w:hAnsi="Times New Roman" w:eastAsia="宋体" w:cs="Times New Roman"/>
                      <w:color w:val="000000" w:themeColor="text1"/>
                      <w:lang w:bidi="ar"/>
                      <w14:textFill>
                        <w14:solidFill>
                          <w14:schemeClr w14:val="tx1"/>
                        </w14:solidFill>
                      </w14:textFill>
                    </w:rPr>
                  </w:pPr>
                  <w:r>
                    <w:rPr>
                      <w:rStyle w:val="100"/>
                      <w:rFonts w:hint="default" w:ascii="Times New Roman" w:hAnsi="Times New Roman" w:eastAsia="宋体" w:cs="Times New Roman"/>
                      <w:color w:val="000000" w:themeColor="text1"/>
                      <w:lang w:bidi="ar"/>
                      <w14:textFill>
                        <w14:solidFill>
                          <w14:schemeClr w14:val="tx1"/>
                        </w14:solidFill>
                      </w14:textFill>
                    </w:rPr>
                    <w:t>①禁止C1351牲畜屠宰和C1352禽类屠宰进入；</w:t>
                  </w:r>
                </w:p>
                <w:p w14:paraId="32B8973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Style w:val="100"/>
                      <w:rFonts w:hint="default" w:ascii="Times New Roman" w:hAnsi="Times New Roman" w:eastAsia="宋体" w:cs="Times New Roman"/>
                      <w:color w:val="000000" w:themeColor="text1"/>
                      <w:lang w:bidi="ar"/>
                      <w14:textFill>
                        <w14:solidFill>
                          <w14:schemeClr w14:val="tx1"/>
                        </w14:solidFill>
                      </w14:textFill>
                    </w:rPr>
                    <w:t>②污水处理设施不健全、未正常运行或污水管网未覆盖的地区，未配套污水处理设施的项目不得建设</w:t>
                  </w:r>
                  <w:r>
                    <w:rPr>
                      <w:rFonts w:hint="default" w:ascii="Times New Roman" w:hAnsi="Times New Roman" w:eastAsia="宋体" w:cs="Times New Roman"/>
                      <w:color w:val="000000" w:themeColor="text1"/>
                      <w:szCs w:val="21"/>
                      <w14:textFill>
                        <w14:solidFill>
                          <w14:schemeClr w14:val="tx1"/>
                        </w14:solidFill>
                      </w14:textFill>
                    </w:rPr>
                    <w:t>。</w:t>
                  </w:r>
                </w:p>
              </w:tc>
            </w:tr>
            <w:tr w14:paraId="438C54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6C047DF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0361F9CD">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60B8EB70">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C132饲料加工</w:t>
                  </w:r>
                </w:p>
              </w:tc>
              <w:tc>
                <w:tcPr>
                  <w:tcW w:w="465" w:type="pct"/>
                  <w:tcBorders>
                    <w:tl2br w:val="nil"/>
                    <w:tr2bl w:val="nil"/>
                  </w:tcBorders>
                  <w:shd w:val="clear" w:color="auto" w:fill="auto"/>
                  <w:vAlign w:val="center"/>
                </w:tcPr>
                <w:p w14:paraId="312D09D8">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27DF7B5D">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4C71E6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799B81B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5DCD40DF">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263E85C0">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C133植物油加工</w:t>
                  </w:r>
                </w:p>
              </w:tc>
              <w:tc>
                <w:tcPr>
                  <w:tcW w:w="465" w:type="pct"/>
                  <w:tcBorders>
                    <w:tl2br w:val="nil"/>
                    <w:tr2bl w:val="nil"/>
                  </w:tcBorders>
                  <w:shd w:val="clear" w:color="auto" w:fill="auto"/>
                  <w:vAlign w:val="center"/>
                </w:tcPr>
                <w:p w14:paraId="479DEF5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10F2C4B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0AB238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489C931A">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39C42DB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361A236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C135屠宰及肉类加工</w:t>
                  </w:r>
                </w:p>
              </w:tc>
              <w:tc>
                <w:tcPr>
                  <w:tcW w:w="465" w:type="pct"/>
                  <w:tcBorders>
                    <w:tl2br w:val="nil"/>
                    <w:tr2bl w:val="nil"/>
                  </w:tcBorders>
                  <w:shd w:val="clear" w:color="auto" w:fill="auto"/>
                  <w:vAlign w:val="center"/>
                </w:tcPr>
                <w:p w14:paraId="23CC745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75990719">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6906DB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723AE279">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580F2468">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57F48BB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C137蔬菜、菌类、水果和坚果加工</w:t>
                  </w:r>
                </w:p>
              </w:tc>
              <w:tc>
                <w:tcPr>
                  <w:tcW w:w="465" w:type="pct"/>
                  <w:tcBorders>
                    <w:tl2br w:val="nil"/>
                    <w:tr2bl w:val="nil"/>
                  </w:tcBorders>
                  <w:shd w:val="clear" w:color="auto" w:fill="auto"/>
                  <w:vAlign w:val="center"/>
                </w:tcPr>
                <w:p w14:paraId="5BA0AE7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3E51F3E8">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357844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4723985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3B98CD1A">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7001237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C139其他农副食品加工</w:t>
                  </w:r>
                </w:p>
              </w:tc>
              <w:tc>
                <w:tcPr>
                  <w:tcW w:w="465" w:type="pct"/>
                  <w:tcBorders>
                    <w:tl2br w:val="nil"/>
                    <w:tr2bl w:val="nil"/>
                  </w:tcBorders>
                  <w:shd w:val="clear" w:color="auto" w:fill="auto"/>
                  <w:vAlign w:val="center"/>
                </w:tcPr>
                <w:p w14:paraId="76B9FE2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5857A59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0569DC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61F1A095">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restart"/>
                  <w:tcBorders>
                    <w:tl2br w:val="nil"/>
                    <w:tr2bl w:val="nil"/>
                  </w:tcBorders>
                  <w:shd w:val="clear" w:color="auto" w:fill="auto"/>
                  <w:vAlign w:val="center"/>
                </w:tcPr>
                <w:p w14:paraId="0DAA6E7D">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C14食品制造</w:t>
                  </w:r>
                </w:p>
              </w:tc>
              <w:tc>
                <w:tcPr>
                  <w:tcW w:w="1832" w:type="pct"/>
                  <w:tcBorders>
                    <w:tl2br w:val="nil"/>
                    <w:tr2bl w:val="nil"/>
                  </w:tcBorders>
                  <w:shd w:val="clear" w:color="auto" w:fill="auto"/>
                  <w:vAlign w:val="center"/>
                </w:tcPr>
                <w:p w14:paraId="5E5D7CA3">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C141焙烤食品制造</w:t>
                  </w:r>
                </w:p>
              </w:tc>
              <w:tc>
                <w:tcPr>
                  <w:tcW w:w="465" w:type="pct"/>
                  <w:tcBorders>
                    <w:tl2br w:val="nil"/>
                    <w:tr2bl w:val="nil"/>
                  </w:tcBorders>
                  <w:shd w:val="clear" w:color="auto" w:fill="auto"/>
                  <w:vAlign w:val="center"/>
                </w:tcPr>
                <w:p w14:paraId="4383612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22327972">
                  <w:pPr>
                    <w:widowControl/>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r>
            <w:tr w14:paraId="27CF72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4935B0F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2BD3E880">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7B8B4360">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C142糖果、巧克力及蜜饯制造</w:t>
                  </w:r>
                </w:p>
              </w:tc>
              <w:tc>
                <w:tcPr>
                  <w:tcW w:w="465" w:type="pct"/>
                  <w:tcBorders>
                    <w:tl2br w:val="nil"/>
                    <w:tr2bl w:val="nil"/>
                  </w:tcBorders>
                  <w:shd w:val="clear" w:color="auto" w:fill="auto"/>
                  <w:vAlign w:val="center"/>
                </w:tcPr>
                <w:p w14:paraId="28A4A1A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4EDA4D2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5C5BB5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5C58C5C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54A852EF">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58828D63">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C143方便食品制造</w:t>
                  </w:r>
                </w:p>
              </w:tc>
              <w:tc>
                <w:tcPr>
                  <w:tcW w:w="465" w:type="pct"/>
                  <w:tcBorders>
                    <w:tl2br w:val="nil"/>
                    <w:tr2bl w:val="nil"/>
                  </w:tcBorders>
                  <w:shd w:val="clear" w:color="auto" w:fill="auto"/>
                  <w:vAlign w:val="center"/>
                </w:tcPr>
                <w:p w14:paraId="237704C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27FE2845">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7139D0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455B934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652D0D83">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0C6C3FD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C144乳制品制造</w:t>
                  </w:r>
                </w:p>
              </w:tc>
              <w:tc>
                <w:tcPr>
                  <w:tcW w:w="465" w:type="pct"/>
                  <w:tcBorders>
                    <w:tl2br w:val="nil"/>
                    <w:tr2bl w:val="nil"/>
                  </w:tcBorders>
                  <w:shd w:val="clear" w:color="auto" w:fill="auto"/>
                  <w:vAlign w:val="center"/>
                </w:tcPr>
                <w:p w14:paraId="2FD91DFA">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375FCC9F">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60717E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52033E9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618500B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46787E5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C145罐头食品制造</w:t>
                  </w:r>
                </w:p>
              </w:tc>
              <w:tc>
                <w:tcPr>
                  <w:tcW w:w="465" w:type="pct"/>
                  <w:tcBorders>
                    <w:tl2br w:val="nil"/>
                    <w:tr2bl w:val="nil"/>
                  </w:tcBorders>
                  <w:shd w:val="clear" w:color="auto" w:fill="auto"/>
                  <w:vAlign w:val="center"/>
                </w:tcPr>
                <w:p w14:paraId="179382A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11074F1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351C43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7CFC51CA">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76DAB9A0">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40102A15">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C146调味品、发酵制品制造</w:t>
                  </w:r>
                </w:p>
              </w:tc>
              <w:tc>
                <w:tcPr>
                  <w:tcW w:w="465" w:type="pct"/>
                  <w:tcBorders>
                    <w:tl2br w:val="nil"/>
                    <w:tr2bl w:val="nil"/>
                  </w:tcBorders>
                  <w:shd w:val="clear" w:color="auto" w:fill="auto"/>
                  <w:vAlign w:val="center"/>
                </w:tcPr>
                <w:p w14:paraId="472B445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61E8A559">
                  <w:pPr>
                    <w:widowControl/>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r>
            <w:tr w14:paraId="17FE4D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18672AA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48DC01B0">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3B399F8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C149其他食品制造</w:t>
                  </w:r>
                </w:p>
              </w:tc>
              <w:tc>
                <w:tcPr>
                  <w:tcW w:w="465" w:type="pct"/>
                  <w:tcBorders>
                    <w:tl2br w:val="nil"/>
                    <w:tr2bl w:val="nil"/>
                  </w:tcBorders>
                  <w:shd w:val="clear" w:color="auto" w:fill="auto"/>
                  <w:vAlign w:val="center"/>
                </w:tcPr>
                <w:p w14:paraId="2CAA72D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22043F5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0D048F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11E4E65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restart"/>
                  <w:tcBorders>
                    <w:tl2br w:val="nil"/>
                    <w:tr2bl w:val="nil"/>
                  </w:tcBorders>
                  <w:shd w:val="clear" w:color="auto" w:fill="auto"/>
                  <w:vAlign w:val="center"/>
                </w:tcPr>
                <w:p w14:paraId="1565434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C15酒、饮料和精制茶制造业</w:t>
                  </w:r>
                </w:p>
              </w:tc>
              <w:tc>
                <w:tcPr>
                  <w:tcW w:w="1832" w:type="pct"/>
                  <w:tcBorders>
                    <w:tl2br w:val="nil"/>
                    <w:tr2bl w:val="nil"/>
                  </w:tcBorders>
                  <w:shd w:val="clear" w:color="auto" w:fill="auto"/>
                  <w:vAlign w:val="center"/>
                </w:tcPr>
                <w:p w14:paraId="68D343C0">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C151酒的制造</w:t>
                  </w:r>
                </w:p>
              </w:tc>
              <w:tc>
                <w:tcPr>
                  <w:tcW w:w="465" w:type="pct"/>
                  <w:tcBorders>
                    <w:tl2br w:val="nil"/>
                    <w:tr2bl w:val="nil"/>
                  </w:tcBorders>
                  <w:shd w:val="clear" w:color="auto" w:fill="auto"/>
                  <w:vAlign w:val="center"/>
                </w:tcPr>
                <w:p w14:paraId="0BDAFCBD">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6B1E85E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7AE71C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0300B54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4D363D1A">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34D2FB05">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C152饮料制造</w:t>
                  </w:r>
                </w:p>
              </w:tc>
              <w:tc>
                <w:tcPr>
                  <w:tcW w:w="465" w:type="pct"/>
                  <w:tcBorders>
                    <w:tl2br w:val="nil"/>
                    <w:tr2bl w:val="nil"/>
                  </w:tcBorders>
                  <w:shd w:val="clear" w:color="auto" w:fill="auto"/>
                  <w:vAlign w:val="center"/>
                </w:tcPr>
                <w:p w14:paraId="1CF4C0D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7497B42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30FF55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0F2FD1DF">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3893196D">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7E43340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C153精制茶加工</w:t>
                  </w:r>
                </w:p>
              </w:tc>
              <w:tc>
                <w:tcPr>
                  <w:tcW w:w="465" w:type="pct"/>
                  <w:tcBorders>
                    <w:tl2br w:val="nil"/>
                    <w:tr2bl w:val="nil"/>
                  </w:tcBorders>
                  <w:shd w:val="clear" w:color="auto" w:fill="auto"/>
                  <w:vAlign w:val="center"/>
                </w:tcPr>
                <w:p w14:paraId="732FCAA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0B7F62D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1385C0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restart"/>
                  <w:tcBorders>
                    <w:tl2br w:val="nil"/>
                    <w:tr2bl w:val="nil"/>
                  </w:tcBorders>
                  <w:shd w:val="clear" w:color="auto" w:fill="auto"/>
                  <w:vAlign w:val="center"/>
                </w:tcPr>
                <w:p w14:paraId="4E794A1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塑料制品</w:t>
                  </w:r>
                </w:p>
              </w:tc>
              <w:tc>
                <w:tcPr>
                  <w:tcW w:w="589" w:type="pct"/>
                  <w:vMerge w:val="restart"/>
                  <w:tcBorders>
                    <w:tl2br w:val="nil"/>
                    <w:tr2bl w:val="nil"/>
                  </w:tcBorders>
                  <w:shd w:val="clear" w:color="auto" w:fill="auto"/>
                  <w:vAlign w:val="center"/>
                </w:tcPr>
                <w:p w14:paraId="1E1C0E4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C29橡胶和塑料制品业</w:t>
                  </w:r>
                </w:p>
              </w:tc>
              <w:tc>
                <w:tcPr>
                  <w:tcW w:w="1832" w:type="pct"/>
                  <w:tcBorders>
                    <w:tl2br w:val="nil"/>
                    <w:tr2bl w:val="nil"/>
                  </w:tcBorders>
                  <w:shd w:val="clear" w:color="auto" w:fill="auto"/>
                  <w:vAlign w:val="center"/>
                </w:tcPr>
                <w:p w14:paraId="355C7CE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C291橡胶制品业</w:t>
                  </w:r>
                </w:p>
              </w:tc>
              <w:tc>
                <w:tcPr>
                  <w:tcW w:w="465" w:type="pct"/>
                  <w:tcBorders>
                    <w:tl2br w:val="nil"/>
                    <w:tr2bl w:val="nil"/>
                  </w:tcBorders>
                  <w:shd w:val="clear" w:color="auto" w:fill="auto"/>
                  <w:vAlign w:val="center"/>
                </w:tcPr>
                <w:p w14:paraId="383186B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tcBorders>
                    <w:tl2br w:val="nil"/>
                    <w:tr2bl w:val="nil"/>
                  </w:tcBorders>
                  <w:shd w:val="clear" w:color="auto" w:fill="auto"/>
                  <w:vAlign w:val="center"/>
                </w:tcPr>
                <w:p w14:paraId="5F09BC3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禁止C291橡胶制品业新增产能。</w:t>
                  </w:r>
                </w:p>
              </w:tc>
            </w:tr>
            <w:tr w14:paraId="664996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0D301B2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098E6955">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376BA44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C292塑料制品业</w:t>
                  </w:r>
                </w:p>
              </w:tc>
              <w:tc>
                <w:tcPr>
                  <w:tcW w:w="465" w:type="pct"/>
                  <w:tcBorders>
                    <w:tl2br w:val="nil"/>
                    <w:tr2bl w:val="nil"/>
                  </w:tcBorders>
                  <w:shd w:val="clear" w:color="auto" w:fill="auto"/>
                  <w:vAlign w:val="center"/>
                </w:tcPr>
                <w:p w14:paraId="37899BFF">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tcBorders>
                    <w:tl2br w:val="nil"/>
                    <w:tr2bl w:val="nil"/>
                  </w:tcBorders>
                  <w:shd w:val="clear" w:color="auto" w:fill="auto"/>
                  <w:vAlign w:val="center"/>
                </w:tcPr>
                <w:p w14:paraId="3532509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禁止C2924泡沫塑料制造新增产能。</w:t>
                  </w:r>
                </w:p>
              </w:tc>
            </w:tr>
            <w:tr w14:paraId="30593C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restart"/>
                  <w:tcBorders>
                    <w:tl2br w:val="nil"/>
                    <w:tr2bl w:val="nil"/>
                  </w:tcBorders>
                  <w:shd w:val="clear" w:color="auto" w:fill="auto"/>
                  <w:vAlign w:val="center"/>
                </w:tcPr>
                <w:p w14:paraId="3028456C">
                  <w:pPr>
                    <w:widowControl/>
                    <w:adjustRightInd w:val="0"/>
                    <w:snapToGrid w:val="0"/>
                    <w:jc w:val="center"/>
                    <w:textAlignment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新材料</w:t>
                  </w:r>
                </w:p>
              </w:tc>
              <w:tc>
                <w:tcPr>
                  <w:tcW w:w="589" w:type="pct"/>
                  <w:vMerge w:val="restart"/>
                  <w:tcBorders>
                    <w:tl2br w:val="nil"/>
                    <w:tr2bl w:val="nil"/>
                  </w:tcBorders>
                  <w:shd w:val="clear" w:color="auto" w:fill="auto"/>
                  <w:vAlign w:val="center"/>
                </w:tcPr>
                <w:p w14:paraId="13FC10A3">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C28化学纤维制造业</w:t>
                  </w:r>
                </w:p>
              </w:tc>
              <w:tc>
                <w:tcPr>
                  <w:tcW w:w="1832" w:type="pct"/>
                  <w:tcBorders>
                    <w:tl2br w:val="nil"/>
                    <w:tr2bl w:val="nil"/>
                  </w:tcBorders>
                  <w:shd w:val="clear" w:color="auto" w:fill="auto"/>
                  <w:vAlign w:val="center"/>
                </w:tcPr>
                <w:p w14:paraId="4816ECD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C281纤维素纤维原料及纤维制造</w:t>
                  </w:r>
                </w:p>
              </w:tc>
              <w:tc>
                <w:tcPr>
                  <w:tcW w:w="465" w:type="pct"/>
                  <w:tcBorders>
                    <w:tl2br w:val="nil"/>
                    <w:tr2bl w:val="nil"/>
                  </w:tcBorders>
                  <w:shd w:val="clear" w:color="auto" w:fill="auto"/>
                  <w:vAlign w:val="center"/>
                </w:tcPr>
                <w:p w14:paraId="3289EE9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restart"/>
                  <w:tcBorders>
                    <w:tl2br w:val="nil"/>
                    <w:tr2bl w:val="nil"/>
                  </w:tcBorders>
                  <w:shd w:val="clear" w:color="auto" w:fill="auto"/>
                  <w:vAlign w:val="center"/>
                </w:tcPr>
                <w:p w14:paraId="70921C6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r>
            <w:tr w14:paraId="693279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6A7B1E75">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104C5083">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5AB97B8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C282合成纤维制造</w:t>
                  </w:r>
                </w:p>
              </w:tc>
              <w:tc>
                <w:tcPr>
                  <w:tcW w:w="465" w:type="pct"/>
                  <w:tcBorders>
                    <w:tl2br w:val="nil"/>
                    <w:tr2bl w:val="nil"/>
                  </w:tcBorders>
                  <w:shd w:val="clear" w:color="auto" w:fill="auto"/>
                  <w:vAlign w:val="center"/>
                </w:tcPr>
                <w:p w14:paraId="18C5680D">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68358B6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01B564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50760B4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5B9B69A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7431E53D">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C283生物基材料制造</w:t>
                  </w:r>
                </w:p>
              </w:tc>
              <w:tc>
                <w:tcPr>
                  <w:tcW w:w="465" w:type="pct"/>
                  <w:tcBorders>
                    <w:tl2br w:val="nil"/>
                    <w:tr2bl w:val="nil"/>
                  </w:tcBorders>
                  <w:shd w:val="clear" w:color="auto" w:fill="auto"/>
                  <w:vAlign w:val="center"/>
                </w:tcPr>
                <w:p w14:paraId="39345BB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28AFF77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0BAF46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26E12FA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restart"/>
                  <w:tcBorders>
                    <w:tl2br w:val="nil"/>
                    <w:tr2bl w:val="nil"/>
                  </w:tcBorders>
                  <w:shd w:val="clear" w:color="auto" w:fill="auto"/>
                  <w:vAlign w:val="center"/>
                </w:tcPr>
                <w:p w14:paraId="27EDECF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C30非金属矿物制品业</w:t>
                  </w:r>
                </w:p>
              </w:tc>
              <w:tc>
                <w:tcPr>
                  <w:tcW w:w="1832" w:type="pct"/>
                  <w:tcBorders>
                    <w:tl2br w:val="nil"/>
                    <w:tr2bl w:val="nil"/>
                  </w:tcBorders>
                  <w:shd w:val="clear" w:color="auto" w:fill="auto"/>
                  <w:vAlign w:val="center"/>
                </w:tcPr>
                <w:p w14:paraId="6DA9962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C301水泥、石灰和石膏制造</w:t>
                  </w:r>
                </w:p>
              </w:tc>
              <w:tc>
                <w:tcPr>
                  <w:tcW w:w="465" w:type="pct"/>
                  <w:tcBorders>
                    <w:tl2br w:val="nil"/>
                    <w:tr2bl w:val="nil"/>
                  </w:tcBorders>
                  <w:shd w:val="clear" w:color="auto" w:fill="auto"/>
                  <w:vAlign w:val="center"/>
                </w:tcPr>
                <w:p w14:paraId="1DF233C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tcBorders>
                    <w:tl2br w:val="nil"/>
                    <w:tr2bl w:val="nil"/>
                  </w:tcBorders>
                  <w:shd w:val="clear" w:color="auto" w:fill="auto"/>
                  <w:vAlign w:val="center"/>
                </w:tcPr>
                <w:p w14:paraId="6FB8480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r>
            <w:tr w14:paraId="17C334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5E3DCFA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0454AEFD">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3FC9C78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C302石膏、水泥制品及类似制品制造</w:t>
                  </w:r>
                </w:p>
              </w:tc>
              <w:tc>
                <w:tcPr>
                  <w:tcW w:w="465" w:type="pct"/>
                  <w:tcBorders>
                    <w:tl2br w:val="nil"/>
                    <w:tr2bl w:val="nil"/>
                  </w:tcBorders>
                  <w:shd w:val="clear" w:color="auto" w:fill="auto"/>
                  <w:vAlign w:val="center"/>
                </w:tcPr>
                <w:p w14:paraId="3AF9231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tcBorders>
                    <w:tl2br w:val="nil"/>
                    <w:tr2bl w:val="nil"/>
                  </w:tcBorders>
                  <w:shd w:val="clear" w:color="auto" w:fill="auto"/>
                  <w:vAlign w:val="center"/>
                </w:tcPr>
                <w:p w14:paraId="02C341E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C302石膏、水泥制品及类似制品制造属于现行《产业结构调整指导目录》等国家政策中鼓励类的产品允许进入，其他石膏、水泥制品及类似制品均禁止进入。</w:t>
                  </w:r>
                </w:p>
              </w:tc>
            </w:tr>
            <w:tr w14:paraId="24E867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36C1CB39">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439E277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255BFCCF">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C303砖瓦、石材等建筑材料制造</w:t>
                  </w:r>
                </w:p>
              </w:tc>
              <w:tc>
                <w:tcPr>
                  <w:tcW w:w="465" w:type="pct"/>
                  <w:tcBorders>
                    <w:tl2br w:val="nil"/>
                    <w:tr2bl w:val="nil"/>
                  </w:tcBorders>
                  <w:shd w:val="clear" w:color="auto" w:fill="auto"/>
                  <w:vAlign w:val="center"/>
                </w:tcPr>
                <w:p w14:paraId="54FE541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tcBorders>
                    <w:tl2br w:val="nil"/>
                    <w:tr2bl w:val="nil"/>
                  </w:tcBorders>
                  <w:shd w:val="clear" w:color="auto" w:fill="auto"/>
                  <w:vAlign w:val="center"/>
                </w:tcPr>
                <w:p w14:paraId="3BED97E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r>
            <w:tr w14:paraId="183CD4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02CB44C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4B1948F3">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24106BE5">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C304玻璃制造</w:t>
                  </w:r>
                </w:p>
              </w:tc>
              <w:tc>
                <w:tcPr>
                  <w:tcW w:w="465" w:type="pct"/>
                  <w:tcBorders>
                    <w:tl2br w:val="nil"/>
                    <w:tr2bl w:val="nil"/>
                  </w:tcBorders>
                  <w:shd w:val="clear" w:color="auto" w:fill="auto"/>
                  <w:vAlign w:val="center"/>
                </w:tcPr>
                <w:p w14:paraId="250803F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tcBorders>
                    <w:tl2br w:val="nil"/>
                    <w:tr2bl w:val="nil"/>
                  </w:tcBorders>
                  <w:shd w:val="clear" w:color="auto" w:fill="auto"/>
                  <w:vAlign w:val="center"/>
                </w:tcPr>
                <w:p w14:paraId="3F8CD10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禁止“两高”项目进入。</w:t>
                  </w:r>
                </w:p>
              </w:tc>
            </w:tr>
            <w:tr w14:paraId="46917E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709E4D5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04099258">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7E3FF323">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C305玻璃制品制造</w:t>
                  </w:r>
                </w:p>
              </w:tc>
              <w:tc>
                <w:tcPr>
                  <w:tcW w:w="465" w:type="pct"/>
                  <w:tcBorders>
                    <w:tl2br w:val="nil"/>
                    <w:tr2bl w:val="nil"/>
                  </w:tcBorders>
                  <w:shd w:val="clear" w:color="auto" w:fill="auto"/>
                  <w:vAlign w:val="center"/>
                </w:tcPr>
                <w:p w14:paraId="765F764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tcBorders>
                    <w:tl2br w:val="nil"/>
                    <w:tr2bl w:val="nil"/>
                  </w:tcBorders>
                  <w:shd w:val="clear" w:color="auto" w:fill="auto"/>
                  <w:vAlign w:val="center"/>
                </w:tcPr>
                <w:p w14:paraId="47489539">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r>
            <w:tr w14:paraId="2A2BC3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569DAA7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79A166BA">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3FEEE30F">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C306玻璃纤维和玻璃纤维增强塑料制品制造</w:t>
                  </w:r>
                </w:p>
              </w:tc>
              <w:tc>
                <w:tcPr>
                  <w:tcW w:w="465" w:type="pct"/>
                  <w:tcBorders>
                    <w:tl2br w:val="nil"/>
                    <w:tr2bl w:val="nil"/>
                  </w:tcBorders>
                  <w:shd w:val="clear" w:color="auto" w:fill="auto"/>
                  <w:vAlign w:val="center"/>
                </w:tcPr>
                <w:p w14:paraId="4A898918">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tcBorders>
                    <w:tl2br w:val="nil"/>
                    <w:tr2bl w:val="nil"/>
                  </w:tcBorders>
                  <w:shd w:val="clear" w:color="auto" w:fill="auto"/>
                  <w:vAlign w:val="center"/>
                </w:tcPr>
                <w:p w14:paraId="195D44F9">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r>
            <w:tr w14:paraId="4EC380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6BF6C99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75A01DAF">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1A9FCA9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C307陶瓷制品</w:t>
                  </w:r>
                </w:p>
              </w:tc>
              <w:tc>
                <w:tcPr>
                  <w:tcW w:w="465" w:type="pct"/>
                  <w:tcBorders>
                    <w:tl2br w:val="nil"/>
                    <w:tr2bl w:val="nil"/>
                  </w:tcBorders>
                  <w:shd w:val="clear" w:color="auto" w:fill="auto"/>
                  <w:vAlign w:val="center"/>
                </w:tcPr>
                <w:p w14:paraId="7F2B109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tcBorders>
                    <w:tl2br w:val="nil"/>
                    <w:tr2bl w:val="nil"/>
                  </w:tcBorders>
                  <w:shd w:val="clear" w:color="auto" w:fill="auto"/>
                  <w:vAlign w:val="center"/>
                </w:tcPr>
                <w:p w14:paraId="32284A9F">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禁止“两高”项目进入。</w:t>
                  </w:r>
                </w:p>
              </w:tc>
            </w:tr>
            <w:tr w14:paraId="6C650F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3D29F27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0D4844A9">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287EB10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C308耐火材料制品制造</w:t>
                  </w:r>
                </w:p>
              </w:tc>
              <w:tc>
                <w:tcPr>
                  <w:tcW w:w="465" w:type="pct"/>
                  <w:tcBorders>
                    <w:tl2br w:val="nil"/>
                    <w:tr2bl w:val="nil"/>
                  </w:tcBorders>
                  <w:shd w:val="clear" w:color="auto" w:fill="auto"/>
                  <w:vAlign w:val="center"/>
                </w:tcPr>
                <w:p w14:paraId="1F5B3FA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tcBorders>
                    <w:tl2br w:val="nil"/>
                    <w:tr2bl w:val="nil"/>
                  </w:tcBorders>
                  <w:shd w:val="clear" w:color="auto" w:fill="auto"/>
                  <w:vAlign w:val="center"/>
                </w:tcPr>
                <w:p w14:paraId="0AA4B94A">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C308耐火材料制品制造属于现行《产业结构调整指导目录》等国家政策中鼓励类的耐火材料产品允许进入，其他耐火材料产品均禁止进入。</w:t>
                  </w:r>
                </w:p>
              </w:tc>
            </w:tr>
            <w:tr w14:paraId="360E21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7C0C626A">
                  <w:pPr>
                    <w:rPr>
                      <w:rFonts w:hint="default" w:ascii="Times New Roman" w:hAnsi="Times New Roman" w:eastAsia="宋体" w:cs="Times New Roman"/>
                      <w:color w:val="000000" w:themeColor="text1"/>
                      <w14:textFill>
                        <w14:solidFill>
                          <w14:schemeClr w14:val="tx1"/>
                        </w14:solidFill>
                      </w14:textFill>
                    </w:rPr>
                  </w:pPr>
                </w:p>
              </w:tc>
              <w:tc>
                <w:tcPr>
                  <w:tcW w:w="589" w:type="pct"/>
                  <w:vMerge w:val="continue"/>
                  <w:tcBorders>
                    <w:tl2br w:val="nil"/>
                    <w:tr2bl w:val="nil"/>
                  </w:tcBorders>
                  <w:shd w:val="clear" w:color="auto" w:fill="auto"/>
                  <w:vAlign w:val="center"/>
                </w:tcPr>
                <w:p w14:paraId="02287CB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664523DD">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C309石墨及其他非金属矿物制品制造</w:t>
                  </w:r>
                </w:p>
              </w:tc>
              <w:tc>
                <w:tcPr>
                  <w:tcW w:w="465" w:type="pct"/>
                  <w:tcBorders>
                    <w:tl2br w:val="nil"/>
                    <w:tr2bl w:val="nil"/>
                  </w:tcBorders>
                  <w:shd w:val="clear" w:color="auto" w:fill="auto"/>
                  <w:vAlign w:val="center"/>
                </w:tcPr>
                <w:p w14:paraId="057DB5A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tcBorders>
                    <w:tl2br w:val="nil"/>
                    <w:tr2bl w:val="nil"/>
                  </w:tcBorders>
                  <w:shd w:val="clear" w:color="auto" w:fill="auto"/>
                  <w:vAlign w:val="center"/>
                </w:tcPr>
                <w:p w14:paraId="42AE5C0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r>
            <w:tr w14:paraId="7B5A3F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restart"/>
                  <w:tcBorders>
                    <w:tl2br w:val="nil"/>
                    <w:tr2bl w:val="nil"/>
                  </w:tcBorders>
                  <w:shd w:val="clear" w:color="auto" w:fill="auto"/>
                  <w:vAlign w:val="center"/>
                </w:tcPr>
                <w:p w14:paraId="5732E54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装备制造业*</w:t>
                  </w:r>
                </w:p>
              </w:tc>
              <w:tc>
                <w:tcPr>
                  <w:tcW w:w="2421" w:type="pct"/>
                  <w:gridSpan w:val="2"/>
                  <w:tcBorders>
                    <w:tl2br w:val="nil"/>
                    <w:tr2bl w:val="nil"/>
                  </w:tcBorders>
                  <w:shd w:val="clear" w:color="auto" w:fill="auto"/>
                  <w:vAlign w:val="center"/>
                </w:tcPr>
                <w:p w14:paraId="5693872C">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C33金属制品业</w:t>
                  </w:r>
                </w:p>
              </w:tc>
              <w:tc>
                <w:tcPr>
                  <w:tcW w:w="465" w:type="pct"/>
                  <w:tcBorders>
                    <w:tl2br w:val="nil"/>
                    <w:tr2bl w:val="nil"/>
                  </w:tcBorders>
                  <w:shd w:val="clear" w:color="auto" w:fill="auto"/>
                  <w:vAlign w:val="center"/>
                </w:tcPr>
                <w:p w14:paraId="74B598C5">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w:t>
                  </w:r>
                </w:p>
              </w:tc>
              <w:tc>
                <w:tcPr>
                  <w:tcW w:w="1657" w:type="pct"/>
                  <w:tcBorders>
                    <w:tl2br w:val="nil"/>
                    <w:tr2bl w:val="nil"/>
                  </w:tcBorders>
                  <w:shd w:val="clear" w:color="auto" w:fill="auto"/>
                  <w:vAlign w:val="center"/>
                </w:tcPr>
                <w:p w14:paraId="75B2AC15">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①禁止C3391黑色金属铸造和C3392有色金属铸造进入；</w:t>
                  </w:r>
                </w:p>
                <w:p w14:paraId="62809ED5">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②废水涉及一类重金属废水排放的禁止进入。</w:t>
                  </w:r>
                </w:p>
              </w:tc>
            </w:tr>
            <w:tr w14:paraId="3149C3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503B325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2421" w:type="pct"/>
                  <w:gridSpan w:val="2"/>
                  <w:tcBorders>
                    <w:tl2br w:val="nil"/>
                    <w:tr2bl w:val="nil"/>
                  </w:tcBorders>
                  <w:shd w:val="clear" w:color="auto" w:fill="auto"/>
                  <w:vAlign w:val="center"/>
                </w:tcPr>
                <w:p w14:paraId="0A07AEB2">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C34通用设备制造业</w:t>
                  </w:r>
                </w:p>
              </w:tc>
              <w:tc>
                <w:tcPr>
                  <w:tcW w:w="465" w:type="pct"/>
                  <w:tcBorders>
                    <w:tl2br w:val="nil"/>
                    <w:tr2bl w:val="nil"/>
                  </w:tcBorders>
                  <w:shd w:val="clear" w:color="auto" w:fill="auto"/>
                  <w:vAlign w:val="center"/>
                </w:tcPr>
                <w:p w14:paraId="63C589C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w:t>
                  </w:r>
                </w:p>
              </w:tc>
              <w:tc>
                <w:tcPr>
                  <w:tcW w:w="1657" w:type="pct"/>
                  <w:vMerge w:val="restart"/>
                  <w:tcBorders>
                    <w:tl2br w:val="nil"/>
                    <w:tr2bl w:val="nil"/>
                  </w:tcBorders>
                  <w:shd w:val="clear" w:color="auto" w:fill="auto"/>
                  <w:vAlign w:val="center"/>
                </w:tcPr>
                <w:p w14:paraId="2C436A1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废水涉及一类重金属废水排放的禁止进入。</w:t>
                  </w:r>
                </w:p>
              </w:tc>
            </w:tr>
            <w:tr w14:paraId="53ECF9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75D198D8">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2421" w:type="pct"/>
                  <w:gridSpan w:val="2"/>
                  <w:tcBorders>
                    <w:tl2br w:val="nil"/>
                    <w:tr2bl w:val="nil"/>
                  </w:tcBorders>
                  <w:shd w:val="clear" w:color="auto" w:fill="auto"/>
                  <w:vAlign w:val="center"/>
                </w:tcPr>
                <w:p w14:paraId="04E18E35">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C35专用设备制造业</w:t>
                  </w:r>
                </w:p>
              </w:tc>
              <w:tc>
                <w:tcPr>
                  <w:tcW w:w="465" w:type="pct"/>
                  <w:tcBorders>
                    <w:tl2br w:val="nil"/>
                    <w:tr2bl w:val="nil"/>
                  </w:tcBorders>
                  <w:shd w:val="clear" w:color="auto" w:fill="auto"/>
                  <w:vAlign w:val="center"/>
                </w:tcPr>
                <w:p w14:paraId="5C1944E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5075D80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61F591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453914D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2421" w:type="pct"/>
                  <w:gridSpan w:val="2"/>
                  <w:tcBorders>
                    <w:tl2br w:val="nil"/>
                    <w:tr2bl w:val="nil"/>
                  </w:tcBorders>
                  <w:shd w:val="clear" w:color="auto" w:fill="auto"/>
                  <w:vAlign w:val="center"/>
                </w:tcPr>
                <w:p w14:paraId="39E0E88D">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C36汽车制造业</w:t>
                  </w:r>
                </w:p>
              </w:tc>
              <w:tc>
                <w:tcPr>
                  <w:tcW w:w="465" w:type="pct"/>
                  <w:tcBorders>
                    <w:tl2br w:val="nil"/>
                    <w:tr2bl w:val="nil"/>
                  </w:tcBorders>
                  <w:shd w:val="clear" w:color="auto" w:fill="auto"/>
                  <w:vAlign w:val="center"/>
                </w:tcPr>
                <w:p w14:paraId="04463368">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142EC98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329970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24D39089">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2421" w:type="pct"/>
                  <w:gridSpan w:val="2"/>
                  <w:tcBorders>
                    <w:tl2br w:val="nil"/>
                    <w:tr2bl w:val="nil"/>
                  </w:tcBorders>
                  <w:shd w:val="clear" w:color="auto" w:fill="auto"/>
                  <w:vAlign w:val="center"/>
                </w:tcPr>
                <w:p w14:paraId="635CAAA3">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C37铁路、船舶、航空航天和其他运输设备制造业</w:t>
                  </w:r>
                </w:p>
              </w:tc>
              <w:tc>
                <w:tcPr>
                  <w:tcW w:w="465" w:type="pct"/>
                  <w:tcBorders>
                    <w:tl2br w:val="nil"/>
                    <w:tr2bl w:val="nil"/>
                  </w:tcBorders>
                  <w:shd w:val="clear" w:color="auto" w:fill="auto"/>
                  <w:vAlign w:val="center"/>
                </w:tcPr>
                <w:p w14:paraId="750B2B5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488BB48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6AAE9C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4388D5B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2421" w:type="pct"/>
                  <w:gridSpan w:val="2"/>
                  <w:tcBorders>
                    <w:tl2br w:val="nil"/>
                    <w:tr2bl w:val="nil"/>
                  </w:tcBorders>
                  <w:shd w:val="clear" w:color="auto" w:fill="auto"/>
                  <w:vAlign w:val="center"/>
                </w:tcPr>
                <w:p w14:paraId="737CA420">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C38电气机械和器材制造业</w:t>
                  </w:r>
                </w:p>
              </w:tc>
              <w:tc>
                <w:tcPr>
                  <w:tcW w:w="465" w:type="pct"/>
                  <w:tcBorders>
                    <w:tl2br w:val="nil"/>
                    <w:tr2bl w:val="nil"/>
                  </w:tcBorders>
                  <w:shd w:val="clear" w:color="auto" w:fill="auto"/>
                  <w:vAlign w:val="center"/>
                </w:tcPr>
                <w:p w14:paraId="0FB1521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20A8115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15DAD8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47B065A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2421" w:type="pct"/>
                  <w:gridSpan w:val="2"/>
                  <w:tcBorders>
                    <w:tl2br w:val="nil"/>
                    <w:tr2bl w:val="nil"/>
                  </w:tcBorders>
                  <w:shd w:val="clear" w:color="auto" w:fill="auto"/>
                  <w:vAlign w:val="center"/>
                </w:tcPr>
                <w:p w14:paraId="5537E240">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C39计算机、通信和其他电子设备制造业</w:t>
                  </w:r>
                </w:p>
              </w:tc>
              <w:tc>
                <w:tcPr>
                  <w:tcW w:w="465" w:type="pct"/>
                  <w:tcBorders>
                    <w:tl2br w:val="nil"/>
                    <w:tr2bl w:val="nil"/>
                  </w:tcBorders>
                  <w:shd w:val="clear" w:color="auto" w:fill="auto"/>
                  <w:vAlign w:val="center"/>
                </w:tcPr>
                <w:p w14:paraId="5BEF886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0F5047B0">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7CCE5E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restart"/>
                  <w:tcBorders>
                    <w:tl2br w:val="nil"/>
                    <w:tr2bl w:val="nil"/>
                  </w:tcBorders>
                  <w:shd w:val="clear" w:color="auto" w:fill="auto"/>
                  <w:vAlign w:val="center"/>
                </w:tcPr>
                <w:p w14:paraId="07BEA3C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其他行业</w:t>
                  </w:r>
                </w:p>
              </w:tc>
              <w:tc>
                <w:tcPr>
                  <w:tcW w:w="2421" w:type="pct"/>
                  <w:gridSpan w:val="2"/>
                  <w:tcBorders>
                    <w:tl2br w:val="nil"/>
                    <w:tr2bl w:val="nil"/>
                  </w:tcBorders>
                  <w:shd w:val="clear" w:color="auto" w:fill="auto"/>
                  <w:vAlign w:val="center"/>
                </w:tcPr>
                <w:p w14:paraId="379CD43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C21家具制造业</w:t>
                  </w:r>
                </w:p>
              </w:tc>
              <w:tc>
                <w:tcPr>
                  <w:tcW w:w="465" w:type="pct"/>
                  <w:tcBorders>
                    <w:tl2br w:val="nil"/>
                    <w:tr2bl w:val="nil"/>
                  </w:tcBorders>
                  <w:shd w:val="clear" w:color="auto" w:fill="auto"/>
                  <w:vAlign w:val="center"/>
                </w:tcPr>
                <w:p w14:paraId="168534A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tcBorders>
                    <w:tl2br w:val="nil"/>
                    <w:tr2bl w:val="nil"/>
                  </w:tcBorders>
                  <w:shd w:val="clear" w:color="auto" w:fill="auto"/>
                  <w:vAlign w:val="center"/>
                </w:tcPr>
                <w:p w14:paraId="0F4247EF">
                  <w:pPr>
                    <w:widowControl/>
                    <w:adjustRightInd w:val="0"/>
                    <w:snapToGrid w:val="0"/>
                    <w:jc w:val="center"/>
                    <w:textAlignment w:val="center"/>
                    <w:rPr>
                      <w:rFonts w:hint="default" w:ascii="Times New Roman" w:hAnsi="Times New Roman" w:eastAsia="宋体" w:cs="Times New Roman"/>
                      <w:color w:val="000000" w:themeColor="text1"/>
                      <w:kern w:val="0"/>
                      <w:szCs w:val="21"/>
                      <w:lang w:bidi="ar"/>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废水涉及一类重金属废水排放的禁止进入。</w:t>
                  </w:r>
                </w:p>
              </w:tc>
            </w:tr>
            <w:tr w14:paraId="4903EC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13FB552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restart"/>
                  <w:tcBorders>
                    <w:tl2br w:val="nil"/>
                    <w:tr2bl w:val="nil"/>
                  </w:tcBorders>
                  <w:shd w:val="clear" w:color="auto" w:fill="auto"/>
                  <w:vAlign w:val="center"/>
                </w:tcPr>
                <w:p w14:paraId="2BFF25D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C26化学原料和化学制品制造业</w:t>
                  </w:r>
                </w:p>
              </w:tc>
              <w:tc>
                <w:tcPr>
                  <w:tcW w:w="1832" w:type="pct"/>
                  <w:tcBorders>
                    <w:tl2br w:val="nil"/>
                    <w:tr2bl w:val="nil"/>
                  </w:tcBorders>
                  <w:shd w:val="clear" w:color="auto" w:fill="auto"/>
                  <w:vAlign w:val="center"/>
                </w:tcPr>
                <w:p w14:paraId="765C87E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C261基础化学原料制造</w:t>
                  </w:r>
                </w:p>
              </w:tc>
              <w:tc>
                <w:tcPr>
                  <w:tcW w:w="465" w:type="pct"/>
                  <w:tcBorders>
                    <w:tl2br w:val="nil"/>
                    <w:tr2bl w:val="nil"/>
                  </w:tcBorders>
                  <w:shd w:val="clear" w:color="auto" w:fill="auto"/>
                  <w:vAlign w:val="center"/>
                </w:tcPr>
                <w:p w14:paraId="56D72D25">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restart"/>
                  <w:tcBorders>
                    <w:tl2br w:val="nil"/>
                    <w:tr2bl w:val="nil"/>
                  </w:tcBorders>
                  <w:shd w:val="clear" w:color="auto" w:fill="auto"/>
                  <w:vAlign w:val="center"/>
                </w:tcPr>
                <w:p w14:paraId="17EBB82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kern w:val="0"/>
                      <w:szCs w:val="21"/>
                      <w:lang w:bidi="ar"/>
                      <w14:textFill>
                        <w14:solidFill>
                          <w14:schemeClr w14:val="tx1"/>
                        </w14:solidFill>
                      </w14:textFill>
                    </w:rPr>
                    <w:t>单纯物理分离、物理提纯、混合、分装等（即不涉及化学反应）的非危险化学品，且满足《山东省化工行业投资项目管理规定》相关要求的项目</w:t>
                  </w:r>
                  <w:r>
                    <w:rPr>
                      <w:rFonts w:hint="default" w:ascii="Times New Roman" w:hAnsi="Times New Roman" w:eastAsia="宋体" w:cs="Times New Roman"/>
                      <w:color w:val="000000" w:themeColor="text1"/>
                      <w:szCs w:val="21"/>
                      <w14:textFill>
                        <w14:solidFill>
                          <w14:schemeClr w14:val="tx1"/>
                        </w14:solidFill>
                      </w14:textFill>
                    </w:rPr>
                    <w:t>允许进入。</w:t>
                  </w:r>
                </w:p>
              </w:tc>
            </w:tr>
            <w:tr w14:paraId="30F99D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3692305F">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2156826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0ED4A33A">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C262肥料制造</w:t>
                  </w:r>
                </w:p>
              </w:tc>
              <w:tc>
                <w:tcPr>
                  <w:tcW w:w="465" w:type="pct"/>
                  <w:tcBorders>
                    <w:tl2br w:val="nil"/>
                    <w:tr2bl w:val="nil"/>
                  </w:tcBorders>
                  <w:shd w:val="clear" w:color="auto" w:fill="auto"/>
                  <w:vAlign w:val="center"/>
                </w:tcPr>
                <w:p w14:paraId="0E868F5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5B35909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287666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73209448">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43E57ED9">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56402BDD">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C263农药制造</w:t>
                  </w:r>
                </w:p>
              </w:tc>
              <w:tc>
                <w:tcPr>
                  <w:tcW w:w="465" w:type="pct"/>
                  <w:tcBorders>
                    <w:tl2br w:val="nil"/>
                    <w:tr2bl w:val="nil"/>
                  </w:tcBorders>
                  <w:shd w:val="clear" w:color="auto" w:fill="auto"/>
                  <w:vAlign w:val="center"/>
                </w:tcPr>
                <w:p w14:paraId="76DF9FBD">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7C00096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65CB57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6147167D">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7F36990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6C9925F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C264涂料、油墨、颜料及类似产品制造</w:t>
                  </w:r>
                </w:p>
              </w:tc>
              <w:tc>
                <w:tcPr>
                  <w:tcW w:w="465" w:type="pct"/>
                  <w:tcBorders>
                    <w:tl2br w:val="nil"/>
                    <w:tr2bl w:val="nil"/>
                  </w:tcBorders>
                  <w:shd w:val="clear" w:color="auto" w:fill="auto"/>
                  <w:vAlign w:val="center"/>
                </w:tcPr>
                <w:p w14:paraId="4A5243C8">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50FF1B68">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21F032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44DA2125">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7F365CF5">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63991F0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C265合成材料制造</w:t>
                  </w:r>
                </w:p>
              </w:tc>
              <w:tc>
                <w:tcPr>
                  <w:tcW w:w="465" w:type="pct"/>
                  <w:tcBorders>
                    <w:tl2br w:val="nil"/>
                    <w:tr2bl w:val="nil"/>
                  </w:tcBorders>
                  <w:shd w:val="clear" w:color="auto" w:fill="auto"/>
                  <w:vAlign w:val="center"/>
                </w:tcPr>
                <w:p w14:paraId="0447813F">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4636087B">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351B28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16C1938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1B44ADAF">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34C7C2A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C266专用化学产品制造</w:t>
                  </w:r>
                </w:p>
              </w:tc>
              <w:tc>
                <w:tcPr>
                  <w:tcW w:w="465" w:type="pct"/>
                  <w:tcBorders>
                    <w:tl2br w:val="nil"/>
                    <w:tr2bl w:val="nil"/>
                  </w:tcBorders>
                  <w:shd w:val="clear" w:color="auto" w:fill="auto"/>
                  <w:vAlign w:val="center"/>
                </w:tcPr>
                <w:p w14:paraId="6E845836">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66390900">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383A1F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6DF65EB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1F9C184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425B28A4">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C267炸药、火工及焰火产品制造</w:t>
                  </w:r>
                </w:p>
              </w:tc>
              <w:tc>
                <w:tcPr>
                  <w:tcW w:w="465" w:type="pct"/>
                  <w:tcBorders>
                    <w:tl2br w:val="nil"/>
                    <w:tr2bl w:val="nil"/>
                  </w:tcBorders>
                  <w:shd w:val="clear" w:color="auto" w:fill="auto"/>
                  <w:vAlign w:val="center"/>
                </w:tcPr>
                <w:p w14:paraId="3E32E9CE">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42404F97">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121D59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55" w:type="pct"/>
                  <w:vMerge w:val="continue"/>
                  <w:tcBorders>
                    <w:tl2br w:val="nil"/>
                    <w:tr2bl w:val="nil"/>
                  </w:tcBorders>
                  <w:shd w:val="clear" w:color="auto" w:fill="auto"/>
                  <w:vAlign w:val="center"/>
                </w:tcPr>
                <w:p w14:paraId="28E40F43">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589" w:type="pct"/>
                  <w:vMerge w:val="continue"/>
                  <w:tcBorders>
                    <w:tl2br w:val="nil"/>
                    <w:tr2bl w:val="nil"/>
                  </w:tcBorders>
                  <w:shd w:val="clear" w:color="auto" w:fill="auto"/>
                  <w:vAlign w:val="center"/>
                </w:tcPr>
                <w:p w14:paraId="502A51D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c>
                <w:tcPr>
                  <w:tcW w:w="1832" w:type="pct"/>
                  <w:tcBorders>
                    <w:tl2br w:val="nil"/>
                    <w:tr2bl w:val="nil"/>
                  </w:tcBorders>
                  <w:shd w:val="clear" w:color="auto" w:fill="auto"/>
                  <w:vAlign w:val="center"/>
                </w:tcPr>
                <w:p w14:paraId="02933A92">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C268日用化学产品制造</w:t>
                  </w:r>
                </w:p>
              </w:tc>
              <w:tc>
                <w:tcPr>
                  <w:tcW w:w="465" w:type="pct"/>
                  <w:tcBorders>
                    <w:tl2br w:val="nil"/>
                    <w:tr2bl w:val="nil"/>
                  </w:tcBorders>
                  <w:shd w:val="clear" w:color="auto" w:fill="auto"/>
                  <w:vAlign w:val="center"/>
                </w:tcPr>
                <w:p w14:paraId="653A97C1">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57" w:type="pct"/>
                  <w:vMerge w:val="continue"/>
                  <w:tcBorders>
                    <w:tl2br w:val="nil"/>
                    <w:tr2bl w:val="nil"/>
                  </w:tcBorders>
                  <w:shd w:val="clear" w:color="auto" w:fill="auto"/>
                  <w:vAlign w:val="center"/>
                </w:tcPr>
                <w:p w14:paraId="13DCA11C">
                  <w:pPr>
                    <w:widowControl/>
                    <w:adjustRightInd w:val="0"/>
                    <w:snapToGrid w:val="0"/>
                    <w:jc w:val="center"/>
                    <w:textAlignment w:val="center"/>
                    <w:rPr>
                      <w:rFonts w:hint="default" w:ascii="Times New Roman" w:hAnsi="Times New Roman" w:eastAsia="宋体" w:cs="Times New Roman"/>
                      <w:color w:val="000000" w:themeColor="text1"/>
                      <w:szCs w:val="21"/>
                      <w14:textFill>
                        <w14:solidFill>
                          <w14:schemeClr w14:val="tx1"/>
                        </w14:solidFill>
                      </w14:textFill>
                    </w:rPr>
                  </w:pPr>
                </w:p>
              </w:tc>
            </w:tr>
            <w:tr w14:paraId="2456F2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00" w:type="pct"/>
                  <w:gridSpan w:val="5"/>
                  <w:tcBorders>
                    <w:tl2br w:val="nil"/>
                    <w:tr2bl w:val="nil"/>
                  </w:tcBorders>
                  <w:shd w:val="clear" w:color="auto" w:fill="auto"/>
                  <w:vAlign w:val="center"/>
                </w:tcPr>
                <w:p w14:paraId="0AEE5C89">
                  <w:pPr>
                    <w:widowControl/>
                    <w:adjustRightInd w:val="0"/>
                    <w:snapToGrid w:val="0"/>
                    <w:jc w:val="left"/>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注：（1）控制建议：允许发展——√；控制发展——▲；禁止进入——×。</w:t>
                  </w:r>
                </w:p>
                <w:p w14:paraId="75609D34">
                  <w:pPr>
                    <w:widowControl/>
                    <w:adjustRightInd w:val="0"/>
                    <w:snapToGrid w:val="0"/>
                    <w:jc w:val="left"/>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国家法律法规明令淘汰、限制，不符合生态环境准入清单要求，不符合国家安全、环保、能耗、水耗、质量方面强制性标准，不符合国际环境公约等要求的落后生产工艺、落后装备和落后产品一律禁止进入。</w:t>
                  </w:r>
                </w:p>
                <w:p w14:paraId="167BBEE4">
                  <w:pPr>
                    <w:widowControl/>
                    <w:adjustRightInd w:val="0"/>
                    <w:snapToGrid w:val="0"/>
                    <w:jc w:val="left"/>
                    <w:textAlignment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（3）禁止新建低于各行业能效水平中基准水平的生产项目，以及不满足各行业清洁生产评价指标体系中一般清洁水平。</w:t>
                  </w:r>
                </w:p>
              </w:tc>
            </w:tr>
          </w:tbl>
          <w:p w14:paraId="36B4BCA9">
            <w:pPr>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产业政策中限制类、淘汰类禁止准入，除表中列出的具体行业外，其他国家产业政策鼓励的高新技术产业、省市重点项目可视情况具体分析确定是否允许准入。结合现有工业基础，有利于区域工业产业链延伸的项目，可引进污染较少的相关配套产业。随着政策环境的变化以及集聚区发展的需要，如果符合国家及地方产业政策要求，并且生产过程中所用原料无毒害、环境影响较小或无污染的项目允许进入集聚区。</w:t>
            </w:r>
          </w:p>
          <w:p w14:paraId="4DDA1C1D">
            <w:pPr>
              <w:spacing w:line="360" w:lineRule="auto"/>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本项目位于集聚区规划范围内，项目产品为聚乙烯蜡，属于C2661 化学试剂和助剂制造，</w:t>
            </w:r>
            <w:r>
              <w:rPr>
                <w:rFonts w:hint="eastAsia" w:cs="Times New Roman"/>
                <w:color w:val="000000" w:themeColor="text1"/>
                <w:sz w:val="24"/>
                <w:lang w:val="en-US" w:eastAsia="zh-CN"/>
                <w14:textFill>
                  <w14:solidFill>
                    <w14:schemeClr w14:val="tx1"/>
                  </w14:solidFill>
                </w14:textFill>
              </w:rPr>
              <w:t>生产工艺为物理混合、不涉及化学反</w:t>
            </w:r>
            <w:r>
              <w:rPr>
                <w:rFonts w:hint="eastAsia" w:ascii="Times New Roman" w:hAnsi="Times New Roman" w:eastAsia="宋体" w:cs="Times New Roman"/>
                <w:color w:val="000000" w:themeColor="text1"/>
                <w:sz w:val="24"/>
                <w:lang w:val="en-US" w:eastAsia="zh-CN"/>
                <w14:textFill>
                  <w14:solidFill>
                    <w14:schemeClr w14:val="tx1"/>
                  </w14:solidFill>
                </w14:textFill>
              </w:rPr>
              <w:t>应，原辅材料、产品都不属于危险化学品，</w:t>
            </w:r>
            <w:r>
              <w:rPr>
                <w:rFonts w:hint="default" w:ascii="Times New Roman" w:hAnsi="Times New Roman" w:eastAsia="宋体" w:cs="Times New Roman"/>
                <w:color w:val="000000" w:themeColor="text1"/>
                <w:sz w:val="24"/>
                <w14:textFill>
                  <w14:solidFill>
                    <w14:schemeClr w14:val="tx1"/>
                  </w14:solidFill>
                </w14:textFill>
              </w:rPr>
              <w:t>且满足《山东省化工行业投资项目管理规定》相关要求</w:t>
            </w: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属于</w:t>
            </w:r>
            <w:r>
              <w:rPr>
                <w:rFonts w:hint="default" w:ascii="Times New Roman" w:hAnsi="Times New Roman" w:eastAsia="宋体" w:cs="Times New Roman"/>
                <w:color w:val="000000" w:themeColor="text1"/>
                <w:sz w:val="24"/>
                <w14:textFill>
                  <w14:solidFill>
                    <w14:schemeClr w14:val="tx1"/>
                  </w14:solidFill>
                </w14:textFill>
              </w:rPr>
              <w:t>控制发展</w:t>
            </w:r>
            <w:r>
              <w:rPr>
                <w:rFonts w:hint="eastAsia" w:ascii="Times New Roman" w:hAnsi="Times New Roman" w:eastAsia="宋体" w:cs="Times New Roman"/>
                <w:color w:val="000000" w:themeColor="text1"/>
                <w:sz w:val="24"/>
                <w:lang w:val="en-US" w:eastAsia="zh-CN"/>
                <w14:textFill>
                  <w14:solidFill>
                    <w14:schemeClr w14:val="tx1"/>
                  </w14:solidFill>
                </w14:textFill>
              </w:rPr>
              <w:t>行业，符合</w:t>
            </w:r>
            <w:r>
              <w:rPr>
                <w:rFonts w:hint="default" w:ascii="Times New Roman" w:hAnsi="Times New Roman" w:eastAsia="宋体" w:cs="Times New Roman"/>
                <w:color w:val="000000" w:themeColor="text1"/>
                <w:sz w:val="24"/>
                <w14:textFill>
                  <w14:solidFill>
                    <w14:schemeClr w14:val="tx1"/>
                  </w14:solidFill>
                </w14:textFill>
              </w:rPr>
              <w:t>行业准入管控要求</w:t>
            </w:r>
            <w:r>
              <w:rPr>
                <w:rFonts w:hint="eastAsia" w:cs="Times New Roman"/>
                <w:color w:val="000000" w:themeColor="text1"/>
                <w:sz w:val="24"/>
                <w:lang w:eastAsia="zh-CN"/>
                <w14:textFill>
                  <w14:solidFill>
                    <w14:schemeClr w14:val="tx1"/>
                  </w14:solidFill>
                </w14:textFill>
              </w:rPr>
              <w:t>。</w:t>
            </w:r>
          </w:p>
          <w:p w14:paraId="4F2A738A">
            <w:pPr>
              <w:numPr>
                <w:ilvl w:val="0"/>
                <w:numId w:val="4"/>
              </w:numPr>
              <w:spacing w:line="360" w:lineRule="auto"/>
              <w:ind w:firstLine="480" w:firstLineChars="200"/>
              <w:jc w:val="left"/>
              <w:rPr>
                <w:rFonts w:hint="eastAsia" w:cs="Times New Roman"/>
                <w:color w:val="000000" w:themeColor="text1"/>
                <w:kern w:val="0"/>
                <w:sz w:val="24"/>
                <w:lang w:val="en-US" w:eastAsia="zh-CN"/>
                <w14:textFill>
                  <w14:solidFill>
                    <w14:schemeClr w14:val="tx1"/>
                  </w14:solidFill>
                </w14:textFill>
              </w:rPr>
            </w:pPr>
            <w:r>
              <w:rPr>
                <w:rFonts w:hint="eastAsia" w:cs="Times New Roman"/>
                <w:color w:val="000000" w:themeColor="text1"/>
                <w:kern w:val="0"/>
                <w:sz w:val="24"/>
                <w:lang w:val="en-US" w:eastAsia="zh-CN"/>
                <w14:textFill>
                  <w14:solidFill>
                    <w14:schemeClr w14:val="tx1"/>
                  </w14:solidFill>
                </w14:textFill>
              </w:rPr>
              <w:t>规划环评结论符合性分析</w:t>
            </w:r>
          </w:p>
          <w:p w14:paraId="5A05F92D">
            <w:pPr>
              <w:numPr>
                <w:ilvl w:val="0"/>
                <w:numId w:val="0"/>
              </w:numPr>
              <w:spacing w:line="240" w:lineRule="auto"/>
              <w:jc w:val="center"/>
              <w:rPr>
                <w:rFonts w:hint="eastAsia" w:cs="Times New Roman"/>
                <w:b/>
                <w:bCs/>
                <w:color w:val="000000" w:themeColor="text1"/>
                <w:kern w:val="0"/>
                <w:sz w:val="21"/>
                <w:szCs w:val="21"/>
                <w:lang w:val="en-US" w:eastAsia="zh-CN"/>
                <w14:textFill>
                  <w14:solidFill>
                    <w14:schemeClr w14:val="tx1"/>
                  </w14:solidFill>
                </w14:textFill>
              </w:rPr>
            </w:pPr>
            <w:r>
              <w:rPr>
                <w:rFonts w:hint="eastAsia" w:cs="Times New Roman"/>
                <w:b/>
                <w:bCs/>
                <w:color w:val="000000" w:themeColor="text1"/>
                <w:kern w:val="0"/>
                <w:sz w:val="21"/>
                <w:szCs w:val="21"/>
                <w:lang w:val="en-US" w:eastAsia="zh-CN"/>
                <w14:textFill>
                  <w14:solidFill>
                    <w14:schemeClr w14:val="tx1"/>
                  </w14:solidFill>
                </w14:textFill>
              </w:rPr>
              <w:t>表1-3规划环评结论符合性分析</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5"/>
              <w:gridCol w:w="4725"/>
              <w:gridCol w:w="2706"/>
              <w:gridCol w:w="960"/>
            </w:tblGrid>
            <w:tr w14:paraId="68D95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685" w:type="dxa"/>
                  <w:vAlign w:val="center"/>
                </w:tcPr>
                <w:p w14:paraId="38BCD7FB">
                  <w:pPr>
                    <w:pStyle w:val="6"/>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序号</w:t>
                  </w:r>
                </w:p>
              </w:tc>
              <w:tc>
                <w:tcPr>
                  <w:tcW w:w="4725" w:type="dxa"/>
                  <w:shd w:val="clear" w:color="auto" w:fill="auto"/>
                  <w:vAlign w:val="center"/>
                </w:tcPr>
                <w:p w14:paraId="714CFB95">
                  <w:pPr>
                    <w:pStyle w:val="6"/>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具体规定</w:t>
                  </w:r>
                </w:p>
              </w:tc>
              <w:tc>
                <w:tcPr>
                  <w:tcW w:w="2706" w:type="dxa"/>
                  <w:shd w:val="clear" w:color="auto" w:fill="auto"/>
                  <w:vAlign w:val="center"/>
                </w:tcPr>
                <w:p w14:paraId="7636CCD8">
                  <w:pPr>
                    <w:pStyle w:val="6"/>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本项目情况</w:t>
                  </w:r>
                </w:p>
              </w:tc>
              <w:tc>
                <w:tcPr>
                  <w:tcW w:w="960" w:type="dxa"/>
                  <w:shd w:val="clear" w:color="auto" w:fill="auto"/>
                  <w:vAlign w:val="center"/>
                </w:tcPr>
                <w:p w14:paraId="1D85CA54">
                  <w:pPr>
                    <w:pStyle w:val="6"/>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符合性</w:t>
                  </w:r>
                </w:p>
              </w:tc>
            </w:tr>
            <w:tr w14:paraId="1B7AC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Align w:val="center"/>
                </w:tcPr>
                <w:p w14:paraId="7BC383E6">
                  <w:pPr>
                    <w:keepNext w:val="0"/>
                    <w:keepLines w:val="0"/>
                    <w:pageBreakBefore w:val="0"/>
                    <w:widowControl w:val="0"/>
                    <w:numPr>
                      <w:ilvl w:val="0"/>
                      <w:numId w:val="0"/>
                    </w:numPr>
                    <w:kinsoku/>
                    <w:wordWrap/>
                    <w:overflowPunct/>
                    <w:topLinePunct w:val="0"/>
                    <w:autoSpaceDE/>
                    <w:autoSpaceDN/>
                    <w:bidi w:val="0"/>
                    <w:spacing w:line="240" w:lineRule="auto"/>
                    <w:jc w:val="center"/>
                    <w:rPr>
                      <w:rFonts w:hint="default"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1</w:t>
                  </w:r>
                </w:p>
              </w:tc>
              <w:tc>
                <w:tcPr>
                  <w:tcW w:w="4725" w:type="dxa"/>
                  <w:vAlign w:val="center"/>
                </w:tcPr>
                <w:p w14:paraId="4BB4B92D">
                  <w:pPr>
                    <w:keepNext w:val="0"/>
                    <w:keepLines w:val="0"/>
                    <w:pageBreakBefore w:val="0"/>
                    <w:widowControl w:val="0"/>
                    <w:numPr>
                      <w:ilvl w:val="0"/>
                      <w:numId w:val="0"/>
                    </w:numPr>
                    <w:kinsoku/>
                    <w:wordWrap/>
                    <w:overflowPunct/>
                    <w:topLinePunct w:val="0"/>
                    <w:autoSpaceDE/>
                    <w:autoSpaceDN/>
                    <w:bidi w:val="0"/>
                    <w:spacing w:line="240" w:lineRule="auto"/>
                    <w:jc w:val="center"/>
                    <w:rPr>
                      <w:rFonts w:hint="eastAsia"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2021年9月1日，由张店区人民政府以张政发〔2021〕16号同意设立湖田街道工业集聚区，规划范围为湖田街道淄东铁路以东至临淄界、胶济铁路-烯田路以北至高新区界区域，规划面积约2086.96公顷，重点发展装备制造、新材料、塑料制品及食品加工等产业。</w:t>
                  </w:r>
                </w:p>
              </w:tc>
              <w:tc>
                <w:tcPr>
                  <w:tcW w:w="2706" w:type="dxa"/>
                  <w:shd w:val="clear" w:color="auto" w:fill="auto"/>
                  <w:vAlign w:val="center"/>
                </w:tcPr>
                <w:p w14:paraId="5BE96A56">
                  <w:pPr>
                    <w:keepNext w:val="0"/>
                    <w:keepLines w:val="0"/>
                    <w:pageBreakBefore w:val="0"/>
                    <w:widowControl w:val="0"/>
                    <w:numPr>
                      <w:ilvl w:val="0"/>
                      <w:numId w:val="0"/>
                    </w:numPr>
                    <w:kinsoku/>
                    <w:wordWrap/>
                    <w:overflowPunct/>
                    <w:topLinePunct w:val="0"/>
                    <w:autoSpaceDE/>
                    <w:autoSpaceDN/>
                    <w:bidi w:val="0"/>
                    <w:spacing w:line="240" w:lineRule="auto"/>
                    <w:jc w:val="center"/>
                    <w:rPr>
                      <w:rFonts w:hint="default"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拟建项目位于集聚区规划范围内，项目产品为聚乙烯蜡，属于C2661 化学试剂和助剂制造，生产工艺为物理混合、不涉及化学反应，原辅材料、产品都不属于危险化学品，</w:t>
                  </w:r>
                  <w:r>
                    <w:rPr>
                      <w:rFonts w:hint="default" w:cs="Times New Roman"/>
                      <w:color w:val="000000" w:themeColor="text1"/>
                      <w:kern w:val="0"/>
                      <w:sz w:val="21"/>
                      <w:szCs w:val="21"/>
                      <w:vertAlign w:val="baseline"/>
                      <w:lang w:val="en-US" w:eastAsia="zh-CN"/>
                      <w14:textFill>
                        <w14:solidFill>
                          <w14:schemeClr w14:val="tx1"/>
                        </w14:solidFill>
                      </w14:textFill>
                    </w:rPr>
                    <w:t>且满足《山东省化工行业投资项目管理规定》相关要求</w:t>
                  </w:r>
                  <w:r>
                    <w:rPr>
                      <w:rFonts w:hint="eastAsia" w:cs="Times New Roman"/>
                      <w:color w:val="000000" w:themeColor="text1"/>
                      <w:kern w:val="0"/>
                      <w:sz w:val="21"/>
                      <w:szCs w:val="21"/>
                      <w:vertAlign w:val="baseline"/>
                      <w:lang w:val="en-US" w:eastAsia="zh-CN"/>
                      <w14:textFill>
                        <w14:solidFill>
                          <w14:schemeClr w14:val="tx1"/>
                        </w14:solidFill>
                      </w14:textFill>
                    </w:rPr>
                    <w:t>，属于</w:t>
                  </w:r>
                  <w:r>
                    <w:rPr>
                      <w:rFonts w:hint="default" w:cs="Times New Roman"/>
                      <w:color w:val="000000" w:themeColor="text1"/>
                      <w:kern w:val="0"/>
                      <w:sz w:val="21"/>
                      <w:szCs w:val="21"/>
                      <w:vertAlign w:val="baseline"/>
                      <w:lang w:val="en-US" w:eastAsia="zh-CN"/>
                      <w14:textFill>
                        <w14:solidFill>
                          <w14:schemeClr w14:val="tx1"/>
                        </w14:solidFill>
                      </w14:textFill>
                    </w:rPr>
                    <w:t>控制发展</w:t>
                  </w:r>
                  <w:r>
                    <w:rPr>
                      <w:rFonts w:hint="eastAsia" w:cs="Times New Roman"/>
                      <w:color w:val="000000" w:themeColor="text1"/>
                      <w:kern w:val="0"/>
                      <w:sz w:val="21"/>
                      <w:szCs w:val="21"/>
                      <w:vertAlign w:val="baseline"/>
                      <w:lang w:val="en-US" w:eastAsia="zh-CN"/>
                      <w14:textFill>
                        <w14:solidFill>
                          <w14:schemeClr w14:val="tx1"/>
                        </w14:solidFill>
                      </w14:textFill>
                    </w:rPr>
                    <w:t>行业。</w:t>
                  </w:r>
                </w:p>
              </w:tc>
              <w:tc>
                <w:tcPr>
                  <w:tcW w:w="960" w:type="dxa"/>
                  <w:vAlign w:val="center"/>
                </w:tcPr>
                <w:p w14:paraId="4318D88D">
                  <w:pPr>
                    <w:keepNext w:val="0"/>
                    <w:keepLines w:val="0"/>
                    <w:pageBreakBefore w:val="0"/>
                    <w:widowControl w:val="0"/>
                    <w:numPr>
                      <w:ilvl w:val="0"/>
                      <w:numId w:val="0"/>
                    </w:numPr>
                    <w:kinsoku/>
                    <w:wordWrap/>
                    <w:overflowPunct/>
                    <w:topLinePunct w:val="0"/>
                    <w:autoSpaceDE/>
                    <w:autoSpaceDN/>
                    <w:bidi w:val="0"/>
                    <w:spacing w:line="240" w:lineRule="auto"/>
                    <w:jc w:val="center"/>
                    <w:rPr>
                      <w:rFonts w:hint="default"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符合</w:t>
                  </w:r>
                </w:p>
              </w:tc>
            </w:tr>
            <w:tr w14:paraId="0E12D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Align w:val="center"/>
                </w:tcPr>
                <w:p w14:paraId="4FC3E8B9">
                  <w:pPr>
                    <w:keepNext w:val="0"/>
                    <w:keepLines w:val="0"/>
                    <w:pageBreakBefore w:val="0"/>
                    <w:widowControl w:val="0"/>
                    <w:numPr>
                      <w:ilvl w:val="0"/>
                      <w:numId w:val="0"/>
                    </w:numPr>
                    <w:kinsoku/>
                    <w:wordWrap/>
                    <w:overflowPunct/>
                    <w:topLinePunct w:val="0"/>
                    <w:autoSpaceDE/>
                    <w:autoSpaceDN/>
                    <w:bidi w:val="0"/>
                    <w:spacing w:line="240" w:lineRule="auto"/>
                    <w:jc w:val="center"/>
                    <w:rPr>
                      <w:rFonts w:hint="default"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2</w:t>
                  </w:r>
                </w:p>
              </w:tc>
              <w:tc>
                <w:tcPr>
                  <w:tcW w:w="4725" w:type="dxa"/>
                  <w:vAlign w:val="center"/>
                </w:tcPr>
                <w:p w14:paraId="68411B3F">
                  <w:pPr>
                    <w:keepNext w:val="0"/>
                    <w:keepLines w:val="0"/>
                    <w:pageBreakBefore w:val="0"/>
                    <w:widowControl w:val="0"/>
                    <w:numPr>
                      <w:ilvl w:val="0"/>
                      <w:numId w:val="0"/>
                    </w:numPr>
                    <w:kinsoku/>
                    <w:wordWrap/>
                    <w:overflowPunct/>
                    <w:topLinePunct w:val="0"/>
                    <w:autoSpaceDE/>
                    <w:autoSpaceDN/>
                    <w:bidi w:val="0"/>
                    <w:spacing w:line="240" w:lineRule="auto"/>
                    <w:jc w:val="center"/>
                    <w:rPr>
                      <w:rFonts w:hint="eastAsia"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本次规划基本符合《淄博市国土空间总体规划（2021—2035年）》，城镇开发边界外区域列为禁止开发区域，除法律规定的重点建设项目选址确实无法避让外，其他任何建设不得占用，并按照国土空间用途管制相关要求进行管控。城镇开发边界外的工业用地，已取得相关用地及规划许可等支撑性文件，拟建项目可按照集聚区总体规划进行建设。</w:t>
                  </w:r>
                </w:p>
              </w:tc>
              <w:tc>
                <w:tcPr>
                  <w:tcW w:w="2706" w:type="dxa"/>
                  <w:vAlign w:val="center"/>
                </w:tcPr>
                <w:p w14:paraId="05B64664">
                  <w:pPr>
                    <w:keepNext w:val="0"/>
                    <w:keepLines w:val="0"/>
                    <w:pageBreakBefore w:val="0"/>
                    <w:widowControl w:val="0"/>
                    <w:numPr>
                      <w:ilvl w:val="0"/>
                      <w:numId w:val="0"/>
                    </w:numPr>
                    <w:kinsoku/>
                    <w:wordWrap/>
                    <w:overflowPunct/>
                    <w:topLinePunct w:val="0"/>
                    <w:autoSpaceDE/>
                    <w:autoSpaceDN/>
                    <w:bidi w:val="0"/>
                    <w:spacing w:line="240" w:lineRule="auto"/>
                    <w:jc w:val="center"/>
                    <w:rPr>
                      <w:rFonts w:hint="default"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项目位于城镇开发边界之内，用地为工业用地，符合要求。</w:t>
                  </w:r>
                </w:p>
              </w:tc>
              <w:tc>
                <w:tcPr>
                  <w:tcW w:w="960" w:type="dxa"/>
                  <w:vAlign w:val="center"/>
                </w:tcPr>
                <w:p w14:paraId="4186A376">
                  <w:pPr>
                    <w:keepNext w:val="0"/>
                    <w:keepLines w:val="0"/>
                    <w:pageBreakBefore w:val="0"/>
                    <w:widowControl w:val="0"/>
                    <w:numPr>
                      <w:ilvl w:val="0"/>
                      <w:numId w:val="0"/>
                    </w:numPr>
                    <w:kinsoku/>
                    <w:wordWrap/>
                    <w:overflowPunct/>
                    <w:topLinePunct w:val="0"/>
                    <w:autoSpaceDE/>
                    <w:autoSpaceDN/>
                    <w:bidi w:val="0"/>
                    <w:spacing w:line="240" w:lineRule="auto"/>
                    <w:jc w:val="center"/>
                    <w:rPr>
                      <w:rFonts w:hint="default"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符合</w:t>
                  </w:r>
                </w:p>
              </w:tc>
            </w:tr>
          </w:tbl>
          <w:p w14:paraId="2A0FBD41">
            <w:pPr>
              <w:numPr>
                <w:ilvl w:val="0"/>
                <w:numId w:val="4"/>
              </w:numPr>
              <w:spacing w:line="360" w:lineRule="auto"/>
              <w:ind w:firstLine="480" w:firstLineChars="200"/>
              <w:jc w:val="left"/>
              <w:rPr>
                <w:rFonts w:hint="eastAsia" w:cs="Times New Roman"/>
                <w:color w:val="000000" w:themeColor="text1"/>
                <w:kern w:val="0"/>
                <w:sz w:val="24"/>
                <w:lang w:val="en-US" w:eastAsia="zh-CN"/>
                <w14:textFill>
                  <w14:solidFill>
                    <w14:schemeClr w14:val="tx1"/>
                  </w14:solidFill>
                </w14:textFill>
              </w:rPr>
            </w:pPr>
            <w:r>
              <w:rPr>
                <w:rFonts w:hint="eastAsia" w:cs="Times New Roman"/>
                <w:color w:val="000000" w:themeColor="text1"/>
                <w:kern w:val="0"/>
                <w:sz w:val="24"/>
                <w:lang w:val="en-US" w:eastAsia="zh-CN"/>
                <w14:textFill>
                  <w14:solidFill>
                    <w14:schemeClr w14:val="tx1"/>
                  </w14:solidFill>
                </w14:textFill>
              </w:rPr>
              <w:t>规划环评审查意见的符合性分析</w:t>
            </w:r>
          </w:p>
          <w:p w14:paraId="724E9138">
            <w:pPr>
              <w:numPr>
                <w:ilvl w:val="0"/>
                <w:numId w:val="0"/>
              </w:numPr>
              <w:spacing w:line="240" w:lineRule="auto"/>
              <w:jc w:val="center"/>
              <w:rPr>
                <w:rFonts w:hint="default" w:cs="Times New Roman"/>
                <w:b/>
                <w:bCs/>
                <w:color w:val="000000" w:themeColor="text1"/>
                <w:kern w:val="0"/>
                <w:sz w:val="21"/>
                <w:szCs w:val="21"/>
                <w:lang w:val="en-US" w:eastAsia="zh-CN"/>
                <w14:textFill>
                  <w14:solidFill>
                    <w14:schemeClr w14:val="tx1"/>
                  </w14:solidFill>
                </w14:textFill>
              </w:rPr>
            </w:pPr>
            <w:r>
              <w:rPr>
                <w:rFonts w:hint="eastAsia" w:cs="Times New Roman"/>
                <w:b/>
                <w:bCs/>
                <w:color w:val="000000" w:themeColor="text1"/>
                <w:kern w:val="0"/>
                <w:sz w:val="21"/>
                <w:szCs w:val="21"/>
                <w:lang w:val="en-US" w:eastAsia="zh-CN"/>
                <w14:textFill>
                  <w14:solidFill>
                    <w14:schemeClr w14:val="tx1"/>
                  </w14:solidFill>
                </w14:textFill>
              </w:rPr>
              <w:t>表1-4与规划环评审查意见符合性分析</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
              <w:gridCol w:w="4521"/>
              <w:gridCol w:w="2911"/>
              <w:gridCol w:w="905"/>
            </w:tblGrid>
            <w:tr w14:paraId="6E7E7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14:paraId="0BD85BBC">
                  <w:pPr>
                    <w:pStyle w:val="6"/>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序号</w:t>
                  </w:r>
                </w:p>
              </w:tc>
              <w:tc>
                <w:tcPr>
                  <w:tcW w:w="4521" w:type="dxa"/>
                  <w:shd w:val="clear" w:color="auto" w:fill="auto"/>
                  <w:vAlign w:val="center"/>
                </w:tcPr>
                <w:p w14:paraId="23199BB5">
                  <w:pPr>
                    <w:pStyle w:val="6"/>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具体规定</w:t>
                  </w:r>
                </w:p>
              </w:tc>
              <w:tc>
                <w:tcPr>
                  <w:tcW w:w="2911" w:type="dxa"/>
                  <w:shd w:val="clear" w:color="auto" w:fill="auto"/>
                  <w:vAlign w:val="center"/>
                </w:tcPr>
                <w:p w14:paraId="307777F9">
                  <w:pPr>
                    <w:pStyle w:val="6"/>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本项目情况</w:t>
                  </w:r>
                </w:p>
              </w:tc>
              <w:tc>
                <w:tcPr>
                  <w:tcW w:w="905" w:type="dxa"/>
                  <w:shd w:val="clear" w:color="auto" w:fill="auto"/>
                  <w:vAlign w:val="center"/>
                </w:tcPr>
                <w:p w14:paraId="447211C0">
                  <w:pPr>
                    <w:pStyle w:val="6"/>
                    <w:keepNext w:val="0"/>
                    <w:keepLines w:val="0"/>
                    <w:pageBreakBefore w:val="0"/>
                    <w:widowControl w:val="0"/>
                    <w:kinsoku/>
                    <w:wordWrap/>
                    <w:overflowPunct/>
                    <w:topLinePunct w:val="0"/>
                    <w:autoSpaceDE/>
                    <w:autoSpaceDN/>
                    <w:bidi w:val="0"/>
                    <w:snapToGrid w:val="0"/>
                    <w:spacing w:line="240" w:lineRule="auto"/>
                    <w:ind w:firstLine="0" w:firstLineChars="0"/>
                    <w:jc w:val="cente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符合性</w:t>
                  </w:r>
                </w:p>
              </w:tc>
            </w:tr>
            <w:tr w14:paraId="4D238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vAlign w:val="center"/>
                </w:tcPr>
                <w:p w14:paraId="3F116E80">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1</w:t>
                  </w:r>
                </w:p>
              </w:tc>
              <w:tc>
                <w:tcPr>
                  <w:tcW w:w="4521" w:type="dxa"/>
                  <w:vAlign w:val="center"/>
                </w:tcPr>
                <w:p w14:paraId="314F7E90">
                  <w:pPr>
                    <w:keepNext w:val="0"/>
                    <w:keepLines w:val="0"/>
                    <w:pageBreakBefore w:val="0"/>
                    <w:widowControl w:val="0"/>
                    <w:kinsoku/>
                    <w:wordWrap/>
                    <w:overflowPunct/>
                    <w:topLinePunct w:val="0"/>
                    <w:autoSpaceDE/>
                    <w:autoSpaceDN/>
                    <w:bidi w:val="0"/>
                    <w:spacing w:line="240" w:lineRule="auto"/>
                    <w:jc w:val="left"/>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规划范围：湖田街道工业集聚区于2021年9月1日由淄博市张店区人民政府批准成立，批复文号为张政发[2021]16号，规划范围为湖田街道淄东铁路以东至临淄界、胶济铁路-烯田路以北至高新区界区域(不含玉黛湖风景区)，规划面积约2086.96公顷。</w:t>
                  </w:r>
                </w:p>
              </w:tc>
              <w:tc>
                <w:tcPr>
                  <w:tcW w:w="2911" w:type="dxa"/>
                  <w:shd w:val="clear" w:color="auto" w:fill="auto"/>
                  <w:vAlign w:val="center"/>
                </w:tcPr>
                <w:p w14:paraId="2643B86D">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拟建项目位于集聚区规划范围内。</w:t>
                  </w:r>
                </w:p>
              </w:tc>
              <w:tc>
                <w:tcPr>
                  <w:tcW w:w="905" w:type="dxa"/>
                  <w:shd w:val="clear" w:color="auto" w:fill="auto"/>
                  <w:vAlign w:val="center"/>
                </w:tcPr>
                <w:p w14:paraId="63C31BA5">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符合</w:t>
                  </w:r>
                </w:p>
              </w:tc>
            </w:tr>
            <w:tr w14:paraId="03926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vAlign w:val="center"/>
                </w:tcPr>
                <w:p w14:paraId="40CA1FE2">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2</w:t>
                  </w:r>
                </w:p>
              </w:tc>
              <w:tc>
                <w:tcPr>
                  <w:tcW w:w="4521" w:type="dxa"/>
                  <w:vAlign w:val="center"/>
                </w:tcPr>
                <w:p w14:paraId="7732F9CC">
                  <w:pPr>
                    <w:keepNext w:val="0"/>
                    <w:keepLines w:val="0"/>
                    <w:pageBreakBefore w:val="0"/>
                    <w:widowControl w:val="0"/>
                    <w:kinsoku/>
                    <w:wordWrap/>
                    <w:overflowPunct/>
                    <w:topLinePunct w:val="0"/>
                    <w:autoSpaceDE/>
                    <w:autoSpaceDN/>
                    <w:bidi w:val="0"/>
                    <w:spacing w:line="240" w:lineRule="auto"/>
                    <w:jc w:val="left"/>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产业定位：集聚区重点发展装备制造、新材料、塑料制品及食品加工四大主导产业。</w:t>
                  </w:r>
                </w:p>
              </w:tc>
              <w:tc>
                <w:tcPr>
                  <w:tcW w:w="2911" w:type="dxa"/>
                  <w:shd w:val="clear" w:color="auto" w:fill="auto"/>
                  <w:vAlign w:val="center"/>
                </w:tcPr>
                <w:p w14:paraId="493C20C5">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项目产品为聚乙烯蜡，属于C2661 化学试剂和助剂制造，生产工艺为物理混合、不涉及化学反应，原辅材料、产品都不属于危险化学品，</w:t>
                  </w:r>
                  <w:r>
                    <w:rPr>
                      <w:rFonts w:hint="default" w:cs="Times New Roman"/>
                      <w:color w:val="000000" w:themeColor="text1"/>
                      <w:kern w:val="0"/>
                      <w:sz w:val="21"/>
                      <w:szCs w:val="21"/>
                      <w:vertAlign w:val="baseline"/>
                      <w:lang w:val="en-US" w:eastAsia="zh-CN"/>
                      <w14:textFill>
                        <w14:solidFill>
                          <w14:schemeClr w14:val="tx1"/>
                        </w14:solidFill>
                      </w14:textFill>
                    </w:rPr>
                    <w:t>且满足《山东省化工行业投资项目管理规定》相关要求</w:t>
                  </w:r>
                  <w:r>
                    <w:rPr>
                      <w:rFonts w:hint="eastAsia" w:cs="Times New Roman"/>
                      <w:color w:val="000000" w:themeColor="text1"/>
                      <w:kern w:val="0"/>
                      <w:sz w:val="21"/>
                      <w:szCs w:val="21"/>
                      <w:vertAlign w:val="baseline"/>
                      <w:lang w:val="en-US" w:eastAsia="zh-CN"/>
                      <w14:textFill>
                        <w14:solidFill>
                          <w14:schemeClr w14:val="tx1"/>
                        </w14:solidFill>
                      </w14:textFill>
                    </w:rPr>
                    <w:t>，属于</w:t>
                  </w:r>
                  <w:r>
                    <w:rPr>
                      <w:rFonts w:hint="default" w:ascii="Times New Roman" w:hAnsi="Times New Roman" w:eastAsia="宋体" w:cs="Times New Roman"/>
                      <w:color w:val="000000" w:themeColor="text1"/>
                      <w:szCs w:val="21"/>
                      <w14:textFill>
                        <w14:solidFill>
                          <w14:schemeClr w14:val="tx1"/>
                        </w14:solidFill>
                      </w14:textFill>
                    </w:rPr>
                    <w:t>控制发展</w:t>
                  </w:r>
                  <w:r>
                    <w:rPr>
                      <w:rFonts w:hint="eastAsia" w:cs="Times New Roman"/>
                      <w:color w:val="000000" w:themeColor="text1"/>
                      <w:kern w:val="0"/>
                      <w:sz w:val="21"/>
                      <w:szCs w:val="21"/>
                      <w:vertAlign w:val="baseline"/>
                      <w:lang w:val="en-US" w:eastAsia="zh-CN"/>
                      <w14:textFill>
                        <w14:solidFill>
                          <w14:schemeClr w14:val="tx1"/>
                        </w14:solidFill>
                      </w14:textFill>
                    </w:rPr>
                    <w:t>行业。</w:t>
                  </w:r>
                </w:p>
              </w:tc>
              <w:tc>
                <w:tcPr>
                  <w:tcW w:w="905" w:type="dxa"/>
                  <w:shd w:val="clear" w:color="auto" w:fill="auto"/>
                  <w:vAlign w:val="center"/>
                </w:tcPr>
                <w:p w14:paraId="19A8F856">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符合</w:t>
                  </w:r>
                </w:p>
              </w:tc>
            </w:tr>
            <w:tr w14:paraId="2377C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vAlign w:val="center"/>
                </w:tcPr>
                <w:p w14:paraId="48AADDAB">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3</w:t>
                  </w:r>
                </w:p>
              </w:tc>
              <w:tc>
                <w:tcPr>
                  <w:tcW w:w="4521" w:type="dxa"/>
                  <w:vAlign w:val="center"/>
                </w:tcPr>
                <w:p w14:paraId="7CC2326D">
                  <w:pPr>
                    <w:keepNext w:val="0"/>
                    <w:keepLines w:val="0"/>
                    <w:pageBreakBefore w:val="0"/>
                    <w:widowControl w:val="0"/>
                    <w:kinsoku/>
                    <w:wordWrap/>
                    <w:overflowPunct/>
                    <w:topLinePunct w:val="0"/>
                    <w:autoSpaceDE/>
                    <w:autoSpaceDN/>
                    <w:bidi w:val="0"/>
                    <w:spacing w:line="240" w:lineRule="auto"/>
                    <w:jc w:val="left"/>
                    <w:rPr>
                      <w:rFonts w:hint="eastAsia"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基础设施规划：</w:t>
                  </w:r>
                </w:p>
                <w:p w14:paraId="5EE3C1B7">
                  <w:pPr>
                    <w:keepNext w:val="0"/>
                    <w:keepLines w:val="0"/>
                    <w:pageBreakBefore w:val="0"/>
                    <w:widowControl w:val="0"/>
                    <w:kinsoku/>
                    <w:wordWrap/>
                    <w:overflowPunct/>
                    <w:topLinePunct w:val="0"/>
                    <w:autoSpaceDE/>
                    <w:autoSpaceDN/>
                    <w:bidi w:val="0"/>
                    <w:spacing w:line="240" w:lineRule="auto"/>
                    <w:jc w:val="left"/>
                    <w:rPr>
                      <w:rFonts w:hint="eastAsia"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1.给水。规划集聚区用水依托淄博沣泰供水服务有限公司炒米山水厂、淄博市自来水有限公司张店水厂和淄博市自来水有限公司湖田水厂联合供水。</w:t>
                  </w:r>
                </w:p>
                <w:p w14:paraId="4BAC00F9">
                  <w:pPr>
                    <w:keepNext w:val="0"/>
                    <w:keepLines w:val="0"/>
                    <w:pageBreakBefore w:val="0"/>
                    <w:widowControl w:val="0"/>
                    <w:kinsoku/>
                    <w:wordWrap/>
                    <w:overflowPunct/>
                    <w:topLinePunct w:val="0"/>
                    <w:autoSpaceDE/>
                    <w:autoSpaceDN/>
                    <w:bidi w:val="0"/>
                    <w:spacing w:line="240" w:lineRule="auto"/>
                    <w:jc w:val="left"/>
                    <w:rPr>
                      <w:rFonts w:hint="eastAsia"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2.排水。集聚区胶济铁路以北居民和职工生活废水排入光大水务(淄博)有限公司水质净化三分厂和一分厂(新厂)，集聚区胶济铁路以南生活废水和工业废水排入张店化工产业园污水处理厂。</w:t>
                  </w:r>
                </w:p>
                <w:p w14:paraId="2AE763C5">
                  <w:pPr>
                    <w:keepNext w:val="0"/>
                    <w:keepLines w:val="0"/>
                    <w:pageBreakBefore w:val="0"/>
                    <w:widowControl w:val="0"/>
                    <w:kinsoku/>
                    <w:wordWrap/>
                    <w:overflowPunct/>
                    <w:topLinePunct w:val="0"/>
                    <w:autoSpaceDE/>
                    <w:autoSpaceDN/>
                    <w:bidi w:val="0"/>
                    <w:spacing w:line="240" w:lineRule="auto"/>
                    <w:jc w:val="left"/>
                    <w:rPr>
                      <w:rFonts w:hint="eastAsia"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3.供热。集聚区居民采暖依托山东泰和热力股份有限公司集聚区内山东星之联生物科技股份有限公司工业用热近远期依托集聚区外齐鲁石化热电厂，其他工业企业用热近远期依托山东明瑞热电股份有限公司。</w:t>
                  </w:r>
                </w:p>
                <w:p w14:paraId="2F0D2097">
                  <w:pPr>
                    <w:keepNext w:val="0"/>
                    <w:keepLines w:val="0"/>
                    <w:pageBreakBefore w:val="0"/>
                    <w:widowControl w:val="0"/>
                    <w:kinsoku/>
                    <w:wordWrap/>
                    <w:overflowPunct/>
                    <w:topLinePunct w:val="0"/>
                    <w:autoSpaceDE/>
                    <w:autoSpaceDN/>
                    <w:bidi w:val="0"/>
                    <w:spacing w:line="240" w:lineRule="auto"/>
                    <w:jc w:val="left"/>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4.燃气。集聚区燃气依托现有湖田分输站，由淄博绿博燃气有限公司运营。</w:t>
                  </w:r>
                </w:p>
              </w:tc>
              <w:tc>
                <w:tcPr>
                  <w:tcW w:w="2911" w:type="dxa"/>
                  <w:vAlign w:val="center"/>
                </w:tcPr>
                <w:p w14:paraId="4F2B2208">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项目供水由就近的市政管网供给；生产过程无废水产生，生活污水经化粪池暂存后，由环卫部门定期清运；项目生产过程不使用蒸汽和燃气。</w:t>
                  </w:r>
                </w:p>
              </w:tc>
              <w:tc>
                <w:tcPr>
                  <w:tcW w:w="905" w:type="dxa"/>
                  <w:vAlign w:val="center"/>
                </w:tcPr>
                <w:p w14:paraId="5C4FE71D">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符合</w:t>
                  </w:r>
                </w:p>
              </w:tc>
            </w:tr>
            <w:tr w14:paraId="68662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vAlign w:val="center"/>
                </w:tcPr>
                <w:p w14:paraId="73AF5E67">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4</w:t>
                  </w:r>
                </w:p>
              </w:tc>
              <w:tc>
                <w:tcPr>
                  <w:tcW w:w="4521" w:type="dxa"/>
                  <w:vAlign w:val="center"/>
                </w:tcPr>
                <w:p w14:paraId="20549AA1">
                  <w:pPr>
                    <w:keepNext w:val="0"/>
                    <w:keepLines w:val="0"/>
                    <w:pageBreakBefore w:val="0"/>
                    <w:widowControl w:val="0"/>
                    <w:kinsoku/>
                    <w:wordWrap/>
                    <w:overflowPunct/>
                    <w:topLinePunct w:val="0"/>
                    <w:autoSpaceDE/>
                    <w:autoSpaceDN/>
                    <w:bidi w:val="0"/>
                    <w:spacing w:line="240" w:lineRule="auto"/>
                    <w:jc w:val="left"/>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t>(三)严格执行法定规划，加强集聚区空间管制。严格落实生态环境分区管控要求。按照生态环境准入清单筛选入区项目，合理布局新入区企业。化工投资项目应按照《山东省化工投资项目管理规定》有关要求实施。</w:t>
                  </w:r>
                </w:p>
              </w:tc>
              <w:tc>
                <w:tcPr>
                  <w:tcW w:w="2911" w:type="dxa"/>
                  <w:vAlign w:val="center"/>
                </w:tcPr>
                <w:p w14:paraId="7F0FA392">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项目严格落实集聚区空间管制要求，符合准入清单要求。</w:t>
                  </w:r>
                </w:p>
              </w:tc>
              <w:tc>
                <w:tcPr>
                  <w:tcW w:w="905" w:type="dxa"/>
                  <w:shd w:val="clear" w:color="auto" w:fill="auto"/>
                  <w:vAlign w:val="center"/>
                </w:tcPr>
                <w:p w14:paraId="38D2C041">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符合</w:t>
                  </w:r>
                </w:p>
              </w:tc>
            </w:tr>
            <w:tr w14:paraId="7E0E8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vAlign w:val="center"/>
                </w:tcPr>
                <w:p w14:paraId="7F32DEF6">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5</w:t>
                  </w:r>
                </w:p>
              </w:tc>
              <w:tc>
                <w:tcPr>
                  <w:tcW w:w="4521" w:type="dxa"/>
                  <w:vAlign w:val="center"/>
                </w:tcPr>
                <w:p w14:paraId="281CA3C3">
                  <w:pPr>
                    <w:keepNext w:val="0"/>
                    <w:keepLines w:val="0"/>
                    <w:pageBreakBefore w:val="0"/>
                    <w:widowControl w:val="0"/>
                    <w:kinsoku/>
                    <w:wordWrap/>
                    <w:overflowPunct/>
                    <w:topLinePunct w:val="0"/>
                    <w:autoSpaceDE/>
                    <w:autoSpaceDN/>
                    <w:bidi w:val="0"/>
                    <w:spacing w:line="240" w:lineRule="auto"/>
                    <w:jc w:val="left"/>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t>(四)健全集聚区环境风险防控体系，定期开展突发环境事件风险评估，强化企业一集聚区一政府环境管理联动，定期组织应急演练。督促指导入区企业制定相应的风险事故防范措施及应急预案，加强集聚区及相关企业应急物资储备、应急救援队伍及监测能力建设。</w:t>
                  </w:r>
                </w:p>
              </w:tc>
              <w:tc>
                <w:tcPr>
                  <w:tcW w:w="2911" w:type="dxa"/>
                  <w:vAlign w:val="center"/>
                </w:tcPr>
                <w:p w14:paraId="3E97D846">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项目拟编制应急预案，成立应急救援队伍，定期进行应急演练。</w:t>
                  </w:r>
                </w:p>
              </w:tc>
              <w:tc>
                <w:tcPr>
                  <w:tcW w:w="905" w:type="dxa"/>
                  <w:vAlign w:val="center"/>
                </w:tcPr>
                <w:p w14:paraId="37662EAE">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符合</w:t>
                  </w:r>
                </w:p>
              </w:tc>
            </w:tr>
            <w:tr w14:paraId="67FFE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vAlign w:val="center"/>
                </w:tcPr>
                <w:p w14:paraId="68B42810">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6</w:t>
                  </w:r>
                </w:p>
              </w:tc>
              <w:tc>
                <w:tcPr>
                  <w:tcW w:w="4521" w:type="dxa"/>
                  <w:vAlign w:val="center"/>
                </w:tcPr>
                <w:p w14:paraId="11EAFF8A">
                  <w:pPr>
                    <w:keepNext w:val="0"/>
                    <w:keepLines w:val="0"/>
                    <w:pageBreakBefore w:val="0"/>
                    <w:widowControl w:val="0"/>
                    <w:kinsoku/>
                    <w:wordWrap/>
                    <w:overflowPunct/>
                    <w:topLinePunct w:val="0"/>
                    <w:autoSpaceDE/>
                    <w:autoSpaceDN/>
                    <w:bidi w:val="0"/>
                    <w:spacing w:line="240" w:lineRule="auto"/>
                    <w:jc w:val="left"/>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t>(五)推动减污降碳协同共治，引导企业不断改进高耗能工艺，持续降低碳排放强度。积极提升集聚区循环化水平，大力推进区内企业依法开展强制性清洁生产审核，鼓励集聚区开展整体清洁生产审核，全面提升集聚区清洁生产水平。</w:t>
                  </w:r>
                </w:p>
              </w:tc>
              <w:tc>
                <w:tcPr>
                  <w:tcW w:w="2911" w:type="dxa"/>
                  <w:vAlign w:val="center"/>
                </w:tcPr>
                <w:p w14:paraId="29EB2EB3">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项目采用符合要求的节能设备，项目生产过程使用电能，清洁生产水平能够满足要求。</w:t>
                  </w:r>
                </w:p>
              </w:tc>
              <w:tc>
                <w:tcPr>
                  <w:tcW w:w="905" w:type="dxa"/>
                  <w:shd w:val="clear" w:color="auto" w:fill="auto"/>
                  <w:vAlign w:val="center"/>
                </w:tcPr>
                <w:p w14:paraId="7F70B4BA">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符合</w:t>
                  </w:r>
                </w:p>
              </w:tc>
            </w:tr>
            <w:tr w14:paraId="188D8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vAlign w:val="center"/>
                </w:tcPr>
                <w:p w14:paraId="44FFE3BD">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7</w:t>
                  </w:r>
                </w:p>
              </w:tc>
              <w:tc>
                <w:tcPr>
                  <w:tcW w:w="4521" w:type="dxa"/>
                  <w:vAlign w:val="center"/>
                </w:tcPr>
                <w:p w14:paraId="1A164B61">
                  <w:pPr>
                    <w:keepNext w:val="0"/>
                    <w:keepLines w:val="0"/>
                    <w:pageBreakBefore w:val="0"/>
                    <w:widowControl w:val="0"/>
                    <w:kinsoku/>
                    <w:wordWrap/>
                    <w:overflowPunct/>
                    <w:topLinePunct w:val="0"/>
                    <w:autoSpaceDE/>
                    <w:autoSpaceDN/>
                    <w:bidi w:val="0"/>
                    <w:spacing w:line="240" w:lineRule="auto"/>
                    <w:jc w:val="left"/>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t>(六)结合环境质量改善目标、污染防治方案、减排任务等制定集聚区污染物减排方案并认真落实。对涉及新增污染物排放的入区项目，依法依规落实污染物替代要求。</w:t>
                  </w:r>
                </w:p>
              </w:tc>
              <w:tc>
                <w:tcPr>
                  <w:tcW w:w="2911" w:type="dxa"/>
                  <w:vAlign w:val="center"/>
                </w:tcPr>
                <w:p w14:paraId="184259E4">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项目设置废气治理设施，污染物达标排放，严格落实污染物替代要求。</w:t>
                  </w:r>
                </w:p>
              </w:tc>
              <w:tc>
                <w:tcPr>
                  <w:tcW w:w="905" w:type="dxa"/>
                  <w:shd w:val="clear" w:color="auto" w:fill="auto"/>
                  <w:vAlign w:val="center"/>
                </w:tcPr>
                <w:p w14:paraId="69AD3870">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符合</w:t>
                  </w:r>
                </w:p>
              </w:tc>
            </w:tr>
            <w:tr w14:paraId="47452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vAlign w:val="center"/>
                </w:tcPr>
                <w:p w14:paraId="6186FE71">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8</w:t>
                  </w:r>
                </w:p>
              </w:tc>
              <w:tc>
                <w:tcPr>
                  <w:tcW w:w="4521" w:type="dxa"/>
                  <w:vAlign w:val="center"/>
                </w:tcPr>
                <w:p w14:paraId="08CA89C4">
                  <w:pPr>
                    <w:keepNext w:val="0"/>
                    <w:keepLines w:val="0"/>
                    <w:pageBreakBefore w:val="0"/>
                    <w:widowControl w:val="0"/>
                    <w:kinsoku/>
                    <w:wordWrap/>
                    <w:overflowPunct/>
                    <w:topLinePunct w:val="0"/>
                    <w:autoSpaceDE/>
                    <w:autoSpaceDN/>
                    <w:bidi w:val="0"/>
                    <w:spacing w:line="240" w:lineRule="auto"/>
                    <w:jc w:val="left"/>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t>(七)大力推进PM</w:t>
                  </w:r>
                  <w:r>
                    <w:rPr>
                      <w:rFonts w:hint="default" w:ascii="Times New Roman" w:hAnsi="Times New Roman" w:eastAsia="宋体" w:cs="Times New Roman"/>
                      <w:color w:val="000000" w:themeColor="text1"/>
                      <w:kern w:val="0"/>
                      <w:sz w:val="21"/>
                      <w:szCs w:val="21"/>
                      <w:vertAlign w:val="subscript"/>
                      <w14:textFill>
                        <w14:solidFill>
                          <w14:schemeClr w14:val="tx1"/>
                        </w14:solidFill>
                      </w14:textFill>
                    </w:rPr>
                    <w:t>10</w:t>
                  </w:r>
                  <w:r>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t>、PM</w:t>
                  </w:r>
                  <w:r>
                    <w:rPr>
                      <w:rFonts w:hint="eastAsia" w:cs="Times New Roman"/>
                      <w:color w:val="000000" w:themeColor="text1"/>
                      <w:kern w:val="0"/>
                      <w:sz w:val="21"/>
                      <w:szCs w:val="21"/>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1"/>
                      <w:szCs w:val="21"/>
                      <w:vertAlign w:val="subscript"/>
                      <w14:textFill>
                        <w14:solidFill>
                          <w14:schemeClr w14:val="tx1"/>
                        </w14:solidFill>
                      </w14:textFill>
                    </w:rPr>
                    <w:t>5</w:t>
                  </w:r>
                  <w:r>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t>、0</w:t>
                  </w:r>
                  <w:r>
                    <w:rPr>
                      <w:rFonts w:hint="eastAsia" w:cs="Times New Roman"/>
                      <w:color w:val="000000" w:themeColor="text1"/>
                      <w:kern w:val="0"/>
                      <w:sz w:val="21"/>
                      <w:szCs w:val="21"/>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t>等污染防治，推动大气环境质量持续改善。大力推进企业VOCs治理，严格执行行业标准或无组织排放标准控制要求。建立完善全过程控制体系，实现全流程、全环节达标排放。</w:t>
                  </w:r>
                </w:p>
              </w:tc>
              <w:tc>
                <w:tcPr>
                  <w:tcW w:w="2911" w:type="dxa"/>
                  <w:shd w:val="clear" w:color="auto" w:fill="auto"/>
                  <w:vAlign w:val="center"/>
                </w:tcPr>
                <w:p w14:paraId="707E9299">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本项目选用“二级活性炭吸附”装置处理生产废气。同时，本项目运营期将严格按照活性炭吸附装置维护制度，落实活性炭更换工作，确保有机废气的治理效率。</w:t>
                  </w:r>
                </w:p>
              </w:tc>
              <w:tc>
                <w:tcPr>
                  <w:tcW w:w="905" w:type="dxa"/>
                  <w:shd w:val="clear" w:color="auto" w:fill="auto"/>
                  <w:vAlign w:val="center"/>
                </w:tcPr>
                <w:p w14:paraId="46F109BB">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符合</w:t>
                  </w:r>
                </w:p>
              </w:tc>
            </w:tr>
            <w:tr w14:paraId="315CA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vAlign w:val="center"/>
                </w:tcPr>
                <w:p w14:paraId="2D95C755">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9</w:t>
                  </w:r>
                </w:p>
              </w:tc>
              <w:tc>
                <w:tcPr>
                  <w:tcW w:w="4521" w:type="dxa"/>
                  <w:vAlign w:val="center"/>
                </w:tcPr>
                <w:p w14:paraId="77D5EC47">
                  <w:pPr>
                    <w:keepNext w:val="0"/>
                    <w:keepLines w:val="0"/>
                    <w:pageBreakBefore w:val="0"/>
                    <w:widowControl w:val="0"/>
                    <w:kinsoku/>
                    <w:wordWrap/>
                    <w:overflowPunct/>
                    <w:topLinePunct w:val="0"/>
                    <w:autoSpaceDE/>
                    <w:autoSpaceDN/>
                    <w:bidi w:val="0"/>
                    <w:spacing w:line="240" w:lineRule="auto"/>
                    <w:jc w:val="left"/>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14:textFill>
                        <w14:solidFill>
                          <w14:schemeClr w14:val="tx1"/>
                        </w14:solidFill>
                      </w14:textFill>
                    </w:rPr>
                    <w:t>(八)落实固体废物环境管理制度，强化工业企业一般固体废物和危险废物的贮存、转移、利用及处置等环节的管理，积极推进无废集聚区建设。</w:t>
                  </w:r>
                </w:p>
              </w:tc>
              <w:tc>
                <w:tcPr>
                  <w:tcW w:w="2911" w:type="dxa"/>
                  <w:vAlign w:val="center"/>
                </w:tcPr>
                <w:p w14:paraId="1A3AE869">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项目一般固废和危险废物合理处置。</w:t>
                  </w:r>
                </w:p>
              </w:tc>
              <w:tc>
                <w:tcPr>
                  <w:tcW w:w="905" w:type="dxa"/>
                  <w:shd w:val="clear" w:color="auto" w:fill="auto"/>
                  <w:vAlign w:val="center"/>
                </w:tcPr>
                <w:p w14:paraId="469EB493">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符合</w:t>
                  </w:r>
                </w:p>
              </w:tc>
            </w:tr>
          </w:tbl>
          <w:p w14:paraId="4EB676AF">
            <w:pPr>
              <w:spacing w:line="360" w:lineRule="auto"/>
              <w:ind w:firstLine="480" w:firstLineChars="200"/>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本项目位于</w:t>
            </w:r>
            <w:r>
              <w:rPr>
                <w:rFonts w:hint="eastAsia" w:cs="Times New Roman"/>
                <w:color w:val="000000" w:themeColor="text1"/>
                <w:sz w:val="24"/>
                <w:lang w:eastAsia="zh-CN"/>
                <w14:textFill>
                  <w14:solidFill>
                    <w14:schemeClr w14:val="tx1"/>
                  </w14:solidFill>
                </w14:textFill>
              </w:rPr>
              <w:t>山东省淄博市张店区湖田街道办事处南焦宋村南首</w:t>
            </w:r>
            <w:r>
              <w:rPr>
                <w:rFonts w:hint="default" w:ascii="Times New Roman" w:hAnsi="Times New Roman" w:eastAsia="宋体" w:cs="Times New Roman"/>
                <w:color w:val="000000" w:themeColor="text1"/>
                <w:sz w:val="24"/>
                <w14:textFill>
                  <w14:solidFill>
                    <w14:schemeClr w14:val="tx1"/>
                  </w14:solidFill>
                </w14:textFill>
              </w:rPr>
              <w:t>，位于</w:t>
            </w:r>
            <w:r>
              <w:rPr>
                <w:rFonts w:hint="default" w:ascii="Times New Roman" w:hAnsi="Times New Roman" w:eastAsia="宋体" w:cs="Times New Roman"/>
                <w:color w:val="000000" w:themeColor="text1"/>
                <w:kern w:val="0"/>
                <w:sz w:val="24"/>
                <w14:textFill>
                  <w14:solidFill>
                    <w14:schemeClr w14:val="tx1"/>
                  </w14:solidFill>
                </w14:textFill>
              </w:rPr>
              <w:t>湖田街道工业集聚区范</w:t>
            </w:r>
            <w:r>
              <w:rPr>
                <w:rFonts w:hint="default" w:cs="Times New Roman"/>
                <w:color w:val="000000" w:themeColor="text1"/>
                <w:kern w:val="0"/>
                <w:sz w:val="24"/>
                <w:lang w:val="en-US" w:eastAsia="zh-CN"/>
                <w14:textFill>
                  <w14:solidFill>
                    <w14:schemeClr w14:val="tx1"/>
                  </w14:solidFill>
                </w14:textFill>
              </w:rPr>
              <w:t>围内；本项目</w:t>
            </w:r>
            <w:r>
              <w:rPr>
                <w:rFonts w:hint="eastAsia" w:cs="Times New Roman"/>
                <w:color w:val="000000" w:themeColor="text1"/>
                <w:kern w:val="0"/>
                <w:sz w:val="24"/>
                <w:lang w:val="en-US" w:eastAsia="zh-CN"/>
                <w14:textFill>
                  <w14:solidFill>
                    <w14:schemeClr w14:val="tx1"/>
                  </w14:solidFill>
                </w14:textFill>
              </w:rPr>
              <w:t>产品为聚乙烯蜡，属于C2661 化学试剂和助剂制造</w:t>
            </w:r>
            <w:r>
              <w:rPr>
                <w:rFonts w:hint="default" w:cs="Times New Roman"/>
                <w:color w:val="000000" w:themeColor="text1"/>
                <w:kern w:val="0"/>
                <w:sz w:val="24"/>
                <w:lang w:val="en-US" w:eastAsia="zh-CN"/>
                <w14:textFill>
                  <w14:solidFill>
                    <w14:schemeClr w14:val="tx1"/>
                  </w14:solidFill>
                </w14:textFill>
              </w:rPr>
              <w:t>，</w:t>
            </w:r>
            <w:r>
              <w:rPr>
                <w:rFonts w:hint="eastAsia" w:cs="Times New Roman"/>
                <w:color w:val="000000" w:themeColor="text1"/>
                <w:kern w:val="0"/>
                <w:sz w:val="24"/>
                <w:lang w:val="en-US" w:eastAsia="zh-CN"/>
                <w14:textFill>
                  <w14:solidFill>
                    <w14:schemeClr w14:val="tx1"/>
                  </w14:solidFill>
                </w14:textFill>
              </w:rPr>
              <w:t>生产工艺为物理混合、不涉及化学反应，原辅材料、产品都不属于危险化学品，</w:t>
            </w:r>
            <w:r>
              <w:rPr>
                <w:rFonts w:hint="default" w:cs="Times New Roman"/>
                <w:color w:val="000000" w:themeColor="text1"/>
                <w:kern w:val="0"/>
                <w:sz w:val="24"/>
                <w:lang w:val="en-US" w:eastAsia="zh-CN"/>
                <w14:textFill>
                  <w14:solidFill>
                    <w14:schemeClr w14:val="tx1"/>
                  </w14:solidFill>
                </w14:textFill>
              </w:rPr>
              <w:t>且满足《山东省化工行业投资项目管理规定》相关要求</w:t>
            </w:r>
            <w:r>
              <w:rPr>
                <w:rFonts w:hint="eastAsia" w:cs="Times New Roman"/>
                <w:color w:val="000000" w:themeColor="text1"/>
                <w:kern w:val="0"/>
                <w:sz w:val="24"/>
                <w:lang w:val="en-US" w:eastAsia="zh-CN"/>
                <w14:textFill>
                  <w14:solidFill>
                    <w14:schemeClr w14:val="tx1"/>
                  </w14:solidFill>
                </w14:textFill>
              </w:rPr>
              <w:t>，属于</w:t>
            </w:r>
            <w:r>
              <w:rPr>
                <w:rFonts w:hint="default" w:cs="Times New Roman"/>
                <w:color w:val="000000" w:themeColor="text1"/>
                <w:kern w:val="0"/>
                <w:sz w:val="24"/>
                <w:lang w:val="en-US" w:eastAsia="zh-CN"/>
                <w14:textFill>
                  <w14:solidFill>
                    <w14:schemeClr w14:val="tx1"/>
                  </w14:solidFill>
                </w14:textFill>
              </w:rPr>
              <w:t>控制发展</w:t>
            </w:r>
            <w:r>
              <w:rPr>
                <w:rFonts w:hint="eastAsia" w:cs="Times New Roman"/>
                <w:color w:val="000000" w:themeColor="text1"/>
                <w:kern w:val="0"/>
                <w:sz w:val="24"/>
                <w:lang w:val="en-US" w:eastAsia="zh-CN"/>
                <w14:textFill>
                  <w14:solidFill>
                    <w14:schemeClr w14:val="tx1"/>
                  </w14:solidFill>
                </w14:textFill>
              </w:rPr>
              <w:t>行业，符合集聚区准入条件</w:t>
            </w:r>
            <w:r>
              <w:rPr>
                <w:rFonts w:hint="default" w:cs="Times New Roman"/>
                <w:color w:val="000000" w:themeColor="text1"/>
                <w:kern w:val="0"/>
                <w:sz w:val="24"/>
                <w:lang w:val="en-US" w:eastAsia="zh-CN"/>
                <w14:textFill>
                  <w14:solidFill>
                    <w14:schemeClr w14:val="tx1"/>
                  </w14:solidFill>
                </w14:textFill>
              </w:rPr>
              <w:t>；本项目已在山东省投资项目在线审批监管平台登记备案，备案号：</w:t>
            </w:r>
            <w:r>
              <w:rPr>
                <w:rFonts w:hint="eastAsia" w:cs="Times New Roman"/>
                <w:color w:val="000000" w:themeColor="text1"/>
                <w:kern w:val="0"/>
                <w:sz w:val="24"/>
                <w:lang w:val="en-US" w:eastAsia="zh-CN"/>
                <w14:textFill>
                  <w14:solidFill>
                    <w14:schemeClr w14:val="tx1"/>
                  </w14:solidFill>
                </w14:textFill>
              </w:rPr>
              <w:t>2508-370303-89-01-341201</w:t>
            </w:r>
            <w:r>
              <w:rPr>
                <w:rFonts w:hint="default" w:cs="Times New Roman"/>
                <w:color w:val="000000" w:themeColor="text1"/>
                <w:kern w:val="0"/>
                <w:sz w:val="24"/>
                <w:lang w:val="en-US" w:eastAsia="zh-CN"/>
                <w14:textFill>
                  <w14:solidFill>
                    <w14:schemeClr w14:val="tx1"/>
                  </w14:solidFill>
                </w14:textFill>
              </w:rPr>
              <w:t>。本项目</w:t>
            </w:r>
            <w:r>
              <w:rPr>
                <w:rFonts w:hint="default" w:ascii="Times New Roman" w:hAnsi="Times New Roman" w:eastAsia="宋体" w:cs="Times New Roman"/>
                <w:color w:val="000000" w:themeColor="text1"/>
                <w:kern w:val="0"/>
                <w:sz w:val="24"/>
                <w14:textFill>
                  <w14:solidFill>
                    <w14:schemeClr w14:val="tx1"/>
                  </w14:solidFill>
                </w14:textFill>
              </w:rPr>
              <w:t>符</w:t>
            </w:r>
            <w:r>
              <w:rPr>
                <w:rFonts w:hint="default" w:ascii="Times New Roman" w:hAnsi="Times New Roman" w:eastAsia="宋体" w:cs="Times New Roman"/>
                <w:color w:val="000000" w:themeColor="text1"/>
                <w:sz w:val="24"/>
                <w14:textFill>
                  <w14:solidFill>
                    <w14:schemeClr w14:val="tx1"/>
                  </w14:solidFill>
                </w14:textFill>
              </w:rPr>
              <w:t>合国家及地方产业政策要求，并且生产过程中</w:t>
            </w:r>
            <w:r>
              <w:rPr>
                <w:rFonts w:hint="eastAsia" w:cs="Times New Roman"/>
                <w:color w:val="000000" w:themeColor="text1"/>
                <w:sz w:val="24"/>
                <w:lang w:val="en-US" w:eastAsia="zh-CN"/>
                <w14:textFill>
                  <w14:solidFill>
                    <w14:schemeClr w14:val="tx1"/>
                  </w14:solidFill>
                </w14:textFill>
              </w:rPr>
              <w:t>对</w:t>
            </w:r>
            <w:r>
              <w:rPr>
                <w:rFonts w:hint="default" w:ascii="Times New Roman" w:hAnsi="Times New Roman" w:eastAsia="宋体" w:cs="Times New Roman"/>
                <w:color w:val="000000" w:themeColor="text1"/>
                <w:sz w:val="24"/>
                <w14:textFill>
                  <w14:solidFill>
                    <w14:schemeClr w14:val="tx1"/>
                  </w14:solidFill>
                </w14:textFill>
              </w:rPr>
              <w:t>环境影响较小。因此本项目符合集聚区规划及行业准入管控要求。</w:t>
            </w:r>
          </w:p>
        </w:tc>
      </w:tr>
      <w:tr w14:paraId="59FE81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097" w:hRule="atLeast"/>
          <w:jc w:val="center"/>
        </w:trPr>
        <w:tc>
          <w:tcPr>
            <w:tcW w:w="362" w:type="pct"/>
            <w:tcMar>
              <w:top w:w="16" w:type="dxa"/>
              <w:left w:w="16" w:type="dxa"/>
              <w:right w:w="16" w:type="dxa"/>
            </w:tcMar>
            <w:vAlign w:val="center"/>
          </w:tcPr>
          <w:p w14:paraId="5504F8B3">
            <w:pPr>
              <w:autoSpaceDE w:val="0"/>
              <w:autoSpaceDN w:val="0"/>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bookmarkStart w:id="2" w:name="_Hlk56690880"/>
            <w:r>
              <w:rPr>
                <w:rFonts w:hint="default" w:ascii="Times New Roman" w:hAnsi="Times New Roman" w:eastAsia="宋体" w:cs="Times New Roman"/>
                <w:color w:val="000000" w:themeColor="text1"/>
                <w:kern w:val="0"/>
                <w:sz w:val="24"/>
                <w14:textFill>
                  <w14:solidFill>
                    <w14:schemeClr w14:val="tx1"/>
                  </w14:solidFill>
                </w14:textFill>
              </w:rPr>
              <w:t>其他符合性分析</w:t>
            </w:r>
            <w:bookmarkEnd w:id="2"/>
          </w:p>
        </w:tc>
        <w:tc>
          <w:tcPr>
            <w:tcW w:w="4637" w:type="pct"/>
            <w:gridSpan w:val="3"/>
            <w:tcMar>
              <w:top w:w="16" w:type="dxa"/>
              <w:left w:w="16" w:type="dxa"/>
              <w:right w:w="16" w:type="dxa"/>
            </w:tcMar>
            <w:vAlign w:val="center"/>
          </w:tcPr>
          <w:p w14:paraId="3AC5D2E1">
            <w:pPr>
              <w:adjustRightInd w:val="0"/>
              <w:snapToGrid w:val="0"/>
              <w:spacing w:line="360" w:lineRule="auto"/>
              <w:ind w:firstLine="482" w:firstLineChars="200"/>
              <w:jc w:val="left"/>
              <w:rPr>
                <w:rFonts w:hint="default" w:ascii="Times New Roman" w:hAnsi="Times New Roman" w:eastAsia="宋体" w:cs="Times New Roman"/>
                <w:b/>
                <w:bCs/>
                <w:color w:val="000000" w:themeColor="text1"/>
                <w:sz w:val="24"/>
                <w:lang w:bidi="zh-CN"/>
                <w14:textFill>
                  <w14:solidFill>
                    <w14:schemeClr w14:val="tx1"/>
                  </w14:solidFill>
                </w14:textFill>
              </w:rPr>
            </w:pPr>
            <w:r>
              <w:rPr>
                <w:rFonts w:hint="default" w:ascii="Times New Roman" w:hAnsi="Times New Roman" w:eastAsia="宋体" w:cs="Times New Roman"/>
                <w:b/>
                <w:bCs/>
                <w:color w:val="000000" w:themeColor="text1"/>
                <w:sz w:val="24"/>
                <w:lang w:bidi="zh-CN"/>
                <w14:textFill>
                  <w14:solidFill>
                    <w14:schemeClr w14:val="tx1"/>
                  </w14:solidFill>
                </w14:textFill>
              </w:rPr>
              <w:t>1、产业政策符合性分析</w:t>
            </w:r>
          </w:p>
          <w:p w14:paraId="5237D223">
            <w:pPr>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本项目产品、工艺、设备和生产能力均不属于国家发展和改革委员会发布的《产业结构调整指导目录（2024年本）》“鼓励类”、“淘汰类”和“限制类”中的项目，为允许建设项目，符合国家产业政策。</w:t>
            </w:r>
          </w:p>
          <w:p w14:paraId="42855EBC">
            <w:pPr>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所用设备、工艺均不属于《全市重点淘汰的落后工艺技术、装备及产品目录》中落后的工艺技术、装备及产品项目，不属于淄博市人民政府办公厅发布的《关于印发淄博市产业结构调整指导意见和指导目录的通知》（淄政办发[2011]35号）中鼓励类、限制类和淘汰类之列，属于允许建设项目，符合淄博市产业政策。本项目已在山东省投资项目在线审批监管平台登记备案，备案号：</w:t>
            </w:r>
            <w:r>
              <w:rPr>
                <w:rFonts w:hint="eastAsia" w:cs="Times New Roman"/>
                <w:color w:val="000000" w:themeColor="text1"/>
                <w:sz w:val="24"/>
                <w:lang w:val="en-US" w:eastAsia="zh-CN"/>
                <w14:textFill>
                  <w14:solidFill>
                    <w14:schemeClr w14:val="tx1"/>
                  </w14:solidFill>
                </w14:textFill>
              </w:rPr>
              <w:t>2508-370303-89-01-341201</w:t>
            </w:r>
            <w:r>
              <w:rPr>
                <w:rFonts w:hint="default" w:ascii="Times New Roman" w:hAnsi="Times New Roman" w:eastAsia="宋体" w:cs="Times New Roman"/>
                <w:color w:val="000000" w:themeColor="text1"/>
                <w:sz w:val="24"/>
                <w14:textFill>
                  <w14:solidFill>
                    <w14:schemeClr w14:val="tx1"/>
                  </w14:solidFill>
                </w14:textFill>
              </w:rPr>
              <w:t>。</w:t>
            </w:r>
          </w:p>
          <w:p w14:paraId="119019DB">
            <w:pPr>
              <w:spacing w:line="360" w:lineRule="auto"/>
              <w:ind w:left="240" w:firstLine="240" w:firstLineChars="1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综上所述，本项目的建设符合国家及淄博市产业政策的要求。</w:t>
            </w:r>
          </w:p>
          <w:p w14:paraId="603CABF1">
            <w:pPr>
              <w:adjustRightInd w:val="0"/>
              <w:snapToGrid w:val="0"/>
              <w:spacing w:line="360" w:lineRule="auto"/>
              <w:ind w:firstLine="482" w:firstLineChars="200"/>
              <w:jc w:val="left"/>
              <w:rPr>
                <w:rFonts w:hint="default" w:ascii="Times New Roman" w:hAnsi="Times New Roman" w:eastAsia="宋体" w:cs="Times New Roman"/>
                <w:b/>
                <w:bCs/>
                <w:color w:val="000000" w:themeColor="text1"/>
                <w:sz w:val="24"/>
                <w:lang w:bidi="zh-CN"/>
                <w14:textFill>
                  <w14:solidFill>
                    <w14:schemeClr w14:val="tx1"/>
                  </w14:solidFill>
                </w14:textFill>
              </w:rPr>
            </w:pPr>
            <w:r>
              <w:rPr>
                <w:rFonts w:hint="default" w:ascii="Times New Roman" w:hAnsi="Times New Roman" w:eastAsia="宋体" w:cs="Times New Roman"/>
                <w:b/>
                <w:bCs/>
                <w:color w:val="000000" w:themeColor="text1"/>
                <w:sz w:val="24"/>
                <w:lang w:bidi="zh-CN"/>
                <w14:textFill>
                  <w14:solidFill>
                    <w14:schemeClr w14:val="tx1"/>
                  </w14:solidFill>
                </w14:textFill>
              </w:rPr>
              <w:t>2、用地符合性分析</w:t>
            </w:r>
          </w:p>
          <w:p w14:paraId="129D1E09">
            <w:pPr>
              <w:adjustRightInd w:val="0"/>
              <w:snapToGrid w:val="0"/>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本项目位于</w:t>
            </w:r>
            <w:r>
              <w:rPr>
                <w:rFonts w:hint="eastAsia" w:cs="Times New Roman"/>
                <w:color w:val="000000" w:themeColor="text1"/>
                <w:sz w:val="24"/>
                <w:lang w:eastAsia="zh-CN"/>
                <w14:textFill>
                  <w14:solidFill>
                    <w14:schemeClr w14:val="tx1"/>
                  </w14:solidFill>
                </w14:textFill>
              </w:rPr>
              <w:t>山东省淄博市张店区湖田街道办事处南焦宋村南首</w:t>
            </w:r>
            <w:r>
              <w:rPr>
                <w:rFonts w:hint="default" w:ascii="Times New Roman" w:hAnsi="Times New Roman" w:eastAsia="宋体" w:cs="Times New Roman"/>
                <w:color w:val="000000" w:themeColor="text1"/>
                <w:sz w:val="24"/>
                <w14:textFill>
                  <w14:solidFill>
                    <w14:schemeClr w14:val="tx1"/>
                  </w14:solidFill>
                </w14:textFill>
              </w:rPr>
              <w:t>，根据张店区湖田街道工业集聚区总体发展规划（2024-2035年）-</w:t>
            </w:r>
            <w:r>
              <w:rPr>
                <w:rFonts w:hint="eastAsia" w:cs="Times New Roman"/>
                <w:color w:val="000000" w:themeColor="text1"/>
                <w:sz w:val="24"/>
                <w:lang w:val="en-US" w:eastAsia="zh-CN"/>
                <w14:textFill>
                  <w14:solidFill>
                    <w14:schemeClr w14:val="tx1"/>
                  </w14:solidFill>
                </w14:textFill>
              </w:rPr>
              <w:t>远期</w:t>
            </w:r>
            <w:r>
              <w:rPr>
                <w:rFonts w:hint="default" w:ascii="Times New Roman" w:hAnsi="Times New Roman" w:eastAsia="宋体" w:cs="Times New Roman"/>
                <w:color w:val="000000" w:themeColor="text1"/>
                <w:sz w:val="24"/>
                <w14:textFill>
                  <w14:solidFill>
                    <w14:schemeClr w14:val="tx1"/>
                  </w14:solidFill>
                </w14:textFill>
              </w:rPr>
              <w:t>土地使用规划（附图</w:t>
            </w:r>
            <w:r>
              <w:rPr>
                <w:rFonts w:hint="eastAsia" w:cs="Times New Roman"/>
                <w:color w:val="000000" w:themeColor="text1"/>
                <w:sz w:val="24"/>
                <w:lang w:val="en-US" w:eastAsia="zh-CN"/>
                <w14:textFill>
                  <w14:solidFill>
                    <w14:schemeClr w14:val="tx1"/>
                  </w14:solidFill>
                </w14:textFill>
              </w:rPr>
              <w:t>6</w:t>
            </w:r>
            <w:r>
              <w:rPr>
                <w:rFonts w:hint="default" w:ascii="Times New Roman" w:hAnsi="Times New Roman" w:eastAsia="宋体" w:cs="Times New Roman"/>
                <w:color w:val="000000" w:themeColor="text1"/>
                <w:sz w:val="24"/>
                <w14:textFill>
                  <w14:solidFill>
                    <w14:schemeClr w14:val="tx1"/>
                  </w14:solidFill>
                </w14:textFill>
              </w:rPr>
              <w:t>），项目属</w:t>
            </w:r>
            <w:r>
              <w:rPr>
                <w:rFonts w:hint="eastAsia" w:cs="Times New Roman"/>
                <w:color w:val="000000" w:themeColor="text1"/>
                <w:sz w:val="24"/>
                <w:lang w:val="en-US" w:eastAsia="zh-CN"/>
                <w14:textFill>
                  <w14:solidFill>
                    <w14:schemeClr w14:val="tx1"/>
                  </w14:solidFill>
                </w14:textFill>
              </w:rPr>
              <w:t>于</w:t>
            </w:r>
            <w:r>
              <w:rPr>
                <w:rFonts w:hint="default" w:ascii="Times New Roman" w:hAnsi="Times New Roman" w:eastAsia="宋体" w:cs="Times New Roman"/>
                <w:color w:val="000000" w:themeColor="text1"/>
                <w:sz w:val="24"/>
                <w14:textFill>
                  <w14:solidFill>
                    <w14:schemeClr w14:val="tx1"/>
                  </w14:solidFill>
                </w14:textFill>
              </w:rPr>
              <w:t>工业用地；根据自然资源部、国家发展和改革委员会、国家林业和草原局印发的《自然资源要素支撑产业高质量发展指导目录（2024年本）》（自然资发〔2024〕273号），项目不属于其规定的限制类和禁止类范畴，项目不占用耕地，不涉及生态保护红线、自然保护地。综上，项目用地符合用地规划。</w:t>
            </w:r>
          </w:p>
          <w:p w14:paraId="720FFD64">
            <w:pPr>
              <w:adjustRightInd w:val="0"/>
              <w:snapToGrid w:val="0"/>
              <w:spacing w:line="360" w:lineRule="auto"/>
              <w:ind w:firstLine="482" w:firstLineChars="200"/>
              <w:jc w:val="left"/>
              <w:rPr>
                <w:rFonts w:hint="default" w:ascii="Times New Roman" w:hAnsi="Times New Roman" w:eastAsia="宋体" w:cs="Times New Roman"/>
                <w:b/>
                <w:bCs/>
                <w:color w:val="000000" w:themeColor="text1"/>
                <w:sz w:val="24"/>
                <w:lang w:bidi="zh-CN"/>
                <w14:textFill>
                  <w14:solidFill>
                    <w14:schemeClr w14:val="tx1"/>
                  </w14:solidFill>
                </w14:textFill>
              </w:rPr>
            </w:pPr>
            <w:r>
              <w:rPr>
                <w:rFonts w:hint="default" w:ascii="Times New Roman" w:hAnsi="Times New Roman" w:eastAsia="宋体" w:cs="Times New Roman"/>
                <w:b/>
                <w:bCs/>
                <w:color w:val="000000" w:themeColor="text1"/>
                <w:sz w:val="24"/>
                <w:lang w:bidi="zh-CN"/>
                <w14:textFill>
                  <w14:solidFill>
                    <w14:schemeClr w14:val="tx1"/>
                  </w14:solidFill>
                </w14:textFill>
              </w:rPr>
              <w:t>3、生态环境分区管控符合性分析</w:t>
            </w:r>
          </w:p>
          <w:p w14:paraId="74E21CCD">
            <w:pPr>
              <w:adjustRightInd w:val="0"/>
              <w:snapToGrid w:val="0"/>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（1）与淄博市国土空间规划符合性分析</w:t>
            </w:r>
          </w:p>
          <w:p w14:paraId="0989C1AA">
            <w:pPr>
              <w:adjustRightInd w:val="0"/>
              <w:snapToGrid w:val="0"/>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根据《淄博市国土空间总体规划（2021-2035年）》，本项目属于工业用地，符合国土空间规划要求。详见附图6。</w:t>
            </w:r>
          </w:p>
          <w:p w14:paraId="78841038">
            <w:pPr>
              <w:adjustRightInd w:val="0"/>
              <w:snapToGrid w:val="0"/>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（2）与环境质量底线符合性分析</w:t>
            </w:r>
          </w:p>
          <w:p w14:paraId="0B0186C9">
            <w:pPr>
              <w:adjustRightInd w:val="0"/>
              <w:snapToGrid w:val="0"/>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本项目所在区域大气环境质量不满足《环境空气质量标准》（GB3095-2012）及修改单二级标准要求，</w:t>
            </w:r>
            <w:r>
              <w:rPr>
                <w:rFonts w:hint="eastAsia" w:cs="Times New Roman"/>
                <w:color w:val="000000" w:themeColor="text1"/>
                <w:sz w:val="24"/>
                <w:lang w:val="en-US" w:eastAsia="zh-CN"/>
                <w14:textFill>
                  <w14:solidFill>
                    <w14:schemeClr w14:val="tx1"/>
                  </w14:solidFill>
                </w14:textFill>
              </w:rPr>
              <w:t>张店</w:t>
            </w:r>
            <w:r>
              <w:rPr>
                <w:rFonts w:hint="default" w:ascii="Times New Roman" w:hAnsi="Times New Roman" w:eastAsia="宋体" w:cs="Times New Roman"/>
                <w:color w:val="000000" w:themeColor="text1"/>
                <w:sz w:val="24"/>
                <w14:textFill>
                  <w14:solidFill>
                    <w14:schemeClr w14:val="tx1"/>
                  </w14:solidFill>
                </w14:textFill>
              </w:rPr>
              <w:t>区已采取相关措施，该区域大气环境质量已日趋改善，项目废气可以达标排放，并将通过区域倍量替代，减少区域污染物排放，有利于区域环境改善；本项目周围地表水体为</w:t>
            </w:r>
            <w:r>
              <w:rPr>
                <w:rFonts w:hint="eastAsia" w:ascii="Times New Roman" w:hAnsi="Times New Roman" w:eastAsia="宋体" w:cs="Times New Roman"/>
                <w:color w:val="000000" w:themeColor="text1"/>
                <w:sz w:val="24"/>
                <w:lang w:eastAsia="zh-CN"/>
                <w14:textFill>
                  <w14:solidFill>
                    <w14:schemeClr w14:val="tx1"/>
                  </w14:solidFill>
                </w14:textFill>
              </w:rPr>
              <w:t>涝淄河</w:t>
            </w:r>
            <w:r>
              <w:rPr>
                <w:rFonts w:hint="default"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lang w:eastAsia="zh-CN"/>
                <w14:textFill>
                  <w14:solidFill>
                    <w14:schemeClr w14:val="tx1"/>
                  </w14:solidFill>
                </w14:textFill>
              </w:rPr>
              <w:t>涝淄河</w:t>
            </w:r>
            <w:r>
              <w:rPr>
                <w:rFonts w:hint="default" w:ascii="Times New Roman" w:hAnsi="Times New Roman" w:eastAsia="宋体" w:cs="Times New Roman"/>
                <w:color w:val="000000" w:themeColor="text1"/>
                <w:sz w:val="24"/>
                <w14:textFill>
                  <w14:solidFill>
                    <w14:schemeClr w14:val="tx1"/>
                  </w14:solidFill>
                </w14:textFill>
              </w:rPr>
              <w:t>水质能够满足《地表水环境质量标准》（GB3838-2002）Ⅴ类标准。本项目使用电等清洁能源，主要污染物为VOCs，污染物配备环保设施，处理后可达标排放，对区域环境空气影响不大；项目无生产废水外排，固体废物妥善处置。项目厂区严格落实各项防渗措施后，对地下水的影响很小。项目产噪设备均采用合理可行的治理措施，可实现达标排放。本项目所排放的污染物对周围环境的影响较小，在可接受范围之内。项目所排放的污染物能够满足相关排放标准，满足总量控制指标的要求，不影响当地污染物减排任务的完成，该项目对周围环境的影响程度不大，满足环境质量底线要求。</w:t>
            </w:r>
          </w:p>
          <w:p w14:paraId="4676D8E1">
            <w:pPr>
              <w:adjustRightInd w:val="0"/>
              <w:snapToGrid w:val="0"/>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（3）与资源利用上线符合性分析</w:t>
            </w:r>
          </w:p>
          <w:p w14:paraId="3B62301A">
            <w:pPr>
              <w:adjustRightInd w:val="0"/>
              <w:snapToGrid w:val="0"/>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本项目不属于</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两高</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项目，项目使用的能源包括水、电，水来自</w:t>
            </w:r>
            <w:r>
              <w:rPr>
                <w:rFonts w:hint="eastAsia" w:cs="Times New Roman"/>
                <w:color w:val="000000" w:themeColor="text1"/>
                <w:sz w:val="24"/>
                <w:lang w:eastAsia="zh-CN"/>
                <w14:textFill>
                  <w14:solidFill>
                    <w14:schemeClr w14:val="tx1"/>
                  </w14:solidFill>
                </w14:textFill>
              </w:rPr>
              <w:t>湖田街道</w:t>
            </w:r>
            <w:r>
              <w:rPr>
                <w:rFonts w:hint="default" w:ascii="Times New Roman" w:hAnsi="Times New Roman" w:eastAsia="宋体" w:cs="Times New Roman"/>
                <w:color w:val="000000" w:themeColor="text1"/>
                <w:sz w:val="24"/>
                <w14:textFill>
                  <w14:solidFill>
                    <w14:schemeClr w14:val="tx1"/>
                  </w14:solidFill>
                </w14:textFill>
              </w:rPr>
              <w:t>自来水管网，电来自</w:t>
            </w:r>
            <w:r>
              <w:rPr>
                <w:rFonts w:hint="eastAsia" w:cs="Times New Roman"/>
                <w:color w:val="000000" w:themeColor="text1"/>
                <w:sz w:val="24"/>
                <w:lang w:eastAsia="zh-CN"/>
                <w14:textFill>
                  <w14:solidFill>
                    <w14:schemeClr w14:val="tx1"/>
                  </w14:solidFill>
                </w14:textFill>
              </w:rPr>
              <w:t>湖田街道</w:t>
            </w:r>
            <w:r>
              <w:rPr>
                <w:rFonts w:hint="default" w:ascii="Times New Roman" w:hAnsi="Times New Roman" w:eastAsia="宋体" w:cs="Times New Roman"/>
                <w:color w:val="000000" w:themeColor="text1"/>
                <w:sz w:val="24"/>
                <w14:textFill>
                  <w14:solidFill>
                    <w14:schemeClr w14:val="tx1"/>
                  </w14:solidFill>
                </w14:textFill>
              </w:rPr>
              <w:t>电网，周围配套设施较为完善，项目用水、用电等公共设施方便，项目资源利用量相对于区域资源利用总量较少，符合资源利用上线的要求。</w:t>
            </w:r>
          </w:p>
          <w:p w14:paraId="4425A4FF">
            <w:pPr>
              <w:adjustRightInd w:val="0"/>
              <w:snapToGrid w:val="0"/>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（4）与生态环境准入清单符合性分析</w:t>
            </w:r>
          </w:p>
          <w:p w14:paraId="5902DBD0">
            <w:pPr>
              <w:adjustRightInd w:val="0"/>
              <w:snapToGrid w:val="0"/>
              <w:spacing w:line="360" w:lineRule="auto"/>
              <w:ind w:firstLine="480" w:firstLineChars="200"/>
              <w:jc w:val="left"/>
              <w:rPr>
                <w:rFonts w:hint="default" w:ascii="Times New Roman" w:hAnsi="Times New Roman" w:eastAsia="宋体" w:cs="Times New Roman"/>
                <w:color w:val="000000" w:themeColor="text1"/>
                <w:sz w:val="24"/>
                <w:lang w:val="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根据淄博市生态环境委员会办公室关于印发《淄博市2023年生态环境分区管控成果动态更新项目生态环境准入清单》的通知，项目属于</w:t>
            </w:r>
            <w:r>
              <w:rPr>
                <w:rFonts w:hint="eastAsia" w:cs="Times New Roman"/>
                <w:color w:val="000000" w:themeColor="text1"/>
                <w:sz w:val="24"/>
                <w:lang w:eastAsia="zh-CN"/>
                <w14:textFill>
                  <w14:solidFill>
                    <w14:schemeClr w14:val="tx1"/>
                  </w14:solidFill>
                </w14:textFill>
              </w:rPr>
              <w:t>湖田街道</w:t>
            </w:r>
            <w:r>
              <w:rPr>
                <w:rFonts w:hint="default" w:ascii="Times New Roman" w:hAnsi="Times New Roman" w:eastAsia="宋体" w:cs="Times New Roman"/>
                <w:color w:val="000000" w:themeColor="text1"/>
                <w:sz w:val="24"/>
                <w14:textFill>
                  <w14:solidFill>
                    <w14:schemeClr w14:val="tx1"/>
                  </w14:solidFill>
                </w14:textFill>
              </w:rPr>
              <w:t>管控单元，属于</w:t>
            </w:r>
            <w:r>
              <w:rPr>
                <w:rFonts w:hint="eastAsia" w:cs="Times New Roman"/>
                <w:color w:val="000000" w:themeColor="text1"/>
                <w:sz w:val="24"/>
                <w:lang w:val="en-US" w:eastAsia="zh-CN"/>
                <w14:textFill>
                  <w14:solidFill>
                    <w14:schemeClr w14:val="tx1"/>
                  </w14:solidFill>
                </w14:textFill>
              </w:rPr>
              <w:t>重点</w:t>
            </w:r>
            <w:r>
              <w:rPr>
                <w:rFonts w:hint="default" w:ascii="Times New Roman" w:hAnsi="Times New Roman" w:eastAsia="宋体" w:cs="Times New Roman"/>
                <w:color w:val="000000" w:themeColor="text1"/>
                <w:sz w:val="24"/>
                <w14:textFill>
                  <w14:solidFill>
                    <w14:schemeClr w14:val="tx1"/>
                  </w14:solidFill>
                </w14:textFill>
              </w:rPr>
              <w:t>管控单元（详见附图</w:t>
            </w:r>
            <w:r>
              <w:rPr>
                <w:rFonts w:hint="eastAsia" w:cs="Times New Roman"/>
                <w:color w:val="000000" w:themeColor="text1"/>
                <w:sz w:val="24"/>
                <w:lang w:val="en-US" w:eastAsia="zh-CN"/>
                <w14:textFill>
                  <w14:solidFill>
                    <w14:schemeClr w14:val="tx1"/>
                  </w14:solidFill>
                </w14:textFill>
              </w:rPr>
              <w:t>5</w:t>
            </w:r>
            <w:r>
              <w:rPr>
                <w:rFonts w:hint="default" w:ascii="Times New Roman" w:hAnsi="Times New Roman" w:eastAsia="宋体" w:cs="Times New Roman"/>
                <w:color w:val="000000" w:themeColor="text1"/>
                <w:sz w:val="24"/>
                <w14:textFill>
                  <w14:solidFill>
                    <w14:schemeClr w14:val="tx1"/>
                  </w14:solidFill>
                </w14:textFill>
              </w:rPr>
              <w:t>）。项目与《淄博市2023年生态环境分区管控成果动态更新项目生态环境准入清单》符合性分析如下</w:t>
            </w:r>
            <w:r>
              <w:rPr>
                <w:rFonts w:hint="default" w:ascii="Times New Roman" w:hAnsi="Times New Roman" w:eastAsia="宋体" w:cs="Times New Roman"/>
                <w:color w:val="000000" w:themeColor="text1"/>
                <w:sz w:val="24"/>
                <w:lang w:val="zh-CN"/>
                <w14:textFill>
                  <w14:solidFill>
                    <w14:schemeClr w14:val="tx1"/>
                  </w14:solidFill>
                </w14:textFill>
              </w:rPr>
              <w:t>。</w:t>
            </w:r>
          </w:p>
          <w:p w14:paraId="5DB79021">
            <w:pPr>
              <w:pStyle w:val="6"/>
              <w:snapToGrid w:val="0"/>
              <w:spacing w:line="240" w:lineRule="auto"/>
              <w:ind w:firstLine="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表</w:t>
            </w:r>
            <w:r>
              <w:rPr>
                <w:rFonts w:hint="default" w:ascii="Times New Roman" w:hAnsi="Times New Roman" w:eastAsia="宋体" w:cs="Times New Roman"/>
                <w:b/>
                <w:bCs/>
                <w:color w:val="000000" w:themeColor="text1"/>
                <w14:textFill>
                  <w14:solidFill>
                    <w14:schemeClr w14:val="tx1"/>
                  </w14:solidFill>
                </w14:textFill>
              </w:rPr>
              <w:t>1-</w:t>
            </w:r>
            <w:r>
              <w:rPr>
                <w:rFonts w:hint="eastAsia" w:hAnsi="Times New Roman" w:cs="Times New Roman"/>
                <w:b/>
                <w:bCs/>
                <w:color w:val="000000" w:themeColor="text1"/>
                <w:szCs w:val="21"/>
                <w:lang w:val="en-US" w:eastAsia="zh-CN"/>
                <w14:textFill>
                  <w14:solidFill>
                    <w14:schemeClr w14:val="tx1"/>
                  </w14:solidFill>
                </w14:textFill>
              </w:rPr>
              <w:t xml:space="preserve">5 </w:t>
            </w:r>
            <w:r>
              <w:rPr>
                <w:rFonts w:hint="default" w:ascii="Times New Roman" w:hAnsi="Times New Roman" w:eastAsia="宋体" w:cs="Times New Roman"/>
                <w:b/>
                <w:bCs/>
                <w:color w:val="000000" w:themeColor="text1"/>
                <w:szCs w:val="21"/>
                <w14:textFill>
                  <w14:solidFill>
                    <w14:schemeClr w14:val="tx1"/>
                  </w14:solidFill>
                </w14:textFill>
              </w:rPr>
              <w:t>与淄博市生态环境分区管控方案(湖田街道环境管控单元)符合性分析</w:t>
            </w:r>
          </w:p>
          <w:tbl>
            <w:tblPr>
              <w:tblStyle w:val="39"/>
              <w:tblW w:w="494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5216"/>
              <w:gridCol w:w="2078"/>
              <w:gridCol w:w="916"/>
            </w:tblGrid>
            <w:tr w14:paraId="578916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tcBorders>
                    <w:tl2br w:val="nil"/>
                    <w:tr2bl w:val="nil"/>
                  </w:tcBorders>
                  <w:vAlign w:val="center"/>
                </w:tcPr>
                <w:p w14:paraId="66212C76">
                  <w:pPr>
                    <w:pStyle w:val="6"/>
                    <w:snapToGrid w:val="0"/>
                    <w:spacing w:line="240" w:lineRule="auto"/>
                    <w:ind w:firstLine="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管控要求</w:t>
                  </w:r>
                </w:p>
              </w:tc>
              <w:tc>
                <w:tcPr>
                  <w:tcW w:w="5216" w:type="dxa"/>
                  <w:tcBorders>
                    <w:tl2br w:val="nil"/>
                    <w:tr2bl w:val="nil"/>
                  </w:tcBorders>
                  <w:vAlign w:val="center"/>
                </w:tcPr>
                <w:p w14:paraId="21B388FB">
                  <w:pPr>
                    <w:pStyle w:val="6"/>
                    <w:snapToGrid w:val="0"/>
                    <w:spacing w:line="240" w:lineRule="auto"/>
                    <w:ind w:firstLine="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具体规定</w:t>
                  </w:r>
                </w:p>
              </w:tc>
              <w:tc>
                <w:tcPr>
                  <w:tcW w:w="2078" w:type="dxa"/>
                  <w:tcBorders>
                    <w:tl2br w:val="nil"/>
                    <w:tr2bl w:val="nil"/>
                  </w:tcBorders>
                  <w:vAlign w:val="center"/>
                </w:tcPr>
                <w:p w14:paraId="7F9ABE0D">
                  <w:pPr>
                    <w:pStyle w:val="6"/>
                    <w:snapToGrid w:val="0"/>
                    <w:spacing w:line="240" w:lineRule="auto"/>
                    <w:ind w:firstLine="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本项目情况</w:t>
                  </w:r>
                </w:p>
              </w:tc>
              <w:tc>
                <w:tcPr>
                  <w:tcW w:w="916" w:type="dxa"/>
                  <w:tcBorders>
                    <w:tl2br w:val="nil"/>
                    <w:tr2bl w:val="nil"/>
                  </w:tcBorders>
                  <w:vAlign w:val="center"/>
                </w:tcPr>
                <w:p w14:paraId="6E79F3C1">
                  <w:pPr>
                    <w:pStyle w:val="6"/>
                    <w:snapToGrid w:val="0"/>
                    <w:spacing w:line="240" w:lineRule="auto"/>
                    <w:ind w:firstLine="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符合性</w:t>
                  </w:r>
                </w:p>
              </w:tc>
            </w:tr>
            <w:tr w14:paraId="29F379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restart"/>
                  <w:tcBorders>
                    <w:tl2br w:val="nil"/>
                    <w:tr2bl w:val="nil"/>
                  </w:tcBorders>
                  <w:vAlign w:val="center"/>
                </w:tcPr>
                <w:p w14:paraId="413E2D51">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空间布局约束</w:t>
                  </w:r>
                </w:p>
              </w:tc>
              <w:tc>
                <w:tcPr>
                  <w:tcW w:w="5216" w:type="dxa"/>
                  <w:tcBorders>
                    <w:tl2br w:val="nil"/>
                    <w:tr2bl w:val="nil"/>
                  </w:tcBorders>
                  <w:vAlign w:val="center"/>
                </w:tcPr>
                <w:p w14:paraId="095D55E5">
                  <w:pPr>
                    <w:jc w:val="left"/>
                    <w:rPr>
                      <w:rFonts w:hint="default" w:ascii="Times New Roman" w:hAnsi="Times New Roman" w:eastAsia="宋体" w:cs="Times New Roman"/>
                      <w:color w:val="000000" w:themeColor="text1"/>
                      <w:szCs w:val="21"/>
                      <w14:textFill>
                        <w14:solidFill>
                          <w14:schemeClr w14:val="tx1"/>
                        </w14:solidFill>
                      </w14:textFill>
                    </w:rPr>
                  </w:pPr>
                  <w:r>
                    <w:rPr>
                      <w:rStyle w:val="101"/>
                      <w:rFonts w:hint="default" w:ascii="Times New Roman" w:hAnsi="Times New Roman" w:eastAsia="宋体" w:cs="Times New Roman"/>
                      <w:color w:val="000000" w:themeColor="text1"/>
                      <w:lang w:bidi="ar"/>
                      <w14:textFill>
                        <w14:solidFill>
                          <w14:schemeClr w14:val="tx1"/>
                        </w14:solidFill>
                      </w14:textFill>
                    </w:rPr>
                    <w:t>1.</w:t>
                  </w:r>
                  <w:r>
                    <w:rPr>
                      <w:rStyle w:val="121"/>
                      <w:rFonts w:hint="default" w:ascii="Times New Roman" w:hAnsi="Times New Roman" w:eastAsia="宋体" w:cs="Times New Roman"/>
                      <w:color w:val="000000" w:themeColor="text1"/>
                      <w:lang w:bidi="ar"/>
                      <w14:textFill>
                        <w14:solidFill>
                          <w14:schemeClr w14:val="tx1"/>
                        </w14:solidFill>
                      </w14:textFill>
                    </w:rPr>
                    <w:t>禁止新建、扩建《产业结构调整指导目录》（现行）明确的淘汰类项目和引入《市场准入负面清单》（现行）禁止准入类事项；鼓励对列入《产业结构调整指导目录》的限制类、淘汰类工业项目进行淘汰和提升改造。</w:t>
                  </w:r>
                </w:p>
              </w:tc>
              <w:tc>
                <w:tcPr>
                  <w:tcW w:w="2078" w:type="dxa"/>
                  <w:tcBorders>
                    <w:tl2br w:val="nil"/>
                    <w:tr2bl w:val="nil"/>
                  </w:tcBorders>
                  <w:shd w:val="clear" w:color="auto" w:fill="auto"/>
                  <w:vAlign w:val="center"/>
                </w:tcPr>
                <w:p w14:paraId="5CB4E105">
                  <w:pPr>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本项目为新建项目，属于允许建设项目，不属于《市场准入负面清单》禁止准入类事项。</w:t>
                  </w:r>
                </w:p>
              </w:tc>
              <w:tc>
                <w:tcPr>
                  <w:tcW w:w="916" w:type="dxa"/>
                  <w:tcBorders>
                    <w:tl2br w:val="nil"/>
                    <w:tr2bl w:val="nil"/>
                  </w:tcBorders>
                  <w:vAlign w:val="center"/>
                </w:tcPr>
                <w:p w14:paraId="22296AD0">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40A152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7C98E35D">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1057736E">
                  <w:pPr>
                    <w:jc w:val="left"/>
                    <w:rPr>
                      <w:rFonts w:hint="default" w:ascii="Times New Roman" w:hAnsi="Times New Roman" w:eastAsia="宋体" w:cs="Times New Roman"/>
                      <w:color w:val="000000" w:themeColor="text1"/>
                      <w:szCs w:val="21"/>
                      <w14:textFill>
                        <w14:solidFill>
                          <w14:schemeClr w14:val="tx1"/>
                        </w14:solidFill>
                      </w14:textFill>
                    </w:rPr>
                  </w:pPr>
                  <w:r>
                    <w:rPr>
                      <w:rStyle w:val="101"/>
                      <w:rFonts w:hint="default" w:ascii="Times New Roman" w:hAnsi="Times New Roman" w:eastAsia="宋体" w:cs="Times New Roman"/>
                      <w:color w:val="000000" w:themeColor="text1"/>
                      <w:lang w:bidi="ar"/>
                      <w14:textFill>
                        <w14:solidFill>
                          <w14:schemeClr w14:val="tx1"/>
                        </w14:solidFill>
                      </w14:textFill>
                    </w:rPr>
                    <w:t>2.</w:t>
                  </w:r>
                  <w:r>
                    <w:rPr>
                      <w:rStyle w:val="121"/>
                      <w:rFonts w:hint="default" w:ascii="Times New Roman" w:hAnsi="Times New Roman" w:eastAsia="宋体" w:cs="Times New Roman"/>
                      <w:color w:val="000000" w:themeColor="text1"/>
                      <w:lang w:bidi="ar"/>
                      <w14:textFill>
                        <w14:solidFill>
                          <w14:schemeClr w14:val="tx1"/>
                        </w14:solidFill>
                      </w14:textFill>
                    </w:rPr>
                    <w:t>按照《土壤污染防治行动计划》要求，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2078" w:type="dxa"/>
                  <w:tcBorders>
                    <w:tl2br w:val="nil"/>
                    <w:tr2bl w:val="nil"/>
                  </w:tcBorders>
                  <w:shd w:val="clear" w:color="auto" w:fill="auto"/>
                  <w:vAlign w:val="center"/>
                </w:tcPr>
                <w:p w14:paraId="05F3F431">
                  <w:pPr>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本项目</w:t>
                  </w:r>
                  <w:r>
                    <w:rPr>
                      <w:rFonts w:hint="default" w:ascii="Times New Roman" w:hAnsi="Times New Roman" w:eastAsia="宋体" w:cs="Times New Roman"/>
                      <w:color w:val="000000" w:themeColor="text1"/>
                      <w14:textFill>
                        <w14:solidFill>
                          <w14:schemeClr w14:val="tx1"/>
                        </w14:solidFill>
                      </w14:textFill>
                    </w:rPr>
                    <w:t>用地为工业用地，</w:t>
                  </w:r>
                  <w:r>
                    <w:rPr>
                      <w:rFonts w:hint="default" w:ascii="Times New Roman" w:hAnsi="Times New Roman" w:eastAsia="宋体" w:cs="Times New Roman"/>
                      <w:bCs/>
                      <w:color w:val="000000" w:themeColor="text1"/>
                      <w:szCs w:val="21"/>
                      <w14:textFill>
                        <w14:solidFill>
                          <w14:schemeClr w14:val="tx1"/>
                        </w14:solidFill>
                      </w14:textFill>
                    </w:rPr>
                    <w:t>不占用</w:t>
                  </w:r>
                  <w:r>
                    <w:rPr>
                      <w:rStyle w:val="121"/>
                      <w:rFonts w:hint="default" w:ascii="Times New Roman" w:hAnsi="Times New Roman" w:eastAsia="宋体" w:cs="Times New Roman"/>
                      <w:color w:val="000000" w:themeColor="text1"/>
                      <w:lang w:bidi="ar"/>
                      <w14:textFill>
                        <w14:solidFill>
                          <w14:schemeClr w14:val="tx1"/>
                        </w14:solidFill>
                      </w14:textFill>
                    </w:rPr>
                    <w:t>优先保护类耕地及</w:t>
                  </w:r>
                  <w:r>
                    <w:rPr>
                      <w:rFonts w:hint="default" w:ascii="Times New Roman" w:hAnsi="Times New Roman" w:eastAsia="宋体" w:cs="Times New Roman"/>
                      <w:bCs/>
                      <w:color w:val="000000" w:themeColor="text1"/>
                      <w:szCs w:val="21"/>
                      <w14:textFill>
                        <w14:solidFill>
                          <w14:schemeClr w14:val="tx1"/>
                        </w14:solidFill>
                      </w14:textFill>
                    </w:rPr>
                    <w:t>永久基本农田。</w:t>
                  </w:r>
                </w:p>
              </w:tc>
              <w:tc>
                <w:tcPr>
                  <w:tcW w:w="916" w:type="dxa"/>
                  <w:tcBorders>
                    <w:tl2br w:val="nil"/>
                    <w:tr2bl w:val="nil"/>
                  </w:tcBorders>
                  <w:vAlign w:val="center"/>
                </w:tcPr>
                <w:p w14:paraId="7AEBBC3C">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02CA88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07D725C9">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63D132EF">
                  <w:pPr>
                    <w:jc w:val="left"/>
                    <w:rPr>
                      <w:rFonts w:hint="default" w:ascii="Times New Roman" w:hAnsi="Times New Roman" w:eastAsia="宋体" w:cs="Times New Roman"/>
                      <w:color w:val="000000" w:themeColor="text1"/>
                      <w:szCs w:val="21"/>
                      <w14:textFill>
                        <w14:solidFill>
                          <w14:schemeClr w14:val="tx1"/>
                        </w14:solidFill>
                      </w14:textFill>
                    </w:rPr>
                  </w:pPr>
                  <w:r>
                    <w:rPr>
                      <w:rStyle w:val="101"/>
                      <w:rFonts w:hint="default" w:ascii="Times New Roman" w:hAnsi="Times New Roman" w:eastAsia="宋体" w:cs="Times New Roman"/>
                      <w:color w:val="000000" w:themeColor="text1"/>
                      <w:lang w:bidi="ar"/>
                      <w14:textFill>
                        <w14:solidFill>
                          <w14:schemeClr w14:val="tx1"/>
                        </w14:solidFill>
                      </w14:textFill>
                    </w:rPr>
                    <w:t>3.</w:t>
                  </w:r>
                  <w:r>
                    <w:rPr>
                      <w:rStyle w:val="121"/>
                      <w:rFonts w:hint="default" w:ascii="Times New Roman" w:hAnsi="Times New Roman" w:eastAsia="宋体" w:cs="Times New Roman"/>
                      <w:color w:val="000000" w:themeColor="text1"/>
                      <w:lang w:bidi="ar"/>
                      <w14:textFill>
                        <w14:solidFill>
                          <w14:schemeClr w14:val="tx1"/>
                        </w14:solidFill>
                      </w14:textFill>
                    </w:rPr>
                    <w:t>污水处理设施不健全、未正常运行或污水管网未覆盖的地区，未配套污水处理设施的项目不得建设。</w:t>
                  </w:r>
                </w:p>
              </w:tc>
              <w:tc>
                <w:tcPr>
                  <w:tcW w:w="2078" w:type="dxa"/>
                  <w:tcBorders>
                    <w:tl2br w:val="nil"/>
                    <w:tr2bl w:val="nil"/>
                  </w:tcBorders>
                  <w:shd w:val="clear" w:color="auto" w:fill="auto"/>
                  <w:vAlign w:val="center"/>
                </w:tcPr>
                <w:p w14:paraId="6B9BED63">
                  <w:pPr>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本项目无生产废水排放，生活污水经化粪池处理后</w:t>
                  </w:r>
                  <w:r>
                    <w:rPr>
                      <w:rFonts w:hint="default" w:ascii="Times New Roman" w:hAnsi="Times New Roman" w:eastAsia="宋体" w:cs="Times New Roman"/>
                      <w:color w:val="000000" w:themeColor="text1"/>
                      <w:szCs w:val="21"/>
                      <w14:textFill>
                        <w14:solidFill>
                          <w14:schemeClr w14:val="tx1"/>
                        </w14:solidFill>
                      </w14:textFill>
                    </w:rPr>
                    <w:t>委托环卫部门定期清运</w:t>
                  </w:r>
                  <w:r>
                    <w:rPr>
                      <w:rFonts w:hint="default" w:ascii="Times New Roman" w:hAnsi="Times New Roman" w:eastAsia="宋体" w:cs="Times New Roman"/>
                      <w:bCs/>
                      <w:color w:val="000000" w:themeColor="text1"/>
                      <w:szCs w:val="21"/>
                      <w14:textFill>
                        <w14:solidFill>
                          <w14:schemeClr w14:val="tx1"/>
                        </w14:solidFill>
                      </w14:textFill>
                    </w:rPr>
                    <w:t>。</w:t>
                  </w:r>
                </w:p>
              </w:tc>
              <w:tc>
                <w:tcPr>
                  <w:tcW w:w="916" w:type="dxa"/>
                  <w:tcBorders>
                    <w:tl2br w:val="nil"/>
                    <w:tr2bl w:val="nil"/>
                  </w:tcBorders>
                  <w:vAlign w:val="center"/>
                </w:tcPr>
                <w:p w14:paraId="57EEE4C0">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53FEFA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2EDA95D6">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12B2F343">
                  <w:pPr>
                    <w:jc w:val="left"/>
                    <w:rPr>
                      <w:rFonts w:hint="default" w:ascii="Times New Roman" w:hAnsi="Times New Roman" w:eastAsia="宋体" w:cs="Times New Roman"/>
                      <w:color w:val="000000" w:themeColor="text1"/>
                      <w:szCs w:val="21"/>
                      <w14:textFill>
                        <w14:solidFill>
                          <w14:schemeClr w14:val="tx1"/>
                        </w14:solidFill>
                      </w14:textFill>
                    </w:rPr>
                  </w:pPr>
                  <w:r>
                    <w:rPr>
                      <w:rStyle w:val="106"/>
                      <w:rFonts w:hint="default" w:ascii="Times New Roman" w:hAnsi="Times New Roman" w:eastAsia="宋体" w:cs="Times New Roman"/>
                      <w:color w:val="000000" w:themeColor="text1"/>
                      <w:lang w:bidi="ar"/>
                      <w14:textFill>
                        <w14:solidFill>
                          <w14:schemeClr w14:val="tx1"/>
                        </w14:solidFill>
                      </w14:textFill>
                    </w:rPr>
                    <w:t>4.</w:t>
                  </w:r>
                  <w:r>
                    <w:rPr>
                      <w:rStyle w:val="122"/>
                      <w:rFonts w:hint="default" w:ascii="Times New Roman" w:hAnsi="Times New Roman" w:eastAsia="宋体" w:cs="Times New Roman"/>
                      <w:color w:val="000000" w:themeColor="text1"/>
                      <w:lang w:bidi="ar"/>
                      <w14:textFill>
                        <w14:solidFill>
                          <w14:schemeClr w14:val="tx1"/>
                        </w14:solidFill>
                      </w14:textFill>
                    </w:rPr>
                    <w:t>新建有污染物排放的工业项目，除在安全生产等方面有特殊要求的以外，应当进入工业园区或工业聚集区。</w:t>
                  </w:r>
                </w:p>
              </w:tc>
              <w:tc>
                <w:tcPr>
                  <w:tcW w:w="2078" w:type="dxa"/>
                  <w:tcBorders>
                    <w:tl2br w:val="nil"/>
                    <w:tr2bl w:val="nil"/>
                  </w:tcBorders>
                  <w:shd w:val="clear" w:color="auto" w:fill="auto"/>
                  <w:vAlign w:val="center"/>
                </w:tcPr>
                <w:p w14:paraId="762B0483">
                  <w:pPr>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本项目位于张店区湖田街道工业集聚区。</w:t>
                  </w:r>
                </w:p>
              </w:tc>
              <w:tc>
                <w:tcPr>
                  <w:tcW w:w="916" w:type="dxa"/>
                  <w:tcBorders>
                    <w:tl2br w:val="nil"/>
                    <w:tr2bl w:val="nil"/>
                  </w:tcBorders>
                  <w:vAlign w:val="center"/>
                </w:tcPr>
                <w:p w14:paraId="6B59181D">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7B2F8E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77DF1AAF">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450FAA81">
                  <w:pPr>
                    <w:jc w:val="left"/>
                    <w:rPr>
                      <w:rFonts w:hint="default" w:ascii="Times New Roman" w:hAnsi="Times New Roman" w:eastAsia="宋体" w:cs="Times New Roman"/>
                      <w:color w:val="000000" w:themeColor="text1"/>
                      <w:szCs w:val="21"/>
                      <w14:textFill>
                        <w14:solidFill>
                          <w14:schemeClr w14:val="tx1"/>
                        </w14:solidFill>
                      </w14:textFill>
                    </w:rPr>
                  </w:pPr>
                  <w:r>
                    <w:rPr>
                      <w:rStyle w:val="106"/>
                      <w:rFonts w:hint="default" w:ascii="Times New Roman" w:hAnsi="Times New Roman" w:eastAsia="宋体" w:cs="Times New Roman"/>
                      <w:color w:val="000000" w:themeColor="text1"/>
                      <w:lang w:bidi="ar"/>
                      <w14:textFill>
                        <w14:solidFill>
                          <w14:schemeClr w14:val="tx1"/>
                        </w14:solidFill>
                      </w14:textFill>
                    </w:rPr>
                    <w:t>5.</w:t>
                  </w:r>
                  <w:r>
                    <w:rPr>
                      <w:rStyle w:val="122"/>
                      <w:rFonts w:hint="default" w:ascii="Times New Roman" w:hAnsi="Times New Roman" w:eastAsia="宋体" w:cs="Times New Roman"/>
                      <w:color w:val="000000" w:themeColor="text1"/>
                      <w:lang w:bidi="ar"/>
                      <w14:textFill>
                        <w14:solidFill>
                          <w14:schemeClr w14:val="tx1"/>
                        </w14:solidFill>
                      </w14:textFill>
                    </w:rPr>
                    <w:t>按照省市要求，严格控制</w:t>
                  </w:r>
                  <w:r>
                    <w:rPr>
                      <w:rStyle w:val="106"/>
                      <w:rFonts w:hint="default" w:ascii="Times New Roman" w:hAnsi="Times New Roman" w:eastAsia="宋体" w:cs="Times New Roman"/>
                      <w:color w:val="000000" w:themeColor="text1"/>
                      <w:lang w:bidi="ar"/>
                      <w14:textFill>
                        <w14:solidFill>
                          <w14:schemeClr w14:val="tx1"/>
                        </w14:solidFill>
                      </w14:textFill>
                    </w:rPr>
                    <w:t>“</w:t>
                  </w:r>
                  <w:r>
                    <w:rPr>
                      <w:rStyle w:val="122"/>
                      <w:rFonts w:hint="default" w:ascii="Times New Roman" w:hAnsi="Times New Roman" w:eastAsia="宋体" w:cs="Times New Roman"/>
                      <w:color w:val="000000" w:themeColor="text1"/>
                      <w:lang w:bidi="ar"/>
                      <w14:textFill>
                        <w14:solidFill>
                          <w14:schemeClr w14:val="tx1"/>
                        </w14:solidFill>
                      </w14:textFill>
                    </w:rPr>
                    <w:t>两高</w:t>
                  </w:r>
                  <w:r>
                    <w:rPr>
                      <w:rStyle w:val="106"/>
                      <w:rFonts w:hint="default" w:ascii="Times New Roman" w:hAnsi="Times New Roman" w:eastAsia="宋体" w:cs="Times New Roman"/>
                      <w:color w:val="000000" w:themeColor="text1"/>
                      <w:lang w:bidi="ar"/>
                      <w14:textFill>
                        <w14:solidFill>
                          <w14:schemeClr w14:val="tx1"/>
                        </w14:solidFill>
                      </w14:textFill>
                    </w:rPr>
                    <w:t>”</w:t>
                  </w:r>
                  <w:r>
                    <w:rPr>
                      <w:rStyle w:val="122"/>
                      <w:rFonts w:hint="default" w:ascii="Times New Roman" w:hAnsi="Times New Roman" w:eastAsia="宋体" w:cs="Times New Roman"/>
                      <w:color w:val="000000" w:themeColor="text1"/>
                      <w:lang w:bidi="ar"/>
                      <w14:textFill>
                        <w14:solidFill>
                          <w14:schemeClr w14:val="tx1"/>
                        </w14:solidFill>
                      </w14:textFill>
                    </w:rPr>
                    <w:t>项目，新建</w:t>
                  </w:r>
                  <w:r>
                    <w:rPr>
                      <w:rStyle w:val="106"/>
                      <w:rFonts w:hint="default" w:ascii="Times New Roman" w:hAnsi="Times New Roman" w:eastAsia="宋体" w:cs="Times New Roman"/>
                      <w:color w:val="000000" w:themeColor="text1"/>
                      <w:lang w:bidi="ar"/>
                      <w14:textFill>
                        <w14:solidFill>
                          <w14:schemeClr w14:val="tx1"/>
                        </w14:solidFill>
                      </w14:textFill>
                    </w:rPr>
                    <w:t>“</w:t>
                  </w:r>
                  <w:r>
                    <w:rPr>
                      <w:rStyle w:val="122"/>
                      <w:rFonts w:hint="default" w:ascii="Times New Roman" w:hAnsi="Times New Roman" w:eastAsia="宋体" w:cs="Times New Roman"/>
                      <w:color w:val="000000" w:themeColor="text1"/>
                      <w:lang w:bidi="ar"/>
                      <w14:textFill>
                        <w14:solidFill>
                          <w14:schemeClr w14:val="tx1"/>
                        </w14:solidFill>
                      </w14:textFill>
                    </w:rPr>
                    <w:t>两高</w:t>
                  </w:r>
                  <w:r>
                    <w:rPr>
                      <w:rStyle w:val="106"/>
                      <w:rFonts w:hint="default" w:ascii="Times New Roman" w:hAnsi="Times New Roman" w:eastAsia="宋体" w:cs="Times New Roman"/>
                      <w:color w:val="000000" w:themeColor="text1"/>
                      <w:lang w:bidi="ar"/>
                      <w14:textFill>
                        <w14:solidFill>
                          <w14:schemeClr w14:val="tx1"/>
                        </w14:solidFill>
                      </w14:textFill>
                    </w:rPr>
                    <w:t>”</w:t>
                  </w:r>
                  <w:r>
                    <w:rPr>
                      <w:rStyle w:val="122"/>
                      <w:rFonts w:hint="default" w:ascii="Times New Roman" w:hAnsi="Times New Roman" w:eastAsia="宋体" w:cs="Times New Roman"/>
                      <w:color w:val="000000" w:themeColor="text1"/>
                      <w:lang w:bidi="ar"/>
                      <w14:textFill>
                        <w14:solidFill>
                          <w14:schemeClr w14:val="tx1"/>
                        </w14:solidFill>
                      </w14:textFill>
                    </w:rPr>
                    <w:t>项目实行</w:t>
                  </w:r>
                  <w:r>
                    <w:rPr>
                      <w:rStyle w:val="106"/>
                      <w:rFonts w:hint="default" w:ascii="Times New Roman" w:hAnsi="Times New Roman" w:eastAsia="宋体" w:cs="Times New Roman"/>
                      <w:color w:val="000000" w:themeColor="text1"/>
                      <w:lang w:bidi="ar"/>
                      <w14:textFill>
                        <w14:solidFill>
                          <w14:schemeClr w14:val="tx1"/>
                        </w14:solidFill>
                      </w14:textFill>
                    </w:rPr>
                    <w:t>“</w:t>
                  </w:r>
                  <w:r>
                    <w:rPr>
                      <w:rStyle w:val="122"/>
                      <w:rFonts w:hint="default" w:ascii="Times New Roman" w:hAnsi="Times New Roman" w:eastAsia="宋体" w:cs="Times New Roman"/>
                      <w:color w:val="000000" w:themeColor="text1"/>
                      <w:lang w:bidi="ar"/>
                      <w14:textFill>
                        <w14:solidFill>
                          <w14:schemeClr w14:val="tx1"/>
                        </w14:solidFill>
                      </w14:textFill>
                    </w:rPr>
                    <w:t>五个减量替代</w:t>
                  </w:r>
                  <w:r>
                    <w:rPr>
                      <w:rStyle w:val="106"/>
                      <w:rFonts w:hint="default" w:ascii="Times New Roman" w:hAnsi="Times New Roman" w:eastAsia="宋体" w:cs="Times New Roman"/>
                      <w:color w:val="000000" w:themeColor="text1"/>
                      <w:lang w:bidi="ar"/>
                      <w14:textFill>
                        <w14:solidFill>
                          <w14:schemeClr w14:val="tx1"/>
                        </w14:solidFill>
                      </w14:textFill>
                    </w:rPr>
                    <w:t>”</w:t>
                  </w:r>
                  <w:r>
                    <w:rPr>
                      <w:rStyle w:val="122"/>
                      <w:rFonts w:hint="default" w:ascii="Times New Roman" w:hAnsi="Times New Roman" w:eastAsia="宋体" w:cs="Times New Roman"/>
                      <w:color w:val="000000" w:themeColor="text1"/>
                      <w:lang w:bidi="ar"/>
                      <w14:textFill>
                        <w14:solidFill>
                          <w14:schemeClr w14:val="tx1"/>
                        </w14:solidFill>
                      </w14:textFill>
                    </w:rPr>
                    <w:t>。</w:t>
                  </w:r>
                </w:p>
              </w:tc>
              <w:tc>
                <w:tcPr>
                  <w:tcW w:w="2078" w:type="dxa"/>
                  <w:tcBorders>
                    <w:tl2br w:val="nil"/>
                    <w:tr2bl w:val="nil"/>
                  </w:tcBorders>
                  <w:shd w:val="clear" w:color="auto" w:fill="auto"/>
                  <w:vAlign w:val="center"/>
                </w:tcPr>
                <w:p w14:paraId="050CE551">
                  <w:pPr>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本项目不属于“两高”项目。</w:t>
                  </w:r>
                </w:p>
              </w:tc>
              <w:tc>
                <w:tcPr>
                  <w:tcW w:w="916" w:type="dxa"/>
                  <w:tcBorders>
                    <w:tl2br w:val="nil"/>
                    <w:tr2bl w:val="nil"/>
                  </w:tcBorders>
                  <w:vAlign w:val="center"/>
                </w:tcPr>
                <w:p w14:paraId="5AC60EB8">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5EF8CB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restart"/>
                  <w:tcBorders>
                    <w:tl2br w:val="nil"/>
                    <w:tr2bl w:val="nil"/>
                  </w:tcBorders>
                  <w:vAlign w:val="center"/>
                </w:tcPr>
                <w:p w14:paraId="6A86F04B">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污染物排放管控</w:t>
                  </w:r>
                </w:p>
              </w:tc>
              <w:tc>
                <w:tcPr>
                  <w:tcW w:w="5216" w:type="dxa"/>
                  <w:tcBorders>
                    <w:tl2br w:val="nil"/>
                    <w:tr2bl w:val="nil"/>
                  </w:tcBorders>
                  <w:vAlign w:val="center"/>
                </w:tcPr>
                <w:p w14:paraId="55BD5D90">
                  <w:pPr>
                    <w:jc w:val="left"/>
                    <w:rPr>
                      <w:rFonts w:hint="default" w:ascii="Times New Roman" w:hAnsi="Times New Roman" w:eastAsia="宋体" w:cs="Times New Roman"/>
                      <w:color w:val="000000" w:themeColor="text1"/>
                      <w:szCs w:val="21"/>
                      <w14:textFill>
                        <w14:solidFill>
                          <w14:schemeClr w14:val="tx1"/>
                        </w14:solidFill>
                      </w14:textFill>
                    </w:rPr>
                  </w:pPr>
                  <w:r>
                    <w:rPr>
                      <w:rStyle w:val="106"/>
                      <w:rFonts w:hint="default" w:ascii="Times New Roman" w:hAnsi="Times New Roman" w:eastAsia="宋体" w:cs="Times New Roman"/>
                      <w:color w:val="000000" w:themeColor="text1"/>
                      <w:lang w:bidi="ar"/>
                      <w14:textFill>
                        <w14:solidFill>
                          <w14:schemeClr w14:val="tx1"/>
                        </w14:solidFill>
                      </w14:textFill>
                    </w:rPr>
                    <w:t>1.</w:t>
                  </w:r>
                  <w:r>
                    <w:rPr>
                      <w:rStyle w:val="122"/>
                      <w:rFonts w:hint="default" w:ascii="Times New Roman" w:hAnsi="Times New Roman" w:eastAsia="宋体" w:cs="Times New Roman"/>
                      <w:color w:val="000000" w:themeColor="text1"/>
                      <w:lang w:bidi="ar"/>
                      <w14:textFill>
                        <w14:solidFill>
                          <w14:schemeClr w14:val="tx1"/>
                        </w14:solidFill>
                      </w14:textFill>
                    </w:rPr>
                    <w:t>涉</w:t>
                  </w:r>
                  <w:r>
                    <w:rPr>
                      <w:rStyle w:val="106"/>
                      <w:rFonts w:hint="default" w:ascii="Times New Roman" w:hAnsi="Times New Roman" w:eastAsia="宋体" w:cs="Times New Roman"/>
                      <w:color w:val="000000" w:themeColor="text1"/>
                      <w:lang w:bidi="ar"/>
                      <w14:textFill>
                        <w14:solidFill>
                          <w14:schemeClr w14:val="tx1"/>
                        </w14:solidFill>
                      </w14:textFill>
                    </w:rPr>
                    <w:t>“</w:t>
                  </w:r>
                  <w:r>
                    <w:rPr>
                      <w:rStyle w:val="122"/>
                      <w:rFonts w:hint="default" w:ascii="Times New Roman" w:hAnsi="Times New Roman" w:eastAsia="宋体" w:cs="Times New Roman"/>
                      <w:color w:val="000000" w:themeColor="text1"/>
                      <w:lang w:bidi="ar"/>
                      <w14:textFill>
                        <w14:solidFill>
                          <w14:schemeClr w14:val="tx1"/>
                        </w14:solidFill>
                      </w14:textFill>
                    </w:rPr>
                    <w:t>两高</w:t>
                  </w:r>
                  <w:r>
                    <w:rPr>
                      <w:rStyle w:val="106"/>
                      <w:rFonts w:hint="default" w:ascii="Times New Roman" w:hAnsi="Times New Roman" w:eastAsia="宋体" w:cs="Times New Roman"/>
                      <w:color w:val="000000" w:themeColor="text1"/>
                      <w:lang w:bidi="ar"/>
                      <w14:textFill>
                        <w14:solidFill>
                          <w14:schemeClr w14:val="tx1"/>
                        </w14:solidFill>
                      </w14:textFill>
                    </w:rPr>
                    <w:t>”</w:t>
                  </w:r>
                  <w:r>
                    <w:rPr>
                      <w:rStyle w:val="122"/>
                      <w:rFonts w:hint="default" w:ascii="Times New Roman" w:hAnsi="Times New Roman" w:eastAsia="宋体" w:cs="Times New Roman"/>
                      <w:color w:val="000000" w:themeColor="text1"/>
                      <w:lang w:bidi="ar"/>
                      <w14:textFill>
                        <w14:solidFill>
                          <w14:schemeClr w14:val="tx1"/>
                        </w14:solidFill>
                      </w14:textFill>
                    </w:rPr>
                    <w:t>项目企业应当积极实施节能改造提升，提高能源使用效率，推进节能减排。</w:t>
                  </w:r>
                </w:p>
              </w:tc>
              <w:tc>
                <w:tcPr>
                  <w:tcW w:w="2078" w:type="dxa"/>
                  <w:tcBorders>
                    <w:tl2br w:val="nil"/>
                    <w:tr2bl w:val="nil"/>
                  </w:tcBorders>
                  <w:shd w:val="clear" w:color="auto" w:fill="auto"/>
                  <w:vAlign w:val="center"/>
                </w:tcPr>
                <w:p w14:paraId="5CBB41DD">
                  <w:pPr>
                    <w:widowControl/>
                    <w:jc w:val="center"/>
                    <w:rPr>
                      <w:rFonts w:hint="default" w:ascii="Times New Roman" w:hAnsi="Times New Roman" w:eastAsia="宋体" w:cs="Times New Roman"/>
                      <w:bCs/>
                      <w:color w:val="000000" w:themeColor="text1"/>
                      <w:kern w:val="0"/>
                      <w:szCs w:val="21"/>
                      <w:lang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本项目不属于“两高”项目。</w:t>
                  </w:r>
                </w:p>
              </w:tc>
              <w:tc>
                <w:tcPr>
                  <w:tcW w:w="916" w:type="dxa"/>
                  <w:tcBorders>
                    <w:tl2br w:val="nil"/>
                    <w:tr2bl w:val="nil"/>
                  </w:tcBorders>
                  <w:vAlign w:val="center"/>
                </w:tcPr>
                <w:p w14:paraId="16DAB259">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7B9534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09B1945C">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7C95544D">
                  <w:pPr>
                    <w:jc w:val="left"/>
                    <w:rPr>
                      <w:rFonts w:hint="default" w:ascii="Times New Roman" w:hAnsi="Times New Roman" w:eastAsia="宋体" w:cs="Times New Roman"/>
                      <w:color w:val="000000" w:themeColor="text1"/>
                      <w:szCs w:val="21"/>
                      <w14:textFill>
                        <w14:solidFill>
                          <w14:schemeClr w14:val="tx1"/>
                        </w14:solidFill>
                      </w14:textFill>
                    </w:rPr>
                  </w:pPr>
                  <w:r>
                    <w:rPr>
                      <w:rStyle w:val="106"/>
                      <w:rFonts w:hint="default" w:ascii="Times New Roman" w:hAnsi="Times New Roman" w:eastAsia="宋体" w:cs="Times New Roman"/>
                      <w:color w:val="000000" w:themeColor="text1"/>
                      <w:lang w:bidi="ar"/>
                      <w14:textFill>
                        <w14:solidFill>
                          <w14:schemeClr w14:val="tx1"/>
                        </w14:solidFill>
                      </w14:textFill>
                    </w:rPr>
                    <w:t>2.</w:t>
                  </w:r>
                  <w:r>
                    <w:rPr>
                      <w:rStyle w:val="122"/>
                      <w:rFonts w:hint="default" w:ascii="Times New Roman" w:hAnsi="Times New Roman" w:eastAsia="宋体" w:cs="Times New Roman"/>
                      <w:color w:val="000000" w:themeColor="text1"/>
                      <w:lang w:bidi="ar"/>
                      <w14:textFill>
                        <w14:solidFill>
                          <w14:schemeClr w14:val="tx1"/>
                        </w14:solidFill>
                      </w14:textFill>
                    </w:rPr>
                    <w:t>落实主要污染物总量替代要求，按照山东省生态环境厅《关于印发山东省建设项目主要大气污染物排放总量替代指标核算及管理办法的通知》，实施动态管控替代。</w:t>
                  </w:r>
                </w:p>
              </w:tc>
              <w:tc>
                <w:tcPr>
                  <w:tcW w:w="2078" w:type="dxa"/>
                  <w:tcBorders>
                    <w:tl2br w:val="nil"/>
                    <w:tr2bl w:val="nil"/>
                  </w:tcBorders>
                  <w:shd w:val="clear" w:color="auto" w:fill="auto"/>
                  <w:vAlign w:val="center"/>
                </w:tcPr>
                <w:p w14:paraId="07D007BC">
                  <w:pPr>
                    <w:widowControl/>
                    <w:jc w:val="center"/>
                    <w:rPr>
                      <w:rFonts w:hint="default" w:ascii="Times New Roman" w:hAnsi="Times New Roman" w:eastAsia="宋体" w:cs="Times New Roman"/>
                      <w:bCs/>
                      <w:color w:val="000000" w:themeColor="text1"/>
                      <w:kern w:val="0"/>
                      <w:szCs w:val="21"/>
                      <w:lang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本项目严格实施主要污染物总量倍量替代制度。</w:t>
                  </w:r>
                </w:p>
              </w:tc>
              <w:tc>
                <w:tcPr>
                  <w:tcW w:w="916" w:type="dxa"/>
                  <w:tcBorders>
                    <w:tl2br w:val="nil"/>
                    <w:tr2bl w:val="nil"/>
                  </w:tcBorders>
                  <w:vAlign w:val="center"/>
                </w:tcPr>
                <w:p w14:paraId="52C57137">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44FE33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260B22EF">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1447F2FC">
                  <w:pPr>
                    <w:jc w:val="left"/>
                    <w:rPr>
                      <w:rFonts w:hint="default" w:ascii="Times New Roman" w:hAnsi="Times New Roman" w:eastAsia="宋体" w:cs="Times New Roman"/>
                      <w:color w:val="000000" w:themeColor="text1"/>
                      <w:szCs w:val="21"/>
                      <w14:textFill>
                        <w14:solidFill>
                          <w14:schemeClr w14:val="tx1"/>
                        </w14:solidFill>
                      </w14:textFill>
                    </w:rPr>
                  </w:pPr>
                  <w:r>
                    <w:rPr>
                      <w:rStyle w:val="101"/>
                      <w:rFonts w:hint="default" w:ascii="Times New Roman" w:hAnsi="Times New Roman" w:eastAsia="宋体" w:cs="Times New Roman"/>
                      <w:color w:val="000000" w:themeColor="text1"/>
                      <w:lang w:bidi="ar"/>
                      <w14:textFill>
                        <w14:solidFill>
                          <w14:schemeClr w14:val="tx1"/>
                        </w14:solidFill>
                      </w14:textFill>
                    </w:rPr>
                    <w:t>3.</w:t>
                  </w:r>
                  <w:r>
                    <w:rPr>
                      <w:rStyle w:val="121"/>
                      <w:rFonts w:hint="default" w:ascii="Times New Roman" w:hAnsi="Times New Roman" w:eastAsia="宋体" w:cs="Times New Roman"/>
                      <w:color w:val="000000" w:themeColor="text1"/>
                      <w:lang w:bidi="ar"/>
                      <w14:textFill>
                        <w14:solidFill>
                          <w14:schemeClr w14:val="tx1"/>
                        </w14:solidFill>
                      </w14:textFill>
                    </w:rPr>
                    <w:t>废水应当按照要求进行预处理，达到行业排放标准或是综合排放标准后方可排放。</w:t>
                  </w:r>
                </w:p>
              </w:tc>
              <w:tc>
                <w:tcPr>
                  <w:tcW w:w="2078" w:type="dxa"/>
                  <w:vMerge w:val="restart"/>
                  <w:tcBorders>
                    <w:tl2br w:val="nil"/>
                    <w:tr2bl w:val="nil"/>
                  </w:tcBorders>
                  <w:shd w:val="clear" w:color="auto" w:fill="auto"/>
                  <w:vAlign w:val="center"/>
                </w:tcPr>
                <w:p w14:paraId="27415DF4">
                  <w:pPr>
                    <w:widowControl/>
                    <w:jc w:val="center"/>
                    <w:rPr>
                      <w:rFonts w:hint="default" w:ascii="Times New Roman" w:hAnsi="Times New Roman" w:eastAsia="宋体" w:cs="Times New Roman"/>
                      <w:bCs/>
                      <w:color w:val="000000" w:themeColor="text1"/>
                      <w:kern w:val="0"/>
                      <w:szCs w:val="21"/>
                      <w:lang w:bidi="ar"/>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本项目无生产废水排放，生活污水经化粪池处理后</w:t>
                  </w:r>
                  <w:r>
                    <w:rPr>
                      <w:rFonts w:hint="default" w:ascii="Times New Roman" w:hAnsi="Times New Roman" w:eastAsia="宋体" w:cs="Times New Roman"/>
                      <w:color w:val="000000" w:themeColor="text1"/>
                      <w:szCs w:val="21"/>
                      <w14:textFill>
                        <w14:solidFill>
                          <w14:schemeClr w14:val="tx1"/>
                        </w14:solidFill>
                      </w14:textFill>
                    </w:rPr>
                    <w:t>委托环卫部门定期清运</w:t>
                  </w:r>
                  <w:r>
                    <w:rPr>
                      <w:rFonts w:hint="default" w:ascii="Times New Roman" w:hAnsi="Times New Roman" w:eastAsia="宋体" w:cs="Times New Roman"/>
                      <w:bCs/>
                      <w:color w:val="000000" w:themeColor="text1"/>
                      <w:szCs w:val="21"/>
                      <w14:textFill>
                        <w14:solidFill>
                          <w14:schemeClr w14:val="tx1"/>
                        </w14:solidFill>
                      </w14:textFill>
                    </w:rPr>
                    <w:t>，项目不新增入河排污口。</w:t>
                  </w:r>
                </w:p>
              </w:tc>
              <w:tc>
                <w:tcPr>
                  <w:tcW w:w="916" w:type="dxa"/>
                  <w:tcBorders>
                    <w:tl2br w:val="nil"/>
                    <w:tr2bl w:val="nil"/>
                  </w:tcBorders>
                  <w:vAlign w:val="center"/>
                </w:tcPr>
                <w:p w14:paraId="11BE1A28">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32BB4B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2" w:type="dxa"/>
                  <w:vMerge w:val="continue"/>
                  <w:tcBorders>
                    <w:tl2br w:val="nil"/>
                    <w:tr2bl w:val="nil"/>
                  </w:tcBorders>
                  <w:vAlign w:val="center"/>
                </w:tcPr>
                <w:p w14:paraId="66F9F867">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1EBB7078">
                  <w:pPr>
                    <w:jc w:val="left"/>
                    <w:rPr>
                      <w:rFonts w:hint="default" w:ascii="Times New Roman" w:hAnsi="Times New Roman" w:eastAsia="宋体" w:cs="Times New Roman"/>
                      <w:color w:val="000000" w:themeColor="text1"/>
                      <w:szCs w:val="21"/>
                      <w14:textFill>
                        <w14:solidFill>
                          <w14:schemeClr w14:val="tx1"/>
                        </w14:solidFill>
                      </w14:textFill>
                    </w:rPr>
                  </w:pPr>
                  <w:r>
                    <w:rPr>
                      <w:rStyle w:val="101"/>
                      <w:rFonts w:hint="default" w:ascii="Times New Roman" w:hAnsi="Times New Roman" w:eastAsia="宋体" w:cs="Times New Roman"/>
                      <w:color w:val="000000" w:themeColor="text1"/>
                      <w:lang w:bidi="ar"/>
                      <w14:textFill>
                        <w14:solidFill>
                          <w14:schemeClr w14:val="tx1"/>
                        </w14:solidFill>
                      </w14:textFill>
                    </w:rPr>
                    <w:t>4.</w:t>
                  </w:r>
                  <w:r>
                    <w:rPr>
                      <w:rStyle w:val="121"/>
                      <w:rFonts w:hint="default" w:ascii="Times New Roman" w:hAnsi="Times New Roman" w:eastAsia="宋体" w:cs="Times New Roman"/>
                      <w:color w:val="000000" w:themeColor="text1"/>
                      <w:lang w:bidi="ar"/>
                      <w14:textFill>
                        <w14:solidFill>
                          <w14:schemeClr w14:val="tx1"/>
                        </w14:solidFill>
                      </w14:textFill>
                    </w:rPr>
                    <w:t>禁止工业废水和生活污水未经处理直排环境；原则上除工业污水集中处理设施、城镇污水处理厂外不得新建入河排污口。</w:t>
                  </w:r>
                </w:p>
              </w:tc>
              <w:tc>
                <w:tcPr>
                  <w:tcW w:w="2078" w:type="dxa"/>
                  <w:vMerge w:val="continue"/>
                  <w:tcBorders>
                    <w:tl2br w:val="nil"/>
                    <w:tr2bl w:val="nil"/>
                  </w:tcBorders>
                  <w:vAlign w:val="center"/>
                </w:tcPr>
                <w:p w14:paraId="17D67866">
                  <w:pPr>
                    <w:jc w:val="left"/>
                    <w:rPr>
                      <w:rFonts w:hint="default" w:ascii="Times New Roman" w:hAnsi="Times New Roman" w:eastAsia="宋体" w:cs="Times New Roman"/>
                      <w:color w:val="000000" w:themeColor="text1"/>
                      <w:szCs w:val="21"/>
                      <w14:textFill>
                        <w14:solidFill>
                          <w14:schemeClr w14:val="tx1"/>
                        </w14:solidFill>
                      </w14:textFill>
                    </w:rPr>
                  </w:pPr>
                </w:p>
              </w:tc>
              <w:tc>
                <w:tcPr>
                  <w:tcW w:w="916" w:type="dxa"/>
                  <w:tcBorders>
                    <w:tl2br w:val="nil"/>
                    <w:tr2bl w:val="nil"/>
                  </w:tcBorders>
                  <w:vAlign w:val="center"/>
                </w:tcPr>
                <w:p w14:paraId="19D59B80">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7B8ED7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563B0B7C">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3234851D">
                  <w:pPr>
                    <w:jc w:val="left"/>
                    <w:rPr>
                      <w:rFonts w:hint="default" w:ascii="Times New Roman" w:hAnsi="Times New Roman" w:eastAsia="宋体" w:cs="Times New Roman"/>
                      <w:color w:val="000000" w:themeColor="text1"/>
                      <w:szCs w:val="21"/>
                      <w14:textFill>
                        <w14:solidFill>
                          <w14:schemeClr w14:val="tx1"/>
                        </w14:solidFill>
                      </w14:textFill>
                    </w:rPr>
                  </w:pPr>
                  <w:r>
                    <w:rPr>
                      <w:rStyle w:val="101"/>
                      <w:rFonts w:hint="default" w:ascii="Times New Roman" w:hAnsi="Times New Roman" w:eastAsia="宋体" w:cs="Times New Roman"/>
                      <w:color w:val="000000" w:themeColor="text1"/>
                      <w:lang w:bidi="ar"/>
                      <w14:textFill>
                        <w14:solidFill>
                          <w14:schemeClr w14:val="tx1"/>
                        </w14:solidFill>
                      </w14:textFill>
                    </w:rPr>
                    <w:t>5.</w:t>
                  </w:r>
                  <w:r>
                    <w:rPr>
                      <w:rStyle w:val="121"/>
                      <w:rFonts w:hint="default" w:ascii="Times New Roman" w:hAnsi="Times New Roman" w:eastAsia="宋体" w:cs="Times New Roman"/>
                      <w:color w:val="000000" w:themeColor="text1"/>
                      <w:lang w:bidi="ar"/>
                      <w14:textFill>
                        <w14:solidFill>
                          <w14:schemeClr w14:val="tx1"/>
                        </w14:solidFill>
                      </w14:textFill>
                    </w:rPr>
                    <w:t>包装印刷、表面涂装等涉VOCs排放的行业，严格按照淄博市行业环境管控要求，实施源头替代，建立健全治理设施，确保污染物稳定达标排放，做到持证排污。</w:t>
                  </w:r>
                </w:p>
              </w:tc>
              <w:tc>
                <w:tcPr>
                  <w:tcW w:w="2078" w:type="dxa"/>
                  <w:tcBorders>
                    <w:tl2br w:val="nil"/>
                    <w:tr2bl w:val="nil"/>
                  </w:tcBorders>
                  <w:shd w:val="clear" w:color="auto" w:fill="auto"/>
                  <w:vAlign w:val="center"/>
                </w:tcPr>
                <w:p w14:paraId="23E3870C">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本项目选用“二级活性炭吸附”废气治理设施处理生产废气。</w:t>
                  </w:r>
                </w:p>
              </w:tc>
              <w:tc>
                <w:tcPr>
                  <w:tcW w:w="916" w:type="dxa"/>
                  <w:tcBorders>
                    <w:tl2br w:val="nil"/>
                    <w:tr2bl w:val="nil"/>
                  </w:tcBorders>
                  <w:vAlign w:val="center"/>
                </w:tcPr>
                <w:p w14:paraId="6AC0A535">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7270FD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31FD2669">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57B7693A">
                  <w:pPr>
                    <w:jc w:val="left"/>
                    <w:rPr>
                      <w:rFonts w:hint="default" w:ascii="Times New Roman" w:hAnsi="Times New Roman" w:eastAsia="宋体" w:cs="Times New Roman"/>
                      <w:color w:val="000000" w:themeColor="text1"/>
                      <w:szCs w:val="21"/>
                      <w14:textFill>
                        <w14:solidFill>
                          <w14:schemeClr w14:val="tx1"/>
                        </w14:solidFill>
                      </w14:textFill>
                    </w:rPr>
                  </w:pPr>
                  <w:r>
                    <w:rPr>
                      <w:rStyle w:val="101"/>
                      <w:rFonts w:hint="default" w:ascii="Times New Roman" w:hAnsi="Times New Roman" w:eastAsia="宋体" w:cs="Times New Roman"/>
                      <w:color w:val="000000" w:themeColor="text1"/>
                      <w:lang w:bidi="ar"/>
                      <w14:textFill>
                        <w14:solidFill>
                          <w14:schemeClr w14:val="tx1"/>
                        </w14:solidFill>
                      </w14:textFill>
                    </w:rPr>
                    <w:t>6.</w:t>
                  </w:r>
                  <w:r>
                    <w:rPr>
                      <w:rStyle w:val="121"/>
                      <w:rFonts w:hint="default" w:ascii="Times New Roman" w:hAnsi="Times New Roman" w:eastAsia="宋体" w:cs="Times New Roman"/>
                      <w:color w:val="000000" w:themeColor="text1"/>
                      <w:lang w:bidi="ar"/>
                      <w14:textFill>
                        <w14:solidFill>
                          <w14:schemeClr w14:val="tx1"/>
                        </w14:solidFill>
                      </w14:textFill>
                    </w:rPr>
                    <w:t>加快实施城中村、老旧城区、城乡结合部污水收集和雨污管网分流改造，基本实现城市建成区污水全收集、全处理。</w:t>
                  </w:r>
                </w:p>
              </w:tc>
              <w:tc>
                <w:tcPr>
                  <w:tcW w:w="2078" w:type="dxa"/>
                  <w:tcBorders>
                    <w:tl2br w:val="nil"/>
                    <w:tr2bl w:val="nil"/>
                  </w:tcBorders>
                  <w:shd w:val="clear" w:color="auto" w:fill="auto"/>
                  <w:vAlign w:val="center"/>
                </w:tcPr>
                <w:p w14:paraId="324CC32B">
                  <w:pPr>
                    <w:widowControl/>
                    <w:jc w:val="center"/>
                    <w:rPr>
                      <w:rFonts w:hint="default" w:ascii="Times New Roman" w:hAnsi="Times New Roman" w:eastAsia="宋体" w:cs="Times New Roman"/>
                      <w:bCs/>
                      <w:color w:val="000000" w:themeColor="text1"/>
                      <w:kern w:val="0"/>
                      <w:szCs w:val="21"/>
                      <w:lang w:bidi="ar"/>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本项目无生产废水排放，生活污水经化粪池处理后</w:t>
                  </w:r>
                  <w:r>
                    <w:rPr>
                      <w:rFonts w:hint="default" w:ascii="Times New Roman" w:hAnsi="Times New Roman" w:eastAsia="宋体" w:cs="Times New Roman"/>
                      <w:color w:val="000000" w:themeColor="text1"/>
                      <w:szCs w:val="21"/>
                      <w14:textFill>
                        <w14:solidFill>
                          <w14:schemeClr w14:val="tx1"/>
                        </w14:solidFill>
                      </w14:textFill>
                    </w:rPr>
                    <w:t>委托环卫部门定期清运</w:t>
                  </w:r>
                  <w:r>
                    <w:rPr>
                      <w:rFonts w:hint="default" w:ascii="Times New Roman" w:hAnsi="Times New Roman" w:eastAsia="宋体" w:cs="Times New Roman"/>
                      <w:bCs/>
                      <w:color w:val="000000" w:themeColor="text1"/>
                      <w:kern w:val="0"/>
                      <w:szCs w:val="21"/>
                      <w:lang w:bidi="ar"/>
                      <w14:textFill>
                        <w14:solidFill>
                          <w14:schemeClr w14:val="tx1"/>
                        </w14:solidFill>
                      </w14:textFill>
                    </w:rPr>
                    <w:t>。</w:t>
                  </w:r>
                </w:p>
              </w:tc>
              <w:tc>
                <w:tcPr>
                  <w:tcW w:w="916" w:type="dxa"/>
                  <w:tcBorders>
                    <w:tl2br w:val="nil"/>
                    <w:tr2bl w:val="nil"/>
                  </w:tcBorders>
                  <w:vAlign w:val="center"/>
                </w:tcPr>
                <w:p w14:paraId="45E80E14">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3655B5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73C23742">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7CCEE0D3">
                  <w:pPr>
                    <w:jc w:val="left"/>
                    <w:rPr>
                      <w:rFonts w:hint="default" w:ascii="Times New Roman" w:hAnsi="Times New Roman" w:eastAsia="宋体" w:cs="Times New Roman"/>
                      <w:color w:val="000000" w:themeColor="text1"/>
                      <w:szCs w:val="21"/>
                      <w14:textFill>
                        <w14:solidFill>
                          <w14:schemeClr w14:val="tx1"/>
                        </w14:solidFill>
                      </w14:textFill>
                    </w:rPr>
                  </w:pPr>
                  <w:r>
                    <w:rPr>
                      <w:rStyle w:val="101"/>
                      <w:rFonts w:hint="default" w:ascii="Times New Roman" w:hAnsi="Times New Roman" w:eastAsia="宋体" w:cs="Times New Roman"/>
                      <w:color w:val="000000" w:themeColor="text1"/>
                      <w:lang w:bidi="ar"/>
                      <w14:textFill>
                        <w14:solidFill>
                          <w14:schemeClr w14:val="tx1"/>
                        </w14:solidFill>
                      </w14:textFill>
                    </w:rPr>
                    <w:t>7.</w:t>
                  </w:r>
                  <w:r>
                    <w:rPr>
                      <w:rStyle w:val="121"/>
                      <w:rFonts w:hint="default" w:ascii="Times New Roman" w:hAnsi="Times New Roman" w:eastAsia="宋体" w:cs="Times New Roman"/>
                      <w:color w:val="000000" w:themeColor="text1"/>
                      <w:lang w:bidi="ar"/>
                      <w14:textFill>
                        <w14:solidFill>
                          <w14:schemeClr w14:val="tx1"/>
                        </w14:solidFill>
                      </w14:textFill>
                    </w:rPr>
                    <w:t>加强机动车排气污染治理。</w:t>
                  </w:r>
                </w:p>
              </w:tc>
              <w:tc>
                <w:tcPr>
                  <w:tcW w:w="2078" w:type="dxa"/>
                  <w:tcBorders>
                    <w:tl2br w:val="nil"/>
                    <w:tr2bl w:val="nil"/>
                  </w:tcBorders>
                  <w:shd w:val="clear" w:color="auto" w:fill="auto"/>
                  <w:vAlign w:val="center"/>
                </w:tcPr>
                <w:p w14:paraId="2793F69D">
                  <w:pPr>
                    <w:widowControl/>
                    <w:jc w:val="center"/>
                    <w:rPr>
                      <w:rFonts w:hint="default" w:ascii="Times New Roman" w:hAnsi="Times New Roman" w:eastAsia="宋体" w:cs="Times New Roman"/>
                      <w:bCs/>
                      <w:color w:val="000000" w:themeColor="text1"/>
                      <w:kern w:val="0"/>
                      <w:szCs w:val="21"/>
                      <w:lang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本项目不涉及</w:t>
                  </w:r>
                </w:p>
              </w:tc>
              <w:tc>
                <w:tcPr>
                  <w:tcW w:w="916" w:type="dxa"/>
                  <w:tcBorders>
                    <w:tl2br w:val="nil"/>
                    <w:tr2bl w:val="nil"/>
                  </w:tcBorders>
                  <w:vAlign w:val="center"/>
                </w:tcPr>
                <w:p w14:paraId="7268B787">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7F94FC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11294178">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76C1421A">
                  <w:pPr>
                    <w:jc w:val="left"/>
                    <w:rPr>
                      <w:rFonts w:hint="default" w:ascii="Times New Roman" w:hAnsi="Times New Roman" w:eastAsia="宋体" w:cs="Times New Roman"/>
                      <w:color w:val="000000" w:themeColor="text1"/>
                      <w:szCs w:val="21"/>
                      <w14:textFill>
                        <w14:solidFill>
                          <w14:schemeClr w14:val="tx1"/>
                        </w14:solidFill>
                      </w14:textFill>
                    </w:rPr>
                  </w:pPr>
                  <w:r>
                    <w:rPr>
                      <w:rStyle w:val="101"/>
                      <w:rFonts w:hint="default" w:ascii="Times New Roman" w:hAnsi="Times New Roman" w:eastAsia="宋体" w:cs="Times New Roman"/>
                      <w:color w:val="000000" w:themeColor="text1"/>
                      <w:lang w:bidi="ar"/>
                      <w14:textFill>
                        <w14:solidFill>
                          <w14:schemeClr w14:val="tx1"/>
                        </w14:solidFill>
                      </w14:textFill>
                    </w:rPr>
                    <w:t>8.</w:t>
                  </w:r>
                  <w:r>
                    <w:rPr>
                      <w:rStyle w:val="121"/>
                      <w:rFonts w:hint="default" w:ascii="Times New Roman" w:hAnsi="Times New Roman" w:eastAsia="宋体" w:cs="Times New Roman"/>
                      <w:color w:val="000000" w:themeColor="text1"/>
                      <w:lang w:bidi="ar"/>
                      <w14:textFill>
                        <w14:solidFill>
                          <w14:schemeClr w14:val="tx1"/>
                        </w14:solidFill>
                      </w14:textFill>
                    </w:rPr>
                    <w:t>进一步加强对建设工程施工、建筑物拆除、交通运输、道路保洁、物料运输与堆存、采石取土、养护绿化等活动的扬尘管理。</w:t>
                  </w:r>
                </w:p>
              </w:tc>
              <w:tc>
                <w:tcPr>
                  <w:tcW w:w="2078" w:type="dxa"/>
                  <w:tcBorders>
                    <w:tl2br w:val="nil"/>
                    <w:tr2bl w:val="nil"/>
                  </w:tcBorders>
                  <w:shd w:val="clear" w:color="auto" w:fill="auto"/>
                  <w:vAlign w:val="center"/>
                </w:tcPr>
                <w:p w14:paraId="6F11D169">
                  <w:pPr>
                    <w:widowControl/>
                    <w:jc w:val="center"/>
                    <w:rPr>
                      <w:rFonts w:hint="default" w:ascii="Times New Roman" w:hAnsi="Times New Roman" w:eastAsia="宋体" w:cs="Times New Roman"/>
                      <w:bCs/>
                      <w:color w:val="000000" w:themeColor="text1"/>
                      <w:kern w:val="0"/>
                      <w:szCs w:val="21"/>
                      <w:lang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本项目不涉及</w:t>
                  </w:r>
                </w:p>
              </w:tc>
              <w:tc>
                <w:tcPr>
                  <w:tcW w:w="916" w:type="dxa"/>
                  <w:tcBorders>
                    <w:tl2br w:val="nil"/>
                    <w:tr2bl w:val="nil"/>
                  </w:tcBorders>
                  <w:vAlign w:val="center"/>
                </w:tcPr>
                <w:p w14:paraId="199B8DA0">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71446B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11B80D15">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5CDA9134">
                  <w:pPr>
                    <w:jc w:val="left"/>
                    <w:rPr>
                      <w:rFonts w:hint="default" w:ascii="Times New Roman" w:hAnsi="Times New Roman" w:eastAsia="宋体" w:cs="Times New Roman"/>
                      <w:color w:val="000000" w:themeColor="text1"/>
                      <w:szCs w:val="21"/>
                      <w14:textFill>
                        <w14:solidFill>
                          <w14:schemeClr w14:val="tx1"/>
                        </w14:solidFill>
                      </w14:textFill>
                    </w:rPr>
                  </w:pPr>
                  <w:r>
                    <w:rPr>
                      <w:rStyle w:val="101"/>
                      <w:rFonts w:hint="default" w:ascii="Times New Roman" w:hAnsi="Times New Roman" w:eastAsia="宋体" w:cs="Times New Roman"/>
                      <w:color w:val="000000" w:themeColor="text1"/>
                      <w:lang w:bidi="ar"/>
                      <w14:textFill>
                        <w14:solidFill>
                          <w14:schemeClr w14:val="tx1"/>
                        </w14:solidFill>
                      </w14:textFill>
                    </w:rPr>
                    <w:t>9.</w:t>
                  </w:r>
                  <w:r>
                    <w:rPr>
                      <w:rStyle w:val="121"/>
                      <w:rFonts w:hint="default" w:ascii="Times New Roman" w:hAnsi="Times New Roman" w:eastAsia="宋体" w:cs="Times New Roman"/>
                      <w:color w:val="000000" w:themeColor="text1"/>
                      <w:lang w:bidi="ar"/>
                      <w14:textFill>
                        <w14:solidFill>
                          <w14:schemeClr w14:val="tx1"/>
                        </w14:solidFill>
                      </w14:textFill>
                    </w:rPr>
                    <w:t>加强餐饮服务业燃料烟气及油烟防治，鼓励餐饮业及居民生活能源使用天然气、液化石油气等洁净能源。餐饮行业按要求安装油烟高效净化设备并定期清洗和维护。</w:t>
                  </w:r>
                </w:p>
              </w:tc>
              <w:tc>
                <w:tcPr>
                  <w:tcW w:w="2078" w:type="dxa"/>
                  <w:tcBorders>
                    <w:tl2br w:val="nil"/>
                    <w:tr2bl w:val="nil"/>
                  </w:tcBorders>
                  <w:shd w:val="clear" w:color="auto" w:fill="auto"/>
                  <w:vAlign w:val="center"/>
                </w:tcPr>
                <w:p w14:paraId="48016908">
                  <w:pPr>
                    <w:widowControl/>
                    <w:jc w:val="center"/>
                    <w:rPr>
                      <w:rFonts w:hint="default" w:ascii="Times New Roman" w:hAnsi="Times New Roman" w:eastAsia="宋体" w:cs="Times New Roman"/>
                      <w:bCs/>
                      <w:color w:val="000000" w:themeColor="text1"/>
                      <w:kern w:val="0"/>
                      <w:szCs w:val="21"/>
                      <w:lang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项目不属于餐饮服务业。</w:t>
                  </w:r>
                </w:p>
              </w:tc>
              <w:tc>
                <w:tcPr>
                  <w:tcW w:w="916" w:type="dxa"/>
                  <w:tcBorders>
                    <w:tl2br w:val="nil"/>
                    <w:tr2bl w:val="nil"/>
                  </w:tcBorders>
                  <w:vAlign w:val="center"/>
                </w:tcPr>
                <w:p w14:paraId="79273C62">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2E1BFA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restart"/>
                  <w:tcBorders>
                    <w:tl2br w:val="nil"/>
                    <w:tr2bl w:val="nil"/>
                  </w:tcBorders>
                  <w:vAlign w:val="center"/>
                </w:tcPr>
                <w:p w14:paraId="68E45B50">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环境风险防控</w:t>
                  </w:r>
                </w:p>
              </w:tc>
              <w:tc>
                <w:tcPr>
                  <w:tcW w:w="5216" w:type="dxa"/>
                  <w:tcBorders>
                    <w:tl2br w:val="nil"/>
                    <w:tr2bl w:val="nil"/>
                  </w:tcBorders>
                  <w:vAlign w:val="center"/>
                </w:tcPr>
                <w:p w14:paraId="1B8FE933">
                  <w:pPr>
                    <w:jc w:val="left"/>
                    <w:rPr>
                      <w:rFonts w:hint="default" w:ascii="Times New Roman" w:hAnsi="Times New Roman" w:eastAsia="宋体" w:cs="Times New Roman"/>
                      <w:color w:val="000000" w:themeColor="text1"/>
                      <w:szCs w:val="21"/>
                      <w14:textFill>
                        <w14:solidFill>
                          <w14:schemeClr w14:val="tx1"/>
                        </w14:solidFill>
                      </w14:textFill>
                    </w:rPr>
                  </w:pPr>
                  <w:r>
                    <w:rPr>
                      <w:rStyle w:val="106"/>
                      <w:rFonts w:hint="default" w:ascii="Times New Roman" w:hAnsi="Times New Roman" w:eastAsia="宋体" w:cs="Times New Roman"/>
                      <w:color w:val="000000" w:themeColor="text1"/>
                      <w:lang w:bidi="ar"/>
                      <w14:textFill>
                        <w14:solidFill>
                          <w14:schemeClr w14:val="tx1"/>
                        </w14:solidFill>
                      </w14:textFill>
                    </w:rPr>
                    <w:t>1.</w:t>
                  </w:r>
                  <w:r>
                    <w:rPr>
                      <w:rStyle w:val="122"/>
                      <w:rFonts w:hint="default" w:ascii="Times New Roman" w:hAnsi="Times New Roman" w:eastAsia="宋体" w:cs="Times New Roman"/>
                      <w:color w:val="000000" w:themeColor="text1"/>
                      <w:lang w:bidi="ar"/>
                      <w14:textFill>
                        <w14:solidFill>
                          <w14:schemeClr w14:val="tx1"/>
                        </w14:solidFill>
                      </w14:textFill>
                    </w:rPr>
                    <w:t>紧邻居住、科教、医院等环境敏感点的工业用地，禁止新建环境风险潜势等级高的建设项目；现有项目严格落实环评及批复环境风险防控要求。</w:t>
                  </w:r>
                </w:p>
              </w:tc>
              <w:tc>
                <w:tcPr>
                  <w:tcW w:w="2078" w:type="dxa"/>
                  <w:tcBorders>
                    <w:tl2br w:val="nil"/>
                    <w:tr2bl w:val="nil"/>
                  </w:tcBorders>
                  <w:shd w:val="clear" w:color="auto" w:fill="auto"/>
                  <w:vAlign w:val="center"/>
                </w:tcPr>
                <w:p w14:paraId="7AF21AE5">
                  <w:pPr>
                    <w:widowControl/>
                    <w:jc w:val="center"/>
                    <w:rPr>
                      <w:rFonts w:hint="default" w:ascii="Times New Roman" w:hAnsi="Times New Roman" w:eastAsia="宋体" w:cs="Times New Roman"/>
                      <w:bCs/>
                      <w:color w:val="000000" w:themeColor="text1"/>
                      <w:kern w:val="0"/>
                      <w:szCs w:val="21"/>
                      <w:lang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项目距离村庄较远，环境风险潜势等级低</w:t>
                  </w:r>
                  <w:r>
                    <w:rPr>
                      <w:rFonts w:hint="default" w:ascii="Times New Roman" w:hAnsi="Times New Roman" w:eastAsia="宋体" w:cs="Times New Roman"/>
                      <w:color w:val="000000" w:themeColor="text1"/>
                      <w:szCs w:val="21"/>
                      <w14:textFill>
                        <w14:solidFill>
                          <w14:schemeClr w14:val="tx1"/>
                        </w14:solidFill>
                      </w14:textFill>
                    </w:rPr>
                    <w:t>。</w:t>
                  </w:r>
                </w:p>
              </w:tc>
              <w:tc>
                <w:tcPr>
                  <w:tcW w:w="916" w:type="dxa"/>
                  <w:tcBorders>
                    <w:tl2br w:val="nil"/>
                    <w:tr2bl w:val="nil"/>
                  </w:tcBorders>
                  <w:vAlign w:val="center"/>
                </w:tcPr>
                <w:p w14:paraId="34FECD6F">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0FA47D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0256D566">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584559A2">
                  <w:pPr>
                    <w:jc w:val="left"/>
                    <w:rPr>
                      <w:rFonts w:hint="default" w:ascii="Times New Roman" w:hAnsi="Times New Roman" w:eastAsia="宋体" w:cs="Times New Roman"/>
                      <w:color w:val="000000" w:themeColor="text1"/>
                      <w:szCs w:val="21"/>
                      <w14:textFill>
                        <w14:solidFill>
                          <w14:schemeClr w14:val="tx1"/>
                        </w14:solidFill>
                      </w14:textFill>
                    </w:rPr>
                  </w:pPr>
                  <w:r>
                    <w:rPr>
                      <w:rStyle w:val="101"/>
                      <w:rFonts w:hint="default" w:ascii="Times New Roman" w:hAnsi="Times New Roman" w:eastAsia="宋体" w:cs="Times New Roman"/>
                      <w:color w:val="000000" w:themeColor="text1"/>
                      <w:lang w:bidi="ar"/>
                      <w14:textFill>
                        <w14:solidFill>
                          <w14:schemeClr w14:val="tx1"/>
                        </w14:solidFill>
                      </w14:textFill>
                    </w:rPr>
                    <w:t>2.</w:t>
                  </w:r>
                  <w:r>
                    <w:rPr>
                      <w:rStyle w:val="121"/>
                      <w:rFonts w:hint="default" w:ascii="Times New Roman" w:hAnsi="Times New Roman" w:eastAsia="宋体" w:cs="Times New Roman"/>
                      <w:color w:val="000000" w:themeColor="text1"/>
                      <w:lang w:bidi="ar"/>
                      <w14:textFill>
                        <w14:solidFill>
                          <w14:schemeClr w14:val="tx1"/>
                        </w14:solidFill>
                      </w14:textFill>
                    </w:rPr>
                    <w:t>加强农田土壤、灌溉水的监测，对周边区域环境风险源进行评估。</w:t>
                  </w:r>
                </w:p>
              </w:tc>
              <w:tc>
                <w:tcPr>
                  <w:tcW w:w="2078" w:type="dxa"/>
                  <w:tcBorders>
                    <w:tl2br w:val="nil"/>
                    <w:tr2bl w:val="nil"/>
                  </w:tcBorders>
                  <w:shd w:val="clear" w:color="auto" w:fill="auto"/>
                  <w:vAlign w:val="center"/>
                </w:tcPr>
                <w:p w14:paraId="778C82CD">
                  <w:pPr>
                    <w:widowControl/>
                    <w:jc w:val="center"/>
                    <w:rPr>
                      <w:rFonts w:hint="default" w:ascii="Times New Roman" w:hAnsi="Times New Roman" w:eastAsia="宋体" w:cs="Times New Roman"/>
                      <w:bCs/>
                      <w:color w:val="000000" w:themeColor="text1"/>
                      <w:kern w:val="0"/>
                      <w:szCs w:val="21"/>
                      <w:lang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项目用水由市政管网提供。</w:t>
                  </w:r>
                </w:p>
              </w:tc>
              <w:tc>
                <w:tcPr>
                  <w:tcW w:w="916" w:type="dxa"/>
                  <w:tcBorders>
                    <w:tl2br w:val="nil"/>
                    <w:tr2bl w:val="nil"/>
                  </w:tcBorders>
                  <w:vAlign w:val="center"/>
                </w:tcPr>
                <w:p w14:paraId="6482F957">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1BE118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345C9FFA">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60720306">
                  <w:pPr>
                    <w:jc w:val="left"/>
                    <w:rPr>
                      <w:rFonts w:hint="default" w:ascii="Times New Roman" w:hAnsi="Times New Roman" w:eastAsia="宋体" w:cs="Times New Roman"/>
                      <w:color w:val="000000" w:themeColor="text1"/>
                      <w:szCs w:val="21"/>
                      <w14:textFill>
                        <w14:solidFill>
                          <w14:schemeClr w14:val="tx1"/>
                        </w14:solidFill>
                      </w14:textFill>
                    </w:rPr>
                  </w:pPr>
                  <w:r>
                    <w:rPr>
                      <w:rStyle w:val="101"/>
                      <w:rFonts w:hint="default" w:ascii="Times New Roman" w:hAnsi="Times New Roman" w:eastAsia="宋体" w:cs="Times New Roman"/>
                      <w:color w:val="000000" w:themeColor="text1"/>
                      <w:lang w:bidi="ar"/>
                      <w14:textFill>
                        <w14:solidFill>
                          <w14:schemeClr w14:val="tx1"/>
                        </w14:solidFill>
                      </w14:textFill>
                    </w:rPr>
                    <w:t>3.</w:t>
                  </w:r>
                  <w:r>
                    <w:rPr>
                      <w:rStyle w:val="100"/>
                      <w:rFonts w:hint="default" w:ascii="Times New Roman" w:hAnsi="Times New Roman" w:eastAsia="宋体" w:cs="Times New Roman"/>
                      <w:color w:val="000000" w:themeColor="text1"/>
                      <w:lang w:bidi="ar"/>
                      <w14:textFill>
                        <w14:solidFill>
                          <w14:schemeClr w14:val="tx1"/>
                        </w14:solidFill>
                      </w14:textFill>
                    </w:rPr>
                    <w:t>企业事业单位根据法律法规、管理部门要求和《企业事业单位突发环境事件应急预案备案管理办法（试行）》等规定，依法依规编制环境应急预案并定期开展演练。</w:t>
                  </w:r>
                </w:p>
              </w:tc>
              <w:tc>
                <w:tcPr>
                  <w:tcW w:w="2078" w:type="dxa"/>
                  <w:tcBorders>
                    <w:tl2br w:val="nil"/>
                    <w:tr2bl w:val="nil"/>
                  </w:tcBorders>
                  <w:shd w:val="clear" w:color="auto" w:fill="auto"/>
                  <w:vAlign w:val="center"/>
                </w:tcPr>
                <w:p w14:paraId="10EAE8C8">
                  <w:pPr>
                    <w:widowControl/>
                    <w:jc w:val="center"/>
                    <w:rPr>
                      <w:rFonts w:hint="default" w:ascii="Times New Roman" w:hAnsi="Times New Roman" w:eastAsia="宋体" w:cs="Times New Roman"/>
                      <w:bCs/>
                      <w:color w:val="000000" w:themeColor="text1"/>
                      <w:kern w:val="0"/>
                      <w:szCs w:val="21"/>
                      <w:lang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企业按照《企业事业单位突发环境事件应急预案备案管理办法（试行）》等要求，依法依规编制环境应急预案并定期开展演练。</w:t>
                  </w:r>
                </w:p>
              </w:tc>
              <w:tc>
                <w:tcPr>
                  <w:tcW w:w="916" w:type="dxa"/>
                  <w:tcBorders>
                    <w:tl2br w:val="nil"/>
                    <w:tr2bl w:val="nil"/>
                  </w:tcBorders>
                  <w:vAlign w:val="center"/>
                </w:tcPr>
                <w:p w14:paraId="1EF0EDD7">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029172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2" w:type="dxa"/>
                  <w:vMerge w:val="continue"/>
                  <w:tcBorders>
                    <w:tl2br w:val="nil"/>
                    <w:tr2bl w:val="nil"/>
                  </w:tcBorders>
                  <w:vAlign w:val="center"/>
                </w:tcPr>
                <w:p w14:paraId="258496C1">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6A983F3B">
                  <w:pPr>
                    <w:jc w:val="left"/>
                    <w:rPr>
                      <w:rFonts w:hint="default" w:ascii="Times New Roman" w:hAnsi="Times New Roman" w:eastAsia="宋体" w:cs="Times New Roman"/>
                      <w:color w:val="000000" w:themeColor="text1"/>
                      <w:szCs w:val="21"/>
                      <w14:textFill>
                        <w14:solidFill>
                          <w14:schemeClr w14:val="tx1"/>
                        </w14:solidFill>
                      </w14:textFill>
                    </w:rPr>
                  </w:pPr>
                  <w:r>
                    <w:rPr>
                      <w:rStyle w:val="106"/>
                      <w:rFonts w:hint="default" w:ascii="Times New Roman" w:hAnsi="Times New Roman" w:eastAsia="宋体" w:cs="Times New Roman"/>
                      <w:color w:val="000000" w:themeColor="text1"/>
                      <w:lang w:bidi="ar"/>
                      <w14:textFill>
                        <w14:solidFill>
                          <w14:schemeClr w14:val="tx1"/>
                        </w14:solidFill>
                      </w14:textFill>
                    </w:rPr>
                    <w:t>4.</w:t>
                  </w:r>
                  <w:r>
                    <w:rPr>
                      <w:rStyle w:val="122"/>
                      <w:rFonts w:hint="default" w:ascii="Times New Roman" w:hAnsi="Times New Roman" w:eastAsia="宋体" w:cs="Times New Roman"/>
                      <w:color w:val="000000" w:themeColor="text1"/>
                      <w:lang w:bidi="ar"/>
                      <w14:textFill>
                        <w14:solidFill>
                          <w14:schemeClr w14:val="tx1"/>
                        </w14:solidFill>
                      </w14:textFill>
                    </w:rPr>
                    <w:t>建立各企业危险废物的贮存、申报、经营许可（无废城市建设豁免的除外）、转移及处置管理制度，并负责对危废相应活动的全程监管和环境安全保障。</w:t>
                  </w:r>
                </w:p>
              </w:tc>
              <w:tc>
                <w:tcPr>
                  <w:tcW w:w="2078" w:type="dxa"/>
                  <w:tcBorders>
                    <w:tl2br w:val="nil"/>
                    <w:tr2bl w:val="nil"/>
                  </w:tcBorders>
                  <w:shd w:val="clear" w:color="auto" w:fill="auto"/>
                  <w:vAlign w:val="center"/>
                </w:tcPr>
                <w:p w14:paraId="6DBEA175">
                  <w:pPr>
                    <w:widowControl/>
                    <w:jc w:val="center"/>
                    <w:rPr>
                      <w:rFonts w:hint="default" w:ascii="Times New Roman" w:hAnsi="Times New Roman" w:eastAsia="宋体" w:cs="Times New Roman"/>
                      <w:bCs/>
                      <w:color w:val="000000" w:themeColor="text1"/>
                      <w:kern w:val="0"/>
                      <w:szCs w:val="21"/>
                      <w:lang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本项目不涉及</w:t>
                  </w:r>
                </w:p>
              </w:tc>
              <w:tc>
                <w:tcPr>
                  <w:tcW w:w="916" w:type="dxa"/>
                  <w:tcBorders>
                    <w:tl2br w:val="nil"/>
                    <w:tr2bl w:val="nil"/>
                  </w:tcBorders>
                  <w:vAlign w:val="center"/>
                </w:tcPr>
                <w:p w14:paraId="4544FC57">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6D5855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20EBB466">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0D746A94">
                  <w:pPr>
                    <w:jc w:val="left"/>
                    <w:rPr>
                      <w:rFonts w:hint="default" w:ascii="Times New Roman" w:hAnsi="Times New Roman" w:eastAsia="宋体" w:cs="Times New Roman"/>
                      <w:color w:val="000000" w:themeColor="text1"/>
                      <w:szCs w:val="21"/>
                      <w14:textFill>
                        <w14:solidFill>
                          <w14:schemeClr w14:val="tx1"/>
                        </w14:solidFill>
                      </w14:textFill>
                    </w:rPr>
                  </w:pPr>
                  <w:r>
                    <w:rPr>
                      <w:rStyle w:val="101"/>
                      <w:rFonts w:hint="default" w:ascii="Times New Roman" w:hAnsi="Times New Roman" w:eastAsia="宋体" w:cs="Times New Roman"/>
                      <w:color w:val="000000" w:themeColor="text1"/>
                      <w:lang w:bidi="ar"/>
                      <w14:textFill>
                        <w14:solidFill>
                          <w14:schemeClr w14:val="tx1"/>
                        </w14:solidFill>
                      </w14:textFill>
                    </w:rPr>
                    <w:t>5.</w:t>
                  </w:r>
                  <w:r>
                    <w:rPr>
                      <w:rStyle w:val="121"/>
                      <w:rFonts w:hint="default" w:ascii="Times New Roman" w:hAnsi="Times New Roman" w:eastAsia="宋体" w:cs="Times New Roman"/>
                      <w:color w:val="000000" w:themeColor="text1"/>
                      <w:lang w:bidi="ar"/>
                      <w14:textFill>
                        <w14:solidFill>
                          <w14:schemeClr w14:val="tx1"/>
                        </w14:solidFill>
                      </w14:textFill>
                    </w:rPr>
                    <w:t>污染地块依法开展土壤污染状况调查、风险管控或者修复，未完成调查以及未达到土壤污染风险评估报告确定的风险管控、修复目标的地块，不得开工建设与风险管控和修复无关的项目。</w:t>
                  </w:r>
                </w:p>
              </w:tc>
              <w:tc>
                <w:tcPr>
                  <w:tcW w:w="2078" w:type="dxa"/>
                  <w:tcBorders>
                    <w:tl2br w:val="nil"/>
                    <w:tr2bl w:val="nil"/>
                  </w:tcBorders>
                  <w:shd w:val="clear" w:color="auto" w:fill="auto"/>
                  <w:vAlign w:val="center"/>
                </w:tcPr>
                <w:p w14:paraId="462958C0">
                  <w:pPr>
                    <w:widowControl/>
                    <w:jc w:val="center"/>
                    <w:rPr>
                      <w:rFonts w:hint="eastAsia" w:ascii="Times New Roman" w:hAnsi="Times New Roman" w:eastAsia="宋体" w:cs="Times New Roman"/>
                      <w:bCs/>
                      <w:color w:val="000000" w:themeColor="text1"/>
                      <w:kern w:val="0"/>
                      <w:szCs w:val="21"/>
                      <w:lang w:eastAsia="zh-CN"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本项目不需要进行土壤污染状况调查</w:t>
                  </w:r>
                  <w:r>
                    <w:rPr>
                      <w:rFonts w:hint="eastAsia" w:cs="Times New Roman"/>
                      <w:bCs/>
                      <w:color w:val="000000" w:themeColor="text1"/>
                      <w:kern w:val="0"/>
                      <w:szCs w:val="21"/>
                      <w:lang w:eastAsia="zh-CN" w:bidi="ar"/>
                      <w14:textFill>
                        <w14:solidFill>
                          <w14:schemeClr w14:val="tx1"/>
                        </w14:solidFill>
                      </w14:textFill>
                    </w:rPr>
                    <w:t>。</w:t>
                  </w:r>
                </w:p>
              </w:tc>
              <w:tc>
                <w:tcPr>
                  <w:tcW w:w="916" w:type="dxa"/>
                  <w:tcBorders>
                    <w:tl2br w:val="nil"/>
                    <w:tr2bl w:val="nil"/>
                  </w:tcBorders>
                  <w:vAlign w:val="center"/>
                </w:tcPr>
                <w:p w14:paraId="3B3EA54D">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4FA94C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70E2BF6C">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45D67EA8">
                  <w:pPr>
                    <w:jc w:val="left"/>
                    <w:rPr>
                      <w:rFonts w:hint="default" w:ascii="Times New Roman" w:hAnsi="Times New Roman" w:eastAsia="宋体" w:cs="Times New Roman"/>
                      <w:color w:val="000000" w:themeColor="text1"/>
                      <w:szCs w:val="21"/>
                      <w14:textFill>
                        <w14:solidFill>
                          <w14:schemeClr w14:val="tx1"/>
                        </w14:solidFill>
                      </w14:textFill>
                    </w:rPr>
                  </w:pPr>
                  <w:r>
                    <w:rPr>
                      <w:rStyle w:val="106"/>
                      <w:rFonts w:hint="default" w:ascii="Times New Roman" w:hAnsi="Times New Roman" w:eastAsia="宋体" w:cs="Times New Roman"/>
                      <w:color w:val="000000" w:themeColor="text1"/>
                      <w:lang w:bidi="ar"/>
                      <w14:textFill>
                        <w14:solidFill>
                          <w14:schemeClr w14:val="tx1"/>
                        </w14:solidFill>
                      </w14:textFill>
                    </w:rPr>
                    <w:t>6.</w:t>
                  </w:r>
                  <w:r>
                    <w:rPr>
                      <w:rStyle w:val="122"/>
                      <w:rFonts w:hint="default" w:ascii="Times New Roman" w:hAnsi="Times New Roman" w:eastAsia="宋体" w:cs="Times New Roman"/>
                      <w:color w:val="000000" w:themeColor="text1"/>
                      <w:lang w:bidi="ar"/>
                      <w14:textFill>
                        <w14:solidFill>
                          <w14:schemeClr w14:val="tx1"/>
                        </w14:solidFill>
                      </w14:textFill>
                    </w:rPr>
                    <w:t>按照省市要求，做好清洁取暖改造工作。</w:t>
                  </w:r>
                </w:p>
              </w:tc>
              <w:tc>
                <w:tcPr>
                  <w:tcW w:w="2078" w:type="dxa"/>
                  <w:tcBorders>
                    <w:tl2br w:val="nil"/>
                    <w:tr2bl w:val="nil"/>
                  </w:tcBorders>
                  <w:shd w:val="clear" w:color="auto" w:fill="auto"/>
                  <w:vAlign w:val="center"/>
                </w:tcPr>
                <w:p w14:paraId="50C5C693">
                  <w:pPr>
                    <w:widowControl/>
                    <w:jc w:val="center"/>
                    <w:rPr>
                      <w:rFonts w:hint="eastAsia" w:ascii="Times New Roman" w:hAnsi="Times New Roman" w:eastAsia="宋体" w:cs="Times New Roman"/>
                      <w:bCs/>
                      <w:color w:val="000000" w:themeColor="text1"/>
                      <w:kern w:val="0"/>
                      <w:szCs w:val="21"/>
                      <w:lang w:eastAsia="zh-CN"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本项目</w:t>
                  </w:r>
                  <w:r>
                    <w:rPr>
                      <w:rFonts w:hint="eastAsia" w:cs="Times New Roman"/>
                      <w:bCs/>
                      <w:color w:val="000000" w:themeColor="text1"/>
                      <w:kern w:val="0"/>
                      <w:szCs w:val="21"/>
                      <w:lang w:val="en-US" w:eastAsia="zh-CN" w:bidi="ar"/>
                      <w14:textFill>
                        <w14:solidFill>
                          <w14:schemeClr w14:val="tx1"/>
                        </w14:solidFill>
                      </w14:textFill>
                    </w:rPr>
                    <w:t>生产车间不涉及采暖设施</w:t>
                  </w:r>
                  <w:r>
                    <w:rPr>
                      <w:rFonts w:hint="eastAsia" w:cs="Times New Roman"/>
                      <w:bCs/>
                      <w:color w:val="000000" w:themeColor="text1"/>
                      <w:kern w:val="0"/>
                      <w:szCs w:val="21"/>
                      <w:lang w:eastAsia="zh-CN" w:bidi="ar"/>
                      <w14:textFill>
                        <w14:solidFill>
                          <w14:schemeClr w14:val="tx1"/>
                        </w14:solidFill>
                      </w14:textFill>
                    </w:rPr>
                    <w:t>。</w:t>
                  </w:r>
                </w:p>
              </w:tc>
              <w:tc>
                <w:tcPr>
                  <w:tcW w:w="916" w:type="dxa"/>
                  <w:tcBorders>
                    <w:tl2br w:val="nil"/>
                    <w:tr2bl w:val="nil"/>
                  </w:tcBorders>
                  <w:vAlign w:val="center"/>
                </w:tcPr>
                <w:p w14:paraId="4E5FE38C">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09C3CE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restart"/>
                  <w:tcBorders>
                    <w:tl2br w:val="nil"/>
                    <w:tr2bl w:val="nil"/>
                  </w:tcBorders>
                  <w:vAlign w:val="center"/>
                </w:tcPr>
                <w:p w14:paraId="2CDB22ED">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资源开发效率要求</w:t>
                  </w:r>
                </w:p>
              </w:tc>
              <w:tc>
                <w:tcPr>
                  <w:tcW w:w="5216" w:type="dxa"/>
                  <w:tcBorders>
                    <w:tl2br w:val="nil"/>
                    <w:tr2bl w:val="nil"/>
                  </w:tcBorders>
                  <w:vAlign w:val="center"/>
                </w:tcPr>
                <w:p w14:paraId="6DD79EC2">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kern w:val="0"/>
                      <w:szCs w:val="21"/>
                      <w:lang w:bidi="ar"/>
                      <w14:textFill>
                        <w14:solidFill>
                          <w14:schemeClr w14:val="tx1"/>
                        </w14:solidFill>
                      </w14:textFill>
                    </w:rPr>
                    <w:t>1.高污染燃料禁燃区内执行淄博市高污染燃料禁燃区划定文件的管控要求。</w:t>
                  </w:r>
                </w:p>
              </w:tc>
              <w:tc>
                <w:tcPr>
                  <w:tcW w:w="2078" w:type="dxa"/>
                  <w:tcBorders>
                    <w:tl2br w:val="nil"/>
                    <w:tr2bl w:val="nil"/>
                  </w:tcBorders>
                  <w:shd w:val="clear" w:color="auto" w:fill="auto"/>
                  <w:vAlign w:val="center"/>
                </w:tcPr>
                <w:p w14:paraId="03F26F51">
                  <w:pPr>
                    <w:widowControl/>
                    <w:jc w:val="center"/>
                    <w:rPr>
                      <w:rFonts w:hint="eastAsia" w:ascii="Times New Roman" w:hAnsi="Times New Roman" w:eastAsia="宋体" w:cs="Times New Roman"/>
                      <w:bCs/>
                      <w:color w:val="000000" w:themeColor="text1"/>
                      <w:kern w:val="0"/>
                      <w:szCs w:val="21"/>
                      <w:lang w:eastAsia="zh-CN"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本项目不涉及高污染燃料燃烧</w:t>
                  </w:r>
                  <w:r>
                    <w:rPr>
                      <w:rFonts w:hint="eastAsia" w:cs="Times New Roman"/>
                      <w:bCs/>
                      <w:color w:val="000000" w:themeColor="text1"/>
                      <w:kern w:val="0"/>
                      <w:szCs w:val="21"/>
                      <w:lang w:eastAsia="zh-CN" w:bidi="ar"/>
                      <w14:textFill>
                        <w14:solidFill>
                          <w14:schemeClr w14:val="tx1"/>
                        </w14:solidFill>
                      </w14:textFill>
                    </w:rPr>
                    <w:t>。</w:t>
                  </w:r>
                </w:p>
              </w:tc>
              <w:tc>
                <w:tcPr>
                  <w:tcW w:w="916" w:type="dxa"/>
                  <w:tcBorders>
                    <w:tl2br w:val="nil"/>
                    <w:tr2bl w:val="nil"/>
                  </w:tcBorders>
                  <w:vAlign w:val="center"/>
                </w:tcPr>
                <w:p w14:paraId="06A52D34">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0496B6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37E5316F">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6EA64E08">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kern w:val="0"/>
                      <w:szCs w:val="21"/>
                      <w:lang w:bidi="ar"/>
                      <w14:textFill>
                        <w14:solidFill>
                          <w14:schemeClr w14:val="tx1"/>
                        </w14:solidFill>
                      </w14:textFill>
                    </w:rPr>
                    <w:t>2.加强农业节水，提高水资源使用效率。</w:t>
                  </w:r>
                </w:p>
              </w:tc>
              <w:tc>
                <w:tcPr>
                  <w:tcW w:w="2078" w:type="dxa"/>
                  <w:tcBorders>
                    <w:tl2br w:val="nil"/>
                    <w:tr2bl w:val="nil"/>
                  </w:tcBorders>
                  <w:shd w:val="clear" w:color="auto" w:fill="auto"/>
                  <w:vAlign w:val="center"/>
                </w:tcPr>
                <w:p w14:paraId="7D0C7985">
                  <w:pPr>
                    <w:widowControl/>
                    <w:jc w:val="center"/>
                    <w:rPr>
                      <w:rFonts w:hint="default" w:ascii="Times New Roman" w:hAnsi="Times New Roman" w:eastAsia="宋体" w:cs="Times New Roman"/>
                      <w:bCs/>
                      <w:color w:val="000000" w:themeColor="text1"/>
                      <w:kern w:val="0"/>
                      <w:szCs w:val="21"/>
                      <w:lang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本项目不涉及</w:t>
                  </w:r>
                </w:p>
              </w:tc>
              <w:tc>
                <w:tcPr>
                  <w:tcW w:w="916" w:type="dxa"/>
                  <w:tcBorders>
                    <w:tl2br w:val="nil"/>
                    <w:tr2bl w:val="nil"/>
                  </w:tcBorders>
                  <w:vAlign w:val="center"/>
                </w:tcPr>
                <w:p w14:paraId="629EE3D1">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4B0593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24E5E8BC">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231E3FE7">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kern w:val="0"/>
                      <w:szCs w:val="21"/>
                      <w:lang w:bidi="ar"/>
                      <w14:textFill>
                        <w14:solidFill>
                          <w14:schemeClr w14:val="tx1"/>
                        </w14:solidFill>
                      </w14:textFill>
                    </w:rPr>
                    <w:t>3.提升土地集约化水平。</w:t>
                  </w:r>
                </w:p>
              </w:tc>
              <w:tc>
                <w:tcPr>
                  <w:tcW w:w="2078" w:type="dxa"/>
                  <w:tcBorders>
                    <w:tl2br w:val="nil"/>
                    <w:tr2bl w:val="nil"/>
                  </w:tcBorders>
                  <w:shd w:val="clear" w:color="auto" w:fill="auto"/>
                  <w:vAlign w:val="center"/>
                </w:tcPr>
                <w:p w14:paraId="5A863EF5">
                  <w:pPr>
                    <w:widowControl/>
                    <w:jc w:val="center"/>
                    <w:rPr>
                      <w:rFonts w:hint="default" w:ascii="Times New Roman" w:hAnsi="Times New Roman" w:eastAsia="宋体" w:cs="Times New Roman"/>
                      <w:bCs/>
                      <w:color w:val="000000" w:themeColor="text1"/>
                      <w:kern w:val="0"/>
                      <w:szCs w:val="21"/>
                      <w:lang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本</w:t>
                  </w:r>
                  <w:r>
                    <w:rPr>
                      <w:rFonts w:hint="default" w:ascii="Times New Roman" w:hAnsi="Times New Roman" w:eastAsia="宋体" w:cs="Times New Roman"/>
                      <w:bCs/>
                      <w:color w:val="000000" w:themeColor="text1"/>
                      <w:szCs w:val="21"/>
                      <w14:textFill>
                        <w14:solidFill>
                          <w14:schemeClr w14:val="tx1"/>
                        </w14:solidFill>
                      </w14:textFill>
                    </w:rPr>
                    <w:t>项目按要求执行</w:t>
                  </w:r>
                </w:p>
              </w:tc>
              <w:tc>
                <w:tcPr>
                  <w:tcW w:w="916" w:type="dxa"/>
                  <w:tcBorders>
                    <w:tl2br w:val="nil"/>
                    <w:tr2bl w:val="nil"/>
                  </w:tcBorders>
                  <w:vAlign w:val="center"/>
                </w:tcPr>
                <w:p w14:paraId="6B2A2620">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758191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2" w:type="dxa"/>
                  <w:vMerge w:val="continue"/>
                  <w:tcBorders>
                    <w:tl2br w:val="nil"/>
                    <w:tr2bl w:val="nil"/>
                  </w:tcBorders>
                  <w:vAlign w:val="center"/>
                </w:tcPr>
                <w:p w14:paraId="30025650">
                  <w:pPr>
                    <w:pStyle w:val="6"/>
                    <w:snapToGrid w:val="0"/>
                    <w:spacing w:line="240" w:lineRule="auto"/>
                    <w:ind w:firstLine="0"/>
                    <w:jc w:val="center"/>
                    <w:rPr>
                      <w:rFonts w:hint="default" w:ascii="Times New Roman" w:hAnsi="Times New Roman" w:eastAsia="宋体" w:cs="Times New Roman"/>
                      <w:color w:val="000000" w:themeColor="text1"/>
                      <w:szCs w:val="21"/>
                      <w14:textFill>
                        <w14:solidFill>
                          <w14:schemeClr w14:val="tx1"/>
                        </w14:solidFill>
                      </w14:textFill>
                    </w:rPr>
                  </w:pPr>
                </w:p>
              </w:tc>
              <w:tc>
                <w:tcPr>
                  <w:tcW w:w="5216" w:type="dxa"/>
                  <w:tcBorders>
                    <w:tl2br w:val="nil"/>
                    <w:tr2bl w:val="nil"/>
                  </w:tcBorders>
                  <w:vAlign w:val="center"/>
                </w:tcPr>
                <w:p w14:paraId="64B616EC">
                  <w:pPr>
                    <w:jc w:val="left"/>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kern w:val="0"/>
                      <w:szCs w:val="21"/>
                      <w:lang w:bidi="ar"/>
                      <w14:textFill>
                        <w14:solidFill>
                          <w14:schemeClr w14:val="tx1"/>
                        </w14:solidFill>
                      </w14:textFill>
                    </w:rPr>
                    <w:t>4.调整能源利用结构，控制煤炭消费量，实现减量化，鼓励使用清洁能源、新能源和可再生能源。</w:t>
                  </w:r>
                </w:p>
              </w:tc>
              <w:tc>
                <w:tcPr>
                  <w:tcW w:w="2078" w:type="dxa"/>
                  <w:tcBorders>
                    <w:tl2br w:val="nil"/>
                    <w:tr2bl w:val="nil"/>
                  </w:tcBorders>
                  <w:shd w:val="clear" w:color="auto" w:fill="auto"/>
                  <w:vAlign w:val="center"/>
                </w:tcPr>
                <w:p w14:paraId="389A5019">
                  <w:pPr>
                    <w:widowControl/>
                    <w:jc w:val="center"/>
                    <w:rPr>
                      <w:rFonts w:hint="eastAsia" w:ascii="Times New Roman" w:hAnsi="Times New Roman" w:eastAsia="宋体" w:cs="Times New Roman"/>
                      <w:bCs/>
                      <w:color w:val="000000" w:themeColor="text1"/>
                      <w:kern w:val="0"/>
                      <w:szCs w:val="21"/>
                      <w:lang w:eastAsia="zh-CN" w:bidi="ar"/>
                      <w14:textFill>
                        <w14:solidFill>
                          <w14:schemeClr w14:val="tx1"/>
                        </w14:solidFill>
                      </w14:textFill>
                    </w:rPr>
                  </w:pPr>
                  <w:r>
                    <w:rPr>
                      <w:rFonts w:hint="default" w:ascii="Times New Roman" w:hAnsi="Times New Roman" w:eastAsia="宋体" w:cs="Times New Roman"/>
                      <w:bCs/>
                      <w:color w:val="000000" w:themeColor="text1"/>
                      <w:kern w:val="0"/>
                      <w:szCs w:val="21"/>
                      <w:lang w:bidi="ar"/>
                      <w14:textFill>
                        <w14:solidFill>
                          <w14:schemeClr w14:val="tx1"/>
                        </w14:solidFill>
                      </w14:textFill>
                    </w:rPr>
                    <w:t>本项目不涉及煤炭使用</w:t>
                  </w:r>
                  <w:r>
                    <w:rPr>
                      <w:rFonts w:hint="eastAsia" w:cs="Times New Roman"/>
                      <w:bCs/>
                      <w:color w:val="000000" w:themeColor="text1"/>
                      <w:kern w:val="0"/>
                      <w:szCs w:val="21"/>
                      <w:lang w:eastAsia="zh-CN" w:bidi="ar"/>
                      <w14:textFill>
                        <w14:solidFill>
                          <w14:schemeClr w14:val="tx1"/>
                        </w14:solidFill>
                      </w14:textFill>
                    </w:rPr>
                    <w:t>。</w:t>
                  </w:r>
                </w:p>
              </w:tc>
              <w:tc>
                <w:tcPr>
                  <w:tcW w:w="916" w:type="dxa"/>
                  <w:tcBorders>
                    <w:tl2br w:val="nil"/>
                    <w:tr2bl w:val="nil"/>
                  </w:tcBorders>
                  <w:vAlign w:val="center"/>
                </w:tcPr>
                <w:p w14:paraId="12FFAC4C">
                  <w:pPr>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bl>
          <w:p w14:paraId="06BB0741">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综上所述，本项目符合淄博市生态环境委员会办公室关于印发《淄博市2023年生态环境分区管控成果动态更新项目生态环境准入清单》通知中生态环境准入清单要求，淄博市环境管控单元图详见附图</w:t>
            </w:r>
            <w:r>
              <w:rPr>
                <w:rFonts w:hint="eastAsia" w:ascii="Times New Roman" w:hAnsi="Times New Roman" w:eastAsia="宋体" w:cs="Times New Roman"/>
                <w:color w:val="000000" w:themeColor="text1"/>
                <w:sz w:val="24"/>
                <w:lang w:val="en-US" w:eastAsia="zh-CN"/>
                <w14:textFill>
                  <w14:solidFill>
                    <w14:schemeClr w14:val="tx1"/>
                  </w14:solidFill>
                </w14:textFill>
              </w:rPr>
              <w:t>5</w:t>
            </w:r>
            <w:r>
              <w:rPr>
                <w:rFonts w:hint="default" w:ascii="Times New Roman" w:hAnsi="Times New Roman" w:eastAsia="宋体" w:cs="Times New Roman"/>
                <w:color w:val="000000" w:themeColor="text1"/>
                <w:sz w:val="24"/>
                <w14:textFill>
                  <w14:solidFill>
                    <w14:schemeClr w14:val="tx1"/>
                  </w14:solidFill>
                </w14:textFill>
              </w:rPr>
              <w:t>。</w:t>
            </w:r>
          </w:p>
          <w:p w14:paraId="5012017C">
            <w:pPr>
              <w:pStyle w:val="96"/>
              <w:ind w:firstLine="482"/>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4、与《山东省环境保护条例》的符合性</w:t>
            </w:r>
          </w:p>
          <w:p w14:paraId="5DCFC6B7">
            <w:pPr>
              <w:pStyle w:val="6"/>
              <w:ind w:firstLine="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表</w:t>
            </w:r>
            <w:r>
              <w:rPr>
                <w:rFonts w:hint="default" w:ascii="Times New Roman" w:hAnsi="Times New Roman" w:eastAsia="宋体" w:cs="Times New Roman"/>
                <w:b/>
                <w:bCs/>
                <w:color w:val="000000" w:themeColor="text1"/>
                <w14:textFill>
                  <w14:solidFill>
                    <w14:schemeClr w14:val="tx1"/>
                  </w14:solidFill>
                </w14:textFill>
              </w:rPr>
              <w:t>1-</w:t>
            </w:r>
            <w:r>
              <w:rPr>
                <w:rFonts w:hint="eastAsia" w:hAnsi="Times New Roman" w:cs="Times New Roman"/>
                <w:b/>
                <w:bCs/>
                <w:color w:val="000000" w:themeColor="text1"/>
                <w:szCs w:val="21"/>
                <w:lang w:val="en-US" w:eastAsia="zh-CN"/>
                <w14:textFill>
                  <w14:solidFill>
                    <w14:schemeClr w14:val="tx1"/>
                  </w14:solidFill>
                </w14:textFill>
              </w:rPr>
              <w:t xml:space="preserve">6 </w:t>
            </w:r>
            <w:r>
              <w:rPr>
                <w:rFonts w:hint="default" w:ascii="Times New Roman" w:hAnsi="Times New Roman" w:eastAsia="宋体" w:cs="Times New Roman"/>
                <w:b/>
                <w:bCs/>
                <w:color w:val="000000" w:themeColor="text1"/>
                <w:szCs w:val="21"/>
                <w14:textFill>
                  <w14:solidFill>
                    <w14:schemeClr w14:val="tx1"/>
                  </w14:solidFill>
                </w14:textFill>
              </w:rPr>
              <w:t>项目与《山东省环境保护条例》符合性分析</w:t>
            </w:r>
          </w:p>
          <w:tbl>
            <w:tblPr>
              <w:tblStyle w:val="38"/>
              <w:tblW w:w="494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662"/>
              <w:gridCol w:w="2414"/>
              <w:gridCol w:w="888"/>
            </w:tblGrid>
            <w:tr w14:paraId="3E880B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7" w:type="pct"/>
                  <w:tcBorders>
                    <w:tl2br w:val="nil"/>
                    <w:tr2bl w:val="nil"/>
                  </w:tcBorders>
                  <w:vAlign w:val="center"/>
                </w:tcPr>
                <w:p w14:paraId="07073E10">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文件要求</w:t>
                  </w:r>
                </w:p>
              </w:tc>
              <w:tc>
                <w:tcPr>
                  <w:tcW w:w="1346" w:type="pct"/>
                  <w:tcBorders>
                    <w:tl2br w:val="nil"/>
                    <w:tr2bl w:val="nil"/>
                  </w:tcBorders>
                  <w:vAlign w:val="center"/>
                </w:tcPr>
                <w:p w14:paraId="3BE4AEA6">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本项目情况</w:t>
                  </w:r>
                </w:p>
              </w:tc>
              <w:tc>
                <w:tcPr>
                  <w:tcW w:w="495" w:type="pct"/>
                  <w:tcBorders>
                    <w:tl2br w:val="nil"/>
                    <w:tr2bl w:val="nil"/>
                  </w:tcBorders>
                  <w:vAlign w:val="center"/>
                </w:tcPr>
                <w:p w14:paraId="4F0CF10B">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符合性</w:t>
                  </w:r>
                </w:p>
              </w:tc>
            </w:tr>
            <w:tr w14:paraId="0FA296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7" w:type="pct"/>
                  <w:tcBorders>
                    <w:tl2br w:val="nil"/>
                    <w:tr2bl w:val="nil"/>
                  </w:tcBorders>
                  <w:shd w:val="clear" w:color="auto" w:fill="auto"/>
                  <w:vAlign w:val="center"/>
                </w:tcPr>
                <w:p w14:paraId="0430619E">
                  <w:pP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禁止建设不符合国家和省产业政策的小型造纸、制革、印染、染料、炼焦、炼硫、炼砷、炼汞、炼油、电镀、农药、石棉、水泥、玻璃、钢铁、火电以及其他严重污染环境的生产项目。已经建设的，由所在地的县级以上人民政府责令拆除或者关闭。</w:t>
                  </w:r>
                </w:p>
              </w:tc>
              <w:tc>
                <w:tcPr>
                  <w:tcW w:w="1346" w:type="pct"/>
                  <w:tcBorders>
                    <w:tl2br w:val="nil"/>
                    <w:tr2bl w:val="nil"/>
                  </w:tcBorders>
                  <w:shd w:val="clear" w:color="auto" w:fill="auto"/>
                  <w:vAlign w:val="center"/>
                </w:tcPr>
                <w:p w14:paraId="4F1D96C1">
                  <w:pPr>
                    <w:jc w:val="center"/>
                    <w:rPr>
                      <w:rFonts w:hint="eastAsia" w:ascii="Times New Roman" w:hAnsi="Times New Roman" w:eastAsia="宋体" w:cs="Times New Roman"/>
                      <w:bCs/>
                      <w:color w:val="000000" w:themeColor="text1"/>
                      <w:szCs w:val="21"/>
                      <w:lang w:eastAsia="zh-CN"/>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本项目不属于以上行业范畴</w:t>
                  </w:r>
                  <w:r>
                    <w:rPr>
                      <w:rFonts w:hint="eastAsia" w:cs="Times New Roman"/>
                      <w:bCs/>
                      <w:color w:val="000000" w:themeColor="text1"/>
                      <w:szCs w:val="21"/>
                      <w:lang w:eastAsia="zh-CN"/>
                      <w14:textFill>
                        <w14:solidFill>
                          <w14:schemeClr w14:val="tx1"/>
                        </w14:solidFill>
                      </w14:textFill>
                    </w:rPr>
                    <w:t>。</w:t>
                  </w:r>
                </w:p>
              </w:tc>
              <w:tc>
                <w:tcPr>
                  <w:tcW w:w="495" w:type="pct"/>
                  <w:tcBorders>
                    <w:tl2br w:val="nil"/>
                    <w:tr2bl w:val="nil"/>
                  </w:tcBorders>
                  <w:vAlign w:val="center"/>
                </w:tcPr>
                <w:p w14:paraId="3D2D5855">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4EAA24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7" w:type="pct"/>
                  <w:tcBorders>
                    <w:tl2br w:val="nil"/>
                    <w:tr2bl w:val="nil"/>
                  </w:tcBorders>
                  <w:shd w:val="clear" w:color="auto" w:fill="auto"/>
                  <w:vAlign w:val="center"/>
                </w:tcPr>
                <w:p w14:paraId="6B668DB6">
                  <w:pP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实行重点污染物排放总量控制制度。省人民政府根据环境容量和污染防治的需要，确定削减和控制重点污染物的种类和排放总量，将重点污染物排放总量控制指标逐级分解、落实到设区的市、县（市、区）人民政府。</w:t>
                  </w:r>
                </w:p>
              </w:tc>
              <w:tc>
                <w:tcPr>
                  <w:tcW w:w="1346" w:type="pct"/>
                  <w:tcBorders>
                    <w:tl2br w:val="nil"/>
                    <w:tr2bl w:val="nil"/>
                  </w:tcBorders>
                  <w:shd w:val="clear" w:color="auto" w:fill="auto"/>
                  <w:vAlign w:val="center"/>
                </w:tcPr>
                <w:p w14:paraId="58576684">
                  <w:pPr>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本项目污染物排放量进行倍量替代</w:t>
                  </w:r>
                  <w:r>
                    <w:rPr>
                      <w:rFonts w:hint="eastAsia" w:cs="Times New Roman"/>
                      <w:bCs/>
                      <w:color w:val="000000" w:themeColor="text1"/>
                      <w:szCs w:val="21"/>
                      <w:lang w:eastAsia="zh-CN"/>
                      <w14:textFill>
                        <w14:solidFill>
                          <w14:schemeClr w14:val="tx1"/>
                        </w14:solidFill>
                      </w14:textFill>
                    </w:rPr>
                    <w:t>。</w:t>
                  </w:r>
                </w:p>
              </w:tc>
              <w:tc>
                <w:tcPr>
                  <w:tcW w:w="495" w:type="pct"/>
                  <w:tcBorders>
                    <w:tl2br w:val="nil"/>
                    <w:tr2bl w:val="nil"/>
                  </w:tcBorders>
                  <w:vAlign w:val="center"/>
                </w:tcPr>
                <w:p w14:paraId="2C04C945">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3D96A4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7" w:type="pct"/>
                  <w:tcBorders>
                    <w:tl2br w:val="nil"/>
                    <w:tr2bl w:val="nil"/>
                  </w:tcBorders>
                  <w:shd w:val="clear" w:color="auto" w:fill="auto"/>
                  <w:vAlign w:val="center"/>
                </w:tcPr>
                <w:p w14:paraId="70451515">
                  <w:pP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实行排污许可管理制度。纳入排污许可管理目录的排污单位，应当依法申请领取排污许可证。未取得排污许可证的，不得排放污染物。</w:t>
                  </w:r>
                </w:p>
              </w:tc>
              <w:tc>
                <w:tcPr>
                  <w:tcW w:w="1346" w:type="pct"/>
                  <w:tcBorders>
                    <w:tl2br w:val="nil"/>
                    <w:tr2bl w:val="nil"/>
                  </w:tcBorders>
                  <w:shd w:val="clear" w:color="auto" w:fill="auto"/>
                  <w:vAlign w:val="center"/>
                </w:tcPr>
                <w:p w14:paraId="2546C782">
                  <w:pPr>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企业按照《固定源排污许可分类管理名录》（2019年版）要求依法申领排污许可证，持证排污。</w:t>
                  </w:r>
                </w:p>
              </w:tc>
              <w:tc>
                <w:tcPr>
                  <w:tcW w:w="495" w:type="pct"/>
                  <w:tcBorders>
                    <w:tl2br w:val="nil"/>
                    <w:tr2bl w:val="nil"/>
                  </w:tcBorders>
                  <w:vAlign w:val="center"/>
                </w:tcPr>
                <w:p w14:paraId="276089E3">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2DAD44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7" w:type="pct"/>
                  <w:tcBorders>
                    <w:tl2br w:val="nil"/>
                    <w:tr2bl w:val="nil"/>
                  </w:tcBorders>
                  <w:shd w:val="clear" w:color="auto" w:fill="auto"/>
                  <w:vAlign w:val="center"/>
                </w:tcPr>
                <w:p w14:paraId="57235796">
                  <w:pP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新建、改建、扩建建设项目，应当依法进行环境影响评价。建设项目可能对相邻地区造成重大环境影响的，生态环境主管部门在审批其环境影响评价文件时，应当征求相邻地区同级生态环境主管部门的意见；意见不一致的，由共同的上一级人民政府生态环境主管部门作出处理。</w:t>
                  </w:r>
                </w:p>
              </w:tc>
              <w:tc>
                <w:tcPr>
                  <w:tcW w:w="1346" w:type="pct"/>
                  <w:tcBorders>
                    <w:tl2br w:val="nil"/>
                    <w:tr2bl w:val="nil"/>
                  </w:tcBorders>
                  <w:shd w:val="clear" w:color="auto" w:fill="auto"/>
                  <w:vAlign w:val="center"/>
                </w:tcPr>
                <w:p w14:paraId="01E3E7EB">
                  <w:pPr>
                    <w:jc w:val="center"/>
                    <w:rPr>
                      <w:rFonts w:hint="eastAsia" w:ascii="Times New Roman" w:hAnsi="Times New Roman" w:eastAsia="宋体" w:cs="Times New Roman"/>
                      <w:bCs/>
                      <w:color w:val="000000" w:themeColor="text1"/>
                      <w:szCs w:val="21"/>
                      <w:lang w:eastAsia="zh-CN"/>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本项目依法进行环境影响评价</w:t>
                  </w:r>
                  <w:r>
                    <w:rPr>
                      <w:rFonts w:hint="eastAsia" w:cs="Times New Roman"/>
                      <w:bCs/>
                      <w:color w:val="000000" w:themeColor="text1"/>
                      <w:szCs w:val="21"/>
                      <w:lang w:eastAsia="zh-CN"/>
                      <w14:textFill>
                        <w14:solidFill>
                          <w14:schemeClr w14:val="tx1"/>
                        </w14:solidFill>
                      </w14:textFill>
                    </w:rPr>
                    <w:t>。</w:t>
                  </w:r>
                </w:p>
              </w:tc>
              <w:tc>
                <w:tcPr>
                  <w:tcW w:w="495" w:type="pct"/>
                  <w:tcBorders>
                    <w:tl2br w:val="nil"/>
                    <w:tr2bl w:val="nil"/>
                  </w:tcBorders>
                  <w:vAlign w:val="center"/>
                </w:tcPr>
                <w:p w14:paraId="1F44CE5B">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7C3436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6B276330">
                  <w:pP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县级以上人民政府应当根据产业结构调整和产业布局优化的要求，引导工业企业入驻工业园区；新建有污染物排放的工业项目，除在安全生产等方面有特殊要求的以外，应当进入工业园区或者工业集聚区。</w:t>
                  </w:r>
                </w:p>
              </w:tc>
              <w:tc>
                <w:tcPr>
                  <w:tcW w:w="1346" w:type="pct"/>
                  <w:shd w:val="clear" w:color="auto" w:fill="auto"/>
                  <w:vAlign w:val="center"/>
                </w:tcPr>
                <w:p w14:paraId="611514DB">
                  <w:pPr>
                    <w:jc w:val="center"/>
                    <w:rPr>
                      <w:rFonts w:hint="eastAsia" w:ascii="Times New Roman" w:hAnsi="Times New Roman" w:eastAsia="宋体" w:cs="Times New Roman"/>
                      <w:bCs/>
                      <w:color w:val="000000" w:themeColor="text1"/>
                      <w:szCs w:val="21"/>
                      <w:lang w:eastAsia="zh-CN"/>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本项目位于</w:t>
                  </w:r>
                  <w:r>
                    <w:rPr>
                      <w:rFonts w:hint="default" w:ascii="Times New Roman" w:hAnsi="Times New Roman" w:eastAsia="宋体" w:cs="Times New Roman"/>
                      <w:color w:val="000000" w:themeColor="text1"/>
                      <w:szCs w:val="21"/>
                      <w14:textFill>
                        <w14:solidFill>
                          <w14:schemeClr w14:val="tx1"/>
                        </w14:solidFill>
                      </w14:textFill>
                    </w:rPr>
                    <w:t>张店区湖田街道工业集聚区</w:t>
                  </w:r>
                  <w:r>
                    <w:rPr>
                      <w:rFonts w:hint="eastAsia" w:cs="Times New Roman"/>
                      <w:color w:val="000000" w:themeColor="text1"/>
                      <w:szCs w:val="21"/>
                      <w:lang w:eastAsia="zh-CN"/>
                      <w14:textFill>
                        <w14:solidFill>
                          <w14:schemeClr w14:val="tx1"/>
                        </w14:solidFill>
                      </w14:textFill>
                    </w:rPr>
                    <w:t>。</w:t>
                  </w:r>
                </w:p>
              </w:tc>
              <w:tc>
                <w:tcPr>
                  <w:tcW w:w="495" w:type="pct"/>
                  <w:vAlign w:val="center"/>
                </w:tcPr>
                <w:p w14:paraId="00CE0F79">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bl>
          <w:p w14:paraId="7A16DB29">
            <w:pPr>
              <w:pStyle w:val="96"/>
              <w:ind w:firstLine="482"/>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5、与《关于严格项目审批工作坚决防止新上“散乱污”项目的通知》（鲁环字[2021]58号）的符合性</w:t>
            </w:r>
          </w:p>
          <w:p w14:paraId="59E2BAFD">
            <w:pPr>
              <w:pStyle w:val="6"/>
              <w:ind w:firstLine="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表</w:t>
            </w:r>
            <w:r>
              <w:rPr>
                <w:rFonts w:hint="default" w:ascii="Times New Roman" w:hAnsi="Times New Roman" w:eastAsia="宋体" w:cs="Times New Roman"/>
                <w:b/>
                <w:bCs/>
                <w:color w:val="000000" w:themeColor="text1"/>
                <w14:textFill>
                  <w14:solidFill>
                    <w14:schemeClr w14:val="tx1"/>
                  </w14:solidFill>
                </w14:textFill>
              </w:rPr>
              <w:t>1-</w:t>
            </w:r>
            <w:r>
              <w:rPr>
                <w:rFonts w:hint="eastAsia" w:hAnsi="Times New Roman" w:cs="Times New Roman"/>
                <w:b/>
                <w:bCs/>
                <w:color w:val="000000" w:themeColor="text1"/>
                <w:lang w:val="en-US" w:eastAsia="zh-CN"/>
                <w14:textFill>
                  <w14:solidFill>
                    <w14:schemeClr w14:val="tx1"/>
                  </w14:solidFill>
                </w14:textFill>
              </w:rPr>
              <w:t xml:space="preserve">7 </w:t>
            </w:r>
            <w:r>
              <w:rPr>
                <w:rFonts w:hint="default" w:ascii="Times New Roman" w:hAnsi="Times New Roman" w:eastAsia="宋体" w:cs="Times New Roman"/>
                <w:b/>
                <w:bCs/>
                <w:color w:val="000000" w:themeColor="text1"/>
                <w:szCs w:val="21"/>
                <w14:textFill>
                  <w14:solidFill>
                    <w14:schemeClr w14:val="tx1"/>
                  </w14:solidFill>
                </w14:textFill>
              </w:rPr>
              <w:t>项目与鲁环[2021]58号的符合性分析</w:t>
            </w:r>
          </w:p>
          <w:tbl>
            <w:tblPr>
              <w:tblStyle w:val="38"/>
              <w:tblW w:w="494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659"/>
              <w:gridCol w:w="2424"/>
              <w:gridCol w:w="881"/>
            </w:tblGrid>
            <w:tr w14:paraId="05991C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vAlign w:val="center"/>
                </w:tcPr>
                <w:p w14:paraId="6A2C68EE">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文件要求</w:t>
                  </w:r>
                </w:p>
              </w:tc>
              <w:tc>
                <w:tcPr>
                  <w:tcW w:w="1352" w:type="pct"/>
                  <w:tcBorders>
                    <w:tl2br w:val="nil"/>
                    <w:tr2bl w:val="nil"/>
                  </w:tcBorders>
                  <w:vAlign w:val="center"/>
                </w:tcPr>
                <w:p w14:paraId="44C25750">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本项目情况</w:t>
                  </w:r>
                </w:p>
              </w:tc>
              <w:tc>
                <w:tcPr>
                  <w:tcW w:w="491" w:type="pct"/>
                  <w:tcBorders>
                    <w:tl2br w:val="nil"/>
                    <w:tr2bl w:val="nil"/>
                  </w:tcBorders>
                  <w:vAlign w:val="center"/>
                </w:tcPr>
                <w:p w14:paraId="6E9C84A2">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符合性</w:t>
                  </w:r>
                </w:p>
              </w:tc>
            </w:tr>
            <w:tr w14:paraId="6DB662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vAlign w:val="center"/>
                </w:tcPr>
                <w:p w14:paraId="5DDDEEE9">
                  <w:pP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一、认真贯彻执行产业政策。新上项目必须符合产业政策要求，禁止采用公布的淘汰工艺和落后设备，不得引进耗能高、污染大、生产粗放、不符合产业政策的项目。</w:t>
                  </w:r>
                </w:p>
              </w:tc>
              <w:tc>
                <w:tcPr>
                  <w:tcW w:w="1352" w:type="pct"/>
                  <w:tcBorders>
                    <w:tl2br w:val="nil"/>
                    <w:tr2bl w:val="nil"/>
                  </w:tcBorders>
                  <w:vAlign w:val="center"/>
                </w:tcPr>
                <w:p w14:paraId="26233FCE">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本项目不属于《产业结构调整指导目录（2024年本）》中鼓励类、限制类、淘汰类，为允许类。</w:t>
                  </w:r>
                </w:p>
              </w:tc>
              <w:tc>
                <w:tcPr>
                  <w:tcW w:w="491" w:type="pct"/>
                  <w:tcBorders>
                    <w:tl2br w:val="nil"/>
                    <w:tr2bl w:val="nil"/>
                  </w:tcBorders>
                  <w:vAlign w:val="center"/>
                </w:tcPr>
                <w:p w14:paraId="31538F8A">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483C33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vAlign w:val="center"/>
                </w:tcPr>
                <w:p w14:paraId="08EC7E6C">
                  <w:pP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二、强化规划刚性约束。新上项目必须符合国土空间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发展方向，引导企业规范化、规模化、集约化发展。</w:t>
                  </w:r>
                </w:p>
              </w:tc>
              <w:tc>
                <w:tcPr>
                  <w:tcW w:w="1352" w:type="pct"/>
                  <w:vMerge w:val="restart"/>
                  <w:tcBorders>
                    <w:tl2br w:val="nil"/>
                    <w:tr2bl w:val="nil"/>
                  </w:tcBorders>
                  <w:vAlign w:val="center"/>
                </w:tcPr>
                <w:p w14:paraId="73BAAD34">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本项目位于</w:t>
                  </w:r>
                  <w:r>
                    <w:rPr>
                      <w:rFonts w:hint="eastAsia" w:cs="Times New Roman"/>
                      <w:color w:val="000000" w:themeColor="text1"/>
                      <w:szCs w:val="21"/>
                      <w:lang w:eastAsia="zh-CN"/>
                      <w14:textFill>
                        <w14:solidFill>
                          <w14:schemeClr w14:val="tx1"/>
                        </w14:solidFill>
                      </w14:textFill>
                    </w:rPr>
                    <w:t>山东省淄博市张店区湖田街道办事处南焦宋村南首</w:t>
                  </w:r>
                  <w:r>
                    <w:rPr>
                      <w:rFonts w:hint="default" w:ascii="Times New Roman" w:hAnsi="Times New Roman" w:eastAsia="宋体" w:cs="Times New Roman"/>
                      <w:color w:val="000000" w:themeColor="text1"/>
                      <w:szCs w:val="21"/>
                      <w14:textFill>
                        <w14:solidFill>
                          <w14:schemeClr w14:val="tx1"/>
                        </w14:solidFill>
                      </w14:textFill>
                    </w:rPr>
                    <w:t>，位于张店区湖田街道工业集聚区内，项目租赁现有车间进行生产，用地为工业用地</w:t>
                  </w:r>
                  <w:r>
                    <w:rPr>
                      <w:rFonts w:hint="default" w:ascii="Times New Roman" w:hAnsi="Times New Roman" w:eastAsia="宋体" w:cs="Times New Roman"/>
                      <w:color w:val="000000" w:themeColor="text1"/>
                      <w:kern w:val="0"/>
                      <w:szCs w:val="21"/>
                      <w14:textFill>
                        <w14:solidFill>
                          <w14:schemeClr w14:val="tx1"/>
                        </w14:solidFill>
                      </w14:textFill>
                    </w:rPr>
                    <w:t>。</w:t>
                  </w:r>
                </w:p>
              </w:tc>
              <w:tc>
                <w:tcPr>
                  <w:tcW w:w="491" w:type="pct"/>
                  <w:tcBorders>
                    <w:tl2br w:val="nil"/>
                    <w:tr2bl w:val="nil"/>
                  </w:tcBorders>
                  <w:vAlign w:val="center"/>
                </w:tcPr>
                <w:p w14:paraId="5B939807">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36CE1A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vAlign w:val="center"/>
                </w:tcPr>
                <w:p w14:paraId="488B4310">
                  <w:pP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三、科学把好项目选址关。新建有污染物排放的工业项目，除在安全生产等方面有特殊要求的以外，应当进入工业园区或工业集聚区。</w:t>
                  </w:r>
                </w:p>
              </w:tc>
              <w:tc>
                <w:tcPr>
                  <w:tcW w:w="1352" w:type="pct"/>
                  <w:vMerge w:val="continue"/>
                  <w:tcBorders>
                    <w:tl2br w:val="nil"/>
                    <w:tr2bl w:val="nil"/>
                  </w:tcBorders>
                  <w:vAlign w:val="center"/>
                </w:tcPr>
                <w:p w14:paraId="21989335">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491" w:type="pct"/>
                  <w:tcBorders>
                    <w:tl2br w:val="nil"/>
                    <w:tr2bl w:val="nil"/>
                  </w:tcBorders>
                  <w:vAlign w:val="center"/>
                </w:tcPr>
                <w:p w14:paraId="75541C49">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r w14:paraId="2C7637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vAlign w:val="center"/>
                </w:tcPr>
                <w:p w14:paraId="1BC93B9D">
                  <w:pP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四、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p>
              </w:tc>
              <w:tc>
                <w:tcPr>
                  <w:tcW w:w="1352" w:type="pct"/>
                  <w:tcBorders>
                    <w:tl2br w:val="nil"/>
                    <w:tr2bl w:val="nil"/>
                  </w:tcBorders>
                  <w:vAlign w:val="center"/>
                </w:tcPr>
                <w:p w14:paraId="1200AAF0">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项目严格执行环评审批要求。主要污染物排放执行倍量替代要求。</w:t>
                  </w:r>
                </w:p>
              </w:tc>
              <w:tc>
                <w:tcPr>
                  <w:tcW w:w="491" w:type="pct"/>
                  <w:tcBorders>
                    <w:tl2br w:val="nil"/>
                    <w:tr2bl w:val="nil"/>
                  </w:tcBorders>
                  <w:vAlign w:val="center"/>
                </w:tcPr>
                <w:p w14:paraId="3EAA75CE">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符合</w:t>
                  </w:r>
                </w:p>
              </w:tc>
            </w:tr>
          </w:tbl>
          <w:p w14:paraId="4E41D703">
            <w:pPr>
              <w:pStyle w:val="11"/>
              <w:spacing w:line="360" w:lineRule="auto"/>
              <w:ind w:firstLine="482" w:firstLineChars="200"/>
              <w:rPr>
                <w:rFonts w:hint="default" w:ascii="Times New Roman" w:hAnsi="Times New Roman" w:eastAsia="宋体" w:cs="Times New Roman"/>
                <w:b/>
                <w:bCs w:val="0"/>
                <w:color w:val="000000" w:themeColor="text1"/>
                <w14:textFill>
                  <w14:solidFill>
                    <w14:schemeClr w14:val="tx1"/>
                  </w14:solidFill>
                </w14:textFill>
              </w:rPr>
            </w:pPr>
            <w:r>
              <w:rPr>
                <w:rFonts w:hint="default" w:ascii="Times New Roman" w:hAnsi="Times New Roman" w:eastAsia="宋体" w:cs="Times New Roman"/>
                <w:b/>
                <w:bCs w:val="0"/>
                <w:color w:val="000000" w:themeColor="text1"/>
                <w14:textFill>
                  <w14:solidFill>
                    <w14:schemeClr w14:val="tx1"/>
                  </w14:solidFill>
                </w14:textFill>
              </w:rPr>
              <w:t>6、</w:t>
            </w:r>
            <w:r>
              <w:rPr>
                <w:rFonts w:hint="default" w:ascii="Times New Roman" w:hAnsi="Times New Roman" w:eastAsia="宋体" w:cs="Times New Roman"/>
                <w:b/>
                <w:bCs w:val="0"/>
                <w:color w:val="000000" w:themeColor="text1"/>
                <w:kern w:val="0"/>
                <w14:textFill>
                  <w14:solidFill>
                    <w14:schemeClr w14:val="tx1"/>
                  </w14:solidFill>
                </w14:textFill>
              </w:rPr>
              <w:t>与《山东省生态环境委员会办公室关于印发山东省深入打好蓝天保卫战行动计划（2021-2025年）、山东省深入打好碧水保卫战行动计划（2021-2025年）、山东省深入打好净土保卫战行动计划（2021-2025年）的通知》（鲁环委办[2021]30号）符合性分析</w:t>
            </w:r>
          </w:p>
          <w:p w14:paraId="4EE263A8">
            <w:pPr>
              <w:pStyle w:val="6"/>
              <w:spacing w:line="240" w:lineRule="auto"/>
              <w:ind w:firstLine="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表1-</w:t>
            </w:r>
            <w:r>
              <w:rPr>
                <w:rFonts w:hint="eastAsia" w:hAnsi="Times New Roman" w:cs="Times New Roman"/>
                <w:b/>
                <w:bCs/>
                <w:color w:val="000000" w:themeColor="text1"/>
                <w:lang w:val="en-US" w:eastAsia="zh-CN"/>
                <w14:textFill>
                  <w14:solidFill>
                    <w14:schemeClr w14:val="tx1"/>
                  </w14:solidFill>
                </w14:textFill>
              </w:rPr>
              <w:t xml:space="preserve">8 </w:t>
            </w:r>
            <w:r>
              <w:rPr>
                <w:rFonts w:hint="default" w:ascii="Times New Roman" w:hAnsi="Times New Roman" w:eastAsia="宋体" w:cs="Times New Roman"/>
                <w:b/>
                <w:bCs/>
                <w:color w:val="000000" w:themeColor="text1"/>
                <w:szCs w:val="21"/>
                <w14:textFill>
                  <w14:solidFill>
                    <w14:schemeClr w14:val="tx1"/>
                  </w14:solidFill>
                </w14:textFill>
              </w:rPr>
              <w:t>项目与</w:t>
            </w:r>
            <w:r>
              <w:rPr>
                <w:rFonts w:hint="default" w:ascii="Times New Roman" w:hAnsi="Times New Roman" w:eastAsia="宋体" w:cs="Times New Roman"/>
                <w:b/>
                <w:bCs/>
                <w:color w:val="000000" w:themeColor="text1"/>
                <w:szCs w:val="24"/>
                <w14:textFill>
                  <w14:solidFill>
                    <w14:schemeClr w14:val="tx1"/>
                  </w14:solidFill>
                </w14:textFill>
              </w:rPr>
              <w:t>鲁环委办[2021]30号</w:t>
            </w:r>
            <w:r>
              <w:rPr>
                <w:rFonts w:hint="default" w:ascii="Times New Roman" w:hAnsi="Times New Roman" w:eastAsia="宋体" w:cs="Times New Roman"/>
                <w:b/>
                <w:bCs/>
                <w:color w:val="000000" w:themeColor="text1"/>
                <w:szCs w:val="21"/>
                <w14:textFill>
                  <w14:solidFill>
                    <w14:schemeClr w14:val="tx1"/>
                  </w14:solidFill>
                </w14:textFill>
              </w:rPr>
              <w:t>符合性</w:t>
            </w:r>
          </w:p>
          <w:tbl>
            <w:tblPr>
              <w:tblStyle w:val="39"/>
              <w:tblW w:w="49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69"/>
              <w:gridCol w:w="4547"/>
              <w:gridCol w:w="1970"/>
              <w:gridCol w:w="979"/>
            </w:tblGrid>
            <w:tr w14:paraId="69EBF5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157" w:type="dxa"/>
                  <w:gridSpan w:val="2"/>
                  <w:tcBorders>
                    <w:tl2br w:val="nil"/>
                    <w:tr2bl w:val="nil"/>
                  </w:tcBorders>
                  <w:vAlign w:val="center"/>
                </w:tcPr>
                <w:p w14:paraId="5E160E81">
                  <w:pPr>
                    <w:snapToGri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文件要求</w:t>
                  </w:r>
                </w:p>
              </w:tc>
              <w:tc>
                <w:tcPr>
                  <w:tcW w:w="1792" w:type="dxa"/>
                  <w:tcBorders>
                    <w:tl2br w:val="nil"/>
                    <w:tr2bl w:val="nil"/>
                  </w:tcBorders>
                  <w:vAlign w:val="center"/>
                </w:tcPr>
                <w:p w14:paraId="0F3748FA">
                  <w:pPr>
                    <w:snapToGri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本项目情况</w:t>
                  </w:r>
                </w:p>
              </w:tc>
              <w:tc>
                <w:tcPr>
                  <w:tcW w:w="891" w:type="dxa"/>
                  <w:tcBorders>
                    <w:tl2br w:val="nil"/>
                    <w:tr2bl w:val="nil"/>
                  </w:tcBorders>
                  <w:vAlign w:val="center"/>
                </w:tcPr>
                <w:p w14:paraId="56F757B1">
                  <w:pPr>
                    <w:snapToGri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符合性</w:t>
                  </w:r>
                </w:p>
              </w:tc>
            </w:tr>
            <w:tr w14:paraId="0C29DC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dxa"/>
                  <w:tcBorders>
                    <w:tl2br w:val="nil"/>
                    <w:tr2bl w:val="nil"/>
                  </w:tcBorders>
                  <w:vAlign w:val="center"/>
                </w:tcPr>
                <w:p w14:paraId="1C480EAD">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山东省深入打好蓝天保卫战行动计划（2021-2025年）</w:t>
                  </w:r>
                </w:p>
              </w:tc>
              <w:tc>
                <w:tcPr>
                  <w:tcW w:w="4137" w:type="dxa"/>
                  <w:tcBorders>
                    <w:tl2br w:val="nil"/>
                    <w:tr2bl w:val="nil"/>
                  </w:tcBorders>
                  <w:vAlign w:val="center"/>
                </w:tcPr>
                <w:p w14:paraId="1367C5B0">
                  <w:pPr>
                    <w:snapToGrid w:val="0"/>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聚焦钢铁、地炼、焦化、煤电、水泥、轮胎、煤炭、化工8个重点行业，加快淘汰低效落后产能。严格执行质量、环保、能耗、安全等法规标准，按照《产业结构调整指导目录（2024年本）》，对“淘汰类”落后生产工艺装备和落后产品全部淘汰出清。各市聚焦“高耗能、高污染、高排放、高风险”等行业，分类组织实施转移、压减、整合、关停任务。到2025年，传输通道城市和胶济铁路沿线地区的钢铁产能应退尽退，沿海地区钢铁产能占比提升到70%以上；提高地炼行业的区域集中度和规模集约化程度，在布局新的大型炼化一体化项目基础上，将500万吨及以下未实现炼化一体化的地炼企业炼油产能分批分步进行整合转移；全省焦化企业户数压减到20家以内，单厂区焦化产能100万吨/年以下的全部退出；除特种水泥熟料和化工配套水泥熟料生产线外，2500吨/日以下的水泥熟料生产线全部整合退出。（省工业和信息化厅、省发展改革委牵头，各市、县[市、区]人民政府落实。以下均需要市、县[市、区]人民政府落实，不再列入）按照“发现一起、处置一起”的原则，实行“散乱污”企业动态清零。（省生态环境厅、省工业和信息化厅按职责分工负责）严格项目准入，高耗能、高排放（以下简称“两高”）项目建设做到产能减量、能耗减量、煤炭减量、碳排放减量和污染物排放减量“五个减量”替代。有序推进“两高”项目清理工作，确保“三个坚决”落实到位，未纳入国家规划的炼油、乙烯、对二甲苯、煤制油气项目，一律不得建设。</w:t>
                  </w:r>
                </w:p>
              </w:tc>
              <w:tc>
                <w:tcPr>
                  <w:tcW w:w="1792" w:type="dxa"/>
                  <w:tcBorders>
                    <w:tl2br w:val="nil"/>
                    <w:tr2bl w:val="nil"/>
                  </w:tcBorders>
                  <w:vAlign w:val="center"/>
                </w:tcPr>
                <w:p w14:paraId="0F17A551">
                  <w:pPr>
                    <w:snapToGrid w:val="0"/>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本项目不属于“淘汰类”项目，不属于“高耗能、高污染、高排放、高风险”等行业，不属于“散乱污”企业及其他禁止建设项目，本项目不属于不允许建设的炼油、乙烯、对二甲苯、煤制油气项目。</w:t>
                  </w:r>
                </w:p>
              </w:tc>
              <w:tc>
                <w:tcPr>
                  <w:tcW w:w="891" w:type="dxa"/>
                  <w:tcBorders>
                    <w:tl2br w:val="nil"/>
                    <w:tr2bl w:val="nil"/>
                  </w:tcBorders>
                  <w:vAlign w:val="center"/>
                </w:tcPr>
                <w:p w14:paraId="192DC6A1">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符合</w:t>
                  </w:r>
                </w:p>
              </w:tc>
            </w:tr>
            <w:tr w14:paraId="165F3A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dxa"/>
                  <w:vMerge w:val="restart"/>
                  <w:tcBorders>
                    <w:tl2br w:val="nil"/>
                    <w:tr2bl w:val="nil"/>
                  </w:tcBorders>
                  <w:vAlign w:val="center"/>
                </w:tcPr>
                <w:p w14:paraId="3D08041B">
                  <w:pPr>
                    <w:snapToGrid w:val="0"/>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山东省深入打好碧水保卫战行动计划（2021-2025年）</w:t>
                  </w:r>
                </w:p>
              </w:tc>
              <w:tc>
                <w:tcPr>
                  <w:tcW w:w="4137" w:type="dxa"/>
                  <w:tcBorders>
                    <w:tl2br w:val="nil"/>
                    <w:tr2bl w:val="nil"/>
                  </w:tcBorders>
                  <w:vAlign w:val="center"/>
                </w:tcPr>
                <w:p w14:paraId="779247A9">
                  <w:pPr>
                    <w:snapToGrid w:val="0"/>
                    <w:rPr>
                      <w:rFonts w:hint="default" w:ascii="Times New Roman" w:hAnsi="Times New Roman" w:eastAsia="宋体" w:cs="Times New Roman"/>
                      <w:bCs/>
                      <w:color w:val="000000" w:themeColor="text1"/>
                      <w:kern w:val="0"/>
                      <w:szCs w:val="21"/>
                      <w14:textFill>
                        <w14:solidFill>
                          <w14:schemeClr w14:val="tx1"/>
                        </w14:solidFill>
                      </w14:textFill>
                    </w:rPr>
                  </w:pPr>
                  <w:r>
                    <w:rPr>
                      <w:rFonts w:hint="default" w:ascii="Times New Roman" w:hAnsi="Times New Roman" w:eastAsia="宋体" w:cs="Times New Roman"/>
                      <w:bCs/>
                      <w:color w:val="000000" w:themeColor="text1"/>
                      <w:kern w:val="0"/>
                      <w:szCs w:val="21"/>
                      <w14:textFill>
                        <w14:solidFill>
                          <w14:schemeClr w14:val="tx1"/>
                        </w14:solidFill>
                      </w14:textFill>
                    </w:rPr>
                    <w:t>开展“污水零直排区”建设，控制城市面源污染。彻底摸清城市（含县城）管网底数，加快雨污分流改造，推进实现整县域合流制管网清零。2025年年底前，新建改造修复城区污水管网5000公里，改造城区雨污合流管网3000余公里，基本消除城市管网空白区和生活污水直排口。总结推广“庆云经验”，以多元融资模式保障基础设施工程建设，改善城市水环境质量。南四湖流域及水质不达标或不稳定达标断面汇水区域提前2年完成管网补短板任务。开展城镇生活污水处理设施能力评估，优化生活污水处理厂布局，提升污水处理能力并适度超前。2025年年底前，新增污水处理能力200万吨/日以上。加强建制镇生活污水收集处理设施建设，并实现稳定运行，2025年年底前，建制镇生活污水处理率达到75%以上。</w:t>
                  </w:r>
                </w:p>
              </w:tc>
              <w:tc>
                <w:tcPr>
                  <w:tcW w:w="1792" w:type="dxa"/>
                  <w:tcBorders>
                    <w:tl2br w:val="nil"/>
                    <w:tr2bl w:val="nil"/>
                  </w:tcBorders>
                  <w:vAlign w:val="center"/>
                </w:tcPr>
                <w:p w14:paraId="41D42604">
                  <w:pPr>
                    <w:snapToGrid w:val="0"/>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本项目无生产废水排放，生活污水经化粪池处理后</w:t>
                  </w:r>
                  <w:r>
                    <w:rPr>
                      <w:rFonts w:hint="default" w:ascii="Times New Roman" w:hAnsi="Times New Roman" w:eastAsia="宋体" w:cs="Times New Roman"/>
                      <w:color w:val="000000" w:themeColor="text1"/>
                      <w:szCs w:val="21"/>
                      <w14:textFill>
                        <w14:solidFill>
                          <w14:schemeClr w14:val="tx1"/>
                        </w14:solidFill>
                      </w14:textFill>
                    </w:rPr>
                    <w:t>委托环卫部门定期清运</w:t>
                  </w:r>
                  <w:r>
                    <w:rPr>
                      <w:rFonts w:hint="default" w:ascii="Times New Roman" w:hAnsi="Times New Roman" w:eastAsia="宋体" w:cs="Times New Roman"/>
                      <w:color w:val="000000" w:themeColor="text1"/>
                      <w:kern w:val="0"/>
                      <w:szCs w:val="21"/>
                      <w14:textFill>
                        <w14:solidFill>
                          <w14:schemeClr w14:val="tx1"/>
                        </w14:solidFill>
                      </w14:textFill>
                    </w:rPr>
                    <w:t>。</w:t>
                  </w:r>
                </w:p>
              </w:tc>
              <w:tc>
                <w:tcPr>
                  <w:tcW w:w="891" w:type="dxa"/>
                  <w:tcBorders>
                    <w:tl2br w:val="nil"/>
                    <w:tr2bl w:val="nil"/>
                  </w:tcBorders>
                  <w:vAlign w:val="center"/>
                </w:tcPr>
                <w:p w14:paraId="02C3389B">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符合</w:t>
                  </w:r>
                </w:p>
              </w:tc>
            </w:tr>
            <w:tr w14:paraId="750574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dxa"/>
                  <w:vMerge w:val="continue"/>
                  <w:tcBorders>
                    <w:tl2br w:val="nil"/>
                    <w:tr2bl w:val="nil"/>
                  </w:tcBorders>
                  <w:vAlign w:val="center"/>
                </w:tcPr>
                <w:p w14:paraId="5E643472">
                  <w:pPr>
                    <w:snapToGrid w:val="0"/>
                    <w:jc w:val="center"/>
                    <w:rPr>
                      <w:rFonts w:hint="default" w:ascii="Times New Roman" w:hAnsi="Times New Roman" w:eastAsia="宋体" w:cs="Times New Roman"/>
                      <w:color w:val="000000" w:themeColor="text1"/>
                      <w14:textFill>
                        <w14:solidFill>
                          <w14:schemeClr w14:val="tx1"/>
                        </w14:solidFill>
                      </w14:textFill>
                    </w:rPr>
                  </w:pPr>
                </w:p>
              </w:tc>
              <w:tc>
                <w:tcPr>
                  <w:tcW w:w="4137" w:type="dxa"/>
                  <w:tcBorders>
                    <w:tl2br w:val="nil"/>
                    <w:tr2bl w:val="nil"/>
                  </w:tcBorders>
                  <w:vAlign w:val="center"/>
                </w:tcPr>
                <w:p w14:paraId="453CD98C">
                  <w:pPr>
                    <w:snapToGrid w:val="0"/>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开展入河排污口溯源分析，建立“排污单位—排污通道—排污口—受纳水体”的排污路径，完成排污口分类、命名、编码和标志牌树立等工作，形成规范的排污口“户籍”管理。按照“取缔一批、合并一批、规范一批”要求，编制整治工作方案，提出“一口一策”整治措施。2021年年底前，完成工业企业、城镇污水集中处理设施排污口以及黄河干流排污口整治任务；2023年年底前，完成南四湖流域入河排污口整治；2025年年底前，完成全省入河排污口整治任务。强化水污染物排放的排污许可信息管理，规范污染因子的排放标准、许可年排放量限值、排放去向、自行监测因子及频次等内容。</w:t>
                  </w:r>
                </w:p>
              </w:tc>
              <w:tc>
                <w:tcPr>
                  <w:tcW w:w="1792" w:type="dxa"/>
                  <w:tcBorders>
                    <w:tl2br w:val="nil"/>
                    <w:tr2bl w:val="nil"/>
                  </w:tcBorders>
                  <w:vAlign w:val="center"/>
                </w:tcPr>
                <w:p w14:paraId="4A72AB6C">
                  <w:pPr>
                    <w:snapToGrid w:val="0"/>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本项目无生产废水排放，生活污水经化粪池处理后</w:t>
                  </w:r>
                  <w:r>
                    <w:rPr>
                      <w:rFonts w:hint="default" w:ascii="Times New Roman" w:hAnsi="Times New Roman" w:eastAsia="宋体" w:cs="Times New Roman"/>
                      <w:color w:val="000000" w:themeColor="text1"/>
                      <w:szCs w:val="21"/>
                      <w14:textFill>
                        <w14:solidFill>
                          <w14:schemeClr w14:val="tx1"/>
                        </w14:solidFill>
                      </w14:textFill>
                    </w:rPr>
                    <w:t>委托环卫部门定期清运。</w:t>
                  </w:r>
                </w:p>
              </w:tc>
              <w:tc>
                <w:tcPr>
                  <w:tcW w:w="891" w:type="dxa"/>
                  <w:tcBorders>
                    <w:tl2br w:val="nil"/>
                    <w:tr2bl w:val="nil"/>
                  </w:tcBorders>
                  <w:vAlign w:val="center"/>
                </w:tcPr>
                <w:p w14:paraId="2C2726BA">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符合</w:t>
                  </w:r>
                </w:p>
              </w:tc>
            </w:tr>
            <w:tr w14:paraId="0C3479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dxa"/>
                  <w:vMerge w:val="restart"/>
                  <w:tcBorders>
                    <w:tl2br w:val="nil"/>
                    <w:tr2bl w:val="nil"/>
                  </w:tcBorders>
                  <w:vAlign w:val="center"/>
                </w:tcPr>
                <w:p w14:paraId="6D6298C2">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山东省深入打好净土保卫战行动计划（2021-2025年）的通知</w:t>
                  </w:r>
                </w:p>
              </w:tc>
              <w:tc>
                <w:tcPr>
                  <w:tcW w:w="4137" w:type="dxa"/>
                  <w:tcBorders>
                    <w:tl2br w:val="nil"/>
                    <w:tr2bl w:val="nil"/>
                  </w:tcBorders>
                  <w:vAlign w:val="center"/>
                </w:tcPr>
                <w:p w14:paraId="7A8B3865">
                  <w:pPr>
                    <w:snapToGrid w:val="0"/>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加强部门协同，畅通信息共享，完善建设用地风险信息互通机制。从严管控农药、化工等行业的重度污染地块规划用途，确需开发利用的，鼓励用于拓展生态空间。结合空间规划及地块出让条件，对依法应当开展土壤污染状况调查的地块，应当明确开发利用必须符合相关规划用途的土壤环境质量要求。未依法开展或尚未完成土壤污染状况调查评估的土壤污染风险不明地块，杜绝进入用地程序。对未达到土壤污染风险评估报告确定的风险管控、修复目标的建设用地地块，禁止开工建设任何与风险管控、修复无关的项目。对注销、撤销排污许可证的企业，及时纳入监管范围，防止腾退地块游离于监管之外。在土地出让和房地产出售环节实行土壤污染状况公示制度。</w:t>
                  </w:r>
                </w:p>
              </w:tc>
              <w:tc>
                <w:tcPr>
                  <w:tcW w:w="1792" w:type="dxa"/>
                  <w:tcBorders>
                    <w:tl2br w:val="nil"/>
                    <w:tr2bl w:val="nil"/>
                  </w:tcBorders>
                  <w:vAlign w:val="center"/>
                </w:tcPr>
                <w:p w14:paraId="49FF6683">
                  <w:pPr>
                    <w:snapToGrid w:val="0"/>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本项目符合相关规划用途要求。</w:t>
                  </w:r>
                </w:p>
              </w:tc>
              <w:tc>
                <w:tcPr>
                  <w:tcW w:w="891" w:type="dxa"/>
                  <w:tcBorders>
                    <w:tl2br w:val="nil"/>
                    <w:tr2bl w:val="nil"/>
                  </w:tcBorders>
                  <w:vAlign w:val="center"/>
                </w:tcPr>
                <w:p w14:paraId="660C981D">
                  <w:pPr>
                    <w:pStyle w:val="11"/>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b w:val="0"/>
                      <w:bCs/>
                      <w:color w:val="000000" w:themeColor="text1"/>
                      <w:kern w:val="0"/>
                      <w:sz w:val="21"/>
                      <w:szCs w:val="21"/>
                      <w14:textFill>
                        <w14:solidFill>
                          <w14:schemeClr w14:val="tx1"/>
                        </w14:solidFill>
                      </w14:textFill>
                    </w:rPr>
                    <w:t>符合</w:t>
                  </w:r>
                </w:p>
              </w:tc>
            </w:tr>
            <w:tr w14:paraId="1CBEF2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dxa"/>
                  <w:vMerge w:val="continue"/>
                  <w:tcBorders>
                    <w:tl2br w:val="nil"/>
                    <w:tr2bl w:val="nil"/>
                  </w:tcBorders>
                  <w:vAlign w:val="center"/>
                </w:tcPr>
                <w:p w14:paraId="541DBCCF">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137" w:type="dxa"/>
                  <w:tcBorders>
                    <w:tl2br w:val="nil"/>
                    <w:tr2bl w:val="nil"/>
                  </w:tcBorders>
                  <w:vAlign w:val="center"/>
                </w:tcPr>
                <w:p w14:paraId="13E1427E">
                  <w:pPr>
                    <w:snapToGrid w:val="0"/>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开展非正规固体废物堆存场所排查整治。构建集污水、垃圾、固废、危废、医废处理处置设施和监测监管能力于一体的环境基础设施体系，形成由城市向建制镇和农村延伸覆盖的环境基础设施网络。到2025年，试点城市建立起“无废城市”建设综合管理制度和监管体系。</w:t>
                  </w:r>
                </w:p>
              </w:tc>
              <w:tc>
                <w:tcPr>
                  <w:tcW w:w="1792" w:type="dxa"/>
                  <w:tcBorders>
                    <w:tl2br w:val="nil"/>
                    <w:tr2bl w:val="nil"/>
                  </w:tcBorders>
                  <w:vAlign w:val="center"/>
                </w:tcPr>
                <w:p w14:paraId="43C0A7D3">
                  <w:pPr>
                    <w:snapToGrid w:val="0"/>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本项目的固体废物均妥善处置。</w:t>
                  </w:r>
                </w:p>
              </w:tc>
              <w:tc>
                <w:tcPr>
                  <w:tcW w:w="891" w:type="dxa"/>
                  <w:tcBorders>
                    <w:tl2br w:val="nil"/>
                    <w:tr2bl w:val="nil"/>
                  </w:tcBorders>
                  <w:vAlign w:val="center"/>
                </w:tcPr>
                <w:p w14:paraId="50F33181">
                  <w:pPr>
                    <w:pStyle w:val="11"/>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b w:val="0"/>
                      <w:bCs/>
                      <w:color w:val="000000" w:themeColor="text1"/>
                      <w:kern w:val="0"/>
                      <w:sz w:val="21"/>
                      <w:szCs w:val="21"/>
                      <w14:textFill>
                        <w14:solidFill>
                          <w14:schemeClr w14:val="tx1"/>
                        </w14:solidFill>
                      </w14:textFill>
                    </w:rPr>
                    <w:t>符合</w:t>
                  </w:r>
                </w:p>
              </w:tc>
            </w:tr>
          </w:tbl>
          <w:p w14:paraId="6460CA5B">
            <w:pPr>
              <w:adjustRightInd w:val="0"/>
              <w:snapToGrid w:val="0"/>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kern w:val="0"/>
                <w:sz w:val="24"/>
                <w14:textFill>
                  <w14:solidFill>
                    <w14:schemeClr w14:val="tx1"/>
                  </w14:solidFill>
                </w14:textFill>
              </w:rPr>
              <w:t>7、</w:t>
            </w:r>
            <w:r>
              <w:rPr>
                <w:rFonts w:hint="default" w:ascii="Times New Roman" w:hAnsi="Times New Roman" w:eastAsia="宋体" w:cs="Times New Roman"/>
                <w:b/>
                <w:bCs/>
                <w:color w:val="000000" w:themeColor="text1"/>
                <w:sz w:val="24"/>
                <w14:textFill>
                  <w14:solidFill>
                    <w14:schemeClr w14:val="tx1"/>
                  </w14:solidFill>
                </w14:textFill>
              </w:rPr>
              <w:t>与《山东省“十四五”生态环境保护规划》符合性分析</w:t>
            </w:r>
          </w:p>
          <w:p w14:paraId="703FF2FA">
            <w:pPr>
              <w:adjustRightInd w:val="0"/>
              <w:snapToGrid w:val="0"/>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表1-</w:t>
            </w:r>
            <w:r>
              <w:rPr>
                <w:rFonts w:hint="eastAsia" w:cs="Times New Roman"/>
                <w:b/>
                <w:color w:val="000000" w:themeColor="text1"/>
                <w:szCs w:val="21"/>
                <w:lang w:val="en-US" w:eastAsia="zh-CN"/>
                <w14:textFill>
                  <w14:solidFill>
                    <w14:schemeClr w14:val="tx1"/>
                  </w14:solidFill>
                </w14:textFill>
              </w:rPr>
              <w:t xml:space="preserve">9 </w:t>
            </w:r>
            <w:r>
              <w:rPr>
                <w:rFonts w:hint="default" w:ascii="Times New Roman" w:hAnsi="Times New Roman" w:eastAsia="宋体" w:cs="Times New Roman"/>
                <w:b/>
                <w:color w:val="000000" w:themeColor="text1"/>
                <w:szCs w:val="21"/>
                <w14:textFill>
                  <w14:solidFill>
                    <w14:schemeClr w14:val="tx1"/>
                  </w14:solidFill>
                </w14:textFill>
              </w:rPr>
              <w:t>与</w:t>
            </w:r>
            <w:r>
              <w:rPr>
                <w:rFonts w:hint="default" w:ascii="Times New Roman" w:hAnsi="Times New Roman" w:eastAsia="宋体" w:cs="Times New Roman"/>
                <w:b/>
                <w:bCs/>
                <w:color w:val="000000" w:themeColor="text1"/>
                <w:szCs w:val="21"/>
                <w14:textFill>
                  <w14:solidFill>
                    <w14:schemeClr w14:val="tx1"/>
                  </w14:solidFill>
                </w14:textFill>
              </w:rPr>
              <w:t>《山东省“十四五”生态环境保护规划》</w:t>
            </w:r>
            <w:r>
              <w:rPr>
                <w:rFonts w:hint="default" w:ascii="Times New Roman" w:hAnsi="Times New Roman" w:eastAsia="宋体" w:cs="Times New Roman"/>
                <w:b/>
                <w:color w:val="000000" w:themeColor="text1"/>
                <w:szCs w:val="21"/>
                <w14:textFill>
                  <w14:solidFill>
                    <w14:schemeClr w14:val="tx1"/>
                  </w14:solidFill>
                </w14:textFill>
              </w:rPr>
              <w:t>符合性分析一览表</w:t>
            </w:r>
          </w:p>
          <w:tbl>
            <w:tblPr>
              <w:tblStyle w:val="38"/>
              <w:tblW w:w="494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6622"/>
              <w:gridCol w:w="1297"/>
              <w:gridCol w:w="1043"/>
            </w:tblGrid>
            <w:tr w14:paraId="23D61D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845" w:type="dxa"/>
                  <w:tcBorders>
                    <w:tl2br w:val="nil"/>
                    <w:tr2bl w:val="nil"/>
                  </w:tcBorders>
                  <w:vAlign w:val="center"/>
                </w:tcPr>
                <w:p w14:paraId="60594C91">
                  <w:pPr>
                    <w:snapToGri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文件要求</w:t>
                  </w:r>
                </w:p>
              </w:tc>
              <w:tc>
                <w:tcPr>
                  <w:tcW w:w="1145" w:type="dxa"/>
                  <w:tcBorders>
                    <w:tl2br w:val="nil"/>
                    <w:tr2bl w:val="nil"/>
                  </w:tcBorders>
                  <w:vAlign w:val="center"/>
                </w:tcPr>
                <w:p w14:paraId="5CDB384E">
                  <w:pPr>
                    <w:snapToGri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本项目情况</w:t>
                  </w:r>
                </w:p>
              </w:tc>
              <w:tc>
                <w:tcPr>
                  <w:tcW w:w="921" w:type="dxa"/>
                  <w:tcBorders>
                    <w:tl2br w:val="nil"/>
                    <w:tr2bl w:val="nil"/>
                  </w:tcBorders>
                  <w:vAlign w:val="center"/>
                </w:tcPr>
                <w:p w14:paraId="610BFC2C">
                  <w:pPr>
                    <w:snapToGrid w:val="0"/>
                    <w:jc w:val="center"/>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kern w:val="0"/>
                      <w:szCs w:val="21"/>
                      <w14:textFill>
                        <w14:solidFill>
                          <w14:schemeClr w14:val="tx1"/>
                        </w14:solidFill>
                      </w14:textFill>
                    </w:rPr>
                    <w:t>符合性</w:t>
                  </w:r>
                </w:p>
              </w:tc>
            </w:tr>
            <w:tr w14:paraId="39A815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845" w:type="dxa"/>
                  <w:tcBorders>
                    <w:tl2br w:val="nil"/>
                    <w:tr2bl w:val="nil"/>
                  </w:tcBorders>
                  <w:vAlign w:val="center"/>
                </w:tcPr>
                <w:p w14:paraId="6828E344">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坚决淘汰落后动能。严格落实《产业结构调整指导目录》加快推动“淘汰类”生产工艺和产品退出。精准聚焦钢铁、地炼、焦化、煤电、水泥、轮胎、煤炭、化工等8个重点行业，加快淘汰低效落后动能。进一步健全并严格落实环保、安全、技术、能耗、效益标准，各市制定具体措施，重点围绕再生橡胶、废旧塑料再生、砖瓦、石灰、石膏等行业，分类组织实施转移、压减、整合、关停任务，推动低效落后产能退出。</w:t>
                  </w:r>
                </w:p>
              </w:tc>
              <w:tc>
                <w:tcPr>
                  <w:tcW w:w="1145" w:type="dxa"/>
                  <w:tcBorders>
                    <w:tl2br w:val="nil"/>
                    <w:tr2bl w:val="nil"/>
                  </w:tcBorders>
                  <w:vAlign w:val="center"/>
                </w:tcPr>
                <w:p w14:paraId="03A384D8">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本项目不属于《产业结构调整指导目录》中的“淘汰类”，不属于8个重点行业。</w:t>
                  </w:r>
                </w:p>
              </w:tc>
              <w:tc>
                <w:tcPr>
                  <w:tcW w:w="921" w:type="dxa"/>
                  <w:tcBorders>
                    <w:tl2br w:val="nil"/>
                    <w:tr2bl w:val="nil"/>
                  </w:tcBorders>
                  <w:vAlign w:val="center"/>
                </w:tcPr>
                <w:p w14:paraId="332BFD7B">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符合</w:t>
                  </w:r>
                </w:p>
              </w:tc>
            </w:tr>
            <w:tr w14:paraId="18D3B3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845" w:type="dxa"/>
                  <w:tcBorders>
                    <w:tl2br w:val="nil"/>
                    <w:tr2bl w:val="nil"/>
                  </w:tcBorders>
                  <w:vAlign w:val="center"/>
                </w:tcPr>
                <w:p w14:paraId="0042243E">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着力提高工业园区绿色化水平。提高铸造、有色、化工、砖瓦、玻璃、耐火材料、陶瓷、制革、印染等行业的园区集聚水平，深入推进园区循环化改造。</w:t>
                  </w:r>
                </w:p>
              </w:tc>
              <w:tc>
                <w:tcPr>
                  <w:tcW w:w="1145" w:type="dxa"/>
                  <w:tcBorders>
                    <w:tl2br w:val="nil"/>
                    <w:tr2bl w:val="nil"/>
                  </w:tcBorders>
                  <w:vAlign w:val="center"/>
                </w:tcPr>
                <w:p w14:paraId="0475026B">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本项目不属于所列行业。</w:t>
                  </w:r>
                </w:p>
              </w:tc>
              <w:tc>
                <w:tcPr>
                  <w:tcW w:w="921" w:type="dxa"/>
                  <w:tcBorders>
                    <w:tl2br w:val="nil"/>
                    <w:tr2bl w:val="nil"/>
                  </w:tcBorders>
                  <w:vAlign w:val="center"/>
                </w:tcPr>
                <w:p w14:paraId="17EA7693">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符合</w:t>
                  </w:r>
                </w:p>
              </w:tc>
            </w:tr>
            <w:tr w14:paraId="123443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845" w:type="dxa"/>
                  <w:tcBorders>
                    <w:tl2br w:val="nil"/>
                    <w:tr2bl w:val="nil"/>
                  </w:tcBorders>
                  <w:vAlign w:val="center"/>
                </w:tcPr>
                <w:p w14:paraId="0CACC89E">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优化能源供给结构。积极推进能源生产和消费革命，加快构建清洁低碳安全高效能源体系，推进能源低碳化转型。严控化石能源消费总量，推动煤炭等化石能源清洁高效利用。实施可再生能源替代行动，加快推进风电、光伏、生物质等可再生能源发展。</w:t>
                  </w:r>
                </w:p>
              </w:tc>
              <w:tc>
                <w:tcPr>
                  <w:tcW w:w="1145" w:type="dxa"/>
                  <w:tcBorders>
                    <w:tl2br w:val="nil"/>
                    <w:tr2bl w:val="nil"/>
                  </w:tcBorders>
                  <w:vAlign w:val="center"/>
                </w:tcPr>
                <w:p w14:paraId="5B990D1B">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本项目使用的能源为电。</w:t>
                  </w:r>
                </w:p>
              </w:tc>
              <w:tc>
                <w:tcPr>
                  <w:tcW w:w="921" w:type="dxa"/>
                  <w:tcBorders>
                    <w:tl2br w:val="nil"/>
                    <w:tr2bl w:val="nil"/>
                  </w:tcBorders>
                  <w:vAlign w:val="center"/>
                </w:tcPr>
                <w:p w14:paraId="1998B3BE">
                  <w:pPr>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符合</w:t>
                  </w:r>
                </w:p>
              </w:tc>
            </w:tr>
          </w:tbl>
          <w:p w14:paraId="36854AA0">
            <w:pPr>
              <w:adjustRightInd w:val="0"/>
              <w:snapToGrid w:val="0"/>
              <w:spacing w:line="360" w:lineRule="auto"/>
              <w:ind w:firstLine="482" w:firstLineChars="200"/>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4"/>
                <w:lang w:val="en-US" w:eastAsia="zh-CN"/>
                <w14:textFill>
                  <w14:solidFill>
                    <w14:schemeClr w14:val="tx1"/>
                  </w14:solidFill>
                </w14:textFill>
              </w:rPr>
              <w:t>8</w:t>
            </w:r>
            <w:r>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t>、与《山东省空气质量持续改善暨第三轮“四减四增”行动实施方案》(鲁政字(2024)102号)符合性分析</w:t>
            </w:r>
          </w:p>
          <w:p w14:paraId="548C0C9C">
            <w:pPr>
              <w:adjustRightInd w:val="0"/>
              <w:snapToGrid w:val="0"/>
              <w:jc w:val="center"/>
              <w:rPr>
                <w:rFonts w:hint="default" w:ascii="Times New Roman" w:hAnsi="Times New Roman" w:eastAsia="宋体" w:cs="Times New Roman"/>
                <w:b/>
                <w:color w:val="000000" w:themeColor="text1"/>
                <w:szCs w:val="21"/>
                <w:lang w:eastAsia="en-US"/>
                <w14:textFill>
                  <w14:solidFill>
                    <w14:schemeClr w14:val="tx1"/>
                  </w14:solidFill>
                </w14:textFill>
              </w:rPr>
            </w:pPr>
            <w:r>
              <w:rPr>
                <w:rFonts w:hint="default" w:ascii="Times New Roman" w:hAnsi="Times New Roman" w:eastAsia="宋体" w:cs="Times New Roman"/>
                <w:b/>
                <w:color w:val="000000" w:themeColor="text1"/>
                <w:szCs w:val="21"/>
                <w:lang w:eastAsia="en-US"/>
                <w14:textFill>
                  <w14:solidFill>
                    <w14:schemeClr w14:val="tx1"/>
                  </w14:solidFill>
                </w14:textFill>
              </w:rPr>
              <w:t>表1-</w:t>
            </w:r>
            <w:r>
              <w:rPr>
                <w:rFonts w:hint="eastAsia" w:cs="Times New Roman"/>
                <w:b/>
                <w:color w:val="000000" w:themeColor="text1"/>
                <w:szCs w:val="21"/>
                <w:lang w:val="en-US" w:eastAsia="zh-CN"/>
                <w14:textFill>
                  <w14:solidFill>
                    <w14:schemeClr w14:val="tx1"/>
                  </w14:solidFill>
                </w14:textFill>
              </w:rPr>
              <w:t xml:space="preserve">10 </w:t>
            </w:r>
            <w:r>
              <w:rPr>
                <w:rFonts w:hint="default" w:ascii="Times New Roman" w:hAnsi="Times New Roman" w:eastAsia="宋体" w:cs="Times New Roman"/>
                <w:b/>
                <w:color w:val="000000" w:themeColor="text1"/>
                <w:szCs w:val="21"/>
                <w:lang w:eastAsia="en-US"/>
                <w14:textFill>
                  <w14:solidFill>
                    <w14:schemeClr w14:val="tx1"/>
                  </w14:solidFill>
                </w14:textFill>
              </w:rPr>
              <w:t>项目与《山东省空气质量持续改善暨第三轮“四减四增”行动实施方案》符合性分析一览表</w:t>
            </w:r>
          </w:p>
          <w:tbl>
            <w:tblPr>
              <w:tblStyle w:val="124"/>
              <w:tblW w:w="9071"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autofit"/>
              <w:tblCellMar>
                <w:top w:w="0" w:type="dxa"/>
                <w:left w:w="0" w:type="dxa"/>
                <w:bottom w:w="0" w:type="dxa"/>
                <w:right w:w="0" w:type="dxa"/>
              </w:tblCellMar>
            </w:tblPr>
            <w:tblGrid>
              <w:gridCol w:w="695"/>
              <w:gridCol w:w="989"/>
              <w:gridCol w:w="4954"/>
              <w:gridCol w:w="1526"/>
              <w:gridCol w:w="907"/>
            </w:tblGrid>
            <w:tr w14:paraId="37BE13C3">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6638" w:type="dxa"/>
                  <w:gridSpan w:val="3"/>
                  <w:tcBorders>
                    <w:tl2br w:val="nil"/>
                    <w:tr2bl w:val="nil"/>
                  </w:tcBorders>
                  <w:vAlign w:val="center"/>
                </w:tcPr>
                <w:p w14:paraId="30318FF9">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snapToGrid w:val="0"/>
                      <w:color w:val="auto"/>
                      <w:kern w:val="0"/>
                      <w:sz w:val="21"/>
                      <w:szCs w:val="21"/>
                      <w:lang w:eastAsia="en-US"/>
                    </w:rPr>
                  </w:pPr>
                  <w:r>
                    <w:rPr>
                      <w:rFonts w:hint="default" w:ascii="Times New Roman" w:hAnsi="Times New Roman" w:eastAsia="宋体" w:cs="Times New Roman"/>
                      <w:b/>
                      <w:bCs/>
                      <w:snapToGrid w:val="0"/>
                      <w:color w:val="auto"/>
                      <w:kern w:val="0"/>
                      <w:sz w:val="21"/>
                      <w:szCs w:val="21"/>
                      <w:lang w:eastAsia="en-US"/>
                    </w:rPr>
                    <w:t>政策要求</w:t>
                  </w:r>
                </w:p>
              </w:tc>
              <w:tc>
                <w:tcPr>
                  <w:tcW w:w="1526" w:type="dxa"/>
                  <w:tcBorders>
                    <w:tl2br w:val="nil"/>
                    <w:tr2bl w:val="nil"/>
                  </w:tcBorders>
                  <w:vAlign w:val="center"/>
                </w:tcPr>
                <w:p w14:paraId="47B51404">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snapToGrid w:val="0"/>
                      <w:color w:val="auto"/>
                      <w:kern w:val="0"/>
                      <w:sz w:val="21"/>
                      <w:szCs w:val="21"/>
                      <w:lang w:eastAsia="en-US"/>
                    </w:rPr>
                  </w:pPr>
                  <w:r>
                    <w:rPr>
                      <w:rFonts w:hint="default" w:ascii="Times New Roman" w:hAnsi="Times New Roman" w:eastAsia="宋体" w:cs="Times New Roman"/>
                      <w:b/>
                      <w:bCs/>
                      <w:snapToGrid w:val="0"/>
                      <w:color w:val="auto"/>
                      <w:kern w:val="0"/>
                      <w:sz w:val="21"/>
                      <w:szCs w:val="21"/>
                      <w:lang w:eastAsia="en-US"/>
                    </w:rPr>
                    <w:t>项目情况</w:t>
                  </w:r>
                </w:p>
              </w:tc>
              <w:tc>
                <w:tcPr>
                  <w:tcW w:w="907" w:type="dxa"/>
                  <w:tcBorders>
                    <w:tl2br w:val="nil"/>
                    <w:tr2bl w:val="nil"/>
                  </w:tcBorders>
                  <w:vAlign w:val="center"/>
                </w:tcPr>
                <w:p w14:paraId="2321EFBE">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snapToGrid w:val="0"/>
                      <w:color w:val="auto"/>
                      <w:kern w:val="0"/>
                      <w:sz w:val="21"/>
                      <w:szCs w:val="21"/>
                      <w:lang w:eastAsia="en-US"/>
                    </w:rPr>
                  </w:pPr>
                  <w:r>
                    <w:rPr>
                      <w:rFonts w:hint="default" w:ascii="Times New Roman" w:hAnsi="Times New Roman" w:eastAsia="宋体" w:cs="Times New Roman"/>
                      <w:b/>
                      <w:bCs/>
                      <w:snapToGrid w:val="0"/>
                      <w:color w:val="auto"/>
                      <w:kern w:val="0"/>
                      <w:sz w:val="21"/>
                      <w:szCs w:val="21"/>
                      <w:lang w:eastAsia="en-US"/>
                    </w:rPr>
                    <w:t>符合性</w:t>
                  </w:r>
                </w:p>
              </w:tc>
            </w:tr>
            <w:tr w14:paraId="5221CC5D">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695" w:type="dxa"/>
                  <w:vMerge w:val="restart"/>
                  <w:tcBorders>
                    <w:tl2br w:val="nil"/>
                    <w:tr2bl w:val="nil"/>
                  </w:tcBorders>
                  <w:vAlign w:val="center"/>
                </w:tcPr>
                <w:p w14:paraId="398A99E8">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产业结构绿色升级行动</w:t>
                  </w:r>
                </w:p>
              </w:tc>
              <w:tc>
                <w:tcPr>
                  <w:tcW w:w="989" w:type="dxa"/>
                  <w:tcBorders>
                    <w:tl2br w:val="nil"/>
                    <w:tr2bl w:val="nil"/>
                  </w:tcBorders>
                  <w:vAlign w:val="center"/>
                </w:tcPr>
                <w:p w14:paraId="3BC7E8C9">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（一）严格环境准入</w:t>
                  </w:r>
                </w:p>
              </w:tc>
              <w:tc>
                <w:tcPr>
                  <w:tcW w:w="4954" w:type="dxa"/>
                  <w:tcBorders>
                    <w:tl2br w:val="nil"/>
                    <w:tr2bl w:val="nil"/>
                  </w:tcBorders>
                  <w:vAlign w:val="center"/>
                </w:tcPr>
                <w:p w14:paraId="76E369AB">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坚决遏制高耗能、高排放、低水平项目盲目上马，新、改、扩建项目严格落实国家和省产业规划、产业政策、生态环境分区管控方案、规划环评、项目环评、规划水土保持审查、节能审查、产能置换、重点污染物总量控制、污染物排放区域削减、碳排放达峰目标等相关要求，原则上采用清洁运输方式。涉及产能置换的项目，被置换产能及其配套设施关停后，新建项目方可投产。（省生态环境厅、省发展改革委、省工业和信息化厅、省能源局、省水利厅按职责分工负责）严格落实国家粗钢产量调控目标。推行钢铁、焦化、烧结一体化布局，有序引导高炉—转炉长流程炼钢转型为电炉短流程炼钢，到2025年，电炉钢占比达到7%左右。（省工业和信息化厅牵头）多措并举治理环保领域低价低质中标乱象，营造公平竞争环境，推动产业健康有序发展。</w:t>
                  </w:r>
                </w:p>
              </w:tc>
              <w:tc>
                <w:tcPr>
                  <w:tcW w:w="1526" w:type="dxa"/>
                  <w:tcBorders>
                    <w:tl2br w:val="nil"/>
                    <w:tr2bl w:val="nil"/>
                  </w:tcBorders>
                  <w:vAlign w:val="center"/>
                </w:tcPr>
                <w:p w14:paraId="4B01B09F">
                  <w:pPr>
                    <w:widowControl/>
                    <w:kinsoku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rPr>
                  </w:pPr>
                  <w:r>
                    <w:rPr>
                      <w:rFonts w:hint="eastAsia" w:ascii="Times New Roman" w:hAnsi="Times New Roman" w:cs="Times New Roman"/>
                      <w:snapToGrid w:val="0"/>
                      <w:color w:val="auto"/>
                      <w:kern w:val="0"/>
                      <w:sz w:val="21"/>
                      <w:szCs w:val="21"/>
                      <w:lang w:val="en-US" w:eastAsia="zh-CN"/>
                    </w:rPr>
                    <w:t>本项目不属于</w:t>
                  </w:r>
                  <w:r>
                    <w:rPr>
                      <w:rFonts w:hint="default" w:ascii="Times New Roman" w:hAnsi="Times New Roman" w:eastAsia="宋体" w:cs="Times New Roman"/>
                      <w:snapToGrid w:val="0"/>
                      <w:color w:val="auto"/>
                      <w:kern w:val="0"/>
                      <w:sz w:val="21"/>
                      <w:szCs w:val="21"/>
                      <w:lang w:eastAsia="en-US"/>
                    </w:rPr>
                    <w:t>高耗能、高排放、低水平项目</w:t>
                  </w:r>
                  <w:r>
                    <w:rPr>
                      <w:rFonts w:hint="eastAsia" w:ascii="Times New Roman" w:hAnsi="Times New Roman" w:eastAsia="宋体" w:cs="Times New Roman"/>
                      <w:snapToGrid w:val="0"/>
                      <w:color w:val="auto"/>
                      <w:kern w:val="0"/>
                      <w:sz w:val="21"/>
                      <w:szCs w:val="21"/>
                      <w:lang w:eastAsia="zh-CN"/>
                    </w:rPr>
                    <w:t>。</w:t>
                  </w:r>
                </w:p>
              </w:tc>
              <w:tc>
                <w:tcPr>
                  <w:tcW w:w="907" w:type="dxa"/>
                  <w:tcBorders>
                    <w:tl2br w:val="nil"/>
                    <w:tr2bl w:val="nil"/>
                  </w:tcBorders>
                  <w:vAlign w:val="center"/>
                </w:tcPr>
                <w:p w14:paraId="58C8191F">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符合</w:t>
                  </w:r>
                </w:p>
              </w:tc>
            </w:tr>
            <w:tr w14:paraId="4150AEC2">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112" w:hRule="atLeast"/>
                <w:jc w:val="center"/>
              </w:trPr>
              <w:tc>
                <w:tcPr>
                  <w:tcW w:w="695" w:type="dxa"/>
                  <w:vMerge w:val="continue"/>
                  <w:tcBorders>
                    <w:tl2br w:val="nil"/>
                    <w:tr2bl w:val="nil"/>
                  </w:tcBorders>
                  <w:vAlign w:val="center"/>
                </w:tcPr>
                <w:p w14:paraId="521BB5D8">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p>
              </w:tc>
              <w:tc>
                <w:tcPr>
                  <w:tcW w:w="989" w:type="dxa"/>
                  <w:tcBorders>
                    <w:tl2br w:val="nil"/>
                    <w:tr2bl w:val="nil"/>
                  </w:tcBorders>
                  <w:vAlign w:val="center"/>
                </w:tcPr>
                <w:p w14:paraId="2EBA0547">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（二）优化调整重点行业结构</w:t>
                  </w:r>
                </w:p>
              </w:tc>
              <w:tc>
                <w:tcPr>
                  <w:tcW w:w="4954" w:type="dxa"/>
                  <w:tcBorders>
                    <w:tl2br w:val="nil"/>
                    <w:tr2bl w:val="nil"/>
                  </w:tcBorders>
                  <w:vAlign w:val="center"/>
                </w:tcPr>
                <w:p w14:paraId="34F97498">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重点区域进一步提高落后产能能耗、环保、质量、安全、技术等要求，逐步退出限制类涉气行业工艺和装备；逐步淘汰步进式烧结机和球团竖炉以及半封闭式硅锰合金、镍铁、高碳铬铁、高碳锰铁电炉。（省发展改革委、省工业和信息化厅、省生态环境厅、省应急厅按职责分工负责，省市场监管局配合）引导钢铁、水泥、焦化、电解铝等产业有序调整优化。到2025年，2500吨/日水泥熟料生产线（特种水泥熟料和化工配套水泥熟料生产线除外）全部整合退出。2024年年底前，济宁、滨州、菏泽3市完成焦化退出装置关停；2025年6月底前，济南、枣庄、潍坊、泰安、日照、德州6市完成焦化退出装置关停，全省焦化装置产能压减至3300万吨左右。</w:t>
                  </w:r>
                </w:p>
              </w:tc>
              <w:tc>
                <w:tcPr>
                  <w:tcW w:w="1526" w:type="dxa"/>
                  <w:tcBorders>
                    <w:tl2br w:val="nil"/>
                    <w:tr2bl w:val="nil"/>
                  </w:tcBorders>
                  <w:vAlign w:val="center"/>
                </w:tcPr>
                <w:p w14:paraId="1D43AB30">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rPr>
                  </w:pPr>
                  <w:r>
                    <w:rPr>
                      <w:rFonts w:hint="eastAsia" w:ascii="Times New Roman" w:hAnsi="Times New Roman" w:cs="Times New Roman"/>
                      <w:snapToGrid w:val="0"/>
                      <w:color w:val="auto"/>
                      <w:kern w:val="0"/>
                      <w:sz w:val="21"/>
                      <w:szCs w:val="21"/>
                      <w:lang w:val="en-US" w:eastAsia="zh-CN"/>
                    </w:rPr>
                    <w:t>本项目不涉及</w:t>
                  </w:r>
                </w:p>
              </w:tc>
              <w:tc>
                <w:tcPr>
                  <w:tcW w:w="907" w:type="dxa"/>
                  <w:tcBorders>
                    <w:tl2br w:val="nil"/>
                    <w:tr2bl w:val="nil"/>
                  </w:tcBorders>
                  <w:vAlign w:val="center"/>
                </w:tcPr>
                <w:p w14:paraId="042CAF5B">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符合</w:t>
                  </w:r>
                </w:p>
              </w:tc>
            </w:tr>
            <w:tr w14:paraId="1155917F">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695" w:type="dxa"/>
                  <w:vMerge w:val="continue"/>
                  <w:tcBorders>
                    <w:tl2br w:val="nil"/>
                    <w:tr2bl w:val="nil"/>
                  </w:tcBorders>
                  <w:vAlign w:val="center"/>
                </w:tcPr>
                <w:p w14:paraId="420AA217">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p>
              </w:tc>
              <w:tc>
                <w:tcPr>
                  <w:tcW w:w="989" w:type="dxa"/>
                  <w:tcBorders>
                    <w:tl2br w:val="nil"/>
                    <w:tr2bl w:val="nil"/>
                  </w:tcBorders>
                  <w:vAlign w:val="center"/>
                </w:tcPr>
                <w:p w14:paraId="2D601041">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（三）开展传统产业集群升级改造</w:t>
                  </w:r>
                </w:p>
              </w:tc>
              <w:tc>
                <w:tcPr>
                  <w:tcW w:w="4954" w:type="dxa"/>
                  <w:tcBorders>
                    <w:tl2br w:val="nil"/>
                    <w:tr2bl w:val="nil"/>
                  </w:tcBorders>
                  <w:vAlign w:val="center"/>
                </w:tcPr>
                <w:p w14:paraId="5AFC5C7D">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中小型传统制造企业集中的市要制定涉气产业集群发展规划，严格项目审批，严防污染下乡。针对现有产业集群制定专项整治方案，依法淘汰关停一批、搬迁入园一批、就地改造一批、做优做强一批。各市要结合产业集群特点，因地制宜建设集中供热中心、集中喷涂中心、有机溶剂集中回收处置中心、活性炭集中再生中心。</w:t>
                  </w:r>
                </w:p>
              </w:tc>
              <w:tc>
                <w:tcPr>
                  <w:tcW w:w="1526" w:type="dxa"/>
                  <w:tcBorders>
                    <w:tl2br w:val="nil"/>
                    <w:tr2bl w:val="nil"/>
                  </w:tcBorders>
                  <w:shd w:val="clear" w:color="auto" w:fill="auto"/>
                  <w:vAlign w:val="center"/>
                </w:tcPr>
                <w:p w14:paraId="4261AD63">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cs="Times New Roman"/>
                      <w:snapToGrid w:val="0"/>
                      <w:color w:val="auto"/>
                      <w:kern w:val="0"/>
                      <w:sz w:val="21"/>
                      <w:szCs w:val="21"/>
                      <w:lang w:val="en-US" w:eastAsia="zh-CN"/>
                    </w:rPr>
                    <w:t>本项目不涉及</w:t>
                  </w:r>
                </w:p>
              </w:tc>
              <w:tc>
                <w:tcPr>
                  <w:tcW w:w="907" w:type="dxa"/>
                  <w:tcBorders>
                    <w:tl2br w:val="nil"/>
                    <w:tr2bl w:val="nil"/>
                  </w:tcBorders>
                  <w:shd w:val="clear" w:color="auto" w:fill="auto"/>
                  <w:vAlign w:val="center"/>
                </w:tcPr>
                <w:p w14:paraId="0AC94632">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eastAsia="en-US"/>
                    </w:rPr>
                    <w:t>符合</w:t>
                  </w:r>
                </w:p>
              </w:tc>
            </w:tr>
          </w:tbl>
          <w:p w14:paraId="4C272408">
            <w:pPr>
              <w:adjustRightInd w:val="0"/>
              <w:snapToGrid w:val="0"/>
              <w:spacing w:line="360" w:lineRule="auto"/>
              <w:ind w:firstLine="482" w:firstLineChars="200"/>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4"/>
                <w:lang w:val="en-US" w:eastAsia="zh-CN"/>
                <w14:textFill>
                  <w14:solidFill>
                    <w14:schemeClr w14:val="tx1"/>
                  </w14:solidFill>
                </w14:textFill>
              </w:rPr>
              <w:t>9、</w:t>
            </w:r>
            <w:r>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t>与《山东省涉挥发性有机物企业分行业治理指导意见》鲁环发〔2019〕146号的符合性分析</w:t>
            </w:r>
          </w:p>
          <w:p w14:paraId="22D9A23E">
            <w:pPr>
              <w:adjustRightInd w:val="0"/>
              <w:snapToGrid w:val="0"/>
              <w:jc w:val="center"/>
              <w:rPr>
                <w:rFonts w:hint="default" w:ascii="Times New Roman" w:hAnsi="Times New Roman" w:cs="Times New Roman"/>
                <w:b/>
                <w:szCs w:val="21"/>
                <w:highlight w:val="none"/>
                <w:lang w:val="zh-CN"/>
              </w:rPr>
            </w:pPr>
            <w:r>
              <w:rPr>
                <w:rFonts w:hint="default" w:ascii="Times New Roman" w:hAnsi="Times New Roman" w:cs="Times New Roman"/>
                <w:b/>
                <w:szCs w:val="21"/>
                <w:highlight w:val="none"/>
                <w:lang w:val="zh-CN"/>
              </w:rPr>
              <w:t>表</w:t>
            </w:r>
            <w:r>
              <w:rPr>
                <w:rFonts w:hint="default" w:ascii="Times New Roman" w:hAnsi="Times New Roman" w:cs="Times New Roman"/>
                <w:b/>
                <w:szCs w:val="21"/>
                <w:highlight w:val="none"/>
              </w:rPr>
              <w:t>1-</w:t>
            </w:r>
            <w:r>
              <w:rPr>
                <w:rFonts w:hint="eastAsia" w:ascii="Times New Roman" w:hAnsi="Times New Roman" w:cs="Times New Roman"/>
                <w:b/>
                <w:szCs w:val="21"/>
                <w:highlight w:val="none"/>
                <w:lang w:val="en-US" w:eastAsia="zh-CN"/>
              </w:rPr>
              <w:t>11</w:t>
            </w:r>
            <w:r>
              <w:rPr>
                <w:rFonts w:hint="default" w:ascii="Times New Roman" w:hAnsi="Times New Roman" w:cs="Times New Roman"/>
                <w:b/>
                <w:szCs w:val="21"/>
                <w:highlight w:val="none"/>
                <w:lang w:val="en-US" w:eastAsia="zh-CN"/>
              </w:rPr>
              <w:t xml:space="preserve"> </w:t>
            </w:r>
            <w:r>
              <w:rPr>
                <w:rFonts w:hint="default" w:ascii="Times New Roman" w:hAnsi="Times New Roman" w:cs="Times New Roman"/>
                <w:b/>
                <w:szCs w:val="21"/>
                <w:highlight w:val="none"/>
                <w:lang w:val="zh-CN"/>
              </w:rPr>
              <w:t>与鲁环发〔2019〕146号符合性分析</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9"/>
              <w:gridCol w:w="5650"/>
              <w:gridCol w:w="2000"/>
              <w:gridCol w:w="862"/>
            </w:tblGrid>
            <w:tr w14:paraId="58B00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40" w:hRule="atLeast"/>
                <w:jc w:val="center"/>
              </w:trPr>
              <w:tc>
                <w:tcPr>
                  <w:tcW w:w="308" w:type="pct"/>
                  <w:noWrap w:val="0"/>
                  <w:vAlign w:val="center"/>
                </w:tcPr>
                <w:p w14:paraId="0C006A23">
                  <w:pPr>
                    <w:autoSpaceDE w:val="0"/>
                    <w:autoSpaceDN w:val="0"/>
                    <w:adjustRightInd w:val="0"/>
                    <w:snapToGrid w:val="0"/>
                    <w:jc w:val="center"/>
                    <w:rPr>
                      <w:rFonts w:hint="default" w:ascii="Times New Roman" w:hAnsi="Times New Roman" w:cs="Times New Roman"/>
                      <w:b/>
                      <w:kern w:val="0"/>
                      <w:sz w:val="18"/>
                      <w:szCs w:val="18"/>
                      <w:highlight w:val="none"/>
                    </w:rPr>
                  </w:pPr>
                  <w:r>
                    <w:rPr>
                      <w:rFonts w:hint="default" w:ascii="Times New Roman" w:hAnsi="Times New Roman" w:cs="Times New Roman"/>
                      <w:b/>
                      <w:kern w:val="0"/>
                      <w:sz w:val="18"/>
                      <w:szCs w:val="18"/>
                      <w:highlight w:val="none"/>
                    </w:rPr>
                    <w:t>分类</w:t>
                  </w:r>
                </w:p>
              </w:tc>
              <w:tc>
                <w:tcPr>
                  <w:tcW w:w="3113" w:type="pct"/>
                  <w:noWrap w:val="0"/>
                  <w:vAlign w:val="center"/>
                </w:tcPr>
                <w:p w14:paraId="55C6F2E4">
                  <w:pPr>
                    <w:autoSpaceDE w:val="0"/>
                    <w:autoSpaceDN w:val="0"/>
                    <w:adjustRightInd w:val="0"/>
                    <w:snapToGrid w:val="0"/>
                    <w:jc w:val="center"/>
                    <w:rPr>
                      <w:rFonts w:hint="default" w:ascii="Times New Roman" w:hAnsi="Times New Roman" w:cs="Times New Roman"/>
                      <w:b/>
                      <w:kern w:val="0"/>
                      <w:sz w:val="18"/>
                      <w:szCs w:val="18"/>
                      <w:highlight w:val="none"/>
                    </w:rPr>
                  </w:pPr>
                  <w:r>
                    <w:rPr>
                      <w:rFonts w:hint="default" w:ascii="Times New Roman" w:hAnsi="Times New Roman" w:cs="Times New Roman"/>
                      <w:b/>
                      <w:kern w:val="0"/>
                      <w:sz w:val="18"/>
                      <w:szCs w:val="18"/>
                      <w:highlight w:val="none"/>
                    </w:rPr>
                    <w:t>文件要求</w:t>
                  </w:r>
                </w:p>
              </w:tc>
              <w:tc>
                <w:tcPr>
                  <w:tcW w:w="1102" w:type="pct"/>
                  <w:noWrap w:val="0"/>
                  <w:vAlign w:val="center"/>
                </w:tcPr>
                <w:p w14:paraId="26B9DD63">
                  <w:pPr>
                    <w:autoSpaceDE w:val="0"/>
                    <w:autoSpaceDN w:val="0"/>
                    <w:adjustRightInd w:val="0"/>
                    <w:snapToGrid w:val="0"/>
                    <w:jc w:val="center"/>
                    <w:rPr>
                      <w:rFonts w:hint="default" w:ascii="Times New Roman" w:hAnsi="Times New Roman" w:cs="Times New Roman"/>
                      <w:b/>
                      <w:kern w:val="0"/>
                      <w:sz w:val="18"/>
                      <w:szCs w:val="18"/>
                      <w:highlight w:val="none"/>
                    </w:rPr>
                  </w:pPr>
                  <w:r>
                    <w:rPr>
                      <w:rFonts w:hint="default" w:ascii="Times New Roman" w:hAnsi="Times New Roman" w:cs="Times New Roman"/>
                      <w:b/>
                      <w:kern w:val="0"/>
                      <w:sz w:val="18"/>
                      <w:szCs w:val="18"/>
                      <w:highlight w:val="none"/>
                    </w:rPr>
                    <w:t>项目情况</w:t>
                  </w:r>
                </w:p>
              </w:tc>
              <w:tc>
                <w:tcPr>
                  <w:tcW w:w="475" w:type="pct"/>
                  <w:noWrap w:val="0"/>
                  <w:vAlign w:val="center"/>
                </w:tcPr>
                <w:p w14:paraId="2A946B24">
                  <w:pPr>
                    <w:autoSpaceDE w:val="0"/>
                    <w:autoSpaceDN w:val="0"/>
                    <w:adjustRightInd w:val="0"/>
                    <w:snapToGrid w:val="0"/>
                    <w:jc w:val="center"/>
                    <w:rPr>
                      <w:rFonts w:hint="default" w:ascii="Times New Roman" w:hAnsi="Times New Roman" w:cs="Times New Roman"/>
                      <w:b/>
                      <w:kern w:val="0"/>
                      <w:sz w:val="18"/>
                      <w:szCs w:val="18"/>
                      <w:highlight w:val="none"/>
                    </w:rPr>
                  </w:pPr>
                  <w:r>
                    <w:rPr>
                      <w:rFonts w:hint="default" w:ascii="Times New Roman" w:hAnsi="Times New Roman" w:cs="Times New Roman"/>
                      <w:b/>
                      <w:kern w:val="0"/>
                      <w:sz w:val="18"/>
                      <w:szCs w:val="18"/>
                      <w:highlight w:val="none"/>
                    </w:rPr>
                    <w:t>符合性</w:t>
                  </w:r>
                </w:p>
              </w:tc>
            </w:tr>
            <w:tr w14:paraId="70C21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308" w:type="pct"/>
                  <w:noWrap w:val="0"/>
                  <w:vAlign w:val="center"/>
                </w:tcPr>
                <w:p w14:paraId="25C3D2F4">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推进源头替代</w:t>
                  </w:r>
                </w:p>
              </w:tc>
              <w:tc>
                <w:tcPr>
                  <w:tcW w:w="3113" w:type="pct"/>
                  <w:noWrap w:val="0"/>
                  <w:vAlign w:val="center"/>
                </w:tcPr>
                <w:p w14:paraId="54B5B94B">
                  <w:pPr>
                    <w:widowControl/>
                    <w:kinsoku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eastAsia="zh-CN"/>
                    </w:rPr>
                  </w:pPr>
                  <w:r>
                    <w:rPr>
                      <w:rFonts w:hint="default" w:ascii="Times New Roman" w:hAnsi="Times New Roman" w:eastAsia="宋体" w:cs="Times New Roman"/>
                      <w:snapToGrid w:val="0"/>
                      <w:color w:val="auto"/>
                      <w:kern w:val="0"/>
                      <w:sz w:val="21"/>
                      <w:szCs w:val="21"/>
                      <w:lang w:eastAsia="en-US"/>
                    </w:rPr>
                    <w:t>通过使用水性、粉末、高固体分、无溶剂、辐射固化等低VOCs含量的涂料</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水性、辐射固化、植物基等低VOCs含量的油墨</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水基、热熔、无溶剂、辐射固化、改性、生物降解等低VOCs含量的胶粘剂</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以及低VOCs含量、低反应活性的清洗剂等</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替代溶剂型涂料、油墨、胶粘剂、清洗剂等</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从源头减少VOCs产生</w:t>
                  </w:r>
                  <w:r>
                    <w:rPr>
                      <w:rFonts w:hint="eastAsia" w:ascii="Times New Roman" w:hAnsi="Times New Roman" w:eastAsia="宋体" w:cs="Times New Roman"/>
                      <w:snapToGrid w:val="0"/>
                      <w:color w:val="auto"/>
                      <w:kern w:val="0"/>
                      <w:sz w:val="21"/>
                      <w:szCs w:val="21"/>
                      <w:lang w:eastAsia="zh-CN"/>
                    </w:rPr>
                    <w:t>。</w:t>
                  </w:r>
                </w:p>
              </w:tc>
              <w:tc>
                <w:tcPr>
                  <w:tcW w:w="1102" w:type="pct"/>
                  <w:noWrap w:val="0"/>
                  <w:vAlign w:val="center"/>
                </w:tcPr>
                <w:p w14:paraId="6BC50E79">
                  <w:pPr>
                    <w:widowControl/>
                    <w:kinsoku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eastAsia="en-US"/>
                    </w:rPr>
                    <w:t>本项目不涉及此类原料的使用</w:t>
                  </w:r>
                  <w:r>
                    <w:rPr>
                      <w:rFonts w:hint="eastAsia" w:ascii="Times New Roman" w:hAnsi="Times New Roman" w:eastAsia="宋体" w:cs="Times New Roman"/>
                      <w:snapToGrid w:val="0"/>
                      <w:color w:val="auto"/>
                      <w:kern w:val="0"/>
                      <w:sz w:val="21"/>
                      <w:szCs w:val="21"/>
                      <w:lang w:eastAsia="zh-CN"/>
                    </w:rPr>
                    <w:t>。</w:t>
                  </w:r>
                </w:p>
              </w:tc>
              <w:tc>
                <w:tcPr>
                  <w:tcW w:w="475" w:type="pct"/>
                  <w:noWrap w:val="0"/>
                  <w:vAlign w:val="center"/>
                </w:tcPr>
                <w:p w14:paraId="1ED2969D">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符合</w:t>
                  </w:r>
                </w:p>
              </w:tc>
            </w:tr>
            <w:tr w14:paraId="17DD6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308" w:type="pct"/>
                  <w:vMerge w:val="restart"/>
                  <w:noWrap w:val="0"/>
                  <w:vAlign w:val="center"/>
                </w:tcPr>
                <w:p w14:paraId="65101E04">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加强过程控制</w:t>
                  </w:r>
                </w:p>
              </w:tc>
              <w:tc>
                <w:tcPr>
                  <w:tcW w:w="3113" w:type="pct"/>
                  <w:noWrap w:val="0"/>
                  <w:vAlign w:val="center"/>
                </w:tcPr>
                <w:p w14:paraId="71A71483">
                  <w:pPr>
                    <w:widowControl/>
                    <w:kinsoku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eastAsia="zh-CN"/>
                    </w:rPr>
                  </w:pPr>
                  <w:r>
                    <w:rPr>
                      <w:rFonts w:hint="default" w:ascii="Times New Roman" w:hAnsi="Times New Roman" w:eastAsia="宋体" w:cs="Times New Roman"/>
                      <w:snapToGrid w:val="0"/>
                      <w:color w:val="auto"/>
                      <w:kern w:val="0"/>
                      <w:sz w:val="21"/>
                      <w:szCs w:val="21"/>
                      <w:lang w:eastAsia="en-US"/>
                    </w:rPr>
                    <w:t>加强无组织排放控制。重点对含VOCs物料（包括含VOCs原辅材料、含VOCs产品、含VOCs废料以及有机聚合物材料等）储存、转移和输送、设备与管线组件泄漏、敞开液面逸散、工艺过程等五类排放源实施管控</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通过采取设备与场所密闭、工艺改进、废气有效收集等措施</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削减VOCs无组织排放</w:t>
                  </w:r>
                  <w:r>
                    <w:rPr>
                      <w:rFonts w:hint="eastAsia" w:ascii="Times New Roman" w:hAnsi="Times New Roman" w:eastAsia="宋体" w:cs="Times New Roman"/>
                      <w:snapToGrid w:val="0"/>
                      <w:color w:val="auto"/>
                      <w:kern w:val="0"/>
                      <w:sz w:val="21"/>
                      <w:szCs w:val="21"/>
                      <w:lang w:eastAsia="zh-CN"/>
                    </w:rPr>
                    <w:t>。</w:t>
                  </w:r>
                </w:p>
              </w:tc>
              <w:tc>
                <w:tcPr>
                  <w:tcW w:w="1102" w:type="pct"/>
                  <w:noWrap w:val="0"/>
                  <w:vAlign w:val="center"/>
                </w:tcPr>
                <w:p w14:paraId="044D43A7">
                  <w:pPr>
                    <w:widowControl/>
                    <w:kinsoku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本项目原辅料及成品物料在常温下不会挥发有机废气，生产过程中产生的有机废气均采取集气罩</w:t>
                  </w:r>
                  <w:r>
                    <w:rPr>
                      <w:rFonts w:hint="eastAsia" w:cs="Times New Roman"/>
                      <w:snapToGrid w:val="0"/>
                      <w:color w:val="auto"/>
                      <w:kern w:val="0"/>
                      <w:sz w:val="21"/>
                      <w:szCs w:val="21"/>
                      <w:lang w:val="en-US" w:eastAsia="zh-CN"/>
                    </w:rPr>
                    <w:t>、</w:t>
                  </w:r>
                  <w:r>
                    <w:rPr>
                      <w:rFonts w:hint="eastAsia" w:ascii="Times New Roman" w:hAnsi="Times New Roman" w:eastAsia="宋体" w:cs="Times New Roman"/>
                      <w:snapToGrid w:val="0"/>
                      <w:color w:val="auto"/>
                      <w:kern w:val="0"/>
                      <w:sz w:val="21"/>
                      <w:szCs w:val="21"/>
                      <w:lang w:val="en-US" w:eastAsia="zh-CN"/>
                    </w:rPr>
                    <w:t>集气管道密闭收集，并采用“二级活性炭吸附装置”高效废气治理设施处理。</w:t>
                  </w:r>
                </w:p>
              </w:tc>
              <w:tc>
                <w:tcPr>
                  <w:tcW w:w="475" w:type="pct"/>
                  <w:noWrap w:val="0"/>
                  <w:vAlign w:val="center"/>
                </w:tcPr>
                <w:p w14:paraId="7E36650A">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符合</w:t>
                  </w:r>
                </w:p>
              </w:tc>
            </w:tr>
            <w:tr w14:paraId="51445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308" w:type="pct"/>
                  <w:vMerge w:val="continue"/>
                  <w:noWrap w:val="0"/>
                  <w:vAlign w:val="center"/>
                </w:tcPr>
                <w:p w14:paraId="46C435B9">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p>
              </w:tc>
              <w:tc>
                <w:tcPr>
                  <w:tcW w:w="3113" w:type="pct"/>
                  <w:noWrap w:val="0"/>
                  <w:vAlign w:val="center"/>
                </w:tcPr>
                <w:p w14:paraId="28E1FC89">
                  <w:pPr>
                    <w:widowControl/>
                    <w:kinsoku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eastAsia="zh-CN"/>
                    </w:rPr>
                  </w:pPr>
                  <w:r>
                    <w:rPr>
                      <w:rFonts w:hint="default" w:ascii="Times New Roman" w:hAnsi="Times New Roman" w:eastAsia="宋体" w:cs="Times New Roman"/>
                      <w:snapToGrid w:val="0"/>
                      <w:color w:val="auto"/>
                      <w:kern w:val="0"/>
                      <w:sz w:val="21"/>
                      <w:szCs w:val="21"/>
                      <w:lang w:eastAsia="en-US"/>
                    </w:rPr>
                    <w:t>加强设备与场所密闭管理。含VOCs物料应储存于密闭容器、包装袋</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高效密封储罐</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封闭式储库、料仓等。含VOCs物料转移和输送</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应采用密闭管道或密闭容器、罐车等。高VOCs含量废水（废水液面上方100毫米处VOCs检测浓度超过200ppm</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其中重点区域超过100ppm</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以碳计）的收集运输、储存和处理过程</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应加盖密闭。含VOCs物料生产和使用过程</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应采取有效收集措施或在密闭空间中操作</w:t>
                  </w:r>
                  <w:r>
                    <w:rPr>
                      <w:rFonts w:hint="eastAsia" w:ascii="Times New Roman" w:hAnsi="Times New Roman" w:eastAsia="宋体" w:cs="Times New Roman"/>
                      <w:snapToGrid w:val="0"/>
                      <w:color w:val="auto"/>
                      <w:kern w:val="0"/>
                      <w:sz w:val="21"/>
                      <w:szCs w:val="21"/>
                      <w:lang w:eastAsia="zh-CN"/>
                    </w:rPr>
                    <w:t>。</w:t>
                  </w:r>
                </w:p>
              </w:tc>
              <w:tc>
                <w:tcPr>
                  <w:tcW w:w="1102" w:type="pct"/>
                  <w:noWrap w:val="0"/>
                  <w:vAlign w:val="center"/>
                </w:tcPr>
                <w:p w14:paraId="125971EA">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本项目原辅料及成品物料在常温下不会挥发有机废气。</w:t>
                  </w:r>
                </w:p>
              </w:tc>
              <w:tc>
                <w:tcPr>
                  <w:tcW w:w="475" w:type="pct"/>
                  <w:noWrap w:val="0"/>
                  <w:vAlign w:val="center"/>
                </w:tcPr>
                <w:p w14:paraId="72CCBF91">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符合</w:t>
                  </w:r>
                </w:p>
              </w:tc>
            </w:tr>
            <w:tr w14:paraId="549FF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308" w:type="pct"/>
                  <w:vMerge w:val="continue"/>
                  <w:noWrap w:val="0"/>
                  <w:vAlign w:val="center"/>
                </w:tcPr>
                <w:p w14:paraId="3179D5BF">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p>
              </w:tc>
              <w:tc>
                <w:tcPr>
                  <w:tcW w:w="3113" w:type="pct"/>
                  <w:noWrap w:val="0"/>
                  <w:vAlign w:val="center"/>
                </w:tcPr>
                <w:p w14:paraId="34FB7C18">
                  <w:pPr>
                    <w:widowControl/>
                    <w:kinsoku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eastAsia="zh-CN"/>
                    </w:rPr>
                  </w:pPr>
                  <w:r>
                    <w:rPr>
                      <w:rFonts w:hint="default" w:ascii="Times New Roman" w:hAnsi="Times New Roman" w:eastAsia="宋体" w:cs="Times New Roman"/>
                      <w:snapToGrid w:val="0"/>
                      <w:color w:val="auto"/>
                      <w:kern w:val="0"/>
                      <w:sz w:val="21"/>
                      <w:szCs w:val="21"/>
                      <w:lang w:eastAsia="en-US"/>
                    </w:rPr>
                    <w:t>推进使用先进生产工艺。通过采用全密闭、连续化、自动化等生产技术</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以及高效工艺与设备等</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减少工艺过程无组织排放。挥发性有机液体装载优先采用底部装载方式</w:t>
                  </w:r>
                  <w:r>
                    <w:rPr>
                      <w:rFonts w:hint="eastAsia" w:ascii="Times New Roman" w:hAnsi="Times New Roman" w:eastAsia="宋体" w:cs="Times New Roman"/>
                      <w:snapToGrid w:val="0"/>
                      <w:color w:val="auto"/>
                      <w:kern w:val="0"/>
                      <w:sz w:val="21"/>
                      <w:szCs w:val="21"/>
                      <w:lang w:eastAsia="zh-CN"/>
                    </w:rPr>
                    <w:t>。</w:t>
                  </w:r>
                </w:p>
              </w:tc>
              <w:tc>
                <w:tcPr>
                  <w:tcW w:w="1102" w:type="pct"/>
                  <w:noWrap w:val="0"/>
                  <w:vAlign w:val="center"/>
                </w:tcPr>
                <w:p w14:paraId="1CF4917A">
                  <w:pPr>
                    <w:widowControl/>
                    <w:kinsoku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eastAsia="zh-CN"/>
                    </w:rPr>
                  </w:pPr>
                  <w:r>
                    <w:rPr>
                      <w:rFonts w:hint="default" w:ascii="Times New Roman" w:hAnsi="Times New Roman" w:eastAsia="宋体" w:cs="Times New Roman"/>
                      <w:snapToGrid w:val="0"/>
                      <w:color w:val="auto"/>
                      <w:kern w:val="0"/>
                      <w:sz w:val="21"/>
                      <w:szCs w:val="21"/>
                      <w:lang w:eastAsia="en-US"/>
                    </w:rPr>
                    <w:t>采用全密闭、连续化、自动化等生产技术及高效工艺与设备</w:t>
                  </w:r>
                  <w:r>
                    <w:rPr>
                      <w:rFonts w:hint="eastAsia" w:ascii="Times New Roman" w:hAnsi="Times New Roman" w:eastAsia="宋体" w:cs="Times New Roman"/>
                      <w:snapToGrid w:val="0"/>
                      <w:color w:val="auto"/>
                      <w:kern w:val="0"/>
                      <w:sz w:val="21"/>
                      <w:szCs w:val="21"/>
                      <w:lang w:eastAsia="zh-CN"/>
                    </w:rPr>
                    <w:t>。</w:t>
                  </w:r>
                </w:p>
              </w:tc>
              <w:tc>
                <w:tcPr>
                  <w:tcW w:w="475" w:type="pct"/>
                  <w:noWrap w:val="0"/>
                  <w:vAlign w:val="center"/>
                </w:tcPr>
                <w:p w14:paraId="6CC93716">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符合</w:t>
                  </w:r>
                </w:p>
              </w:tc>
            </w:tr>
            <w:tr w14:paraId="63E69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308" w:type="pct"/>
                  <w:vMerge w:val="continue"/>
                  <w:noWrap w:val="0"/>
                  <w:vAlign w:val="center"/>
                </w:tcPr>
                <w:p w14:paraId="40A09499">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p>
              </w:tc>
              <w:tc>
                <w:tcPr>
                  <w:tcW w:w="3113" w:type="pct"/>
                  <w:noWrap w:val="0"/>
                  <w:vAlign w:val="center"/>
                </w:tcPr>
                <w:p w14:paraId="2B300C28">
                  <w:pPr>
                    <w:widowControl/>
                    <w:kinsoku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eastAsia="zh-CN"/>
                    </w:rPr>
                  </w:pPr>
                  <w:r>
                    <w:rPr>
                      <w:rFonts w:hint="default" w:ascii="Times New Roman" w:hAnsi="Times New Roman" w:eastAsia="宋体" w:cs="Times New Roman"/>
                      <w:snapToGrid w:val="0"/>
                      <w:color w:val="auto"/>
                      <w:kern w:val="0"/>
                      <w:sz w:val="21"/>
                      <w:szCs w:val="21"/>
                      <w:lang w:eastAsia="en-US"/>
                    </w:rPr>
                    <w:t>遵循“应收尽收、分质收集”的原则</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科学设计废气收集系统</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将无组织排放转变为有组织排放进行控制。采用全密闭措施的</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除行业有特殊要求外</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应保持微负压状态</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并根据相关规范合理设置配风量。采用局部集气罩的</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距集气罩开口面最远处的VOCs无组织排放位置</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控制风速应不低于0.3米/秒</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有行业要求的按照相关规定执行；集气罩的设计、安装应符合《机械安全局部排气通风系统安全要求》（GB/T 35077）</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通风管路设计应符合《通风管道技术规程》（JGJ/T 141）等相关规范要求</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VOCs废气管路不得与其他废气管路合并</w:t>
                  </w:r>
                  <w:r>
                    <w:rPr>
                      <w:rFonts w:hint="eastAsia" w:ascii="Times New Roman" w:hAnsi="Times New Roman" w:eastAsia="宋体" w:cs="Times New Roman"/>
                      <w:snapToGrid w:val="0"/>
                      <w:color w:val="auto"/>
                      <w:kern w:val="0"/>
                      <w:sz w:val="21"/>
                      <w:szCs w:val="21"/>
                      <w:lang w:eastAsia="zh-CN"/>
                    </w:rPr>
                    <w:t>。</w:t>
                  </w:r>
                </w:p>
              </w:tc>
              <w:tc>
                <w:tcPr>
                  <w:tcW w:w="1102" w:type="pct"/>
                  <w:noWrap w:val="0"/>
                  <w:vAlign w:val="center"/>
                </w:tcPr>
                <w:p w14:paraId="54594387">
                  <w:pPr>
                    <w:widowControl/>
                    <w:kinsoku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eastAsia="zh-CN"/>
                    </w:rPr>
                  </w:pPr>
                  <w:r>
                    <w:rPr>
                      <w:rFonts w:hint="default" w:ascii="Times New Roman" w:hAnsi="Times New Roman" w:eastAsia="宋体" w:cs="Times New Roman"/>
                      <w:snapToGrid w:val="0"/>
                      <w:color w:val="auto"/>
                      <w:kern w:val="0"/>
                      <w:sz w:val="21"/>
                      <w:szCs w:val="21"/>
                      <w:lang w:eastAsia="en-US"/>
                    </w:rPr>
                    <w:t>本项目按照相关要求合理设计安装集气罩</w:t>
                  </w:r>
                  <w:r>
                    <w:rPr>
                      <w:rFonts w:hint="eastAsia" w:cs="Times New Roman"/>
                      <w:snapToGrid w:val="0"/>
                      <w:color w:val="auto"/>
                      <w:kern w:val="0"/>
                      <w:sz w:val="21"/>
                      <w:szCs w:val="21"/>
                      <w:lang w:eastAsia="zh-CN"/>
                    </w:rPr>
                    <w:t>、</w:t>
                  </w:r>
                  <w:r>
                    <w:rPr>
                      <w:rFonts w:hint="eastAsia" w:ascii="Times New Roman" w:hAnsi="Times New Roman" w:eastAsia="宋体" w:cs="Times New Roman"/>
                      <w:snapToGrid w:val="0"/>
                      <w:color w:val="auto"/>
                      <w:kern w:val="0"/>
                      <w:sz w:val="21"/>
                      <w:szCs w:val="21"/>
                      <w:lang w:val="en-US" w:eastAsia="zh-CN"/>
                    </w:rPr>
                    <w:t>集气管道</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废气有组织排放</w:t>
                  </w:r>
                  <w:r>
                    <w:rPr>
                      <w:rFonts w:hint="eastAsia"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采用</w:t>
                  </w:r>
                  <w:r>
                    <w:rPr>
                      <w:rFonts w:hint="default" w:ascii="Times New Roman" w:hAnsi="Times New Roman" w:eastAsia="宋体" w:cs="Times New Roman"/>
                      <w:snapToGrid w:val="0"/>
                      <w:color w:val="auto"/>
                      <w:kern w:val="0"/>
                      <w:sz w:val="21"/>
                      <w:szCs w:val="21"/>
                      <w:lang w:val="en-US" w:eastAsia="zh-CN"/>
                    </w:rPr>
                    <w:t>集气罩</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风量合理</w:t>
                  </w:r>
                  <w:r>
                    <w:rPr>
                      <w:rFonts w:hint="eastAsia" w:ascii="Times New Roman" w:hAnsi="Times New Roman" w:eastAsia="宋体" w:cs="Times New Roman"/>
                      <w:snapToGrid w:val="0"/>
                      <w:color w:val="auto"/>
                      <w:kern w:val="0"/>
                      <w:sz w:val="21"/>
                      <w:szCs w:val="21"/>
                      <w:lang w:eastAsia="zh-CN"/>
                    </w:rPr>
                    <w:t>。</w:t>
                  </w:r>
                </w:p>
              </w:tc>
              <w:tc>
                <w:tcPr>
                  <w:tcW w:w="475" w:type="pct"/>
                  <w:noWrap w:val="0"/>
                  <w:vAlign w:val="center"/>
                </w:tcPr>
                <w:p w14:paraId="5B145402">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符合</w:t>
                  </w:r>
                </w:p>
              </w:tc>
            </w:tr>
            <w:tr w14:paraId="43FD8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308" w:type="pct"/>
                  <w:vMerge w:val="continue"/>
                  <w:noWrap w:val="0"/>
                  <w:vAlign w:val="center"/>
                </w:tcPr>
                <w:p w14:paraId="141D351E">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p>
              </w:tc>
              <w:tc>
                <w:tcPr>
                  <w:tcW w:w="3113" w:type="pct"/>
                  <w:noWrap w:val="0"/>
                  <w:vAlign w:val="center"/>
                </w:tcPr>
                <w:p w14:paraId="7C4245A9">
                  <w:pPr>
                    <w:widowControl/>
                    <w:kinsoku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eastAsia="zh-CN"/>
                    </w:rPr>
                  </w:pPr>
                  <w:r>
                    <w:rPr>
                      <w:rFonts w:hint="default" w:ascii="Times New Roman" w:hAnsi="Times New Roman" w:eastAsia="宋体" w:cs="Times New Roman"/>
                      <w:snapToGrid w:val="0"/>
                      <w:color w:val="auto"/>
                      <w:kern w:val="0"/>
                      <w:sz w:val="21"/>
                      <w:szCs w:val="21"/>
                      <w:lang w:eastAsia="en-US"/>
                    </w:rPr>
                    <w:t>推进建设适宜高效的治污设施。企业新建治污设施或对现有治污设施实施改造</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应依据排放废气的浓度、组分、风量</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温度、湿度、压力</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以及生产工况等</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合理选择治理技术。鼓励企业采用多种技术的组合工艺</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提高VOCs治理效率</w:t>
                  </w:r>
                  <w:r>
                    <w:rPr>
                      <w:rFonts w:hint="eastAsia" w:ascii="Times New Roman" w:hAnsi="Times New Roman" w:eastAsia="宋体" w:cs="Times New Roman"/>
                      <w:snapToGrid w:val="0"/>
                      <w:color w:val="auto"/>
                      <w:kern w:val="0"/>
                      <w:sz w:val="21"/>
                      <w:szCs w:val="21"/>
                      <w:lang w:eastAsia="zh-CN"/>
                    </w:rPr>
                    <w:t>。</w:t>
                  </w:r>
                </w:p>
              </w:tc>
              <w:tc>
                <w:tcPr>
                  <w:tcW w:w="1102" w:type="pct"/>
                  <w:noWrap w:val="0"/>
                  <w:vAlign w:val="center"/>
                </w:tcPr>
                <w:p w14:paraId="0F7B808B">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zh-CN"/>
                    </w:rPr>
                  </w:pPr>
                  <w:r>
                    <w:rPr>
                      <w:rFonts w:hint="default" w:ascii="Times New Roman" w:hAnsi="Times New Roman" w:eastAsia="宋体" w:cs="Times New Roman"/>
                      <w:snapToGrid w:val="0"/>
                      <w:color w:val="auto"/>
                      <w:kern w:val="0"/>
                      <w:sz w:val="21"/>
                      <w:szCs w:val="21"/>
                      <w:lang w:eastAsia="zh-CN"/>
                    </w:rPr>
                    <w:t>本项目</w:t>
                  </w:r>
                  <w:r>
                    <w:rPr>
                      <w:rFonts w:hint="eastAsia" w:ascii="Times New Roman" w:hAnsi="Times New Roman" w:eastAsia="宋体" w:cs="Times New Roman"/>
                      <w:snapToGrid w:val="0"/>
                      <w:color w:val="auto"/>
                      <w:kern w:val="0"/>
                      <w:sz w:val="21"/>
                      <w:szCs w:val="21"/>
                      <w:lang w:val="en-US" w:eastAsia="zh-CN"/>
                    </w:rPr>
                    <w:t>有机废气均采取集气罩</w:t>
                  </w:r>
                  <w:r>
                    <w:rPr>
                      <w:rFonts w:hint="eastAsia" w:cs="Times New Roman"/>
                      <w:snapToGrid w:val="0"/>
                      <w:color w:val="auto"/>
                      <w:kern w:val="0"/>
                      <w:sz w:val="21"/>
                      <w:szCs w:val="21"/>
                      <w:lang w:val="en-US" w:eastAsia="zh-CN"/>
                    </w:rPr>
                    <w:t>、</w:t>
                  </w:r>
                  <w:r>
                    <w:rPr>
                      <w:rFonts w:hint="eastAsia" w:ascii="Times New Roman" w:hAnsi="Times New Roman" w:eastAsia="宋体" w:cs="Times New Roman"/>
                      <w:snapToGrid w:val="0"/>
                      <w:color w:val="auto"/>
                      <w:kern w:val="0"/>
                      <w:sz w:val="21"/>
                      <w:szCs w:val="21"/>
                      <w:lang w:val="en-US" w:eastAsia="zh-CN"/>
                    </w:rPr>
                    <w:t>集气管道密闭收集，并采用“二级活性炭吸附装置”处理</w:t>
                  </w:r>
                  <w:r>
                    <w:rPr>
                      <w:rFonts w:hint="eastAsia" w:ascii="Times New Roman" w:hAnsi="Times New Roman" w:eastAsia="宋体" w:cs="Times New Roman"/>
                      <w:snapToGrid w:val="0"/>
                      <w:color w:val="auto"/>
                      <w:kern w:val="0"/>
                      <w:sz w:val="21"/>
                      <w:szCs w:val="21"/>
                      <w:lang w:eastAsia="zh-CN"/>
                    </w:rPr>
                    <w:t>。</w:t>
                  </w:r>
                </w:p>
              </w:tc>
              <w:tc>
                <w:tcPr>
                  <w:tcW w:w="475" w:type="pct"/>
                  <w:noWrap w:val="0"/>
                  <w:vAlign w:val="center"/>
                </w:tcPr>
                <w:p w14:paraId="4C1E2971">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符合</w:t>
                  </w:r>
                </w:p>
              </w:tc>
            </w:tr>
            <w:tr w14:paraId="1D3D4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308" w:type="pct"/>
                  <w:noWrap w:val="0"/>
                  <w:vAlign w:val="center"/>
                </w:tcPr>
                <w:p w14:paraId="4F1A668D">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加强末端管控</w:t>
                  </w:r>
                </w:p>
              </w:tc>
              <w:tc>
                <w:tcPr>
                  <w:tcW w:w="3113" w:type="pct"/>
                  <w:noWrap w:val="0"/>
                  <w:vAlign w:val="center"/>
                </w:tcPr>
                <w:p w14:paraId="005AEBD8">
                  <w:pPr>
                    <w:widowControl/>
                    <w:kinsoku w:val="0"/>
                    <w:autoSpaceDE w:val="0"/>
                    <w:autoSpaceDN w:val="0"/>
                    <w:bidi w:val="0"/>
                    <w:adjustRightInd w:val="0"/>
                    <w:snapToGrid w:val="0"/>
                    <w:spacing w:line="240" w:lineRule="auto"/>
                    <w:jc w:val="center"/>
                    <w:textAlignment w:val="baseline"/>
                    <w:rPr>
                      <w:rFonts w:hint="eastAsia" w:ascii="Times New Roman" w:hAnsi="Times New Roman" w:eastAsia="宋体" w:cs="Times New Roman"/>
                      <w:snapToGrid w:val="0"/>
                      <w:color w:val="auto"/>
                      <w:kern w:val="0"/>
                      <w:sz w:val="21"/>
                      <w:szCs w:val="21"/>
                      <w:lang w:eastAsia="zh-CN"/>
                    </w:rPr>
                  </w:pPr>
                  <w:r>
                    <w:rPr>
                      <w:rFonts w:hint="default" w:ascii="Times New Roman" w:hAnsi="Times New Roman" w:eastAsia="宋体" w:cs="Times New Roman"/>
                      <w:snapToGrid w:val="0"/>
                      <w:color w:val="auto"/>
                      <w:kern w:val="0"/>
                      <w:sz w:val="21"/>
                      <w:szCs w:val="21"/>
                      <w:lang w:eastAsia="en-US"/>
                    </w:rPr>
                    <w:t>实行重点排放源排放浓度与去除效率双重控制。车间或生产设施收集排放的废气</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VOCs初始排放速率大于等于3千克/小时、重点区域大于等于2千克/小时的</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应加大控制力度</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除确保排放浓度稳定达标外</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还应实行去除效率控制</w:t>
                  </w:r>
                  <w:r>
                    <w:rPr>
                      <w:rFonts w:hint="default" w:ascii="Times New Roman" w:hAnsi="Times New Roman" w:eastAsia="宋体" w:cs="Times New Roman"/>
                      <w:snapToGrid w:val="0"/>
                      <w:color w:val="auto"/>
                      <w:kern w:val="0"/>
                      <w:sz w:val="21"/>
                      <w:szCs w:val="21"/>
                      <w:lang w:eastAsia="zh-CN"/>
                    </w:rPr>
                    <w:t>，</w:t>
                  </w:r>
                  <w:r>
                    <w:rPr>
                      <w:rFonts w:hint="default" w:ascii="Times New Roman" w:hAnsi="Times New Roman" w:eastAsia="宋体" w:cs="Times New Roman"/>
                      <w:snapToGrid w:val="0"/>
                      <w:color w:val="auto"/>
                      <w:kern w:val="0"/>
                      <w:sz w:val="21"/>
                      <w:szCs w:val="21"/>
                      <w:lang w:eastAsia="en-US"/>
                    </w:rPr>
                    <w:t>VOCs去除率应不低于80%。有行业排放标准的按其相关规定执行</w:t>
                  </w:r>
                  <w:r>
                    <w:rPr>
                      <w:rFonts w:hint="eastAsia" w:ascii="Times New Roman" w:hAnsi="Times New Roman" w:eastAsia="宋体" w:cs="Times New Roman"/>
                      <w:snapToGrid w:val="0"/>
                      <w:color w:val="auto"/>
                      <w:kern w:val="0"/>
                      <w:sz w:val="21"/>
                      <w:szCs w:val="21"/>
                      <w:lang w:eastAsia="zh-CN"/>
                    </w:rPr>
                    <w:t>。</w:t>
                  </w:r>
                </w:p>
              </w:tc>
              <w:tc>
                <w:tcPr>
                  <w:tcW w:w="1102" w:type="pct"/>
                  <w:noWrap w:val="0"/>
                  <w:vAlign w:val="center"/>
                </w:tcPr>
                <w:p w14:paraId="39229F89">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eastAsia" w:ascii="Times New Roman" w:hAnsi="Times New Roman" w:eastAsia="宋体" w:cs="Times New Roman"/>
                      <w:snapToGrid w:val="0"/>
                      <w:color w:val="auto"/>
                      <w:kern w:val="0"/>
                      <w:sz w:val="21"/>
                      <w:szCs w:val="21"/>
                      <w:lang w:val="en-US" w:eastAsia="zh-CN"/>
                    </w:rPr>
                    <w:t>本项目有机废气经“二级活性炭吸附装置”处理，处理效率不低于</w:t>
                  </w:r>
                  <w:r>
                    <w:rPr>
                      <w:rFonts w:hint="default" w:ascii="Times New Roman" w:hAnsi="Times New Roman" w:eastAsia="宋体" w:cs="Times New Roman"/>
                      <w:snapToGrid w:val="0"/>
                      <w:color w:val="auto"/>
                      <w:kern w:val="0"/>
                      <w:sz w:val="21"/>
                      <w:szCs w:val="21"/>
                      <w:lang w:val="en-US" w:eastAsia="zh-CN"/>
                    </w:rPr>
                    <w:t>90%</w:t>
                  </w:r>
                  <w:r>
                    <w:rPr>
                      <w:rFonts w:hint="eastAsia" w:ascii="Times New Roman" w:hAnsi="Times New Roman" w:eastAsia="宋体" w:cs="Times New Roman"/>
                      <w:snapToGrid w:val="0"/>
                      <w:color w:val="auto"/>
                      <w:kern w:val="0"/>
                      <w:sz w:val="21"/>
                      <w:szCs w:val="21"/>
                      <w:lang w:val="en-US" w:eastAsia="zh-CN"/>
                    </w:rPr>
                    <w:t>。</w:t>
                  </w:r>
                </w:p>
              </w:tc>
              <w:tc>
                <w:tcPr>
                  <w:tcW w:w="475" w:type="pct"/>
                  <w:noWrap w:val="0"/>
                  <w:vAlign w:val="center"/>
                </w:tcPr>
                <w:p w14:paraId="10CF1B4A">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符合</w:t>
                  </w:r>
                </w:p>
              </w:tc>
            </w:tr>
          </w:tbl>
          <w:p w14:paraId="4A38FE34">
            <w:pPr>
              <w:adjustRightInd w:val="0"/>
              <w:snapToGrid w:val="0"/>
              <w:spacing w:line="360" w:lineRule="auto"/>
              <w:ind w:firstLine="482" w:firstLineChars="200"/>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4"/>
                <w:lang w:val="en-US" w:eastAsia="zh-CN"/>
                <w14:textFill>
                  <w14:solidFill>
                    <w14:schemeClr w14:val="tx1"/>
                  </w14:solidFill>
                </w14:textFill>
              </w:rPr>
              <w:t>10、</w:t>
            </w:r>
            <w:r>
              <w:rPr>
                <w:rFonts w:hint="default" w:ascii="Times New Roman" w:hAnsi="Times New Roman" w:eastAsia="宋体" w:cs="Times New Roman"/>
                <w:b/>
                <w:bCs/>
                <w:color w:val="000000" w:themeColor="text1"/>
                <w:kern w:val="0"/>
                <w:sz w:val="24"/>
                <w:lang w:val="zh-CN" w:eastAsia="zh-CN"/>
                <w14:textFill>
                  <w14:solidFill>
                    <w14:schemeClr w14:val="tx1"/>
                  </w14:solidFill>
                </w14:textFill>
              </w:rPr>
              <w:t>与《关于印发&lt;重点行业挥发性有机物综合治理方案&gt;的通知》（环大气[2019]53号）</w:t>
            </w:r>
            <w:r>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t>符合性分析</w:t>
            </w:r>
          </w:p>
          <w:p w14:paraId="67849EAC">
            <w:pPr>
              <w:pStyle w:val="33"/>
              <w:adjustRightInd w:val="0"/>
              <w:snapToGrid w:val="0"/>
              <w:spacing w:before="0" w:beforeAutospacing="0" w:after="0" w:afterAutospacing="0"/>
              <w:jc w:val="center"/>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表1</w:t>
            </w:r>
            <w:r>
              <w:rPr>
                <w:rFonts w:hint="default" w:ascii="Times New Roman" w:hAnsi="Times New Roman" w:cs="Times New Roman"/>
                <w:b/>
                <w:bCs/>
                <w:sz w:val="21"/>
                <w:szCs w:val="21"/>
                <w:highlight w:val="none"/>
                <w:lang w:val="en-US" w:eastAsia="zh-CN"/>
              </w:rPr>
              <w:t>-</w:t>
            </w:r>
            <w:r>
              <w:rPr>
                <w:rFonts w:hint="eastAsia" w:ascii="Times New Roman" w:hAnsi="Times New Roman" w:cs="Times New Roman"/>
                <w:b/>
                <w:bCs/>
                <w:sz w:val="21"/>
                <w:szCs w:val="21"/>
                <w:highlight w:val="none"/>
                <w:lang w:val="en-US" w:eastAsia="zh-CN"/>
              </w:rPr>
              <w:t>12</w:t>
            </w:r>
            <w:r>
              <w:rPr>
                <w:rFonts w:hint="default" w:ascii="Times New Roman" w:hAnsi="Times New Roman" w:cs="Times New Roman"/>
                <w:b/>
                <w:bCs/>
                <w:sz w:val="21"/>
                <w:szCs w:val="21"/>
                <w:highlight w:val="none"/>
              </w:rPr>
              <w:t xml:space="preserve"> 项目与</w:t>
            </w:r>
            <w:r>
              <w:rPr>
                <w:rFonts w:hint="default" w:ascii="Times New Roman" w:hAnsi="Times New Roman" w:cs="Times New Roman"/>
                <w:b/>
                <w:bCs/>
                <w:sz w:val="21"/>
                <w:szCs w:val="21"/>
                <w:highlight w:val="none"/>
                <w:lang w:val="zh-CN"/>
              </w:rPr>
              <w:t>环大气[2019]53号</w:t>
            </w:r>
            <w:r>
              <w:rPr>
                <w:rFonts w:hint="default" w:ascii="Times New Roman" w:hAnsi="Times New Roman" w:cs="Times New Roman"/>
                <w:b/>
                <w:bCs/>
                <w:sz w:val="21"/>
                <w:szCs w:val="21"/>
                <w:highlight w:val="none"/>
              </w:rPr>
              <w:t>符合分析一览表</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5"/>
              <w:gridCol w:w="5204"/>
              <w:gridCol w:w="2023"/>
              <w:gridCol w:w="579"/>
            </w:tblGrid>
            <w:tr w14:paraId="3D665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697" w:type="pct"/>
                  <w:vAlign w:val="center"/>
                </w:tcPr>
                <w:p w14:paraId="5CC3C486">
                  <w:pPr>
                    <w:pStyle w:val="33"/>
                    <w:adjustRightInd w:val="0"/>
                    <w:snapToGrid w:val="0"/>
                    <w:spacing w:before="0" w:beforeAutospacing="0" w:after="0" w:afterAutospacing="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控制思路</w:t>
                  </w:r>
                </w:p>
              </w:tc>
              <w:tc>
                <w:tcPr>
                  <w:tcW w:w="2868" w:type="pct"/>
                  <w:vAlign w:val="center"/>
                </w:tcPr>
                <w:p w14:paraId="5C8BB929">
                  <w:pPr>
                    <w:pStyle w:val="33"/>
                    <w:adjustRightInd w:val="0"/>
                    <w:snapToGrid w:val="0"/>
                    <w:spacing w:before="0" w:beforeAutospacing="0" w:after="0" w:afterAutospacing="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文件要求</w:t>
                  </w:r>
                </w:p>
              </w:tc>
              <w:tc>
                <w:tcPr>
                  <w:tcW w:w="1115" w:type="pct"/>
                  <w:vAlign w:val="center"/>
                </w:tcPr>
                <w:p w14:paraId="6B379505">
                  <w:pPr>
                    <w:pStyle w:val="33"/>
                    <w:adjustRightInd w:val="0"/>
                    <w:snapToGrid w:val="0"/>
                    <w:spacing w:before="0" w:beforeAutospacing="0" w:after="0" w:afterAutospacing="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项目情况</w:t>
                  </w:r>
                </w:p>
              </w:tc>
              <w:tc>
                <w:tcPr>
                  <w:tcW w:w="319" w:type="pct"/>
                  <w:vAlign w:val="center"/>
                </w:tcPr>
                <w:p w14:paraId="40224BA3">
                  <w:pPr>
                    <w:pStyle w:val="33"/>
                    <w:adjustRightInd w:val="0"/>
                    <w:snapToGrid w:val="0"/>
                    <w:spacing w:before="0" w:beforeAutospacing="0" w:after="0" w:afterAutospacing="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符合性</w:t>
                  </w:r>
                </w:p>
              </w:tc>
            </w:tr>
            <w:tr w14:paraId="51E1C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697" w:type="pct"/>
                  <w:vAlign w:val="center"/>
                </w:tcPr>
                <w:p w14:paraId="687AD766">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大力推进源头替代</w:t>
                  </w:r>
                </w:p>
              </w:tc>
              <w:tc>
                <w:tcPr>
                  <w:tcW w:w="2868" w:type="pct"/>
                  <w:vAlign w:val="center"/>
                </w:tcPr>
                <w:p w14:paraId="6B8825D4">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工业涂装、包装印刷等行业要加大源头替代力度；化工行业要推广使用低（无）VOCs含量、低反应活性的原辅材料，加快对芳香烃、含卤素有机化合物的绿色替代。企业应大力推广使用低VOCs含量木器涂料、车辆涂料、机械设备涂料、集装箱涂料以及建筑物和构筑物防护涂料等，在技术成熟的行业，推广使用低VOCs含量油墨和胶粘剂，重点区域到2020年年底前基本完成。鼓励加快低VOCs含量涂料、油墨、胶粘剂等研发和生产。</w:t>
                  </w:r>
                </w:p>
              </w:tc>
              <w:tc>
                <w:tcPr>
                  <w:tcW w:w="1115" w:type="pct"/>
                  <w:vAlign w:val="center"/>
                </w:tcPr>
                <w:p w14:paraId="2F2FFB2A">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eastAsia" w:ascii="Times New Roman" w:hAnsi="Times New Roman" w:eastAsia="宋体" w:cs="Times New Roman"/>
                      <w:snapToGrid w:val="0"/>
                      <w:color w:val="auto"/>
                      <w:kern w:val="0"/>
                      <w:sz w:val="21"/>
                      <w:szCs w:val="21"/>
                      <w:lang w:val="en-US" w:eastAsia="zh-CN"/>
                    </w:rPr>
                    <w:t>本项目</w:t>
                  </w:r>
                  <w:r>
                    <w:rPr>
                      <w:rFonts w:hint="eastAsia" w:cs="Times New Roman"/>
                      <w:color w:val="000000" w:themeColor="text1"/>
                      <w:kern w:val="0"/>
                      <w:sz w:val="21"/>
                      <w:szCs w:val="21"/>
                      <w:vertAlign w:val="baseline"/>
                      <w:lang w:val="en-US" w:eastAsia="zh-CN"/>
                      <w14:textFill>
                        <w14:solidFill>
                          <w14:schemeClr w14:val="tx1"/>
                        </w14:solidFill>
                      </w14:textFill>
                    </w:rPr>
                    <w:t>产品为聚乙烯蜡，属于C2661 化学试剂和助剂制造</w:t>
                  </w:r>
                  <w:r>
                    <w:rPr>
                      <w:rFonts w:hint="eastAsia" w:ascii="Times New Roman" w:hAnsi="Times New Roman" w:eastAsia="宋体" w:cs="Times New Roman"/>
                      <w:snapToGrid w:val="0"/>
                      <w:color w:val="auto"/>
                      <w:kern w:val="0"/>
                      <w:sz w:val="21"/>
                      <w:szCs w:val="21"/>
                      <w:lang w:val="en-US" w:eastAsia="zh-CN"/>
                    </w:rPr>
                    <w:t>，不涉及使用涂料、油墨、胶粘剂及清洗剂等，且使用的原辅料在常温下不会挥发有机废气。</w:t>
                  </w:r>
                </w:p>
              </w:tc>
              <w:tc>
                <w:tcPr>
                  <w:tcW w:w="319" w:type="pct"/>
                  <w:vAlign w:val="center"/>
                </w:tcPr>
                <w:p w14:paraId="1F275F05">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符合</w:t>
                  </w:r>
                </w:p>
              </w:tc>
            </w:tr>
            <w:tr w14:paraId="1C412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697" w:type="pct"/>
                  <w:vAlign w:val="center"/>
                </w:tcPr>
                <w:p w14:paraId="5DA1033F">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全面加强无组织排放控制</w:t>
                  </w:r>
                </w:p>
              </w:tc>
              <w:tc>
                <w:tcPr>
                  <w:tcW w:w="2868" w:type="pct"/>
                  <w:vAlign w:val="center"/>
                </w:tcPr>
                <w:p w14:paraId="281F16F6">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rPr>
                  </w:pPr>
                  <w:r>
                    <w:rPr>
                      <w:rFonts w:hint="default" w:ascii="Times New Roman" w:hAnsi="Times New Roman" w:eastAsia="宋体" w:cs="Times New Roman"/>
                      <w:snapToGrid w:val="0"/>
                      <w:color w:val="auto"/>
                      <w:kern w:val="0"/>
                      <w:sz w:val="21"/>
                      <w:szCs w:val="21"/>
                      <w:lang w:val="en-US" w:eastAsia="en-US"/>
                    </w:rPr>
                    <w:t>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1115" w:type="pct"/>
                  <w:vAlign w:val="center"/>
                </w:tcPr>
                <w:p w14:paraId="4123E273">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rPr>
                  </w:pPr>
                  <w:r>
                    <w:rPr>
                      <w:rFonts w:hint="eastAsia" w:ascii="Times New Roman" w:hAnsi="Times New Roman" w:eastAsia="宋体" w:cs="Times New Roman"/>
                      <w:snapToGrid w:val="0"/>
                      <w:color w:val="auto"/>
                      <w:kern w:val="0"/>
                      <w:sz w:val="21"/>
                      <w:szCs w:val="21"/>
                      <w:lang w:val="en-US" w:eastAsia="zh-CN"/>
                    </w:rPr>
                    <w:t>本项目使用的原辅料在常温下不会挥发有机废气，生产过程中产生的有机废气均采取集气罩</w:t>
                  </w:r>
                  <w:r>
                    <w:rPr>
                      <w:rFonts w:hint="eastAsia" w:cs="Times New Roman"/>
                      <w:snapToGrid w:val="0"/>
                      <w:color w:val="auto"/>
                      <w:kern w:val="0"/>
                      <w:sz w:val="21"/>
                      <w:szCs w:val="21"/>
                      <w:lang w:val="en-US" w:eastAsia="zh-CN"/>
                    </w:rPr>
                    <w:t>、</w:t>
                  </w:r>
                  <w:r>
                    <w:rPr>
                      <w:rFonts w:hint="eastAsia" w:ascii="Times New Roman" w:hAnsi="Times New Roman" w:eastAsia="宋体" w:cs="Times New Roman"/>
                      <w:snapToGrid w:val="0"/>
                      <w:color w:val="auto"/>
                      <w:kern w:val="0"/>
                      <w:sz w:val="21"/>
                      <w:szCs w:val="21"/>
                      <w:lang w:val="en-US" w:eastAsia="zh-CN"/>
                    </w:rPr>
                    <w:t>集气管道密闭收集，可有效削减</w:t>
                  </w:r>
                  <w:r>
                    <w:rPr>
                      <w:rFonts w:hint="default" w:ascii="Times New Roman" w:hAnsi="Times New Roman" w:eastAsia="宋体" w:cs="Times New Roman"/>
                      <w:snapToGrid w:val="0"/>
                      <w:color w:val="auto"/>
                      <w:kern w:val="0"/>
                      <w:sz w:val="21"/>
                      <w:szCs w:val="21"/>
                      <w:lang w:val="en-US" w:eastAsia="zh-CN"/>
                    </w:rPr>
                    <w:t>VOCs</w:t>
                  </w:r>
                  <w:r>
                    <w:rPr>
                      <w:rFonts w:hint="eastAsia" w:ascii="Times New Roman" w:hAnsi="Times New Roman" w:eastAsia="宋体" w:cs="Times New Roman"/>
                      <w:snapToGrid w:val="0"/>
                      <w:color w:val="auto"/>
                      <w:kern w:val="0"/>
                      <w:sz w:val="21"/>
                      <w:szCs w:val="21"/>
                      <w:lang w:val="en-US" w:eastAsia="zh-CN"/>
                    </w:rPr>
                    <w:t>无组排放。</w:t>
                  </w:r>
                </w:p>
              </w:tc>
              <w:tc>
                <w:tcPr>
                  <w:tcW w:w="319" w:type="pct"/>
                  <w:vAlign w:val="center"/>
                </w:tcPr>
                <w:p w14:paraId="39AA62D1">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符合</w:t>
                  </w:r>
                </w:p>
              </w:tc>
            </w:tr>
            <w:tr w14:paraId="52CBF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7" w:type="pct"/>
                  <w:vAlign w:val="center"/>
                </w:tcPr>
                <w:p w14:paraId="6C11029E">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推进建设适宜高效的治污设施</w:t>
                  </w:r>
                </w:p>
              </w:tc>
              <w:tc>
                <w:tcPr>
                  <w:tcW w:w="2868" w:type="pct"/>
                  <w:vAlign w:val="center"/>
                </w:tcPr>
                <w:p w14:paraId="7BA7E034">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rPr>
                  </w:pPr>
                  <w:r>
                    <w:rPr>
                      <w:rFonts w:hint="default" w:ascii="Times New Roman" w:hAnsi="Times New Roman" w:eastAsia="宋体" w:cs="Times New Roman"/>
                      <w:snapToGrid w:val="0"/>
                      <w:color w:val="auto"/>
                      <w:kern w:val="0"/>
                      <w:sz w:val="21"/>
                      <w:szCs w:val="21"/>
                      <w:lang w:val="en-US" w:eastAsia="en-US"/>
                    </w:rPr>
                    <w:t>企业新建治污设施或对现有治污设施实施改造，应依据排放废气的浓度、组分、风量，温度、湿度、压力，以及生产工况等，合理选择治理技术。</w:t>
                  </w:r>
                </w:p>
              </w:tc>
              <w:tc>
                <w:tcPr>
                  <w:tcW w:w="1115" w:type="pct"/>
                  <w:vAlign w:val="center"/>
                </w:tcPr>
                <w:p w14:paraId="0E7EF0C3">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rPr>
                  </w:pPr>
                  <w:r>
                    <w:rPr>
                      <w:rFonts w:hint="eastAsia" w:ascii="Times New Roman" w:hAnsi="Times New Roman" w:eastAsia="宋体" w:cs="Times New Roman"/>
                      <w:snapToGrid w:val="0"/>
                      <w:color w:val="auto"/>
                      <w:kern w:val="0"/>
                      <w:sz w:val="21"/>
                      <w:szCs w:val="21"/>
                      <w:lang w:val="en-US" w:eastAsia="zh-CN"/>
                    </w:rPr>
                    <w:t>本项目生产过程中产生的有机废气均采取集气罩</w:t>
                  </w:r>
                  <w:r>
                    <w:rPr>
                      <w:rFonts w:hint="eastAsia" w:cs="Times New Roman"/>
                      <w:snapToGrid w:val="0"/>
                      <w:color w:val="auto"/>
                      <w:kern w:val="0"/>
                      <w:sz w:val="21"/>
                      <w:szCs w:val="21"/>
                      <w:lang w:val="en-US" w:eastAsia="zh-CN"/>
                    </w:rPr>
                    <w:t>、</w:t>
                  </w:r>
                  <w:r>
                    <w:rPr>
                      <w:rFonts w:hint="eastAsia" w:ascii="Times New Roman" w:hAnsi="Times New Roman" w:eastAsia="宋体" w:cs="Times New Roman"/>
                      <w:snapToGrid w:val="0"/>
                      <w:color w:val="auto"/>
                      <w:kern w:val="0"/>
                      <w:sz w:val="21"/>
                      <w:szCs w:val="21"/>
                      <w:lang w:val="en-US" w:eastAsia="zh-CN"/>
                    </w:rPr>
                    <w:t>集气管道密闭收集，并采用“二级活性炭吸附装置”高效废气治理设施处理。</w:t>
                  </w:r>
                </w:p>
              </w:tc>
              <w:tc>
                <w:tcPr>
                  <w:tcW w:w="319" w:type="pct"/>
                  <w:vAlign w:val="center"/>
                </w:tcPr>
                <w:p w14:paraId="7FB2DB16">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符合</w:t>
                  </w:r>
                </w:p>
              </w:tc>
            </w:tr>
            <w:tr w14:paraId="3A6C2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697" w:type="pct"/>
                  <w:vAlign w:val="center"/>
                </w:tcPr>
                <w:p w14:paraId="020A9BBD">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化工行业VOCs综合治理</w:t>
                  </w:r>
                </w:p>
              </w:tc>
              <w:tc>
                <w:tcPr>
                  <w:tcW w:w="2868" w:type="pct"/>
                  <w:vAlign w:val="center"/>
                </w:tcPr>
                <w:p w14:paraId="054F4E96">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加强制药、农药、涂料、油墨、胶粘剂、橡胶和塑料制品等行业VOCs治理力度。重点提高涉VOCs排放主要工序密闭化水平，加强无组织排放收集，加大含VOCs物料储存和装卸治理力度。</w:t>
                  </w:r>
                </w:p>
              </w:tc>
              <w:tc>
                <w:tcPr>
                  <w:tcW w:w="1115" w:type="pct"/>
                  <w:shd w:val="clear" w:color="auto" w:fill="auto"/>
                  <w:vAlign w:val="center"/>
                </w:tcPr>
                <w:p w14:paraId="7B08DC15">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ascii="Times New Roman" w:hAnsi="Times New Roman" w:eastAsia="宋体" w:cs="Times New Roman"/>
                      <w:snapToGrid w:val="0"/>
                      <w:color w:val="auto"/>
                      <w:kern w:val="0"/>
                      <w:sz w:val="21"/>
                      <w:szCs w:val="21"/>
                      <w:lang w:val="en-US" w:eastAsia="zh-CN"/>
                    </w:rPr>
                    <w:t>本项目生产过程中产生的有机废气均采取集气罩</w:t>
                  </w:r>
                  <w:r>
                    <w:rPr>
                      <w:rFonts w:hint="eastAsia" w:cs="Times New Roman"/>
                      <w:snapToGrid w:val="0"/>
                      <w:color w:val="auto"/>
                      <w:kern w:val="0"/>
                      <w:sz w:val="21"/>
                      <w:szCs w:val="21"/>
                      <w:lang w:val="en-US" w:eastAsia="zh-CN"/>
                    </w:rPr>
                    <w:t>、</w:t>
                  </w:r>
                  <w:r>
                    <w:rPr>
                      <w:rFonts w:hint="eastAsia" w:ascii="Times New Roman" w:hAnsi="Times New Roman" w:eastAsia="宋体" w:cs="Times New Roman"/>
                      <w:snapToGrid w:val="0"/>
                      <w:color w:val="auto"/>
                      <w:kern w:val="0"/>
                      <w:sz w:val="21"/>
                      <w:szCs w:val="21"/>
                      <w:lang w:val="en-US" w:eastAsia="zh-CN"/>
                    </w:rPr>
                    <w:t>集气管道密闭收集，并采用“二级活性炭吸附装置”高效废气治理设施处理。</w:t>
                  </w:r>
                </w:p>
              </w:tc>
              <w:tc>
                <w:tcPr>
                  <w:tcW w:w="319" w:type="pct"/>
                  <w:vAlign w:val="center"/>
                </w:tcPr>
                <w:p w14:paraId="43C60F5C">
                  <w:pPr>
                    <w:widowControl/>
                    <w:kinsoku w:val="0"/>
                    <w:autoSpaceDE w:val="0"/>
                    <w:autoSpaceDN w:val="0"/>
                    <w:bidi w:val="0"/>
                    <w:adjustRightInd w:val="0"/>
                    <w:snapToGrid w:val="0"/>
                    <w:spacing w:line="240" w:lineRule="auto"/>
                    <w:jc w:val="center"/>
                    <w:textAlignment w:val="baseline"/>
                    <w:rPr>
                      <w:rFonts w:hint="default" w:ascii="Times New Roman" w:hAnsi="Times New Roman" w:eastAsia="宋体" w:cs="Times New Roman"/>
                      <w:snapToGrid w:val="0"/>
                      <w:color w:val="auto"/>
                      <w:kern w:val="0"/>
                      <w:sz w:val="21"/>
                      <w:szCs w:val="21"/>
                      <w:lang w:eastAsia="en-US"/>
                    </w:rPr>
                  </w:pPr>
                  <w:r>
                    <w:rPr>
                      <w:rFonts w:hint="default" w:ascii="Times New Roman" w:hAnsi="Times New Roman" w:eastAsia="宋体" w:cs="Times New Roman"/>
                      <w:snapToGrid w:val="0"/>
                      <w:color w:val="auto"/>
                      <w:kern w:val="0"/>
                      <w:sz w:val="21"/>
                      <w:szCs w:val="21"/>
                      <w:lang w:eastAsia="en-US"/>
                    </w:rPr>
                    <w:t>符合</w:t>
                  </w:r>
                </w:p>
              </w:tc>
            </w:tr>
          </w:tbl>
          <w:p w14:paraId="70FEBA05">
            <w:pPr>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本项目生产过程中产生的有机废气均采取集气罩</w:t>
            </w:r>
            <w:r>
              <w:rPr>
                <w:rFonts w:hint="eastAsia" w:cs="Times New Roman"/>
                <w:color w:val="000000" w:themeColor="text1"/>
                <w:sz w:val="24"/>
                <w:lang w:val="en-US"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集气管道密闭收集，并采用“二级活性炭吸附装置”高效废气治理设施处理，符合《挥发性有机物（VOCs）污染防治技术政策》（公告2013年第31号）要求。</w:t>
            </w:r>
          </w:p>
          <w:p w14:paraId="362CD0BF">
            <w:pPr>
              <w:rPr>
                <w:rFonts w:hint="default" w:ascii="Times New Roman" w:hAnsi="Times New Roman" w:eastAsia="宋体" w:cs="Times New Roman"/>
                <w:b/>
                <w:color w:val="000000" w:themeColor="text1"/>
                <w:szCs w:val="21"/>
                <w:lang w:val="en-US" w:eastAsia="zh-CN"/>
                <w14:textFill>
                  <w14:solidFill>
                    <w14:schemeClr w14:val="tx1"/>
                  </w14:solidFill>
                </w14:textFill>
              </w:rPr>
            </w:pPr>
          </w:p>
        </w:tc>
      </w:tr>
    </w:tbl>
    <w:p w14:paraId="50F55236">
      <w:pPr>
        <w:rPr>
          <w:rFonts w:hint="default" w:ascii="Times New Roman" w:hAnsi="Times New Roman" w:eastAsia="宋体" w:cs="Times New Roman"/>
          <w:color w:val="000000" w:themeColor="text1"/>
          <w14:textFill>
            <w14:solidFill>
              <w14:schemeClr w14:val="tx1"/>
            </w14:solidFill>
          </w14:textFill>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0E6908F3">
      <w:pPr>
        <w:pStyle w:val="33"/>
        <w:jc w:val="center"/>
        <w:outlineLvl w:val="0"/>
        <w:rPr>
          <w:rFonts w:hint="default" w:ascii="Times New Roman" w:hAnsi="Times New Roman" w:eastAsia="宋体" w:cs="Times New Roman"/>
          <w:snapToGrid w:val="0"/>
          <w:color w:val="000000" w:themeColor="text1"/>
          <w:sz w:val="30"/>
          <w:szCs w:val="30"/>
          <w14:textFill>
            <w14:solidFill>
              <w14:schemeClr w14:val="tx1"/>
            </w14:solidFill>
          </w14:textFill>
        </w:rPr>
      </w:pPr>
      <w:r>
        <w:rPr>
          <w:rFonts w:hint="default" w:ascii="Times New Roman" w:hAnsi="Times New Roman" w:eastAsia="宋体" w:cs="Times New Roman"/>
          <w:snapToGrid w:val="0"/>
          <w:color w:val="000000" w:themeColor="text1"/>
          <w:sz w:val="30"/>
          <w:szCs w:val="30"/>
          <w14:textFill>
            <w14:solidFill>
              <w14:schemeClr w14:val="tx1"/>
            </w14:solidFill>
          </w14:textFill>
        </w:rPr>
        <w:t>二、建设项目工程分析</w:t>
      </w:r>
    </w:p>
    <w:tbl>
      <w:tblPr>
        <w:tblStyle w:val="38"/>
        <w:tblW w:w="528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0446"/>
      </w:tblGrid>
      <w:tr w14:paraId="43FCA0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324" w:type="pct"/>
            <w:vAlign w:val="center"/>
          </w:tcPr>
          <w:p w14:paraId="6E8917BC">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建设内容</w:t>
            </w:r>
          </w:p>
        </w:tc>
        <w:tc>
          <w:tcPr>
            <w:tcW w:w="4675" w:type="pct"/>
            <w:vAlign w:val="center"/>
          </w:tcPr>
          <w:p w14:paraId="1C606FC0">
            <w:pPr>
              <w:adjustRightInd w:val="0"/>
              <w:snapToGrid w:val="0"/>
              <w:spacing w:line="360" w:lineRule="auto"/>
              <w:ind w:left="420" w:leftChars="200"/>
              <w:jc w:val="left"/>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1、项目由来</w:t>
            </w:r>
          </w:p>
          <w:p w14:paraId="3AABD452">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eastAsia="zh-CN"/>
                <w14:textFill>
                  <w14:solidFill>
                    <w14:schemeClr w14:val="tx1"/>
                  </w14:solidFill>
                </w14:textFill>
              </w:rPr>
              <w:t>淄博东润一枝新材料有限公司成立于2016年02月05日，注册地位于山东省淄博市张店区湖田街道办事处南焦宋村南首，法定代表人为董旭业。经营范围包括一般项目：新材料技术推广服务；化工产品销售（不含许可类化工产品）；石油制品销售（不含危险化学品）；非金属矿及制品销售；日用化学产品销售；专用化学产品销售（不含危险化学品）；合成材料销售；合成材料制造（不含危险化学品）；化工产品生产（不含许可类化工产品）；塑料制品制造。（除依法须经批准的项目外，凭营业执照依法自主开展经营活动）</w:t>
            </w:r>
            <w:r>
              <w:rPr>
                <w:rFonts w:hint="default" w:ascii="Times New Roman" w:hAnsi="Times New Roman" w:eastAsia="宋体" w:cs="Times New Roman"/>
                <w:color w:val="000000" w:themeColor="text1"/>
                <w:sz w:val="24"/>
                <w14:textFill>
                  <w14:solidFill>
                    <w14:schemeClr w14:val="tx1"/>
                  </w14:solidFill>
                </w14:textFill>
              </w:rPr>
              <w:t>。</w:t>
            </w:r>
          </w:p>
          <w:p w14:paraId="5B39427C">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eastAsia="zh-CN"/>
                <w14:textFill>
                  <w14:solidFill>
                    <w14:schemeClr w14:val="tx1"/>
                  </w14:solidFill>
                </w14:textFill>
              </w:rPr>
              <w:t>淄</w:t>
            </w:r>
            <w:r>
              <w:rPr>
                <w:rFonts w:hint="eastAsia" w:cs="Times New Roman"/>
                <w:color w:val="000000" w:themeColor="text1"/>
                <w:sz w:val="24"/>
                <w:lang w:val="en-US" w:eastAsia="zh-CN"/>
                <w14:textFill>
                  <w14:solidFill>
                    <w14:schemeClr w14:val="tx1"/>
                  </w14:solidFill>
                </w14:textFill>
              </w:rPr>
              <w:t>博东润一枝新材料有限公司</w:t>
            </w:r>
            <w:r>
              <w:rPr>
                <w:rFonts w:hint="default" w:cs="Times New Roman"/>
                <w:color w:val="000000" w:themeColor="text1"/>
                <w:sz w:val="24"/>
                <w:lang w:val="en-US" w:eastAsia="zh-CN"/>
                <w14:textFill>
                  <w14:solidFill>
                    <w14:schemeClr w14:val="tx1"/>
                  </w14:solidFill>
                </w14:textFill>
              </w:rPr>
              <w:t>拟投资</w:t>
            </w:r>
            <w:r>
              <w:rPr>
                <w:rFonts w:hint="eastAsia" w:cs="Times New Roman"/>
                <w:color w:val="000000" w:themeColor="text1"/>
                <w:sz w:val="24"/>
                <w:lang w:val="en-US" w:eastAsia="zh-CN"/>
                <w14:textFill>
                  <w14:solidFill>
                    <w14:schemeClr w14:val="tx1"/>
                  </w14:solidFill>
                </w14:textFill>
              </w:rPr>
              <w:t>200</w:t>
            </w:r>
            <w:r>
              <w:rPr>
                <w:rFonts w:hint="default" w:cs="Times New Roman"/>
                <w:color w:val="000000" w:themeColor="text1"/>
                <w:sz w:val="24"/>
                <w:lang w:val="en-US" w:eastAsia="zh-CN"/>
                <w14:textFill>
                  <w14:solidFill>
                    <w14:schemeClr w14:val="tx1"/>
                  </w14:solidFill>
                </w14:textFill>
              </w:rPr>
              <w:t>万元</w:t>
            </w:r>
            <w:r>
              <w:rPr>
                <w:rFonts w:hint="eastAsia" w:cs="Times New Roman"/>
                <w:color w:val="000000" w:themeColor="text1"/>
                <w:sz w:val="24"/>
                <w:lang w:val="en-US" w:eastAsia="zh-CN"/>
                <w14:textFill>
                  <w14:solidFill>
                    <w14:schemeClr w14:val="tx1"/>
                  </w14:solidFill>
                </w14:textFill>
              </w:rPr>
              <w:t>，</w:t>
            </w:r>
            <w:r>
              <w:rPr>
                <w:rFonts w:hint="default" w:cs="Times New Roman"/>
                <w:color w:val="000000" w:themeColor="text1"/>
                <w:sz w:val="24"/>
                <w:lang w:val="en-US" w:eastAsia="zh-CN"/>
                <w14:textFill>
                  <w14:solidFill>
                    <w14:schemeClr w14:val="tx1"/>
                  </w14:solidFill>
                </w14:textFill>
              </w:rPr>
              <w:t>建设“</w:t>
            </w:r>
            <w:r>
              <w:rPr>
                <w:rFonts w:hint="eastAsia" w:cs="Times New Roman"/>
                <w:color w:val="000000" w:themeColor="text1"/>
                <w:sz w:val="24"/>
                <w:lang w:val="en-US" w:eastAsia="zh-CN"/>
                <w14:textFill>
                  <w14:solidFill>
                    <w14:schemeClr w14:val="tx1"/>
                  </w14:solidFill>
                </w14:textFill>
              </w:rPr>
              <w:t>淄博东润一枝新材料有限公司年产2000吨聚乙烯蜡项目</w:t>
            </w:r>
            <w:r>
              <w:rPr>
                <w:rFonts w:hint="default" w:cs="Times New Roman"/>
                <w:color w:val="000000" w:themeColor="text1"/>
                <w:sz w:val="24"/>
                <w:lang w:val="en-US" w:eastAsia="zh-CN"/>
                <w14:textFill>
                  <w14:solidFill>
                    <w14:schemeClr w14:val="tx1"/>
                  </w14:solidFill>
                </w14:textFill>
              </w:rPr>
              <w:t>”（以下简称本项目）。本项目租赁原有厂房，</w:t>
            </w:r>
            <w:r>
              <w:rPr>
                <w:rFonts w:hint="eastAsia" w:cs="Times New Roman"/>
                <w:color w:val="000000" w:themeColor="text1"/>
                <w:sz w:val="24"/>
                <w:lang w:val="en-US" w:eastAsia="zh-CN"/>
                <w14:textFill>
                  <w14:solidFill>
                    <w14:schemeClr w14:val="tx1"/>
                  </w14:solidFill>
                </w14:textFill>
              </w:rPr>
              <w:t>建筑面积400m</w:t>
            </w:r>
            <w:r>
              <w:rPr>
                <w:rFonts w:hint="eastAsia" w:cs="Times New Roman"/>
                <w:color w:val="000000" w:themeColor="text1"/>
                <w:sz w:val="24"/>
                <w:vertAlign w:val="superscript"/>
                <w:lang w:val="en-US" w:eastAsia="zh-CN"/>
                <w14:textFill>
                  <w14:solidFill>
                    <w14:schemeClr w14:val="tx1"/>
                  </w14:solidFill>
                </w14:textFill>
              </w:rPr>
              <w:t>2</w:t>
            </w:r>
            <w:r>
              <w:rPr>
                <w:rFonts w:hint="eastAsia" w:cs="Times New Roman"/>
                <w:color w:val="000000" w:themeColor="text1"/>
                <w:sz w:val="24"/>
                <w:lang w:val="en-US" w:eastAsia="zh-CN"/>
                <w14:textFill>
                  <w14:solidFill>
                    <w14:schemeClr w14:val="tx1"/>
                  </w14:solidFill>
                </w14:textFill>
              </w:rPr>
              <w:t>，</w:t>
            </w:r>
            <w:r>
              <w:rPr>
                <w:rFonts w:hint="default" w:cs="Times New Roman"/>
                <w:color w:val="000000" w:themeColor="text1"/>
                <w:sz w:val="24"/>
                <w:lang w:val="en-US" w:eastAsia="zh-CN"/>
                <w14:textFill>
                  <w14:solidFill>
                    <w14:schemeClr w14:val="tx1"/>
                  </w14:solidFill>
                </w14:textFill>
              </w:rPr>
              <w:t>购置2台加热搅拌罐、1台压片机、1台冷却塔、1台空气压缩机、1台储气罐、2台电加热导热油炉、</w:t>
            </w:r>
            <w:r>
              <w:rPr>
                <w:rFonts w:hint="eastAsia" w:cs="Times New Roman"/>
                <w:color w:val="000000" w:themeColor="text1"/>
                <w:sz w:val="24"/>
                <w:lang w:val="en-US" w:eastAsia="zh-CN"/>
                <w14:textFill>
                  <w14:solidFill>
                    <w14:schemeClr w14:val="tx1"/>
                  </w14:solidFill>
                </w14:textFill>
              </w:rPr>
              <w:t>1台自动包装机、2台储料罐、</w:t>
            </w:r>
            <w:r>
              <w:rPr>
                <w:rFonts w:hint="default" w:cs="Times New Roman"/>
                <w:color w:val="000000" w:themeColor="text1"/>
                <w:sz w:val="24"/>
                <w:lang w:val="en-US" w:eastAsia="zh-CN"/>
                <w14:textFill>
                  <w14:solidFill>
                    <w14:schemeClr w14:val="tx1"/>
                  </w14:solidFill>
                </w14:textFill>
              </w:rPr>
              <w:t>1台二级活性炭吸附装置及配套风机，</w:t>
            </w:r>
            <w:r>
              <w:rPr>
                <w:rFonts w:hint="eastAsia" w:cs="Times New Roman"/>
                <w:color w:val="000000" w:themeColor="text1"/>
                <w:sz w:val="24"/>
                <w:lang w:val="en-US" w:eastAsia="zh-CN"/>
                <w14:textFill>
                  <w14:solidFill>
                    <w14:schemeClr w14:val="tx1"/>
                  </w14:solidFill>
                </w14:textFill>
              </w:rPr>
              <w:t>以费托蜡和聚乙烯蜡为原料，经投料、加热熔融、搅拌混合、制片等工序生产</w:t>
            </w:r>
            <w:r>
              <w:rPr>
                <w:rFonts w:hint="default" w:ascii="Times New Roman" w:hAnsi="Times New Roman" w:eastAsia="宋体" w:cs="Times New Roman"/>
                <w:color w:val="000000" w:themeColor="text1"/>
                <w:sz w:val="24"/>
                <w:lang w:val="en-US" w:eastAsia="zh-CN"/>
                <w14:textFill>
                  <w14:solidFill>
                    <w14:schemeClr w14:val="tx1"/>
                  </w14:solidFill>
                </w14:textFill>
              </w:rPr>
              <w:t>聚乙烯蜡</w:t>
            </w:r>
            <w:r>
              <w:rPr>
                <w:rFonts w:hint="eastAsia" w:cs="Times New Roman"/>
                <w:color w:val="000000" w:themeColor="text1"/>
                <w:sz w:val="24"/>
                <w:lang w:val="en-US" w:eastAsia="zh-CN"/>
                <w14:textFill>
                  <w14:solidFill>
                    <w14:schemeClr w14:val="tx1"/>
                  </w14:solidFill>
                </w14:textFill>
              </w:rPr>
              <w:t>，</w:t>
            </w:r>
            <w:r>
              <w:rPr>
                <w:rFonts w:hint="default" w:cs="Times New Roman"/>
                <w:color w:val="000000" w:themeColor="text1"/>
                <w:sz w:val="24"/>
                <w:lang w:val="en-US" w:eastAsia="zh-CN"/>
                <w14:textFill>
                  <w14:solidFill>
                    <w14:schemeClr w14:val="tx1"/>
                  </w14:solidFill>
                </w14:textFill>
              </w:rPr>
              <w:t>项目建成</w:t>
            </w:r>
            <w:r>
              <w:rPr>
                <w:rFonts w:hint="default" w:ascii="Times New Roman" w:hAnsi="Times New Roman" w:eastAsia="宋体" w:cs="Times New Roman"/>
                <w:color w:val="000000" w:themeColor="text1"/>
                <w:sz w:val="24"/>
                <w:lang w:val="en-US" w:eastAsia="zh-CN"/>
                <w14:textFill>
                  <w14:solidFill>
                    <w14:schemeClr w14:val="tx1"/>
                  </w14:solidFill>
                </w14:textFill>
              </w:rPr>
              <w:t>后年产2000吨聚乙烯蜡。</w:t>
            </w:r>
            <w:r>
              <w:rPr>
                <w:rFonts w:hint="default" w:ascii="Times New Roman" w:hAnsi="Times New Roman" w:eastAsia="宋体" w:cs="Times New Roman"/>
                <w:color w:val="000000" w:themeColor="text1"/>
                <w:sz w:val="24"/>
                <w14:textFill>
                  <w14:solidFill>
                    <w14:schemeClr w14:val="tx1"/>
                  </w14:solidFill>
                </w14:textFill>
              </w:rPr>
              <w:t>项目劳动定员</w:t>
            </w:r>
            <w:r>
              <w:rPr>
                <w:rFonts w:hint="eastAsia" w:cs="Times New Roman"/>
                <w:color w:val="000000" w:themeColor="text1"/>
                <w:sz w:val="24"/>
                <w:lang w:val="en-US" w:eastAsia="zh-CN"/>
                <w14:textFill>
                  <w14:solidFill>
                    <w14:schemeClr w14:val="tx1"/>
                  </w14:solidFill>
                </w14:textFill>
              </w:rPr>
              <w:t>5</w:t>
            </w:r>
            <w:r>
              <w:rPr>
                <w:rFonts w:hint="default" w:ascii="Times New Roman" w:hAnsi="Times New Roman" w:eastAsia="宋体" w:cs="Times New Roman"/>
                <w:color w:val="000000" w:themeColor="text1"/>
                <w:sz w:val="24"/>
                <w14:textFill>
                  <w14:solidFill>
                    <w14:schemeClr w14:val="tx1"/>
                  </w14:solidFill>
                </w14:textFill>
              </w:rPr>
              <w:t>人，实行</w:t>
            </w:r>
            <w:r>
              <w:rPr>
                <w:rFonts w:hint="eastAsia" w:cs="Times New Roman"/>
                <w:color w:val="000000" w:themeColor="text1"/>
                <w:sz w:val="24"/>
                <w:lang w:val="en-US" w:eastAsia="zh-CN"/>
                <w14:textFill>
                  <w14:solidFill>
                    <w14:schemeClr w14:val="tx1"/>
                  </w14:solidFill>
                </w14:textFill>
              </w:rPr>
              <w:t>两班</w:t>
            </w:r>
            <w:r>
              <w:rPr>
                <w:rFonts w:hint="default" w:ascii="Times New Roman" w:hAnsi="Times New Roman" w:eastAsia="宋体" w:cs="Times New Roman"/>
                <w:color w:val="000000" w:themeColor="text1"/>
                <w:sz w:val="24"/>
                <w14:textFill>
                  <w14:solidFill>
                    <w14:schemeClr w14:val="tx1"/>
                  </w14:solidFill>
                </w14:textFill>
              </w:rPr>
              <w:t>工作制，</w:t>
            </w:r>
            <w:r>
              <w:rPr>
                <w:rFonts w:hint="eastAsia" w:cs="Times New Roman"/>
                <w:color w:val="000000" w:themeColor="text1"/>
                <w:sz w:val="24"/>
                <w:lang w:val="en-US" w:eastAsia="zh-CN"/>
                <w14:textFill>
                  <w14:solidFill>
                    <w14:schemeClr w14:val="tx1"/>
                  </w14:solidFill>
                </w14:textFill>
              </w:rPr>
              <w:t>每班8h，</w:t>
            </w:r>
            <w:r>
              <w:rPr>
                <w:rFonts w:hint="default" w:ascii="Times New Roman" w:hAnsi="Times New Roman" w:eastAsia="宋体" w:cs="Times New Roman"/>
                <w:color w:val="000000" w:themeColor="text1"/>
                <w:sz w:val="24"/>
                <w14:textFill>
                  <w14:solidFill>
                    <w14:schemeClr w14:val="tx1"/>
                  </w14:solidFill>
                </w14:textFill>
              </w:rPr>
              <w:t>年运行300天，年工作</w:t>
            </w:r>
            <w:r>
              <w:rPr>
                <w:rFonts w:hint="eastAsia" w:cs="Times New Roman"/>
                <w:color w:val="000000" w:themeColor="text1"/>
                <w:sz w:val="24"/>
                <w:lang w:val="en-US" w:eastAsia="zh-CN"/>
                <w14:textFill>
                  <w14:solidFill>
                    <w14:schemeClr w14:val="tx1"/>
                  </w14:solidFill>
                </w14:textFill>
              </w:rPr>
              <w:t>4800</w:t>
            </w:r>
            <w:r>
              <w:rPr>
                <w:rFonts w:hint="default" w:ascii="Times New Roman" w:hAnsi="Times New Roman" w:eastAsia="宋体" w:cs="Times New Roman"/>
                <w:color w:val="000000" w:themeColor="text1"/>
                <w:sz w:val="24"/>
                <w14:textFill>
                  <w14:solidFill>
                    <w14:schemeClr w14:val="tx1"/>
                  </w14:solidFill>
                </w14:textFill>
              </w:rPr>
              <w:t>h。</w:t>
            </w:r>
          </w:p>
          <w:p w14:paraId="3EB87ACB">
            <w:pPr>
              <w:adjustRightInd w:val="0"/>
              <w:snapToGrid w:val="0"/>
              <w:spacing w:line="360" w:lineRule="auto"/>
              <w:ind w:firstLine="480"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中华人民共和国环境保护法》、《中华人民共和国环境影响评价法》、《建设项目环境保护管理条例》及《建设项目环境影响评价分类管理名录》等法律法规的要求，项目应开展环境影响评价，本项目属于分类管理名录中“</w:t>
            </w:r>
            <w:r>
              <w:rPr>
                <w:rFonts w:hint="eastAsia" w:ascii="宋体" w:hAnsi="宋体" w:cs="宋体"/>
                <w:sz w:val="24"/>
                <w:lang w:val="en-US" w:eastAsia="zh-CN"/>
              </w:rPr>
              <w:t>二十三、化学原料和化学制品制造业 26之44-单纯物理分离、物理提纯、混合、分装的（不产生废水或挥发性有机物的除外）</w:t>
            </w:r>
            <w:r>
              <w:rPr>
                <w:rFonts w:hint="default" w:ascii="Times New Roman" w:hAnsi="Times New Roman" w:eastAsia="宋体" w:cs="Times New Roman"/>
                <w:color w:val="000000" w:themeColor="text1"/>
                <w:sz w:val="24"/>
                <w14:textFill>
                  <w14:solidFill>
                    <w14:schemeClr w14:val="tx1"/>
                  </w14:solidFill>
                </w14:textFill>
              </w:rPr>
              <w:t>”，应编制环境影响报告表。因此，建设单位委托我司编制</w:t>
            </w:r>
            <w:r>
              <w:rPr>
                <w:rFonts w:hint="eastAsia" w:cs="Times New Roman"/>
                <w:color w:val="000000" w:themeColor="text1"/>
                <w:sz w:val="24"/>
                <w:lang w:eastAsia="zh-CN"/>
                <w14:textFill>
                  <w14:solidFill>
                    <w14:schemeClr w14:val="tx1"/>
                  </w14:solidFill>
                </w14:textFill>
              </w:rPr>
              <w:t>本项目</w:t>
            </w:r>
            <w:r>
              <w:rPr>
                <w:rFonts w:hint="default" w:ascii="Times New Roman" w:hAnsi="Times New Roman" w:eastAsia="宋体" w:cs="Times New Roman"/>
                <w:color w:val="000000" w:themeColor="text1"/>
                <w:sz w:val="24"/>
                <w14:textFill>
                  <w14:solidFill>
                    <w14:schemeClr w14:val="tx1"/>
                  </w14:solidFill>
                </w14:textFill>
              </w:rPr>
              <w:t>的环境影响报告表，接受委托后，我单位立即派技术人员踏勘现场和收集有关资料，并依照相关规定编写成本报告表，供建设单位报环保主管部门审批和作为污染防治设施建设的依据。</w:t>
            </w:r>
          </w:p>
          <w:p w14:paraId="464B9F3A">
            <w:pPr>
              <w:adjustRightInd w:val="0"/>
              <w:snapToGrid w:val="0"/>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2、主要建设概况</w:t>
            </w:r>
          </w:p>
          <w:p w14:paraId="5E2859F9">
            <w:pPr>
              <w:adjustRightInd w:val="0"/>
              <w:snapToGrid w:val="0"/>
              <w:spacing w:line="360" w:lineRule="auto"/>
              <w:ind w:firstLine="480" w:firstLineChars="200"/>
              <w:rPr>
                <w:rFonts w:hint="eastAsia"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项目名称：</w:t>
            </w:r>
            <w:r>
              <w:rPr>
                <w:rFonts w:hint="eastAsia" w:cs="Times New Roman"/>
                <w:color w:val="000000" w:themeColor="text1"/>
                <w:sz w:val="24"/>
                <w:lang w:eastAsia="zh-CN"/>
                <w14:textFill>
                  <w14:solidFill>
                    <w14:schemeClr w14:val="tx1"/>
                  </w14:solidFill>
                </w14:textFill>
              </w:rPr>
              <w:t>淄博东润一枝新材料有限公司年产2000吨聚乙烯蜡项目</w:t>
            </w:r>
          </w:p>
          <w:p w14:paraId="4D10807F">
            <w:pPr>
              <w:adjustRightInd w:val="0"/>
              <w:snapToGrid w:val="0"/>
              <w:spacing w:line="360" w:lineRule="auto"/>
              <w:ind w:firstLine="480" w:firstLineChars="200"/>
              <w:rPr>
                <w:rFonts w:hint="eastAsia"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建设单位：</w:t>
            </w:r>
            <w:r>
              <w:rPr>
                <w:rFonts w:hint="eastAsia" w:cs="Times New Roman"/>
                <w:color w:val="000000" w:themeColor="text1"/>
                <w:sz w:val="24"/>
                <w:lang w:eastAsia="zh-CN"/>
                <w14:textFill>
                  <w14:solidFill>
                    <w14:schemeClr w14:val="tx1"/>
                  </w14:solidFill>
                </w14:textFill>
              </w:rPr>
              <w:t>淄博东润一枝新材料有限公司</w:t>
            </w:r>
          </w:p>
          <w:p w14:paraId="0D1E5637">
            <w:pPr>
              <w:adjustRightInd w:val="0"/>
              <w:snapToGrid w:val="0"/>
              <w:spacing w:line="360" w:lineRule="auto"/>
              <w:ind w:firstLine="480" w:firstLineChars="200"/>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项目性质：新建</w:t>
            </w:r>
          </w:p>
          <w:p w14:paraId="5FDE39CB">
            <w:pPr>
              <w:adjustRightInd w:val="0"/>
              <w:snapToGrid w:val="0"/>
              <w:spacing w:line="360" w:lineRule="auto"/>
              <w:ind w:firstLine="480" w:firstLineChars="200"/>
              <w:rPr>
                <w:rFonts w:hint="eastAsia"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建设地点：</w:t>
            </w:r>
            <w:r>
              <w:rPr>
                <w:rFonts w:hint="eastAsia" w:cs="Times New Roman"/>
                <w:color w:val="000000" w:themeColor="text1"/>
                <w:sz w:val="24"/>
                <w:lang w:eastAsia="zh-CN"/>
                <w14:textFill>
                  <w14:solidFill>
                    <w14:schemeClr w14:val="tx1"/>
                  </w14:solidFill>
                </w14:textFill>
              </w:rPr>
              <w:t>山东省淄博市张店区湖田街道办事处南焦宋村南首</w:t>
            </w:r>
          </w:p>
          <w:p w14:paraId="6B5C1B54">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建设内容及规模：</w:t>
            </w:r>
            <w:r>
              <w:rPr>
                <w:rFonts w:hint="eastAsia" w:cs="Times New Roman"/>
                <w:color w:val="000000" w:themeColor="text1"/>
                <w:sz w:val="24"/>
                <w:lang w:val="en-US" w:eastAsia="zh-CN"/>
                <w14:textFill>
                  <w14:solidFill>
                    <w14:schemeClr w14:val="tx1"/>
                  </w14:solidFill>
                </w14:textFill>
              </w:rPr>
              <w:t>项目总</w:t>
            </w:r>
            <w:r>
              <w:rPr>
                <w:rFonts w:hint="default" w:ascii="Times New Roman" w:hAnsi="Times New Roman" w:eastAsia="宋体" w:cs="Times New Roman"/>
                <w:color w:val="000000" w:themeColor="text1"/>
                <w:sz w:val="24"/>
                <w14:textFill>
                  <w14:solidFill>
                    <w14:schemeClr w14:val="tx1"/>
                  </w14:solidFill>
                </w14:textFill>
              </w:rPr>
              <w:t>投资</w:t>
            </w:r>
            <w:r>
              <w:rPr>
                <w:rFonts w:hint="eastAsia" w:cs="Times New Roman"/>
                <w:color w:val="000000" w:themeColor="text1"/>
                <w:sz w:val="24"/>
                <w:lang w:val="en-US" w:eastAsia="zh-CN"/>
                <w14:textFill>
                  <w14:solidFill>
                    <w14:schemeClr w14:val="tx1"/>
                  </w14:solidFill>
                </w14:textFill>
              </w:rPr>
              <w:t>2</w:t>
            </w:r>
            <w:r>
              <w:rPr>
                <w:rFonts w:hint="default" w:ascii="Times New Roman" w:hAnsi="Times New Roman" w:eastAsia="宋体" w:cs="Times New Roman"/>
                <w:color w:val="000000" w:themeColor="text1"/>
                <w:sz w:val="24"/>
                <w:lang w:val="en-US" w:eastAsia="zh-CN"/>
                <w14:textFill>
                  <w14:solidFill>
                    <w14:schemeClr w14:val="tx1"/>
                  </w14:solidFill>
                </w14:textFill>
              </w:rPr>
              <w:t>00</w:t>
            </w:r>
            <w:r>
              <w:rPr>
                <w:rFonts w:hint="default" w:ascii="Times New Roman" w:hAnsi="Times New Roman" w:eastAsia="宋体" w:cs="Times New Roman"/>
                <w:color w:val="000000" w:themeColor="text1"/>
                <w:sz w:val="24"/>
                <w14:textFill>
                  <w14:solidFill>
                    <w14:schemeClr w14:val="tx1"/>
                  </w14:solidFill>
                </w14:textFill>
              </w:rPr>
              <w:t>万元</w:t>
            </w:r>
            <w:r>
              <w:rPr>
                <w:rFonts w:hint="eastAsia" w:cs="Times New Roman"/>
                <w:color w:val="000000" w:themeColor="text1"/>
                <w:sz w:val="24"/>
                <w:lang w:eastAsia="zh-CN"/>
                <w14:textFill>
                  <w14:solidFill>
                    <w14:schemeClr w14:val="tx1"/>
                  </w14:solidFill>
                </w14:textFill>
              </w:rPr>
              <w:t>，其中环保投资</w:t>
            </w:r>
            <w:r>
              <w:rPr>
                <w:rFonts w:hint="eastAsia" w:cs="Times New Roman"/>
                <w:color w:val="000000" w:themeColor="text1"/>
                <w:sz w:val="24"/>
                <w:lang w:val="en-US" w:eastAsia="zh-CN"/>
                <w14:textFill>
                  <w14:solidFill>
                    <w14:schemeClr w14:val="tx1"/>
                  </w14:solidFill>
                </w14:textFill>
              </w:rPr>
              <w:t>1</w:t>
            </w:r>
            <w:r>
              <w:rPr>
                <w:rFonts w:hint="eastAsia" w:cs="Times New Roman"/>
                <w:color w:val="000000" w:themeColor="text1"/>
                <w:sz w:val="24"/>
                <w:lang w:eastAsia="zh-CN"/>
                <w14:textFill>
                  <w14:solidFill>
                    <w14:schemeClr w14:val="tx1"/>
                  </w14:solidFill>
                </w14:textFill>
              </w:rPr>
              <w:t>0万元，占总投资</w:t>
            </w:r>
            <w:r>
              <w:rPr>
                <w:rFonts w:hint="eastAsia" w:cs="Times New Roman"/>
                <w:color w:val="000000" w:themeColor="text1"/>
                <w:sz w:val="24"/>
                <w:lang w:val="en-US" w:eastAsia="zh-CN"/>
                <w14:textFill>
                  <w14:solidFill>
                    <w14:schemeClr w14:val="tx1"/>
                  </w14:solidFill>
                </w14:textFill>
              </w:rPr>
              <w:t>5</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项目租赁原有厂房，</w:t>
            </w:r>
            <w:r>
              <w:rPr>
                <w:rFonts w:hint="eastAsia" w:cs="Times New Roman"/>
                <w:color w:val="000000" w:themeColor="text1"/>
                <w:sz w:val="24"/>
                <w:lang w:val="en-US" w:eastAsia="zh-CN"/>
                <w14:textFill>
                  <w14:solidFill>
                    <w14:schemeClr w14:val="tx1"/>
                  </w14:solidFill>
                </w14:textFill>
              </w:rPr>
              <w:t>建筑面积400m</w:t>
            </w:r>
            <w:r>
              <w:rPr>
                <w:rFonts w:hint="eastAsia" w:cs="Times New Roman"/>
                <w:color w:val="000000" w:themeColor="text1"/>
                <w:sz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lang w:val="en-US"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购置</w:t>
            </w:r>
            <w:r>
              <w:rPr>
                <w:rFonts w:hint="default" w:cs="Times New Roman"/>
                <w:color w:val="000000" w:themeColor="text1"/>
                <w:sz w:val="24"/>
                <w:lang w:val="en-US" w:eastAsia="zh-CN"/>
                <w14:textFill>
                  <w14:solidFill>
                    <w14:schemeClr w14:val="tx1"/>
                  </w14:solidFill>
                </w14:textFill>
              </w:rPr>
              <w:t>2台加热搅拌罐、1台压片机、1台冷却塔、1台空气压缩机、1台储气罐、2台电加热导热油炉、</w:t>
            </w:r>
            <w:r>
              <w:rPr>
                <w:rFonts w:hint="eastAsia" w:cs="Times New Roman"/>
                <w:color w:val="000000" w:themeColor="text1"/>
                <w:sz w:val="24"/>
                <w:lang w:val="en-US" w:eastAsia="zh-CN"/>
                <w14:textFill>
                  <w14:solidFill>
                    <w14:schemeClr w14:val="tx1"/>
                  </w14:solidFill>
                </w14:textFill>
              </w:rPr>
              <w:t>1台自动包装机、2台储料罐、</w:t>
            </w:r>
            <w:r>
              <w:rPr>
                <w:rFonts w:hint="default" w:cs="Times New Roman"/>
                <w:color w:val="000000" w:themeColor="text1"/>
                <w:sz w:val="24"/>
                <w:lang w:val="en-US" w:eastAsia="zh-CN"/>
                <w14:textFill>
                  <w14:solidFill>
                    <w14:schemeClr w14:val="tx1"/>
                  </w14:solidFill>
                </w14:textFill>
              </w:rPr>
              <w:t>1台二级活性炭吸附装置及配套风机</w:t>
            </w:r>
            <w:r>
              <w:rPr>
                <w:rFonts w:hint="default" w:ascii="Times New Roman" w:hAnsi="Times New Roman" w:eastAsia="宋体"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以费托蜡和聚乙烯蜡为原料，经投料、加热熔融、搅拌混合、制片等工序生产</w:t>
            </w:r>
            <w:r>
              <w:rPr>
                <w:rFonts w:hint="default" w:ascii="Times New Roman" w:hAnsi="Times New Roman" w:eastAsia="宋体" w:cs="Times New Roman"/>
                <w:color w:val="000000" w:themeColor="text1"/>
                <w:sz w:val="24"/>
                <w:lang w:val="en-US" w:eastAsia="zh-CN"/>
                <w14:textFill>
                  <w14:solidFill>
                    <w14:schemeClr w14:val="tx1"/>
                  </w14:solidFill>
                </w14:textFill>
              </w:rPr>
              <w:t>聚乙烯蜡</w:t>
            </w:r>
            <w:r>
              <w:rPr>
                <w:rFonts w:hint="eastAsia" w:cs="Times New Roman"/>
                <w:color w:val="000000" w:themeColor="text1"/>
                <w:sz w:val="24"/>
                <w:lang w:val="en-US" w:eastAsia="zh-CN"/>
                <w14:textFill>
                  <w14:solidFill>
                    <w14:schemeClr w14:val="tx1"/>
                  </w14:solidFill>
                </w14:textFill>
              </w:rPr>
              <w:t>，</w:t>
            </w:r>
            <w:r>
              <w:rPr>
                <w:rFonts w:hint="default" w:cs="Times New Roman"/>
                <w:color w:val="000000" w:themeColor="text1"/>
                <w:sz w:val="24"/>
                <w:lang w:val="en-US" w:eastAsia="zh-CN"/>
                <w14:textFill>
                  <w14:solidFill>
                    <w14:schemeClr w14:val="tx1"/>
                  </w14:solidFill>
                </w14:textFill>
              </w:rPr>
              <w:t>项目建成</w:t>
            </w:r>
            <w:r>
              <w:rPr>
                <w:rFonts w:hint="default" w:ascii="Times New Roman" w:hAnsi="Times New Roman" w:eastAsia="宋体" w:cs="Times New Roman"/>
                <w:color w:val="000000" w:themeColor="text1"/>
                <w:sz w:val="24"/>
                <w:lang w:val="en-US" w:eastAsia="zh-CN"/>
                <w14:textFill>
                  <w14:solidFill>
                    <w14:schemeClr w14:val="tx1"/>
                  </w14:solidFill>
                </w14:textFill>
              </w:rPr>
              <w:t>后年产2000吨聚乙烯蜡</w:t>
            </w:r>
            <w:r>
              <w:rPr>
                <w:rFonts w:hint="eastAsia" w:cs="Times New Roman"/>
                <w:color w:val="000000" w:themeColor="text1"/>
                <w:sz w:val="24"/>
                <w:lang w:val="en-US" w:eastAsia="zh-CN"/>
                <w14:textFill>
                  <w14:solidFill>
                    <w14:schemeClr w14:val="tx1"/>
                  </w14:solidFill>
                </w14:textFill>
              </w:rPr>
              <w:t>。</w:t>
            </w:r>
          </w:p>
          <w:p w14:paraId="479145A6">
            <w:pPr>
              <w:widowControl/>
              <w:spacing w:line="360" w:lineRule="auto"/>
              <w:ind w:firstLine="482"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3、</w:t>
            </w:r>
            <w:r>
              <w:rPr>
                <w:rFonts w:hint="default" w:ascii="Times New Roman" w:hAnsi="Times New Roman" w:eastAsia="宋体" w:cs="Times New Roman"/>
                <w:b/>
                <w:bCs/>
                <w:color w:val="000000" w:themeColor="text1"/>
                <w:kern w:val="0"/>
                <w:sz w:val="24"/>
                <w:lang w:bidi="ar"/>
                <w14:textFill>
                  <w14:solidFill>
                    <w14:schemeClr w14:val="tx1"/>
                  </w14:solidFill>
                </w14:textFill>
              </w:rPr>
              <w:t>项目组成</w:t>
            </w:r>
          </w:p>
          <w:p w14:paraId="2B29CCF2">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kern w:val="0"/>
                <w:sz w:val="24"/>
                <w:lang w:bidi="ar"/>
                <w14:textFill>
                  <w14:solidFill>
                    <w14:schemeClr w14:val="tx1"/>
                  </w14:solidFill>
                </w14:textFill>
              </w:rPr>
              <w:t>本项目组成情况见</w:t>
            </w:r>
            <w:r>
              <w:rPr>
                <w:rFonts w:hint="default" w:ascii="Times New Roman" w:hAnsi="Times New Roman" w:eastAsia="宋体" w:cs="Times New Roman"/>
                <w:color w:val="000000" w:themeColor="text1"/>
                <w:sz w:val="24"/>
                <w14:textFill>
                  <w14:solidFill>
                    <w14:schemeClr w14:val="tx1"/>
                  </w14:solidFill>
                </w14:textFill>
              </w:rPr>
              <w:t>表2-1</w:t>
            </w:r>
            <w:r>
              <w:rPr>
                <w:rFonts w:hint="default" w:ascii="Times New Roman" w:hAnsi="Times New Roman" w:eastAsia="宋体" w:cs="Times New Roman"/>
                <w:color w:val="000000" w:themeColor="text1"/>
                <w:kern w:val="0"/>
                <w:sz w:val="24"/>
                <w:lang w:bidi="ar"/>
                <w14:textFill>
                  <w14:solidFill>
                    <w14:schemeClr w14:val="tx1"/>
                  </w14:solidFill>
                </w14:textFill>
              </w:rPr>
              <w:t>。</w:t>
            </w:r>
          </w:p>
          <w:p w14:paraId="7DA81902">
            <w:pPr>
              <w:pStyle w:val="37"/>
              <w:spacing w:after="0"/>
              <w:ind w:left="0" w:leftChars="0" w:firstLine="422"/>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表2-1项目主要组成情况一览表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1" w:type="dxa"/>
                <w:bottom w:w="0" w:type="dxa"/>
                <w:right w:w="51" w:type="dxa"/>
              </w:tblCellMar>
            </w:tblPr>
            <w:tblGrid>
              <w:gridCol w:w="824"/>
              <w:gridCol w:w="1352"/>
              <w:gridCol w:w="6786"/>
              <w:gridCol w:w="1238"/>
            </w:tblGrid>
            <w:tr w14:paraId="6B6D42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704" w:type="dxa"/>
                  <w:tcBorders>
                    <w:tl2br w:val="nil"/>
                    <w:tr2bl w:val="nil"/>
                  </w:tcBorders>
                  <w:vAlign w:val="center"/>
                </w:tcPr>
                <w:p w14:paraId="34D44B4D">
                  <w:pPr>
                    <w:adjustRightInd w:val="0"/>
                    <w:snapToGrid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类别</w:t>
                  </w:r>
                </w:p>
              </w:tc>
              <w:tc>
                <w:tcPr>
                  <w:tcW w:w="1155" w:type="dxa"/>
                  <w:tcBorders>
                    <w:tl2br w:val="nil"/>
                    <w:tr2bl w:val="nil"/>
                  </w:tcBorders>
                  <w:vAlign w:val="center"/>
                </w:tcPr>
                <w:p w14:paraId="4F59A043">
                  <w:pPr>
                    <w:adjustRightInd w:val="0"/>
                    <w:snapToGrid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项目组成</w:t>
                  </w:r>
                </w:p>
              </w:tc>
              <w:tc>
                <w:tcPr>
                  <w:tcW w:w="5795" w:type="dxa"/>
                  <w:tcBorders>
                    <w:tl2br w:val="nil"/>
                    <w:tr2bl w:val="nil"/>
                  </w:tcBorders>
                  <w:vAlign w:val="center"/>
                </w:tcPr>
                <w:p w14:paraId="3C661BA2">
                  <w:pPr>
                    <w:adjustRightInd w:val="0"/>
                    <w:snapToGrid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建设内容及规模</w:t>
                  </w:r>
                </w:p>
              </w:tc>
              <w:tc>
                <w:tcPr>
                  <w:tcW w:w="1057" w:type="dxa"/>
                  <w:tcBorders>
                    <w:tl2br w:val="nil"/>
                    <w:tr2bl w:val="nil"/>
                  </w:tcBorders>
                  <w:vAlign w:val="center"/>
                </w:tcPr>
                <w:p w14:paraId="343EE1E8">
                  <w:pPr>
                    <w:adjustRightInd w:val="0"/>
                    <w:snapToGrid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备注</w:t>
                  </w:r>
                </w:p>
              </w:tc>
            </w:tr>
            <w:tr w14:paraId="080F8B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704" w:type="dxa"/>
                  <w:tcBorders>
                    <w:tl2br w:val="nil"/>
                    <w:tr2bl w:val="nil"/>
                  </w:tcBorders>
                  <w:vAlign w:val="center"/>
                </w:tcPr>
                <w:p w14:paraId="59A74FF7">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主体工程</w:t>
                  </w:r>
                </w:p>
              </w:tc>
              <w:tc>
                <w:tcPr>
                  <w:tcW w:w="1155" w:type="dxa"/>
                  <w:tcBorders>
                    <w:tl2br w:val="nil"/>
                    <w:tr2bl w:val="nil"/>
                  </w:tcBorders>
                  <w:vAlign w:val="center"/>
                </w:tcPr>
                <w:p w14:paraId="02B38CD4">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生产车间</w:t>
                  </w:r>
                </w:p>
              </w:tc>
              <w:tc>
                <w:tcPr>
                  <w:tcW w:w="5795" w:type="dxa"/>
                  <w:tcBorders>
                    <w:tl2br w:val="nil"/>
                    <w:tr2bl w:val="nil"/>
                  </w:tcBorders>
                  <w:vAlign w:val="center"/>
                </w:tcPr>
                <w:p w14:paraId="3D2E492D">
                  <w:pPr>
                    <w:adjustRightInd w:val="0"/>
                    <w:snapToGrid w:val="0"/>
                    <w:jc w:val="center"/>
                    <w:rPr>
                      <w:rFonts w:hint="eastAsia" w:cs="Times New Roman"/>
                      <w:color w:val="000000" w:themeColor="text1"/>
                      <w:kern w:val="2"/>
                      <w:sz w:val="21"/>
                      <w:szCs w:val="21"/>
                      <w:highlight w:val="none"/>
                      <w:lang w:val="en-US" w:eastAsia="zh-CN" w:bidi="ar-SA"/>
                      <w14:textFill>
                        <w14:solidFill>
                          <w14:schemeClr w14:val="tx1"/>
                        </w14:solidFill>
                      </w14:textFill>
                    </w:rPr>
                  </w:pPr>
                  <w:r>
                    <w:rPr>
                      <w:rFonts w:hint="default" w:cs="Times New Roman"/>
                      <w:color w:val="000000" w:themeColor="text1"/>
                      <w:kern w:val="2"/>
                      <w:sz w:val="21"/>
                      <w:szCs w:val="21"/>
                      <w:highlight w:val="none"/>
                      <w:lang w:val="en-US" w:eastAsia="zh-CN" w:bidi="ar-SA"/>
                      <w14:textFill>
                        <w14:solidFill>
                          <w14:schemeClr w14:val="tx1"/>
                        </w14:solidFill>
                      </w14:textFill>
                    </w:rPr>
                    <w:t>占地面积</w:t>
                  </w:r>
                  <w:r>
                    <w:rPr>
                      <w:rFonts w:hint="eastAsia" w:cs="Times New Roman"/>
                      <w:color w:val="000000" w:themeColor="text1"/>
                      <w:kern w:val="2"/>
                      <w:sz w:val="21"/>
                      <w:szCs w:val="21"/>
                      <w:highlight w:val="none"/>
                      <w:lang w:val="en-US" w:eastAsia="zh-CN" w:bidi="ar-SA"/>
                      <w14:textFill>
                        <w14:solidFill>
                          <w14:schemeClr w14:val="tx1"/>
                        </w14:solidFill>
                      </w14:textFill>
                    </w:rPr>
                    <w:t>400</w:t>
                  </w:r>
                  <w:r>
                    <w:rPr>
                      <w:rFonts w:hint="default" w:cs="Times New Roman"/>
                      <w:color w:val="000000" w:themeColor="text1"/>
                      <w:kern w:val="2"/>
                      <w:sz w:val="21"/>
                      <w:szCs w:val="21"/>
                      <w:highlight w:val="none"/>
                      <w:lang w:val="en-US" w:eastAsia="zh-CN" w:bidi="ar-SA"/>
                      <w14:textFill>
                        <w14:solidFill>
                          <w14:schemeClr w14:val="tx1"/>
                        </w14:solidFill>
                      </w14:textFill>
                    </w:rPr>
                    <w:t>m</w:t>
                  </w:r>
                  <w:r>
                    <w:rPr>
                      <w:rFonts w:hint="default" w:cs="Times New Roman"/>
                      <w:color w:val="000000" w:themeColor="text1"/>
                      <w:kern w:val="2"/>
                      <w:sz w:val="21"/>
                      <w:szCs w:val="21"/>
                      <w:highlight w:val="none"/>
                      <w:vertAlign w:val="superscript"/>
                      <w:lang w:val="en-US" w:eastAsia="zh-CN" w:bidi="ar-SA"/>
                      <w14:textFill>
                        <w14:solidFill>
                          <w14:schemeClr w14:val="tx1"/>
                        </w14:solidFill>
                      </w14:textFill>
                    </w:rPr>
                    <w:t>2</w:t>
                  </w:r>
                  <w:r>
                    <w:rPr>
                      <w:rFonts w:hint="default" w:cs="Times New Roman"/>
                      <w:color w:val="000000" w:themeColor="text1"/>
                      <w:kern w:val="2"/>
                      <w:sz w:val="21"/>
                      <w:szCs w:val="21"/>
                      <w:highlight w:val="none"/>
                      <w:lang w:val="en-US" w:eastAsia="zh-CN" w:bidi="ar-SA"/>
                      <w14:textFill>
                        <w14:solidFill>
                          <w14:schemeClr w14:val="tx1"/>
                        </w14:solidFill>
                      </w14:textFill>
                    </w:rPr>
                    <w:t>，1层，</w:t>
                  </w:r>
                  <w:r>
                    <w:rPr>
                      <w:rFonts w:hint="eastAsia" w:cs="Times New Roman"/>
                      <w:color w:val="000000" w:themeColor="text1"/>
                      <w:kern w:val="2"/>
                      <w:sz w:val="21"/>
                      <w:szCs w:val="21"/>
                      <w:highlight w:val="none"/>
                      <w:lang w:val="en-US" w:eastAsia="zh-CN" w:bidi="ar-SA"/>
                      <w14:textFill>
                        <w14:solidFill>
                          <w14:schemeClr w14:val="tx1"/>
                        </w14:solidFill>
                      </w14:textFill>
                    </w:rPr>
                    <w:t>高7m，</w:t>
                  </w:r>
                  <w:r>
                    <w:rPr>
                      <w:rFonts w:hint="default" w:cs="Times New Roman"/>
                      <w:color w:val="000000" w:themeColor="text1"/>
                      <w:kern w:val="2"/>
                      <w:sz w:val="21"/>
                      <w:szCs w:val="21"/>
                      <w:highlight w:val="none"/>
                      <w:lang w:val="en-US" w:eastAsia="zh-CN" w:bidi="ar-SA"/>
                      <w14:textFill>
                        <w14:solidFill>
                          <w14:schemeClr w14:val="tx1"/>
                        </w14:solidFill>
                      </w14:textFill>
                    </w:rPr>
                    <w:t>内设</w:t>
                  </w:r>
                  <w:r>
                    <w:rPr>
                      <w:rFonts w:hint="eastAsia" w:cs="Times New Roman"/>
                      <w:color w:val="000000" w:themeColor="text1"/>
                      <w:kern w:val="2"/>
                      <w:sz w:val="21"/>
                      <w:szCs w:val="21"/>
                      <w:highlight w:val="none"/>
                      <w:lang w:val="en-US" w:eastAsia="zh-CN" w:bidi="ar-SA"/>
                      <w14:textFill>
                        <w14:solidFill>
                          <w14:schemeClr w14:val="tx1"/>
                        </w14:solidFill>
                      </w14:textFill>
                    </w:rPr>
                    <w:t>原料暂存</w:t>
                  </w:r>
                  <w:r>
                    <w:rPr>
                      <w:rFonts w:hint="default" w:cs="Times New Roman"/>
                      <w:color w:val="000000" w:themeColor="text1"/>
                      <w:kern w:val="2"/>
                      <w:sz w:val="21"/>
                      <w:szCs w:val="21"/>
                      <w:highlight w:val="none"/>
                      <w:lang w:val="en-US" w:eastAsia="zh-CN" w:bidi="ar-SA"/>
                      <w14:textFill>
                        <w14:solidFill>
                          <w14:schemeClr w14:val="tx1"/>
                        </w14:solidFill>
                      </w14:textFill>
                    </w:rPr>
                    <w:t>区、</w:t>
                  </w:r>
                  <w:r>
                    <w:rPr>
                      <w:rFonts w:hint="eastAsia" w:cs="Times New Roman"/>
                      <w:color w:val="000000" w:themeColor="text1"/>
                      <w:kern w:val="2"/>
                      <w:sz w:val="21"/>
                      <w:szCs w:val="21"/>
                      <w:highlight w:val="none"/>
                      <w:lang w:val="en-US" w:eastAsia="zh-CN" w:bidi="ar-SA"/>
                      <w14:textFill>
                        <w14:solidFill>
                          <w14:schemeClr w14:val="tx1"/>
                        </w14:solidFill>
                      </w14:textFill>
                    </w:rPr>
                    <w:t>成品暂存</w:t>
                  </w:r>
                  <w:r>
                    <w:rPr>
                      <w:rFonts w:hint="default" w:cs="Times New Roman"/>
                      <w:color w:val="000000" w:themeColor="text1"/>
                      <w:kern w:val="2"/>
                      <w:sz w:val="21"/>
                      <w:szCs w:val="21"/>
                      <w:highlight w:val="none"/>
                      <w:lang w:val="en-US" w:eastAsia="zh-CN" w:bidi="ar-SA"/>
                      <w14:textFill>
                        <w14:solidFill>
                          <w14:schemeClr w14:val="tx1"/>
                        </w14:solidFill>
                      </w14:textFill>
                    </w:rPr>
                    <w:t>区、生产</w:t>
                  </w:r>
                  <w:r>
                    <w:rPr>
                      <w:rFonts w:hint="eastAsia" w:cs="Times New Roman"/>
                      <w:color w:val="000000" w:themeColor="text1"/>
                      <w:kern w:val="2"/>
                      <w:sz w:val="21"/>
                      <w:szCs w:val="21"/>
                      <w:highlight w:val="none"/>
                      <w:lang w:val="en-US" w:eastAsia="zh-CN" w:bidi="ar-SA"/>
                      <w14:textFill>
                        <w14:solidFill>
                          <w14:schemeClr w14:val="tx1"/>
                        </w14:solidFill>
                      </w14:textFill>
                    </w:rPr>
                    <w:t>线1条，主要</w:t>
                  </w:r>
                  <w:r>
                    <w:rPr>
                      <w:rFonts w:hint="default" w:cs="Times New Roman"/>
                      <w:color w:val="000000" w:themeColor="text1"/>
                      <w:kern w:val="2"/>
                      <w:sz w:val="21"/>
                      <w:szCs w:val="21"/>
                      <w:highlight w:val="none"/>
                      <w:lang w:val="en-US" w:eastAsia="zh-CN" w:bidi="ar-SA"/>
                      <w14:textFill>
                        <w14:solidFill>
                          <w14:schemeClr w14:val="tx1"/>
                        </w14:solidFill>
                      </w14:textFill>
                    </w:rPr>
                    <w:t>购置2台加热搅拌罐、1台压片机、1台冷却塔</w:t>
                  </w:r>
                  <w:r>
                    <w:rPr>
                      <w:rFonts w:hint="eastAsia" w:cs="Times New Roman"/>
                      <w:color w:val="000000" w:themeColor="text1"/>
                      <w:kern w:val="2"/>
                      <w:sz w:val="21"/>
                      <w:szCs w:val="21"/>
                      <w:highlight w:val="none"/>
                      <w:lang w:val="en-US" w:eastAsia="zh-CN" w:bidi="ar-SA"/>
                      <w14:textFill>
                        <w14:solidFill>
                          <w14:schemeClr w14:val="tx1"/>
                        </w14:solidFill>
                      </w14:textFill>
                    </w:rPr>
                    <w:t>（位于生产车间外）</w:t>
                  </w:r>
                  <w:r>
                    <w:rPr>
                      <w:rFonts w:hint="default" w:cs="Times New Roman"/>
                      <w:color w:val="000000" w:themeColor="text1"/>
                      <w:kern w:val="2"/>
                      <w:sz w:val="21"/>
                      <w:szCs w:val="21"/>
                      <w:highlight w:val="none"/>
                      <w:lang w:val="en-US" w:eastAsia="zh-CN" w:bidi="ar-SA"/>
                      <w14:textFill>
                        <w14:solidFill>
                          <w14:schemeClr w14:val="tx1"/>
                        </w14:solidFill>
                      </w14:textFill>
                    </w:rPr>
                    <w:t>、1台空气压缩机、1台储气罐、2台电加热导热油炉、</w:t>
                  </w:r>
                  <w:r>
                    <w:rPr>
                      <w:rFonts w:hint="eastAsia" w:cs="Times New Roman"/>
                      <w:color w:val="000000" w:themeColor="text1"/>
                      <w:kern w:val="2"/>
                      <w:sz w:val="21"/>
                      <w:szCs w:val="21"/>
                      <w:highlight w:val="none"/>
                      <w:lang w:val="en-US" w:eastAsia="zh-CN" w:bidi="ar-SA"/>
                      <w14:textFill>
                        <w14:solidFill>
                          <w14:schemeClr w14:val="tx1"/>
                        </w14:solidFill>
                      </w14:textFill>
                    </w:rPr>
                    <w:t>1台自动包装机、2台储料罐、</w:t>
                  </w:r>
                  <w:r>
                    <w:rPr>
                      <w:rFonts w:hint="default" w:cs="Times New Roman"/>
                      <w:color w:val="000000" w:themeColor="text1"/>
                      <w:kern w:val="2"/>
                      <w:sz w:val="21"/>
                      <w:szCs w:val="21"/>
                      <w:highlight w:val="none"/>
                      <w:lang w:val="en-US" w:eastAsia="zh-CN" w:bidi="ar-SA"/>
                      <w14:textFill>
                        <w14:solidFill>
                          <w14:schemeClr w14:val="tx1"/>
                        </w14:solidFill>
                      </w14:textFill>
                    </w:rPr>
                    <w:t>1台二级活性炭吸附装置及配套风机</w:t>
                  </w:r>
                  <w:r>
                    <w:rPr>
                      <w:rFonts w:hint="eastAsia" w:cs="Times New Roman"/>
                      <w:color w:val="000000" w:themeColor="text1"/>
                      <w:kern w:val="2"/>
                      <w:sz w:val="21"/>
                      <w:szCs w:val="21"/>
                      <w:highlight w:val="none"/>
                      <w:lang w:val="en-US" w:eastAsia="zh-CN" w:bidi="ar-SA"/>
                      <w14:textFill>
                        <w14:solidFill>
                          <w14:schemeClr w14:val="tx1"/>
                        </w14:solidFill>
                      </w14:textFill>
                    </w:rPr>
                    <w:t>等设备。</w:t>
                  </w:r>
                </w:p>
              </w:tc>
              <w:tc>
                <w:tcPr>
                  <w:tcW w:w="1057" w:type="dxa"/>
                  <w:tcBorders>
                    <w:tl2br w:val="nil"/>
                    <w:tr2bl w:val="nil"/>
                  </w:tcBorders>
                  <w:vAlign w:val="center"/>
                </w:tcPr>
                <w:p w14:paraId="33BA2AFA">
                  <w:pPr>
                    <w:topLinePunct/>
                    <w:adjustRightInd w:val="0"/>
                    <w:snapToGrid w:val="0"/>
                    <w:spacing w:line="360" w:lineRule="exact"/>
                    <w:jc w:val="center"/>
                    <w:rPr>
                      <w:rFonts w:hint="default" w:ascii="Times New Roman" w:hAnsi="Times New Roman" w:eastAsia="宋体" w:cs="Times New Roman"/>
                      <w:color w:val="000000" w:themeColor="text1"/>
                      <w:szCs w:val="21"/>
                      <w:lang w:val="en-US"/>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依托现有</w:t>
                  </w:r>
                </w:p>
              </w:tc>
            </w:tr>
            <w:tr w14:paraId="24333A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704" w:type="dxa"/>
                  <w:vMerge w:val="restart"/>
                  <w:tcBorders>
                    <w:tl2br w:val="nil"/>
                    <w:tr2bl w:val="nil"/>
                  </w:tcBorders>
                  <w:shd w:val="clear" w:color="auto" w:fill="auto"/>
                  <w:vAlign w:val="center"/>
                </w:tcPr>
                <w:p w14:paraId="57607BBD">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储运工程</w:t>
                  </w:r>
                </w:p>
              </w:tc>
              <w:tc>
                <w:tcPr>
                  <w:tcW w:w="1155" w:type="dxa"/>
                  <w:tcBorders>
                    <w:tl2br w:val="nil"/>
                    <w:tr2bl w:val="nil"/>
                  </w:tcBorders>
                  <w:shd w:val="clear" w:color="auto" w:fill="auto"/>
                  <w:vAlign w:val="center"/>
                </w:tcPr>
                <w:p w14:paraId="2B77EF48">
                  <w:pPr>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原料暂存区</w:t>
                  </w:r>
                </w:p>
              </w:tc>
              <w:tc>
                <w:tcPr>
                  <w:tcW w:w="5795" w:type="dxa"/>
                  <w:tcBorders>
                    <w:tl2br w:val="nil"/>
                    <w:tr2bl w:val="nil"/>
                  </w:tcBorders>
                  <w:shd w:val="clear" w:color="auto" w:fill="auto"/>
                  <w:vAlign w:val="center"/>
                </w:tcPr>
                <w:p w14:paraId="33236D08">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位于生产车间内东北角，占地面积100</w:t>
                  </w:r>
                  <w:r>
                    <w:rPr>
                      <w:rFonts w:hint="default" w:cs="Times New Roman"/>
                      <w:color w:val="000000" w:themeColor="text1"/>
                      <w:kern w:val="2"/>
                      <w:sz w:val="21"/>
                      <w:szCs w:val="21"/>
                      <w:highlight w:val="none"/>
                      <w:lang w:val="en-US" w:eastAsia="zh-CN" w:bidi="ar-SA"/>
                      <w14:textFill>
                        <w14:solidFill>
                          <w14:schemeClr w14:val="tx1"/>
                        </w14:solidFill>
                      </w14:textFill>
                    </w:rPr>
                    <w:t>m</w:t>
                  </w:r>
                  <w:r>
                    <w:rPr>
                      <w:rFonts w:hint="default" w:cs="Times New Roman"/>
                      <w:color w:val="000000" w:themeColor="text1"/>
                      <w:kern w:val="2"/>
                      <w:sz w:val="21"/>
                      <w:szCs w:val="21"/>
                      <w:highlight w:val="none"/>
                      <w:vertAlign w:val="superscript"/>
                      <w:lang w:val="en-US" w:eastAsia="zh-CN" w:bidi="ar-SA"/>
                      <w14:textFill>
                        <w14:solidFill>
                          <w14:schemeClr w14:val="tx1"/>
                        </w14:solidFill>
                      </w14:textFill>
                    </w:rPr>
                    <w:t>2</w:t>
                  </w:r>
                </w:p>
              </w:tc>
              <w:tc>
                <w:tcPr>
                  <w:tcW w:w="1057" w:type="dxa"/>
                  <w:tcBorders>
                    <w:tl2br w:val="nil"/>
                    <w:tr2bl w:val="nil"/>
                  </w:tcBorders>
                  <w:vAlign w:val="center"/>
                </w:tcPr>
                <w:p w14:paraId="711A9782">
                  <w:pPr>
                    <w:topLinePunct/>
                    <w:adjustRightInd w:val="0"/>
                    <w:snapToGrid w:val="0"/>
                    <w:spacing w:line="360" w:lineRule="exact"/>
                    <w:jc w:val="center"/>
                    <w:rPr>
                      <w:rFonts w:hint="default" w:ascii="Times New Roman" w:hAnsi="Times New Roman" w:eastAsia="宋体" w:cs="Times New Roman"/>
                      <w:color w:val="000000" w:themeColor="text1"/>
                      <w:szCs w:val="21"/>
                      <w:lang w:val="en-US"/>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依托现有</w:t>
                  </w:r>
                </w:p>
              </w:tc>
            </w:tr>
            <w:tr w14:paraId="5866C4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704" w:type="dxa"/>
                  <w:vMerge w:val="continue"/>
                  <w:tcBorders>
                    <w:tl2br w:val="nil"/>
                    <w:tr2bl w:val="nil"/>
                  </w:tcBorders>
                  <w:shd w:val="clear" w:color="auto" w:fill="auto"/>
                  <w:vAlign w:val="center"/>
                </w:tcPr>
                <w:p w14:paraId="622F5A65">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c>
                <w:tcPr>
                  <w:tcW w:w="1155" w:type="dxa"/>
                  <w:tcBorders>
                    <w:tl2br w:val="nil"/>
                    <w:tr2bl w:val="nil"/>
                  </w:tcBorders>
                  <w:shd w:val="clear" w:color="auto" w:fill="auto"/>
                  <w:vAlign w:val="center"/>
                </w:tcPr>
                <w:p w14:paraId="51B098C2">
                  <w:pPr>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产品暂存区</w:t>
                  </w:r>
                </w:p>
              </w:tc>
              <w:tc>
                <w:tcPr>
                  <w:tcW w:w="5795" w:type="dxa"/>
                  <w:tcBorders>
                    <w:tl2br w:val="nil"/>
                    <w:tr2bl w:val="nil"/>
                  </w:tcBorders>
                  <w:shd w:val="clear" w:color="auto" w:fill="auto"/>
                  <w:vAlign w:val="center"/>
                </w:tcPr>
                <w:p w14:paraId="1295DD26">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位于生产车间内东南角，占地面积100</w:t>
                  </w:r>
                  <w:r>
                    <w:rPr>
                      <w:rFonts w:hint="default" w:cs="Times New Roman"/>
                      <w:color w:val="000000" w:themeColor="text1"/>
                      <w:kern w:val="2"/>
                      <w:sz w:val="21"/>
                      <w:szCs w:val="21"/>
                      <w:highlight w:val="none"/>
                      <w:lang w:val="en-US" w:eastAsia="zh-CN" w:bidi="ar-SA"/>
                      <w14:textFill>
                        <w14:solidFill>
                          <w14:schemeClr w14:val="tx1"/>
                        </w14:solidFill>
                      </w14:textFill>
                    </w:rPr>
                    <w:t>m</w:t>
                  </w:r>
                  <w:r>
                    <w:rPr>
                      <w:rFonts w:hint="default" w:cs="Times New Roman"/>
                      <w:color w:val="000000" w:themeColor="text1"/>
                      <w:kern w:val="2"/>
                      <w:sz w:val="21"/>
                      <w:szCs w:val="21"/>
                      <w:highlight w:val="none"/>
                      <w:vertAlign w:val="superscript"/>
                      <w:lang w:val="en-US" w:eastAsia="zh-CN" w:bidi="ar-SA"/>
                      <w14:textFill>
                        <w14:solidFill>
                          <w14:schemeClr w14:val="tx1"/>
                        </w14:solidFill>
                      </w14:textFill>
                    </w:rPr>
                    <w:t>2</w:t>
                  </w:r>
                </w:p>
              </w:tc>
              <w:tc>
                <w:tcPr>
                  <w:tcW w:w="1057" w:type="dxa"/>
                  <w:tcBorders>
                    <w:tl2br w:val="nil"/>
                    <w:tr2bl w:val="nil"/>
                  </w:tcBorders>
                  <w:shd w:val="clear" w:color="auto" w:fill="auto"/>
                  <w:vAlign w:val="center"/>
                </w:tcPr>
                <w:p w14:paraId="67E539C6">
                  <w:pPr>
                    <w:topLinePunct/>
                    <w:adjustRightInd w:val="0"/>
                    <w:snapToGrid w:val="0"/>
                    <w:spacing w:line="36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依托现有</w:t>
                  </w:r>
                </w:p>
              </w:tc>
            </w:tr>
            <w:tr w14:paraId="0FB6EA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31" w:hRule="atLeast"/>
                <w:jc w:val="center"/>
              </w:trPr>
              <w:tc>
                <w:tcPr>
                  <w:tcW w:w="704" w:type="dxa"/>
                  <w:vMerge w:val="restart"/>
                  <w:tcBorders>
                    <w:tl2br w:val="nil"/>
                    <w:tr2bl w:val="nil"/>
                  </w:tcBorders>
                  <w:vAlign w:val="center"/>
                </w:tcPr>
                <w:p w14:paraId="0969C994">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公用工程</w:t>
                  </w:r>
                </w:p>
              </w:tc>
              <w:tc>
                <w:tcPr>
                  <w:tcW w:w="1155" w:type="dxa"/>
                  <w:tcBorders>
                    <w:tl2br w:val="nil"/>
                    <w:tr2bl w:val="nil"/>
                  </w:tcBorders>
                  <w:vAlign w:val="center"/>
                </w:tcPr>
                <w:p w14:paraId="3A66EC29">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供水</w:t>
                  </w:r>
                </w:p>
              </w:tc>
              <w:tc>
                <w:tcPr>
                  <w:tcW w:w="5795" w:type="dxa"/>
                  <w:tcBorders>
                    <w:tl2br w:val="nil"/>
                    <w:tr2bl w:val="nil"/>
                  </w:tcBorders>
                  <w:vAlign w:val="center"/>
                </w:tcPr>
                <w:p w14:paraId="197EBFFB">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本项目用水量</w:t>
                  </w:r>
                  <w:r>
                    <w:rPr>
                      <w:rFonts w:hint="eastAsia" w:cs="Times New Roman"/>
                      <w:color w:val="auto"/>
                      <w:szCs w:val="21"/>
                      <w:lang w:val="en-US" w:eastAsia="zh-CN"/>
                    </w:rPr>
                    <w:t>204</w:t>
                  </w:r>
                  <w:r>
                    <w:rPr>
                      <w:rFonts w:hint="default" w:ascii="Times New Roman" w:hAnsi="Times New Roman" w:eastAsia="宋体" w:cs="Times New Roman"/>
                      <w:color w:val="auto"/>
                      <w:szCs w:val="21"/>
                    </w:rPr>
                    <w:t>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/a，由当地供水管网</w:t>
                  </w:r>
                  <w:r>
                    <w:rPr>
                      <w:rFonts w:hint="default" w:ascii="Times New Roman" w:hAnsi="Times New Roman" w:eastAsia="宋体" w:cs="Times New Roman"/>
                      <w:color w:val="auto"/>
                    </w:rPr>
                    <w:t>供给</w:t>
                  </w:r>
                </w:p>
              </w:tc>
              <w:tc>
                <w:tcPr>
                  <w:tcW w:w="1057" w:type="dxa"/>
                  <w:tcBorders>
                    <w:tl2br w:val="nil"/>
                    <w:tr2bl w:val="nil"/>
                  </w:tcBorders>
                  <w:vAlign w:val="center"/>
                </w:tcPr>
                <w:p w14:paraId="2E97C6EB">
                  <w:pPr>
                    <w:topLinePunct/>
                    <w:adjustRightInd w:val="0"/>
                    <w:snapToGrid w:val="0"/>
                    <w:spacing w:line="360" w:lineRule="exac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依托现有</w:t>
                  </w:r>
                </w:p>
              </w:tc>
            </w:tr>
            <w:tr w14:paraId="7B8535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73" w:hRule="atLeast"/>
                <w:jc w:val="center"/>
              </w:trPr>
              <w:tc>
                <w:tcPr>
                  <w:tcW w:w="704" w:type="dxa"/>
                  <w:vMerge w:val="continue"/>
                  <w:tcBorders>
                    <w:tl2br w:val="nil"/>
                    <w:tr2bl w:val="nil"/>
                  </w:tcBorders>
                  <w:vAlign w:val="center"/>
                </w:tcPr>
                <w:p w14:paraId="775BAF76">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c>
                <w:tcPr>
                  <w:tcW w:w="1155" w:type="dxa"/>
                  <w:tcBorders>
                    <w:tl2br w:val="nil"/>
                    <w:tr2bl w:val="nil"/>
                  </w:tcBorders>
                  <w:vAlign w:val="center"/>
                </w:tcPr>
                <w:p w14:paraId="13674A04">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供电</w:t>
                  </w:r>
                </w:p>
              </w:tc>
              <w:tc>
                <w:tcPr>
                  <w:tcW w:w="5795" w:type="dxa"/>
                  <w:tcBorders>
                    <w:tl2br w:val="nil"/>
                    <w:tr2bl w:val="nil"/>
                  </w:tcBorders>
                  <w:vAlign w:val="center"/>
                </w:tcPr>
                <w:p w14:paraId="7C8F3093">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本项目用电量</w:t>
                  </w:r>
                  <w:r>
                    <w:rPr>
                      <w:rFonts w:hint="eastAsia" w:cs="Times New Roman"/>
                      <w:color w:val="auto"/>
                      <w:szCs w:val="21"/>
                      <w:lang w:val="en-US" w:eastAsia="zh-CN"/>
                    </w:rPr>
                    <w:t>50</w:t>
                  </w:r>
                  <w:r>
                    <w:rPr>
                      <w:rFonts w:hint="default" w:ascii="Times New Roman" w:hAnsi="Times New Roman" w:eastAsia="宋体" w:cs="Times New Roman"/>
                      <w:color w:val="auto"/>
                      <w:szCs w:val="21"/>
                    </w:rPr>
                    <w:t>万kWh/a，由当地供电局供给</w:t>
                  </w:r>
                </w:p>
              </w:tc>
              <w:tc>
                <w:tcPr>
                  <w:tcW w:w="1057" w:type="dxa"/>
                  <w:tcBorders>
                    <w:tl2br w:val="nil"/>
                    <w:tr2bl w:val="nil"/>
                  </w:tcBorders>
                  <w:vAlign w:val="center"/>
                </w:tcPr>
                <w:p w14:paraId="1C476F4A">
                  <w:pPr>
                    <w:topLinePunct/>
                    <w:adjustRightInd w:val="0"/>
                    <w:snapToGrid w:val="0"/>
                    <w:spacing w:line="360" w:lineRule="exac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依托现有</w:t>
                  </w:r>
                </w:p>
              </w:tc>
            </w:tr>
            <w:tr w14:paraId="501BF5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923" w:hRule="atLeast"/>
                <w:jc w:val="center"/>
              </w:trPr>
              <w:tc>
                <w:tcPr>
                  <w:tcW w:w="704" w:type="dxa"/>
                  <w:vMerge w:val="restart"/>
                  <w:tcBorders>
                    <w:tl2br w:val="nil"/>
                    <w:tr2bl w:val="nil"/>
                  </w:tcBorders>
                  <w:vAlign w:val="center"/>
                </w:tcPr>
                <w:p w14:paraId="405BFAB6">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环保工程</w:t>
                  </w:r>
                </w:p>
              </w:tc>
              <w:tc>
                <w:tcPr>
                  <w:tcW w:w="1155" w:type="dxa"/>
                  <w:tcBorders>
                    <w:tl2br w:val="nil"/>
                    <w:tr2bl w:val="nil"/>
                  </w:tcBorders>
                  <w:vAlign w:val="center"/>
                </w:tcPr>
                <w:p w14:paraId="23ADE346">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废气处理</w:t>
                  </w:r>
                </w:p>
              </w:tc>
              <w:tc>
                <w:tcPr>
                  <w:tcW w:w="5795" w:type="dxa"/>
                  <w:tcBorders>
                    <w:tl2br w:val="nil"/>
                    <w:tr2bl w:val="nil"/>
                  </w:tcBorders>
                  <w:vAlign w:val="center"/>
                </w:tcPr>
                <w:p w14:paraId="02B3C102">
                  <w:pPr>
                    <w:adjustRightInd w:val="0"/>
                    <w:snapToGrid w:val="0"/>
                    <w:jc w:val="center"/>
                    <w:rPr>
                      <w:rFonts w:hint="default"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拟建</w:t>
                  </w:r>
                  <w:r>
                    <w:rPr>
                      <w:rFonts w:hint="default" w:cs="Times New Roman"/>
                      <w:color w:val="000000" w:themeColor="text1"/>
                      <w:kern w:val="0"/>
                      <w:sz w:val="21"/>
                      <w:szCs w:val="21"/>
                      <w:vertAlign w:val="baseline"/>
                      <w:lang w:val="en-US" w:eastAsia="zh-CN"/>
                      <w14:textFill>
                        <w14:solidFill>
                          <w14:schemeClr w14:val="tx1"/>
                        </w14:solidFill>
                      </w14:textFill>
                    </w:rPr>
                    <w:t>项目废气主要为</w:t>
                  </w:r>
                  <w:r>
                    <w:rPr>
                      <w:rFonts w:hint="eastAsia" w:cs="Times New Roman"/>
                      <w:color w:val="000000" w:themeColor="text1"/>
                      <w:kern w:val="0"/>
                      <w:sz w:val="21"/>
                      <w:szCs w:val="21"/>
                      <w:vertAlign w:val="baseline"/>
                      <w:lang w:val="en-US" w:eastAsia="zh-CN"/>
                      <w14:textFill>
                        <w14:solidFill>
                          <w14:schemeClr w14:val="tx1"/>
                        </w14:solidFill>
                      </w14:textFill>
                    </w:rPr>
                    <w:t>加热熔融、搅拌混合、制片废气</w:t>
                  </w:r>
                  <w:r>
                    <w:rPr>
                      <w:rFonts w:hint="default" w:cs="Times New Roman"/>
                      <w:color w:val="000000" w:themeColor="text1"/>
                      <w:kern w:val="0"/>
                      <w:sz w:val="21"/>
                      <w:szCs w:val="21"/>
                      <w:vertAlign w:val="baseline"/>
                      <w:lang w:val="en-US" w:eastAsia="zh-CN"/>
                      <w14:textFill>
                        <w14:solidFill>
                          <w14:schemeClr w14:val="tx1"/>
                        </w14:solidFill>
                      </w14:textFill>
                    </w:rPr>
                    <w:t>等。</w:t>
                  </w:r>
                </w:p>
                <w:p w14:paraId="60F4AF06">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本项目选用“二级活性炭吸附”，废气治理设施</w:t>
                  </w:r>
                  <w:r>
                    <w:rPr>
                      <w:rFonts w:hint="default" w:ascii="Times New Roman" w:hAnsi="Times New Roman" w:eastAsia="宋体" w:cs="Times New Roman"/>
                      <w:color w:val="000000" w:themeColor="text1"/>
                      <w:szCs w:val="21"/>
                      <w14:textFill>
                        <w14:solidFill>
                          <w14:schemeClr w14:val="tx1"/>
                        </w14:solidFill>
                      </w14:textFill>
                    </w:rPr>
                    <w:t>处理后通过15m高的排气筒DA001排放</w:t>
                  </w:r>
                  <w:r>
                    <w:rPr>
                      <w:rFonts w:hint="eastAsia" w:cs="Times New Roman"/>
                      <w:color w:val="000000" w:themeColor="text1"/>
                      <w:szCs w:val="21"/>
                      <w:lang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环保设</w:t>
                  </w:r>
                  <w:r>
                    <w:rPr>
                      <w:rFonts w:hint="eastAsia" w:cs="Times New Roman"/>
                      <w:color w:val="000000" w:themeColor="text1"/>
                      <w:kern w:val="0"/>
                      <w:sz w:val="21"/>
                      <w:szCs w:val="21"/>
                      <w:vertAlign w:val="baseline"/>
                      <w:lang w:val="en-US" w:eastAsia="zh-CN"/>
                      <w14:textFill>
                        <w14:solidFill>
                          <w14:schemeClr w14:val="tx1"/>
                        </w14:solidFill>
                      </w14:textFill>
                    </w:rPr>
                    <w:t>备设计风量为12000</w:t>
                  </w:r>
                  <w:r>
                    <w:rPr>
                      <w:rFonts w:hint="default" w:cs="Times New Roman"/>
                      <w:color w:val="000000" w:themeColor="text1"/>
                      <w:kern w:val="0"/>
                      <w:sz w:val="21"/>
                      <w:szCs w:val="21"/>
                      <w:vertAlign w:val="baseline"/>
                      <w:lang w:val="en-US" w:eastAsia="zh-CN"/>
                      <w14:textFill>
                        <w14:solidFill>
                          <w14:schemeClr w14:val="tx1"/>
                        </w14:solidFill>
                      </w14:textFill>
                    </w:rPr>
                    <w:t>m</w:t>
                  </w:r>
                  <w:r>
                    <w:rPr>
                      <w:rFonts w:hint="default" w:cs="Times New Roman"/>
                      <w:color w:val="000000" w:themeColor="text1"/>
                      <w:kern w:val="0"/>
                      <w:sz w:val="21"/>
                      <w:szCs w:val="21"/>
                      <w:vertAlign w:val="superscript"/>
                      <w:lang w:val="en-US" w:eastAsia="zh-CN"/>
                      <w14:textFill>
                        <w14:solidFill>
                          <w14:schemeClr w14:val="tx1"/>
                        </w14:solidFill>
                      </w14:textFill>
                    </w:rPr>
                    <w:t>3</w:t>
                  </w:r>
                  <w:r>
                    <w:rPr>
                      <w:rFonts w:hint="default" w:cs="Times New Roman"/>
                      <w:color w:val="000000" w:themeColor="text1"/>
                      <w:kern w:val="0"/>
                      <w:sz w:val="21"/>
                      <w:szCs w:val="21"/>
                      <w:vertAlign w:val="baseline"/>
                      <w:lang w:val="en-US" w:eastAsia="zh-CN"/>
                      <w14:textFill>
                        <w14:solidFill>
                          <w14:schemeClr w14:val="tx1"/>
                        </w14:solidFill>
                      </w14:textFill>
                    </w:rPr>
                    <w:t>/h。</w:t>
                  </w:r>
                </w:p>
              </w:tc>
              <w:tc>
                <w:tcPr>
                  <w:tcW w:w="1057" w:type="dxa"/>
                  <w:tcBorders>
                    <w:tl2br w:val="nil"/>
                    <w:tr2bl w:val="nil"/>
                  </w:tcBorders>
                  <w:vAlign w:val="center"/>
                </w:tcPr>
                <w:p w14:paraId="25EB54AB">
                  <w:pPr>
                    <w:topLinePunct/>
                    <w:adjustRightInd w:val="0"/>
                    <w:snapToGrid w:val="0"/>
                    <w:spacing w:line="360" w:lineRule="exac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新建</w:t>
                  </w:r>
                </w:p>
              </w:tc>
            </w:tr>
            <w:tr w14:paraId="44A3B7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764" w:hRule="atLeast"/>
                <w:jc w:val="center"/>
              </w:trPr>
              <w:tc>
                <w:tcPr>
                  <w:tcW w:w="704" w:type="dxa"/>
                  <w:vMerge w:val="continue"/>
                  <w:tcBorders>
                    <w:tl2br w:val="nil"/>
                    <w:tr2bl w:val="nil"/>
                  </w:tcBorders>
                  <w:vAlign w:val="center"/>
                </w:tcPr>
                <w:p w14:paraId="5BAB8665">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c>
                <w:tcPr>
                  <w:tcW w:w="1155" w:type="dxa"/>
                  <w:tcBorders>
                    <w:tl2br w:val="nil"/>
                    <w:tr2bl w:val="nil"/>
                  </w:tcBorders>
                  <w:vAlign w:val="center"/>
                </w:tcPr>
                <w:p w14:paraId="5E4FA728">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废水处理</w:t>
                  </w:r>
                </w:p>
              </w:tc>
              <w:tc>
                <w:tcPr>
                  <w:tcW w:w="5795" w:type="dxa"/>
                  <w:tcBorders>
                    <w:tl2br w:val="nil"/>
                    <w:tr2bl w:val="nil"/>
                  </w:tcBorders>
                  <w:vAlign w:val="center"/>
                </w:tcPr>
                <w:p w14:paraId="30CC9AE6">
                  <w:pPr>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项目生产过程无废水外排；</w:t>
                  </w:r>
                  <w:r>
                    <w:rPr>
                      <w:rFonts w:hint="default" w:ascii="Times New Roman" w:hAnsi="Times New Roman" w:eastAsia="宋体" w:cs="Times New Roman"/>
                      <w:color w:val="000000" w:themeColor="text1"/>
                      <w:szCs w:val="21"/>
                      <w14:textFill>
                        <w14:solidFill>
                          <w14:schemeClr w14:val="tx1"/>
                        </w14:solidFill>
                      </w14:textFill>
                    </w:rPr>
                    <w:t>废水主要为职工生活污水，生活污水经化粪池处理后委托环卫部门定期清运</w:t>
                  </w:r>
                  <w:r>
                    <w:rPr>
                      <w:rFonts w:hint="eastAsia" w:cs="Times New Roman"/>
                      <w:color w:val="000000" w:themeColor="text1"/>
                      <w:szCs w:val="21"/>
                      <w:lang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化粪池有效容积为6m</w:t>
                  </w:r>
                  <w:r>
                    <w:rPr>
                      <w:rFonts w:hint="eastAsia" w:cs="Times New Roman"/>
                      <w:color w:val="000000" w:themeColor="text1"/>
                      <w:szCs w:val="21"/>
                      <w:vertAlign w:val="superscript"/>
                      <w:lang w:val="en-US" w:eastAsia="zh-CN"/>
                      <w14:textFill>
                        <w14:solidFill>
                          <w14:schemeClr w14:val="tx1"/>
                        </w14:solidFill>
                      </w14:textFill>
                    </w:rPr>
                    <w:t>3</w:t>
                  </w:r>
                  <w:r>
                    <w:rPr>
                      <w:rFonts w:hint="eastAsia" w:cs="Times New Roman"/>
                      <w:color w:val="000000" w:themeColor="text1"/>
                      <w:szCs w:val="21"/>
                      <w:lang w:eastAsia="zh-CN"/>
                      <w14:textFill>
                        <w14:solidFill>
                          <w14:schemeClr w14:val="tx1"/>
                        </w14:solidFill>
                      </w14:textFill>
                    </w:rPr>
                    <w:t>。</w:t>
                  </w:r>
                </w:p>
              </w:tc>
              <w:tc>
                <w:tcPr>
                  <w:tcW w:w="1057" w:type="dxa"/>
                  <w:tcBorders>
                    <w:tl2br w:val="nil"/>
                    <w:tr2bl w:val="nil"/>
                  </w:tcBorders>
                  <w:vAlign w:val="center"/>
                </w:tcPr>
                <w:p w14:paraId="345F3C94">
                  <w:pPr>
                    <w:topLinePunct/>
                    <w:adjustRightInd w:val="0"/>
                    <w:snapToGrid w:val="0"/>
                    <w:spacing w:line="360" w:lineRule="exact"/>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依托现有</w:t>
                  </w:r>
                </w:p>
              </w:tc>
            </w:tr>
            <w:tr w14:paraId="6EFB5F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1826" w:hRule="atLeast"/>
                <w:jc w:val="center"/>
              </w:trPr>
              <w:tc>
                <w:tcPr>
                  <w:tcW w:w="704" w:type="dxa"/>
                  <w:vMerge w:val="continue"/>
                  <w:tcBorders>
                    <w:tl2br w:val="nil"/>
                    <w:tr2bl w:val="nil"/>
                  </w:tcBorders>
                  <w:vAlign w:val="center"/>
                </w:tcPr>
                <w:p w14:paraId="57B56420">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c>
                <w:tcPr>
                  <w:tcW w:w="1155" w:type="dxa"/>
                  <w:tcBorders>
                    <w:tl2br w:val="nil"/>
                    <w:tr2bl w:val="nil"/>
                  </w:tcBorders>
                  <w:vAlign w:val="center"/>
                </w:tcPr>
                <w:p w14:paraId="64CEF21E">
                  <w:pPr>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固废处理</w:t>
                  </w:r>
                </w:p>
              </w:tc>
              <w:tc>
                <w:tcPr>
                  <w:tcW w:w="5795" w:type="dxa"/>
                  <w:tcBorders>
                    <w:tl2br w:val="nil"/>
                    <w:tr2bl w:val="nil"/>
                  </w:tcBorders>
                  <w:vAlign w:val="center"/>
                </w:tcPr>
                <w:p w14:paraId="4E744896">
                  <w:pPr>
                    <w:jc w:val="center"/>
                    <w:rPr>
                      <w:rFonts w:hint="default" w:ascii="Times New Roman" w:hAnsi="Times New Roman" w:eastAsia="宋体" w:cs="Times New Roman"/>
                      <w:bCs/>
                      <w:color w:val="000000" w:themeColor="text1"/>
                      <w:szCs w:val="21"/>
                      <w:lang w:val="en-US" w:eastAsia="zh-CN"/>
                      <w14:textFill>
                        <w14:solidFill>
                          <w14:schemeClr w14:val="tx1"/>
                        </w14:solidFill>
                      </w14:textFill>
                    </w:rPr>
                  </w:pPr>
                  <w:r>
                    <w:rPr>
                      <w:rFonts w:hint="eastAsia" w:cs="Times New Roman"/>
                      <w:bCs/>
                      <w:color w:val="000000" w:themeColor="text1"/>
                      <w:szCs w:val="21"/>
                      <w:lang w:val="en-US" w:eastAsia="zh-CN"/>
                      <w14:textFill>
                        <w14:solidFill>
                          <w14:schemeClr w14:val="tx1"/>
                        </w14:solidFill>
                      </w14:textFill>
                    </w:rPr>
                    <w:t>生产车间东侧建设1座7.5㎡一般固废暂存间和1座7.5㎡的危险废物暂存间。</w:t>
                  </w:r>
                </w:p>
                <w:p w14:paraId="0A42C5B6">
                  <w:pPr>
                    <w:jc w:val="center"/>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固体废物主要包括废包装物、废润滑油</w:t>
                  </w:r>
                  <w:r>
                    <w:rPr>
                      <w:rFonts w:hint="default" w:ascii="Times New Roman" w:hAnsi="Times New Roman" w:eastAsia="宋体" w:cs="Times New Roman"/>
                      <w:bCs/>
                      <w:color w:val="000000" w:themeColor="text1"/>
                      <w:szCs w:val="21"/>
                      <w:lang w:val="en-US" w:eastAsia="zh-CN"/>
                      <w14:textFill>
                        <w14:solidFill>
                          <w14:schemeClr w14:val="tx1"/>
                        </w14:solidFill>
                      </w14:textFill>
                    </w:rPr>
                    <w:t>、废油桶、</w:t>
                  </w:r>
                  <w:r>
                    <w:rPr>
                      <w:rFonts w:hint="eastAsia" w:ascii="Times New Roman" w:hAnsi="Times New Roman" w:eastAsia="宋体" w:cs="Times New Roman"/>
                      <w:bCs/>
                      <w:color w:val="000000" w:themeColor="text1"/>
                      <w:szCs w:val="21"/>
                      <w:lang w:val="en-US" w:eastAsia="zh-CN"/>
                      <w14:textFill>
                        <w14:solidFill>
                          <w14:schemeClr w14:val="tx1"/>
                        </w14:solidFill>
                      </w14:textFill>
                    </w:rPr>
                    <w:t>废活性炭</w:t>
                  </w:r>
                  <w:r>
                    <w:rPr>
                      <w:rFonts w:hint="default" w:ascii="Times New Roman" w:hAnsi="Times New Roman" w:eastAsia="宋体" w:cs="Times New Roman"/>
                      <w:bCs/>
                      <w:color w:val="000000" w:themeColor="text1"/>
                      <w:szCs w:val="21"/>
                      <w:lang w:val="en-US" w:eastAsia="zh-CN"/>
                      <w14:textFill>
                        <w14:solidFill>
                          <w14:schemeClr w14:val="tx1"/>
                        </w14:solidFill>
                      </w14:textFill>
                    </w:rPr>
                    <w:t>、</w:t>
                  </w:r>
                  <w:r>
                    <w:rPr>
                      <w:rFonts w:hint="eastAsia" w:ascii="Times New Roman" w:hAnsi="Times New Roman" w:eastAsia="宋体" w:cs="Times New Roman"/>
                      <w:bCs/>
                      <w:color w:val="000000" w:themeColor="text1"/>
                      <w:szCs w:val="21"/>
                      <w:lang w:val="en-US" w:eastAsia="zh-CN"/>
                      <w14:textFill>
                        <w14:solidFill>
                          <w14:schemeClr w14:val="tx1"/>
                        </w14:solidFill>
                      </w14:textFill>
                    </w:rPr>
                    <w:t>废导热油、</w:t>
                  </w:r>
                  <w:r>
                    <w:rPr>
                      <w:rFonts w:hint="default" w:ascii="Times New Roman" w:hAnsi="Times New Roman" w:eastAsia="宋体" w:cs="Times New Roman"/>
                      <w:bCs/>
                      <w:color w:val="000000" w:themeColor="text1"/>
                      <w:szCs w:val="21"/>
                      <w:lang w:val="en-US" w:eastAsia="zh-CN"/>
                      <w14:textFill>
                        <w14:solidFill>
                          <w14:schemeClr w14:val="tx1"/>
                        </w14:solidFill>
                      </w14:textFill>
                    </w:rPr>
                    <w:t>职工生活垃圾。</w:t>
                  </w:r>
                </w:p>
                <w:p w14:paraId="00C021DC">
                  <w:pPr>
                    <w:jc w:val="center"/>
                    <w:rPr>
                      <w:rFonts w:hint="default" w:ascii="Times New Roman" w:hAnsi="Times New Roman" w:eastAsia="宋体" w:cs="Times New Roman"/>
                      <w:bCs/>
                      <w:color w:val="000000" w:themeColor="text1"/>
                      <w:szCs w:val="21"/>
                      <w:lang w:val="en-US" w:eastAsia="zh-CN"/>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废包装物</w:t>
                  </w:r>
                  <w:r>
                    <w:rPr>
                      <w:rFonts w:hint="default" w:ascii="Times New Roman" w:hAnsi="Times New Roman" w:eastAsia="宋体" w:cs="Times New Roman"/>
                      <w:bCs/>
                      <w:color w:val="000000" w:themeColor="text1"/>
                      <w:szCs w:val="21"/>
                      <w:lang w:val="en-US" w:eastAsia="zh-CN"/>
                      <w14:textFill>
                        <w14:solidFill>
                          <w14:schemeClr w14:val="tx1"/>
                        </w14:solidFill>
                      </w14:textFill>
                    </w:rPr>
                    <w:t>外售综合利用。</w:t>
                  </w:r>
                </w:p>
                <w:p w14:paraId="2BA86D3F">
                  <w:pPr>
                    <w:jc w:val="center"/>
                    <w:rPr>
                      <w:rFonts w:hint="default" w:ascii="Times New Roman" w:hAnsi="Times New Roman" w:eastAsia="宋体" w:cs="Times New Roman"/>
                      <w:bCs/>
                      <w:color w:val="000000" w:themeColor="text1"/>
                      <w:szCs w:val="21"/>
                      <w:lang w:val="en-US" w:eastAsia="zh-CN"/>
                      <w14:textFill>
                        <w14:solidFill>
                          <w14:schemeClr w14:val="tx1"/>
                        </w14:solidFill>
                      </w14:textFill>
                    </w:rPr>
                  </w:pPr>
                  <w:r>
                    <w:rPr>
                      <w:rFonts w:hint="default" w:ascii="Times New Roman" w:hAnsi="Times New Roman" w:eastAsia="宋体" w:cs="Times New Roman"/>
                      <w:bCs/>
                      <w:color w:val="000000" w:themeColor="text1"/>
                      <w:szCs w:val="21"/>
                      <w:lang w:val="en-US" w:eastAsia="zh-CN"/>
                      <w14:textFill>
                        <w14:solidFill>
                          <w14:schemeClr w14:val="tx1"/>
                        </w14:solidFill>
                      </w14:textFill>
                    </w:rPr>
                    <w:t>废润滑油、废油桶</w:t>
                  </w:r>
                  <w:r>
                    <w:rPr>
                      <w:rFonts w:hint="default"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bCs/>
                      <w:color w:val="000000" w:themeColor="text1"/>
                      <w:szCs w:val="21"/>
                      <w:lang w:val="en-US" w:eastAsia="zh-CN"/>
                      <w14:textFill>
                        <w14:solidFill>
                          <w14:schemeClr w14:val="tx1"/>
                        </w14:solidFill>
                      </w14:textFill>
                    </w:rPr>
                    <w:t>废导热油</w:t>
                  </w:r>
                  <w:r>
                    <w:rPr>
                      <w:rFonts w:hint="default" w:ascii="Times New Roman" w:hAnsi="Times New Roman" w:eastAsia="宋体" w:cs="Times New Roman"/>
                      <w:bCs/>
                      <w:color w:val="000000" w:themeColor="text1"/>
                      <w:szCs w:val="21"/>
                      <w:lang w:val="en-US" w:eastAsia="zh-CN"/>
                      <w14:textFill>
                        <w14:solidFill>
                          <w14:schemeClr w14:val="tx1"/>
                        </w14:solidFill>
                      </w14:textFill>
                    </w:rPr>
                    <w:t>、</w:t>
                  </w:r>
                  <w:r>
                    <w:rPr>
                      <w:rFonts w:hint="eastAsia" w:ascii="Times New Roman" w:hAnsi="Times New Roman" w:eastAsia="宋体" w:cs="Times New Roman"/>
                      <w:bCs/>
                      <w:color w:val="000000" w:themeColor="text1"/>
                      <w:szCs w:val="21"/>
                      <w:lang w:val="en-US" w:eastAsia="zh-CN"/>
                      <w14:textFill>
                        <w14:solidFill>
                          <w14:schemeClr w14:val="tx1"/>
                        </w14:solidFill>
                      </w14:textFill>
                    </w:rPr>
                    <w:t>废活性炭</w:t>
                  </w:r>
                  <w:r>
                    <w:rPr>
                      <w:rFonts w:hint="default" w:ascii="Times New Roman" w:hAnsi="Times New Roman" w:eastAsia="宋体" w:cs="Times New Roman"/>
                      <w:bCs/>
                      <w:color w:val="000000" w:themeColor="text1"/>
                      <w:szCs w:val="21"/>
                      <w:lang w:val="en-US" w:eastAsia="zh-CN"/>
                      <w14:textFill>
                        <w14:solidFill>
                          <w14:schemeClr w14:val="tx1"/>
                        </w14:solidFill>
                      </w14:textFill>
                    </w:rPr>
                    <w:t>委托</w:t>
                  </w:r>
                  <w:r>
                    <w:rPr>
                      <w:rFonts w:hint="eastAsia" w:ascii="Times New Roman" w:hAnsi="Times New Roman" w:eastAsia="宋体" w:cs="Times New Roman"/>
                      <w:bCs/>
                      <w:color w:val="000000" w:themeColor="text1"/>
                      <w:szCs w:val="21"/>
                      <w:lang w:val="en-US" w:eastAsia="zh-CN"/>
                      <w14:textFill>
                        <w14:solidFill>
                          <w14:schemeClr w14:val="tx1"/>
                        </w14:solidFill>
                      </w14:textFill>
                    </w:rPr>
                    <w:t>危废</w:t>
                  </w:r>
                  <w:r>
                    <w:rPr>
                      <w:rFonts w:hint="default" w:ascii="Times New Roman" w:hAnsi="Times New Roman" w:eastAsia="宋体" w:cs="Times New Roman"/>
                      <w:bCs/>
                      <w:color w:val="000000" w:themeColor="text1"/>
                      <w:szCs w:val="21"/>
                      <w:lang w:val="en-US" w:eastAsia="zh-CN"/>
                      <w14:textFill>
                        <w14:solidFill>
                          <w14:schemeClr w14:val="tx1"/>
                        </w14:solidFill>
                      </w14:textFill>
                    </w:rPr>
                    <w:t>资质单位处置。</w:t>
                  </w:r>
                </w:p>
                <w:p w14:paraId="6D2D78FB">
                  <w:pPr>
                    <w:jc w:val="center"/>
                    <w:rPr>
                      <w:rFonts w:hint="default" w:eastAsia="宋体"/>
                      <w:lang w:val="en-US" w:eastAsia="zh-CN"/>
                    </w:rPr>
                  </w:pPr>
                  <w:r>
                    <w:rPr>
                      <w:rFonts w:hint="default" w:ascii="Times New Roman" w:hAnsi="Times New Roman" w:eastAsia="宋体" w:cs="Times New Roman"/>
                      <w:bCs/>
                      <w:color w:val="000000" w:themeColor="text1"/>
                      <w:szCs w:val="21"/>
                      <w:lang w:val="en-US" w:eastAsia="zh-CN"/>
                      <w14:textFill>
                        <w14:solidFill>
                          <w14:schemeClr w14:val="tx1"/>
                        </w14:solidFill>
                      </w14:textFill>
                    </w:rPr>
                    <w:t>职工生活垃圾</w:t>
                  </w:r>
                  <w:r>
                    <w:rPr>
                      <w:rFonts w:hint="eastAsia" w:ascii="Times New Roman" w:hAnsi="Times New Roman" w:eastAsia="宋体" w:cs="Times New Roman"/>
                      <w:bCs/>
                      <w:color w:val="000000" w:themeColor="text1"/>
                      <w:szCs w:val="21"/>
                      <w:lang w:val="en-US" w:eastAsia="zh-CN"/>
                      <w14:textFill>
                        <w14:solidFill>
                          <w14:schemeClr w14:val="tx1"/>
                        </w14:solidFill>
                      </w14:textFill>
                    </w:rPr>
                    <w:t>有环卫部门定期清运。</w:t>
                  </w:r>
                </w:p>
              </w:tc>
              <w:tc>
                <w:tcPr>
                  <w:tcW w:w="1057" w:type="dxa"/>
                  <w:tcBorders>
                    <w:tl2br w:val="nil"/>
                    <w:tr2bl w:val="nil"/>
                  </w:tcBorders>
                  <w:vAlign w:val="center"/>
                </w:tcPr>
                <w:p w14:paraId="0657BD07">
                  <w:pPr>
                    <w:topLinePunct/>
                    <w:adjustRightInd w:val="0"/>
                    <w:snapToGrid w:val="0"/>
                    <w:spacing w:line="360" w:lineRule="exac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新建</w:t>
                  </w:r>
                </w:p>
              </w:tc>
            </w:tr>
            <w:tr w14:paraId="157FFB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861" w:hRule="atLeast"/>
                <w:jc w:val="center"/>
              </w:trPr>
              <w:tc>
                <w:tcPr>
                  <w:tcW w:w="704" w:type="dxa"/>
                  <w:vMerge w:val="continue"/>
                  <w:tcBorders>
                    <w:tl2br w:val="nil"/>
                    <w:tr2bl w:val="nil"/>
                  </w:tcBorders>
                  <w:vAlign w:val="center"/>
                </w:tcPr>
                <w:p w14:paraId="3C7D478F">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c>
                <w:tcPr>
                  <w:tcW w:w="1155" w:type="dxa"/>
                  <w:tcBorders>
                    <w:tl2br w:val="nil"/>
                    <w:tr2bl w:val="nil"/>
                  </w:tcBorders>
                  <w:vAlign w:val="center"/>
                </w:tcPr>
                <w:p w14:paraId="2D2F1962">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噪声治理</w:t>
                  </w:r>
                </w:p>
              </w:tc>
              <w:tc>
                <w:tcPr>
                  <w:tcW w:w="5795" w:type="dxa"/>
                  <w:tcBorders>
                    <w:tl2br w:val="nil"/>
                    <w:tr2bl w:val="nil"/>
                  </w:tcBorders>
                  <w:vAlign w:val="center"/>
                </w:tcPr>
                <w:p w14:paraId="02ED95AE">
                  <w:pPr>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采用</w:t>
                  </w:r>
                  <w:r>
                    <w:rPr>
                      <w:rFonts w:hint="default" w:ascii="Times New Roman" w:hAnsi="Times New Roman" w:eastAsia="宋体" w:cs="Times New Roman"/>
                      <w:color w:val="000000" w:themeColor="text1"/>
                      <w:szCs w:val="21"/>
                      <w14:textFill>
                        <w14:solidFill>
                          <w14:schemeClr w14:val="tx1"/>
                        </w14:solidFill>
                      </w14:textFill>
                    </w:rPr>
                    <w:t>低噪声设备，采取隔声、减振等措施</w:t>
                  </w:r>
                  <w:r>
                    <w:rPr>
                      <w:rFonts w:hint="eastAsia" w:cs="Times New Roman"/>
                      <w:color w:val="000000" w:themeColor="text1"/>
                      <w:szCs w:val="21"/>
                      <w:lang w:eastAsia="zh-CN"/>
                      <w14:textFill>
                        <w14:solidFill>
                          <w14:schemeClr w14:val="tx1"/>
                        </w14:solidFill>
                      </w14:textFill>
                    </w:rPr>
                    <w:t>，合理布局，加强设备维护保障正常运转。</w:t>
                  </w:r>
                </w:p>
              </w:tc>
              <w:tc>
                <w:tcPr>
                  <w:tcW w:w="1057" w:type="dxa"/>
                  <w:tcBorders>
                    <w:tl2br w:val="nil"/>
                    <w:tr2bl w:val="nil"/>
                  </w:tcBorders>
                  <w:vAlign w:val="center"/>
                </w:tcPr>
                <w:p w14:paraId="6F93D5DA">
                  <w:pPr>
                    <w:pStyle w:val="13"/>
                    <w:topLinePunct/>
                    <w:adjustRightInd w:val="0"/>
                    <w:snapToGrid w:val="0"/>
                    <w:spacing w:after="0" w:line="360" w:lineRule="exact"/>
                    <w:ind w:left="0" w:leftChars="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新建</w:t>
                  </w:r>
                </w:p>
              </w:tc>
            </w:tr>
          </w:tbl>
          <w:p w14:paraId="69DC0B29">
            <w:pPr>
              <w:pStyle w:val="5"/>
              <w:spacing w:before="120" w:beforeLines="50"/>
              <w:ind w:firstLine="482" w:firstLineChars="200"/>
              <w:rPr>
                <w:rFonts w:hint="default" w:ascii="Times New Roman" w:hAnsi="Times New Roman" w:eastAsia="宋体" w:cs="Times New Roman"/>
                <w:b/>
                <w:bCs w:val="0"/>
                <w:color w:val="000000" w:themeColor="text1"/>
                <w:szCs w:val="24"/>
                <w14:textFill>
                  <w14:solidFill>
                    <w14:schemeClr w14:val="tx1"/>
                  </w14:solidFill>
                </w14:textFill>
              </w:rPr>
            </w:pPr>
            <w:r>
              <w:rPr>
                <w:rFonts w:hint="default" w:ascii="Times New Roman" w:hAnsi="Times New Roman" w:eastAsia="宋体" w:cs="Times New Roman"/>
                <w:b/>
                <w:color w:val="000000" w:themeColor="text1"/>
                <w:szCs w:val="24"/>
                <w14:textFill>
                  <w14:solidFill>
                    <w14:schemeClr w14:val="tx1"/>
                  </w14:solidFill>
                </w14:textFill>
              </w:rPr>
              <w:t>4、</w:t>
            </w:r>
            <w:r>
              <w:rPr>
                <w:rFonts w:hint="default" w:ascii="Times New Roman" w:hAnsi="Times New Roman" w:eastAsia="宋体" w:cs="Times New Roman"/>
                <w:b/>
                <w:bCs w:val="0"/>
                <w:color w:val="000000" w:themeColor="text1"/>
                <w:szCs w:val="24"/>
                <w14:textFill>
                  <w14:solidFill>
                    <w14:schemeClr w14:val="tx1"/>
                  </w14:solidFill>
                </w14:textFill>
              </w:rPr>
              <w:t>主要产品及产能</w:t>
            </w:r>
          </w:p>
          <w:p w14:paraId="39A509F3">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聚乙烯蜡（PE蜡）是一种多功能化工添加剂，是低分子量聚乙烯均聚物或共聚体，具有耐寒性、耐热性、耐化学性和耐磨性</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其密度为0.93-0.98，熔点90-120°C，分子量1500～5000，外观呈白色小微珠状或片状</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主要作为分散剂、润滑剂、光亮剂和脱模剂，广泛应用于塑料加工、色母粒、涂料油墨、蜡制品、电缆料、橡胶及化妆品等领域，以提升产品光泽度、加工效率和表面性能</w:t>
            </w: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本项目产品方案见表2-2。</w:t>
            </w:r>
          </w:p>
          <w:p w14:paraId="0B7B71E4">
            <w:pPr>
              <w:ind w:firstLine="422" w:firstLineChars="20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表2-</w:t>
            </w:r>
            <w:r>
              <w:rPr>
                <w:rFonts w:hint="eastAsia" w:cs="Times New Roman"/>
                <w:b/>
                <w:bCs/>
                <w:color w:val="000000" w:themeColor="text1"/>
                <w:szCs w:val="21"/>
                <w:lang w:val="en-US" w:eastAsia="zh-CN"/>
                <w14:textFill>
                  <w14:solidFill>
                    <w14:schemeClr w14:val="tx1"/>
                  </w14:solidFill>
                </w14:textFill>
              </w:rPr>
              <w:t>2</w:t>
            </w:r>
            <w:r>
              <w:rPr>
                <w:rFonts w:hint="default" w:ascii="Times New Roman" w:hAnsi="Times New Roman" w:eastAsia="宋体" w:cs="Times New Roman"/>
                <w:b/>
                <w:bCs/>
                <w:color w:val="000000" w:themeColor="text1"/>
                <w:szCs w:val="21"/>
                <w14:textFill>
                  <w14:solidFill>
                    <w14:schemeClr w14:val="tx1"/>
                  </w14:solidFill>
                </w14:textFill>
              </w:rPr>
              <w:t>本项目产品方案一览表</w:t>
            </w:r>
          </w:p>
          <w:tbl>
            <w:tblPr>
              <w:tblStyle w:val="38"/>
              <w:tblW w:w="490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11"/>
              <w:gridCol w:w="2986"/>
              <w:gridCol w:w="1279"/>
              <w:gridCol w:w="1211"/>
              <w:gridCol w:w="3117"/>
            </w:tblGrid>
            <w:tr w14:paraId="43C129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pct"/>
                  <w:tcBorders>
                    <w:tl2br w:val="nil"/>
                    <w:tr2bl w:val="nil"/>
                  </w:tcBorders>
                  <w:vAlign w:val="center"/>
                </w:tcPr>
                <w:p w14:paraId="19CCFDAA">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序号</w:t>
                  </w:r>
                </w:p>
              </w:tc>
              <w:tc>
                <w:tcPr>
                  <w:tcW w:w="1492" w:type="pct"/>
                  <w:tcBorders>
                    <w:tl2br w:val="nil"/>
                    <w:tr2bl w:val="nil"/>
                  </w:tcBorders>
                  <w:vAlign w:val="center"/>
                </w:tcPr>
                <w:p w14:paraId="682C2152">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名称</w:t>
                  </w:r>
                </w:p>
              </w:tc>
              <w:tc>
                <w:tcPr>
                  <w:tcW w:w="639" w:type="pct"/>
                  <w:tcBorders>
                    <w:tl2br w:val="nil"/>
                    <w:tr2bl w:val="nil"/>
                  </w:tcBorders>
                  <w:vAlign w:val="center"/>
                </w:tcPr>
                <w:p w14:paraId="00073A55">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单位</w:t>
                  </w:r>
                </w:p>
              </w:tc>
              <w:tc>
                <w:tcPr>
                  <w:tcW w:w="605" w:type="pct"/>
                  <w:tcBorders>
                    <w:tl2br w:val="nil"/>
                    <w:tr2bl w:val="nil"/>
                  </w:tcBorders>
                  <w:vAlign w:val="center"/>
                </w:tcPr>
                <w:p w14:paraId="305585CD">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产量</w:t>
                  </w:r>
                </w:p>
              </w:tc>
              <w:tc>
                <w:tcPr>
                  <w:tcW w:w="1557" w:type="pct"/>
                  <w:tcBorders>
                    <w:tl2br w:val="nil"/>
                    <w:tr2bl w:val="nil"/>
                  </w:tcBorders>
                  <w:vAlign w:val="center"/>
                </w:tcPr>
                <w:p w14:paraId="229233D9">
                  <w:pPr>
                    <w:pStyle w:val="115"/>
                    <w:spacing w:line="240" w:lineRule="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eastAsia" w:ascii="Times New Roman" w:cs="Times New Roman"/>
                      <w:b/>
                      <w:bCs/>
                      <w:color w:val="000000" w:themeColor="text1"/>
                      <w:lang w:val="en-US" w:eastAsia="zh-CN"/>
                      <w14:textFill>
                        <w14:solidFill>
                          <w14:schemeClr w14:val="tx1"/>
                        </w14:solidFill>
                      </w14:textFill>
                    </w:rPr>
                    <w:t>备注</w:t>
                  </w:r>
                </w:p>
              </w:tc>
            </w:tr>
            <w:tr w14:paraId="6B5AFA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5" w:type="pct"/>
                  <w:tcBorders>
                    <w:tl2br w:val="nil"/>
                    <w:tr2bl w:val="nil"/>
                  </w:tcBorders>
                  <w:vAlign w:val="center"/>
                </w:tcPr>
                <w:p w14:paraId="6472712A">
                  <w:pPr>
                    <w:pStyle w:val="115"/>
                    <w:spacing w:line="240" w:lineRule="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w:t>
                  </w:r>
                </w:p>
              </w:tc>
              <w:tc>
                <w:tcPr>
                  <w:tcW w:w="1492" w:type="pct"/>
                  <w:tcBorders>
                    <w:tl2br w:val="nil"/>
                    <w:tr2bl w:val="nil"/>
                  </w:tcBorders>
                  <w:vAlign w:val="center"/>
                </w:tcPr>
                <w:p w14:paraId="77BB81D9">
                  <w:pPr>
                    <w:pStyle w:val="115"/>
                    <w:spacing w:line="240" w:lineRule="auto"/>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聚乙烯蜡</w:t>
                  </w:r>
                </w:p>
              </w:tc>
              <w:tc>
                <w:tcPr>
                  <w:tcW w:w="639" w:type="pct"/>
                  <w:tcBorders>
                    <w:tl2br w:val="nil"/>
                    <w:tr2bl w:val="nil"/>
                  </w:tcBorders>
                  <w:vAlign w:val="center"/>
                </w:tcPr>
                <w:p w14:paraId="6F715764">
                  <w:pPr>
                    <w:pStyle w:val="115"/>
                    <w:spacing w:line="240" w:lineRule="auto"/>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吨/年</w:t>
                  </w:r>
                </w:p>
              </w:tc>
              <w:tc>
                <w:tcPr>
                  <w:tcW w:w="605" w:type="pct"/>
                  <w:tcBorders>
                    <w:tl2br w:val="nil"/>
                    <w:tr2bl w:val="nil"/>
                  </w:tcBorders>
                  <w:shd w:val="clear" w:color="auto" w:fill="auto"/>
                  <w:vAlign w:val="center"/>
                </w:tcPr>
                <w:p w14:paraId="6A329761">
                  <w:pPr>
                    <w:pStyle w:val="115"/>
                    <w:spacing w:line="240" w:lineRule="auto"/>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2000</w:t>
                  </w:r>
                </w:p>
              </w:tc>
              <w:tc>
                <w:tcPr>
                  <w:tcW w:w="1557" w:type="pct"/>
                  <w:tcBorders>
                    <w:tl2br w:val="nil"/>
                    <w:tr2bl w:val="nil"/>
                  </w:tcBorders>
                  <w:vAlign w:val="center"/>
                </w:tcPr>
                <w:p w14:paraId="571C8BFB">
                  <w:pPr>
                    <w:pStyle w:val="115"/>
                    <w:spacing w:line="240" w:lineRule="auto"/>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片状，</w:t>
                  </w:r>
                  <w:r>
                    <w:rPr>
                      <w:rFonts w:hint="default" w:ascii="Times New Roman" w:hAnsi="Times New Roman" w:eastAsia="宋体" w:cs="Times New Roman"/>
                      <w:color w:val="000000" w:themeColor="text1"/>
                      <w:lang w:val="en-US" w:eastAsia="zh-CN"/>
                      <w14:textFill>
                        <w14:solidFill>
                          <w14:schemeClr w14:val="tx1"/>
                        </w14:solidFill>
                      </w14:textFill>
                    </w:rPr>
                    <w:t>25kg/</w:t>
                  </w:r>
                  <w:r>
                    <w:rPr>
                      <w:rFonts w:hint="eastAsia" w:ascii="Times New Roman" w:hAnsi="Times New Roman" w:eastAsia="宋体" w:cs="Times New Roman"/>
                      <w:color w:val="000000" w:themeColor="text1"/>
                      <w:lang w:val="en-US" w:eastAsia="zh-CN"/>
                      <w14:textFill>
                        <w14:solidFill>
                          <w14:schemeClr w14:val="tx1"/>
                        </w14:solidFill>
                      </w14:textFill>
                    </w:rPr>
                    <w:t>袋</w:t>
                  </w:r>
                </w:p>
              </w:tc>
            </w:tr>
          </w:tbl>
          <w:p w14:paraId="77F7074E">
            <w:pPr>
              <w:pStyle w:val="37"/>
              <w:spacing w:after="0" w:line="360" w:lineRule="auto"/>
              <w:ind w:leftChars="0" w:firstLine="0" w:firstLineChars="0"/>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产品质量标准：</w:t>
            </w:r>
          </w:p>
          <w:p w14:paraId="376D01AB">
            <w:pPr>
              <w:pStyle w:val="37"/>
              <w:spacing w:after="0" w:line="360" w:lineRule="auto"/>
              <w:ind w:leftChars="0" w:firstLine="0" w:firstLineChars="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‌外观</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‌：通常为白色粉末、片状或块状。</w:t>
            </w:r>
          </w:p>
          <w:p w14:paraId="25791C9D">
            <w:pPr>
              <w:pStyle w:val="37"/>
              <w:spacing w:after="0" w:line="360" w:lineRule="auto"/>
              <w:ind w:leftChars="0" w:firstLine="0" w:firstLineChars="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‌密度‌：0.92-0.98 g/cm³，不同生产方法（如裂解法、聚合法）会导致密度差异。</w:t>
            </w:r>
          </w:p>
          <w:p w14:paraId="23D98E66">
            <w:pPr>
              <w:pStyle w:val="37"/>
              <w:spacing w:after="0" w:line="360" w:lineRule="auto"/>
              <w:ind w:leftChars="0" w:firstLine="0" w:firstLineChars="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‌熔点‌：90-120℃，具体数值随分子量变化。</w:t>
            </w:r>
          </w:p>
          <w:p w14:paraId="6FFF9DD7">
            <w:pPr>
              <w:pStyle w:val="37"/>
              <w:spacing w:after="0" w:line="360" w:lineRule="auto"/>
              <w:ind w:leftChars="0" w:firstLine="0" w:firstLineChars="0"/>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化学特性</w:t>
            </w:r>
          </w:p>
          <w:p w14:paraId="4030416A">
            <w:pPr>
              <w:pStyle w:val="37"/>
              <w:spacing w:after="0" w:line="360" w:lineRule="auto"/>
              <w:ind w:leftChars="0" w:firstLine="0" w:firstLineChars="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‌分子量‌：一般在1000-5000之间，直接影响润滑效果和加工性能。</w:t>
            </w:r>
          </w:p>
          <w:p w14:paraId="3DAD8133">
            <w:pPr>
              <w:pStyle w:val="37"/>
              <w:spacing w:after="0" w:line="360" w:lineRule="auto"/>
              <w:ind w:leftChars="0" w:firstLine="0" w:firstLineChars="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‌软化点‌：90-120℃，用于塑料加工时需匹配设备温度区间。</w:t>
            </w:r>
          </w:p>
          <w:p w14:paraId="3F2625B6">
            <w:pPr>
              <w:pStyle w:val="37"/>
              <w:spacing w:after="0" w:line="360" w:lineRule="auto"/>
              <w:ind w:leftChars="0" w:firstLine="0" w:firstLineChars="0"/>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加工特性</w:t>
            </w:r>
          </w:p>
          <w:p w14:paraId="7EFEE7CC">
            <w:pPr>
              <w:pStyle w:val="37"/>
              <w:spacing w:after="0" w:line="360" w:lineRule="auto"/>
              <w:ind w:leftChars="0" w:firstLine="0" w:firstLineChars="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‌热稳定性‌：5%热失重温度超300℃，常规加工温度为140-180℃。</w:t>
            </w:r>
          </w:p>
          <w:p w14:paraId="26D9D7A9">
            <w:pPr>
              <w:pStyle w:val="37"/>
              <w:spacing w:after="0" w:line="360" w:lineRule="auto"/>
              <w:ind w:leftChars="0" w:firstLine="0" w:firstLineChars="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‌相容性‌：与聚乙烯、聚丙烯等树脂兼容性好，可提升加工效率。</w:t>
            </w:r>
          </w:p>
          <w:p w14:paraId="476C6486">
            <w:pPr>
              <w:pStyle w:val="37"/>
              <w:spacing w:after="0" w:line="360" w:lineRule="auto"/>
              <w:ind w:leftChars="0" w:firstLine="0" w:firstLineChars="0"/>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环保与安全</w:t>
            </w:r>
          </w:p>
          <w:p w14:paraId="3A9C84FF">
            <w:pPr>
              <w:pStyle w:val="37"/>
              <w:spacing w:after="0" w:line="360" w:lineRule="auto"/>
              <w:ind w:leftChars="0" w:firstLine="0" w:firstLineChars="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‌毒性‌：符合食品接触标准，无毒且可自然降解。</w:t>
            </w:r>
          </w:p>
          <w:p w14:paraId="6E2D407F">
            <w:pPr>
              <w:pStyle w:val="37"/>
              <w:spacing w:after="0" w:line="360" w:lineRule="auto"/>
              <w:ind w:leftChars="0" w:firstLine="0" w:firstLineChars="0"/>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应用适配</w:t>
            </w:r>
          </w:p>
          <w:p w14:paraId="06AB5422">
            <w:pPr>
              <w:pStyle w:val="37"/>
              <w:spacing w:after="0" w:line="360" w:lineRule="auto"/>
              <w:ind w:leftChars="0" w:firstLine="0" w:firstLineChars="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塑料加工需控制温度波动≤5℃，并配备智能温湿度监测系统；涂料生产需干燥段温度梯度≤2℃/min。</w:t>
            </w:r>
          </w:p>
          <w:p w14:paraId="54C8742E">
            <w:pPr>
              <w:pStyle w:val="37"/>
              <w:spacing w:after="0" w:line="360" w:lineRule="auto"/>
              <w:ind w:leftChars="0" w:firstLine="0" w:firstLineChars="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5、主要原辅材料</w:t>
            </w:r>
          </w:p>
          <w:p w14:paraId="19E4C756">
            <w:pPr>
              <w:spacing w:line="360" w:lineRule="auto"/>
              <w:ind w:firstLine="480" w:firstLineChars="200"/>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本项目主要原辅材料消耗情况见表2-</w:t>
            </w:r>
            <w:r>
              <w:rPr>
                <w:rFonts w:hint="eastAsia"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w:t>
            </w:r>
          </w:p>
          <w:p w14:paraId="7CA294B5">
            <w:pPr>
              <w:pStyle w:val="37"/>
              <w:spacing w:after="0"/>
              <w:ind w:left="0" w:leftChars="0" w:firstLine="422"/>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表2-</w:t>
            </w:r>
            <w:r>
              <w:rPr>
                <w:rFonts w:hint="eastAsia" w:cs="Times New Roman"/>
                <w:b/>
                <w:bCs/>
                <w:color w:val="000000" w:themeColor="text1"/>
                <w:szCs w:val="21"/>
                <w:lang w:val="en-US" w:eastAsia="zh-CN"/>
                <w14:textFill>
                  <w14:solidFill>
                    <w14:schemeClr w14:val="tx1"/>
                  </w14:solidFill>
                </w14:textFill>
              </w:rPr>
              <w:t>3</w:t>
            </w:r>
            <w:r>
              <w:rPr>
                <w:rFonts w:hint="default" w:ascii="Times New Roman" w:hAnsi="Times New Roman" w:eastAsia="宋体" w:cs="Times New Roman"/>
                <w:b/>
                <w:bCs/>
                <w:color w:val="000000" w:themeColor="text1"/>
                <w:szCs w:val="21"/>
                <w14:textFill>
                  <w14:solidFill>
                    <w14:schemeClr w14:val="tx1"/>
                  </w14:solidFill>
                </w14:textFill>
              </w:rPr>
              <w:t>本项目主要原辅材料及能源消耗一览表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0"/>
              <w:gridCol w:w="1795"/>
              <w:gridCol w:w="1247"/>
              <w:gridCol w:w="1809"/>
              <w:gridCol w:w="1574"/>
              <w:gridCol w:w="2915"/>
            </w:tblGrid>
            <w:tr w14:paraId="7D1C92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734" w:type="dxa"/>
                  <w:tcBorders>
                    <w:tl2br w:val="nil"/>
                    <w:tr2bl w:val="nil"/>
                  </w:tcBorders>
                  <w:vAlign w:val="center"/>
                </w:tcPr>
                <w:p w14:paraId="042FE024">
                  <w:pPr>
                    <w:widowControl/>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序号</w:t>
                  </w:r>
                </w:p>
              </w:tc>
              <w:tc>
                <w:tcPr>
                  <w:tcW w:w="1533" w:type="dxa"/>
                  <w:tcBorders>
                    <w:tl2br w:val="nil"/>
                    <w:tr2bl w:val="nil"/>
                  </w:tcBorders>
                  <w:vAlign w:val="center"/>
                </w:tcPr>
                <w:p w14:paraId="3BB66646">
                  <w:pPr>
                    <w:widowControl/>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名称</w:t>
                  </w:r>
                </w:p>
              </w:tc>
              <w:tc>
                <w:tcPr>
                  <w:tcW w:w="1065" w:type="dxa"/>
                  <w:tcBorders>
                    <w:tl2br w:val="nil"/>
                    <w:tr2bl w:val="nil"/>
                  </w:tcBorders>
                  <w:vAlign w:val="center"/>
                </w:tcPr>
                <w:p w14:paraId="5F7E50D0">
                  <w:pPr>
                    <w:widowControl/>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单位</w:t>
                  </w:r>
                </w:p>
              </w:tc>
              <w:tc>
                <w:tcPr>
                  <w:tcW w:w="1545" w:type="dxa"/>
                  <w:tcBorders>
                    <w:tl2br w:val="nil"/>
                    <w:tr2bl w:val="nil"/>
                  </w:tcBorders>
                  <w:vAlign w:val="center"/>
                </w:tcPr>
                <w:p w14:paraId="0BEF1D0C">
                  <w:pPr>
                    <w:widowControl/>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用量</w:t>
                  </w:r>
                </w:p>
              </w:tc>
              <w:tc>
                <w:tcPr>
                  <w:tcW w:w="1344" w:type="dxa"/>
                  <w:tcBorders>
                    <w:tl2br w:val="nil"/>
                    <w:tr2bl w:val="nil"/>
                  </w:tcBorders>
                  <w:vAlign w:val="center"/>
                </w:tcPr>
                <w:p w14:paraId="6F3A14E5">
                  <w:pPr>
                    <w:widowControl/>
                    <w:jc w:val="center"/>
                    <w:rPr>
                      <w:rFonts w:hint="default" w:ascii="Times New Roman" w:hAnsi="Times New Roman" w:eastAsia="宋体" w:cs="Times New Roman"/>
                      <w:b/>
                      <w:bCs/>
                      <w:color w:val="000000" w:themeColor="text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Cs w:val="21"/>
                      <w:lang w:val="en-US" w:eastAsia="zh-CN"/>
                      <w14:textFill>
                        <w14:solidFill>
                          <w14:schemeClr w14:val="tx1"/>
                        </w14:solidFill>
                      </w14:textFill>
                    </w:rPr>
                    <w:t>最大储存量</w:t>
                  </w:r>
                </w:p>
              </w:tc>
              <w:tc>
                <w:tcPr>
                  <w:tcW w:w="2489" w:type="dxa"/>
                  <w:tcBorders>
                    <w:tl2br w:val="nil"/>
                    <w:tr2bl w:val="nil"/>
                  </w:tcBorders>
                  <w:vAlign w:val="center"/>
                </w:tcPr>
                <w:p w14:paraId="5E320DD1">
                  <w:pPr>
                    <w:widowControl/>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备注</w:t>
                  </w:r>
                </w:p>
              </w:tc>
            </w:tr>
            <w:tr w14:paraId="12D473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0" w:type="dxa"/>
                  <w:gridSpan w:val="6"/>
                  <w:tcBorders>
                    <w:tl2br w:val="nil"/>
                    <w:tr2bl w:val="nil"/>
                  </w:tcBorders>
                  <w:shd w:val="clear" w:color="auto" w:fill="auto"/>
                  <w:vAlign w:val="center"/>
                </w:tcPr>
                <w:p w14:paraId="77AC035A">
                  <w:pPr>
                    <w:widowControl/>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原材料</w:t>
                  </w:r>
                </w:p>
              </w:tc>
            </w:tr>
            <w:tr w14:paraId="69754C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tcBorders>
                    <w:tl2br w:val="nil"/>
                    <w:tr2bl w:val="nil"/>
                  </w:tcBorders>
                  <w:shd w:val="clear" w:color="auto" w:fill="auto"/>
                  <w:vAlign w:val="center"/>
                </w:tcPr>
                <w:p w14:paraId="77717BB4">
                  <w:pPr>
                    <w:pStyle w:val="115"/>
                    <w:spacing w:line="240" w:lineRule="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w:t>
                  </w:r>
                </w:p>
              </w:tc>
              <w:tc>
                <w:tcPr>
                  <w:tcW w:w="1533" w:type="dxa"/>
                  <w:tcBorders>
                    <w:tl2br w:val="nil"/>
                    <w:tr2bl w:val="nil"/>
                  </w:tcBorders>
                  <w:shd w:val="clear" w:color="auto" w:fill="auto"/>
                  <w:vAlign w:val="center"/>
                </w:tcPr>
                <w:p w14:paraId="57A3AF43">
                  <w:pPr>
                    <w:widowControl/>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费托蜡</w:t>
                  </w:r>
                </w:p>
              </w:tc>
              <w:tc>
                <w:tcPr>
                  <w:tcW w:w="1065" w:type="dxa"/>
                  <w:tcBorders>
                    <w:tl2br w:val="nil"/>
                    <w:tr2bl w:val="nil"/>
                  </w:tcBorders>
                  <w:shd w:val="clear" w:color="auto" w:fill="auto"/>
                  <w:vAlign w:val="center"/>
                </w:tcPr>
                <w:p w14:paraId="3D877562">
                  <w:pPr>
                    <w:widowControl/>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t/a</w:t>
                  </w:r>
                </w:p>
              </w:tc>
              <w:tc>
                <w:tcPr>
                  <w:tcW w:w="1545" w:type="dxa"/>
                  <w:tcBorders>
                    <w:tl2br w:val="nil"/>
                    <w:tr2bl w:val="nil"/>
                  </w:tcBorders>
                  <w:shd w:val="clear" w:color="auto" w:fill="auto"/>
                  <w:vAlign w:val="center"/>
                </w:tcPr>
                <w:p w14:paraId="10AEF47D">
                  <w:pPr>
                    <w:widowControl/>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1000.78</w:t>
                  </w:r>
                </w:p>
              </w:tc>
              <w:tc>
                <w:tcPr>
                  <w:tcW w:w="1344" w:type="dxa"/>
                  <w:tcBorders>
                    <w:tl2br w:val="nil"/>
                    <w:tr2bl w:val="nil"/>
                  </w:tcBorders>
                  <w:vAlign w:val="center"/>
                </w:tcPr>
                <w:p w14:paraId="22E6289E">
                  <w:pPr>
                    <w:widowControl/>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50</w:t>
                  </w:r>
                </w:p>
              </w:tc>
              <w:tc>
                <w:tcPr>
                  <w:tcW w:w="2489" w:type="dxa"/>
                  <w:tcBorders>
                    <w:tl2br w:val="nil"/>
                    <w:tr2bl w:val="nil"/>
                  </w:tcBorders>
                  <w:vAlign w:val="center"/>
                </w:tcPr>
                <w:p w14:paraId="1ECBE4AD">
                  <w:pPr>
                    <w:widowControl/>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外购，片状，</w:t>
                  </w:r>
                  <w:r>
                    <w:rPr>
                      <w:rFonts w:hint="default" w:ascii="Times New Roman" w:hAnsi="Times New Roman" w:eastAsia="宋体" w:cs="Times New Roman"/>
                      <w:color w:val="000000" w:themeColor="text1"/>
                      <w:szCs w:val="21"/>
                      <w:lang w:val="en-US" w:eastAsia="zh-CN"/>
                      <w14:textFill>
                        <w14:solidFill>
                          <w14:schemeClr w14:val="tx1"/>
                        </w14:solidFill>
                      </w14:textFill>
                    </w:rPr>
                    <w:t>25kg/</w:t>
                  </w:r>
                  <w:r>
                    <w:rPr>
                      <w:rFonts w:hint="eastAsia" w:ascii="Times New Roman" w:hAnsi="Times New Roman" w:eastAsia="宋体" w:cs="Times New Roman"/>
                      <w:color w:val="000000" w:themeColor="text1"/>
                      <w:szCs w:val="21"/>
                      <w:lang w:val="en-US" w:eastAsia="zh-CN"/>
                      <w14:textFill>
                        <w14:solidFill>
                          <w14:schemeClr w14:val="tx1"/>
                        </w14:solidFill>
                      </w14:textFill>
                    </w:rPr>
                    <w:t>袋</w:t>
                  </w:r>
                </w:p>
              </w:tc>
            </w:tr>
            <w:tr w14:paraId="57192F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tcBorders>
                    <w:tl2br w:val="nil"/>
                    <w:tr2bl w:val="nil"/>
                  </w:tcBorders>
                  <w:shd w:val="clear" w:color="auto" w:fill="auto"/>
                  <w:vAlign w:val="center"/>
                </w:tcPr>
                <w:p w14:paraId="0A8BEC66">
                  <w:pPr>
                    <w:pStyle w:val="115"/>
                    <w:spacing w:line="240" w:lineRule="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w:t>
                  </w:r>
                </w:p>
              </w:tc>
              <w:tc>
                <w:tcPr>
                  <w:tcW w:w="1533" w:type="dxa"/>
                  <w:tcBorders>
                    <w:tl2br w:val="nil"/>
                    <w:tr2bl w:val="nil"/>
                  </w:tcBorders>
                  <w:shd w:val="clear" w:color="auto" w:fill="auto"/>
                  <w:vAlign w:val="center"/>
                </w:tcPr>
                <w:p w14:paraId="34F8CCE9">
                  <w:pPr>
                    <w:widowControl/>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聚乙烯蜡</w:t>
                  </w:r>
                </w:p>
              </w:tc>
              <w:tc>
                <w:tcPr>
                  <w:tcW w:w="1065" w:type="dxa"/>
                  <w:tcBorders>
                    <w:tl2br w:val="nil"/>
                    <w:tr2bl w:val="nil"/>
                  </w:tcBorders>
                  <w:shd w:val="clear" w:color="auto" w:fill="auto"/>
                  <w:vAlign w:val="center"/>
                </w:tcPr>
                <w:p w14:paraId="47D9E7E7">
                  <w:pPr>
                    <w:widowControl/>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t/a</w:t>
                  </w:r>
                </w:p>
              </w:tc>
              <w:tc>
                <w:tcPr>
                  <w:tcW w:w="1545" w:type="dxa"/>
                  <w:tcBorders>
                    <w:tl2br w:val="nil"/>
                    <w:tr2bl w:val="nil"/>
                  </w:tcBorders>
                  <w:shd w:val="clear" w:color="auto" w:fill="auto"/>
                  <w:vAlign w:val="center"/>
                </w:tcPr>
                <w:p w14:paraId="0DA259EB">
                  <w:pPr>
                    <w:widowControl/>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1000.78</w:t>
                  </w:r>
                </w:p>
              </w:tc>
              <w:tc>
                <w:tcPr>
                  <w:tcW w:w="1344" w:type="dxa"/>
                  <w:tcBorders>
                    <w:tl2br w:val="nil"/>
                    <w:tr2bl w:val="nil"/>
                  </w:tcBorders>
                  <w:vAlign w:val="center"/>
                </w:tcPr>
                <w:p w14:paraId="28604D69">
                  <w:pPr>
                    <w:widowControl/>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50</w:t>
                  </w:r>
                </w:p>
              </w:tc>
              <w:tc>
                <w:tcPr>
                  <w:tcW w:w="2489" w:type="dxa"/>
                  <w:tcBorders>
                    <w:tl2br w:val="nil"/>
                    <w:tr2bl w:val="nil"/>
                  </w:tcBorders>
                  <w:vAlign w:val="center"/>
                </w:tcPr>
                <w:p w14:paraId="127F3C17">
                  <w:pPr>
                    <w:widowControl/>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外购，颗粒状，</w:t>
                  </w:r>
                  <w:r>
                    <w:rPr>
                      <w:rFonts w:hint="default" w:ascii="Times New Roman" w:hAnsi="Times New Roman" w:eastAsia="宋体" w:cs="Times New Roman"/>
                      <w:color w:val="000000" w:themeColor="text1"/>
                      <w:szCs w:val="21"/>
                      <w:lang w:val="en-US" w:eastAsia="zh-CN"/>
                      <w14:textFill>
                        <w14:solidFill>
                          <w14:schemeClr w14:val="tx1"/>
                        </w14:solidFill>
                      </w14:textFill>
                    </w:rPr>
                    <w:t>25kg/</w:t>
                  </w:r>
                  <w:r>
                    <w:rPr>
                      <w:rFonts w:hint="eastAsia" w:ascii="Times New Roman" w:hAnsi="Times New Roman" w:eastAsia="宋体" w:cs="Times New Roman"/>
                      <w:color w:val="000000" w:themeColor="text1"/>
                      <w:szCs w:val="21"/>
                      <w:lang w:val="en-US" w:eastAsia="zh-CN"/>
                      <w14:textFill>
                        <w14:solidFill>
                          <w14:schemeClr w14:val="tx1"/>
                        </w14:solidFill>
                      </w14:textFill>
                    </w:rPr>
                    <w:t>袋</w:t>
                  </w:r>
                </w:p>
              </w:tc>
            </w:tr>
            <w:tr w14:paraId="1B3499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0" w:type="dxa"/>
                  <w:gridSpan w:val="6"/>
                  <w:tcBorders>
                    <w:tl2br w:val="nil"/>
                    <w:tr2bl w:val="nil"/>
                  </w:tcBorders>
                  <w:shd w:val="clear" w:color="auto" w:fill="auto"/>
                  <w:vAlign w:val="center"/>
                </w:tcPr>
                <w:p w14:paraId="09B260B4">
                  <w:pPr>
                    <w:widowControl/>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辅助材料</w:t>
                  </w:r>
                </w:p>
              </w:tc>
            </w:tr>
            <w:tr w14:paraId="6DA9B8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tcBorders>
                    <w:tl2br w:val="nil"/>
                    <w:tr2bl w:val="nil"/>
                  </w:tcBorders>
                  <w:shd w:val="clear" w:color="auto" w:fill="auto"/>
                  <w:vAlign w:val="center"/>
                </w:tcPr>
                <w:p w14:paraId="4BE73CFB">
                  <w:pPr>
                    <w:pStyle w:val="115"/>
                    <w:spacing w:line="240" w:lineRule="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w:t>
                  </w:r>
                </w:p>
              </w:tc>
              <w:tc>
                <w:tcPr>
                  <w:tcW w:w="1533" w:type="dxa"/>
                  <w:tcBorders>
                    <w:tl2br w:val="nil"/>
                    <w:tr2bl w:val="nil"/>
                  </w:tcBorders>
                  <w:shd w:val="clear" w:color="auto" w:fill="auto"/>
                  <w:vAlign w:val="center"/>
                </w:tcPr>
                <w:p w14:paraId="011B4D24">
                  <w:pPr>
                    <w:widowControl/>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润滑油</w:t>
                  </w:r>
                </w:p>
              </w:tc>
              <w:tc>
                <w:tcPr>
                  <w:tcW w:w="1065" w:type="dxa"/>
                  <w:tcBorders>
                    <w:tl2br w:val="nil"/>
                    <w:tr2bl w:val="nil"/>
                  </w:tcBorders>
                  <w:shd w:val="clear" w:color="auto" w:fill="auto"/>
                  <w:vAlign w:val="center"/>
                </w:tcPr>
                <w:p w14:paraId="0F6B1D65">
                  <w:pPr>
                    <w:widowControl/>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t/a</w:t>
                  </w:r>
                </w:p>
              </w:tc>
              <w:tc>
                <w:tcPr>
                  <w:tcW w:w="1545" w:type="dxa"/>
                  <w:tcBorders>
                    <w:tl2br w:val="nil"/>
                    <w:tr2bl w:val="nil"/>
                  </w:tcBorders>
                  <w:shd w:val="clear" w:color="auto" w:fill="auto"/>
                  <w:vAlign w:val="center"/>
                </w:tcPr>
                <w:p w14:paraId="1B5371D4">
                  <w:pPr>
                    <w:widowControl/>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0.0</w:t>
                  </w:r>
                  <w:r>
                    <w:rPr>
                      <w:rFonts w:hint="eastAsia" w:cs="Times New Roman"/>
                      <w:color w:val="000000" w:themeColor="text1"/>
                      <w:szCs w:val="21"/>
                      <w:lang w:val="en-US" w:eastAsia="zh-CN"/>
                      <w14:textFill>
                        <w14:solidFill>
                          <w14:schemeClr w14:val="tx1"/>
                        </w14:solidFill>
                      </w14:textFill>
                    </w:rPr>
                    <w:t>5</w:t>
                  </w:r>
                </w:p>
              </w:tc>
              <w:tc>
                <w:tcPr>
                  <w:tcW w:w="1344" w:type="dxa"/>
                  <w:tcBorders>
                    <w:tl2br w:val="nil"/>
                    <w:tr2bl w:val="nil"/>
                  </w:tcBorders>
                  <w:shd w:val="clear" w:color="auto" w:fill="auto"/>
                  <w:vAlign w:val="center"/>
                </w:tcPr>
                <w:p w14:paraId="6B429197">
                  <w:pPr>
                    <w:widowControl/>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w:t>
                  </w:r>
                </w:p>
              </w:tc>
              <w:tc>
                <w:tcPr>
                  <w:tcW w:w="2489" w:type="dxa"/>
                  <w:tcBorders>
                    <w:tl2br w:val="nil"/>
                    <w:tr2bl w:val="nil"/>
                  </w:tcBorders>
                  <w:shd w:val="clear" w:color="auto" w:fill="auto"/>
                  <w:vAlign w:val="center"/>
                </w:tcPr>
                <w:p w14:paraId="508FE090">
                  <w:pPr>
                    <w:widowControl/>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外购</w:t>
                  </w:r>
                  <w:r>
                    <w:rPr>
                      <w:rFonts w:hint="eastAsia"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桶装，仓库储存</w:t>
                  </w:r>
                </w:p>
              </w:tc>
            </w:tr>
            <w:tr w14:paraId="045EB4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tcBorders>
                    <w:tl2br w:val="nil"/>
                    <w:tr2bl w:val="nil"/>
                  </w:tcBorders>
                  <w:shd w:val="clear" w:color="auto" w:fill="auto"/>
                  <w:vAlign w:val="center"/>
                </w:tcPr>
                <w:p w14:paraId="676366F6">
                  <w:pPr>
                    <w:pStyle w:val="115"/>
                    <w:spacing w:line="240" w:lineRule="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cs="Times New Roman"/>
                      <w:color w:val="000000" w:themeColor="text1"/>
                      <w:lang w:val="en-US" w:eastAsia="zh-CN"/>
                      <w14:textFill>
                        <w14:solidFill>
                          <w14:schemeClr w14:val="tx1"/>
                        </w14:solidFill>
                      </w14:textFill>
                    </w:rPr>
                    <w:t>2</w:t>
                  </w:r>
                </w:p>
              </w:tc>
              <w:tc>
                <w:tcPr>
                  <w:tcW w:w="1533" w:type="dxa"/>
                  <w:tcBorders>
                    <w:tl2br w:val="nil"/>
                    <w:tr2bl w:val="nil"/>
                  </w:tcBorders>
                  <w:shd w:val="clear" w:color="auto" w:fill="auto"/>
                  <w:vAlign w:val="center"/>
                </w:tcPr>
                <w:p w14:paraId="5243E9C5">
                  <w:pPr>
                    <w:widowControl/>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压缩空气</w:t>
                  </w:r>
                </w:p>
              </w:tc>
              <w:tc>
                <w:tcPr>
                  <w:tcW w:w="1065" w:type="dxa"/>
                  <w:tcBorders>
                    <w:tl2br w:val="nil"/>
                    <w:tr2bl w:val="nil"/>
                  </w:tcBorders>
                  <w:shd w:val="clear" w:color="auto" w:fill="auto"/>
                  <w:vAlign w:val="center"/>
                </w:tcPr>
                <w:p w14:paraId="7CFB95BF">
                  <w:pPr>
                    <w:widowControl/>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m</w:t>
                  </w:r>
                  <w:r>
                    <w:rPr>
                      <w:rFonts w:hint="eastAsia" w:cs="Times New Roman"/>
                      <w:color w:val="000000" w:themeColor="text1"/>
                      <w:szCs w:val="21"/>
                      <w:vertAlign w:val="superscript"/>
                      <w:lang w:val="en-US" w:eastAsia="zh-CN"/>
                      <w14:textFill>
                        <w14:solidFill>
                          <w14:schemeClr w14:val="tx1"/>
                        </w14:solidFill>
                      </w14:textFill>
                    </w:rPr>
                    <w:t>3</w:t>
                  </w:r>
                  <w:r>
                    <w:rPr>
                      <w:rFonts w:hint="eastAsia" w:cs="Times New Roman"/>
                      <w:color w:val="000000" w:themeColor="text1"/>
                      <w:szCs w:val="21"/>
                      <w:lang w:val="en-US" w:eastAsia="zh-CN"/>
                      <w14:textFill>
                        <w14:solidFill>
                          <w14:schemeClr w14:val="tx1"/>
                        </w14:solidFill>
                      </w14:textFill>
                    </w:rPr>
                    <w:t>/a</w:t>
                  </w:r>
                </w:p>
              </w:tc>
              <w:tc>
                <w:tcPr>
                  <w:tcW w:w="1545" w:type="dxa"/>
                  <w:tcBorders>
                    <w:tl2br w:val="nil"/>
                    <w:tr2bl w:val="nil"/>
                  </w:tcBorders>
                  <w:shd w:val="clear" w:color="auto" w:fill="auto"/>
                  <w:vAlign w:val="center"/>
                </w:tcPr>
                <w:p w14:paraId="3BFCB9BF">
                  <w:pPr>
                    <w:widowControl/>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300</w:t>
                  </w:r>
                </w:p>
              </w:tc>
              <w:tc>
                <w:tcPr>
                  <w:tcW w:w="1344" w:type="dxa"/>
                  <w:tcBorders>
                    <w:tl2br w:val="nil"/>
                    <w:tr2bl w:val="nil"/>
                  </w:tcBorders>
                  <w:shd w:val="clear" w:color="auto" w:fill="auto"/>
                  <w:vAlign w:val="center"/>
                </w:tcPr>
                <w:p w14:paraId="77799A87">
                  <w:pPr>
                    <w:widowControl/>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w:t>
                  </w:r>
                  <w:r>
                    <w:rPr>
                      <w:rFonts w:hint="eastAsia" w:cs="Times New Roman"/>
                      <w:color w:val="000000" w:themeColor="text1"/>
                      <w:szCs w:val="21"/>
                      <w:lang w:val="en-US" w:eastAsia="zh-CN"/>
                      <w14:textFill>
                        <w14:solidFill>
                          <w14:schemeClr w14:val="tx1"/>
                        </w14:solidFill>
                      </w14:textFill>
                    </w:rPr>
                    <w:t>m</w:t>
                  </w:r>
                  <w:r>
                    <w:rPr>
                      <w:rFonts w:hint="eastAsia" w:cs="Times New Roman"/>
                      <w:color w:val="000000" w:themeColor="text1"/>
                      <w:szCs w:val="21"/>
                      <w:vertAlign w:val="superscript"/>
                      <w:lang w:val="en-US" w:eastAsia="zh-CN"/>
                      <w14:textFill>
                        <w14:solidFill>
                          <w14:schemeClr w14:val="tx1"/>
                        </w14:solidFill>
                      </w14:textFill>
                    </w:rPr>
                    <w:t>3</w:t>
                  </w:r>
                </w:p>
              </w:tc>
              <w:tc>
                <w:tcPr>
                  <w:tcW w:w="2489" w:type="dxa"/>
                  <w:tcBorders>
                    <w:tl2br w:val="nil"/>
                    <w:tr2bl w:val="nil"/>
                  </w:tcBorders>
                  <w:shd w:val="clear" w:color="auto" w:fill="auto"/>
                  <w:vAlign w:val="center"/>
                </w:tcPr>
                <w:p w14:paraId="7E7B28C6">
                  <w:pPr>
                    <w:widowControl/>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空压机生产</w:t>
                  </w:r>
                </w:p>
              </w:tc>
            </w:tr>
            <w:tr w14:paraId="358C68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10" w:type="dxa"/>
                  <w:gridSpan w:val="6"/>
                  <w:tcBorders>
                    <w:tl2br w:val="nil"/>
                    <w:tr2bl w:val="nil"/>
                  </w:tcBorders>
                  <w:vAlign w:val="center"/>
                </w:tcPr>
                <w:p w14:paraId="12DCA401">
                  <w:pPr>
                    <w:widowControl/>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能源消耗</w:t>
                  </w:r>
                </w:p>
              </w:tc>
            </w:tr>
            <w:tr w14:paraId="29248F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tcBorders>
                    <w:tl2br w:val="nil"/>
                    <w:tr2bl w:val="nil"/>
                  </w:tcBorders>
                  <w:vAlign w:val="center"/>
                </w:tcPr>
                <w:p w14:paraId="66956BD4">
                  <w:pPr>
                    <w:widowControl/>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w:t>
                  </w:r>
                </w:p>
              </w:tc>
              <w:tc>
                <w:tcPr>
                  <w:tcW w:w="1533" w:type="dxa"/>
                  <w:tcBorders>
                    <w:tl2br w:val="nil"/>
                    <w:tr2bl w:val="nil"/>
                  </w:tcBorders>
                  <w:shd w:val="clear" w:color="auto" w:fill="auto"/>
                  <w:vAlign w:val="center"/>
                </w:tcPr>
                <w:p w14:paraId="0D569157">
                  <w:pPr>
                    <w:widowControl/>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水</w:t>
                  </w:r>
                </w:p>
              </w:tc>
              <w:tc>
                <w:tcPr>
                  <w:tcW w:w="1065" w:type="dxa"/>
                  <w:tcBorders>
                    <w:tl2br w:val="nil"/>
                    <w:tr2bl w:val="nil"/>
                  </w:tcBorders>
                  <w:shd w:val="clear" w:color="auto" w:fill="auto"/>
                  <w:vAlign w:val="center"/>
                </w:tcPr>
                <w:p w14:paraId="4D126A9B">
                  <w:pPr>
                    <w:widowControl/>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m</w:t>
                  </w:r>
                  <w:r>
                    <w:rPr>
                      <w:rFonts w:hint="default" w:ascii="Times New Roman" w:hAnsi="Times New Roman" w:eastAsia="宋体" w:cs="Times New Roman"/>
                      <w:color w:val="000000" w:themeColor="text1"/>
                      <w:szCs w:val="21"/>
                      <w:vertAlign w:val="superscript"/>
                      <w14:textFill>
                        <w14:solidFill>
                          <w14:schemeClr w14:val="tx1"/>
                        </w14:solidFill>
                      </w14:textFill>
                    </w:rPr>
                    <w:t>3</w:t>
                  </w:r>
                  <w:r>
                    <w:rPr>
                      <w:rFonts w:hint="default" w:ascii="Times New Roman" w:hAnsi="Times New Roman" w:eastAsia="宋体" w:cs="Times New Roman"/>
                      <w:color w:val="000000" w:themeColor="text1"/>
                      <w:szCs w:val="21"/>
                      <w14:textFill>
                        <w14:solidFill>
                          <w14:schemeClr w14:val="tx1"/>
                        </w14:solidFill>
                      </w14:textFill>
                    </w:rPr>
                    <w:t>/a</w:t>
                  </w:r>
                </w:p>
              </w:tc>
              <w:tc>
                <w:tcPr>
                  <w:tcW w:w="1545" w:type="dxa"/>
                  <w:tcBorders>
                    <w:tl2br w:val="nil"/>
                    <w:tr2bl w:val="nil"/>
                  </w:tcBorders>
                  <w:shd w:val="clear" w:color="auto" w:fill="auto"/>
                  <w:vAlign w:val="center"/>
                </w:tcPr>
                <w:p w14:paraId="56909865">
                  <w:pPr>
                    <w:widowControl/>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204</w:t>
                  </w:r>
                </w:p>
              </w:tc>
              <w:tc>
                <w:tcPr>
                  <w:tcW w:w="1344" w:type="dxa"/>
                  <w:tcBorders>
                    <w:tl2br w:val="nil"/>
                    <w:tr2bl w:val="nil"/>
                  </w:tcBorders>
                  <w:shd w:val="clear" w:color="auto" w:fill="auto"/>
                  <w:vAlign w:val="center"/>
                </w:tcPr>
                <w:p w14:paraId="04333D9A">
                  <w:pPr>
                    <w:widowControl/>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w:t>
                  </w:r>
                </w:p>
              </w:tc>
              <w:tc>
                <w:tcPr>
                  <w:tcW w:w="2489" w:type="dxa"/>
                  <w:tcBorders>
                    <w:tl2br w:val="nil"/>
                    <w:tr2bl w:val="nil"/>
                  </w:tcBorders>
                  <w:shd w:val="clear" w:color="auto" w:fill="auto"/>
                  <w:vAlign w:val="center"/>
                </w:tcPr>
                <w:p w14:paraId="216B0F33">
                  <w:pPr>
                    <w:widowControl/>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自来水管网</w:t>
                  </w:r>
                </w:p>
              </w:tc>
            </w:tr>
            <w:tr w14:paraId="42D3C8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dxa"/>
                  <w:tcBorders>
                    <w:tl2br w:val="nil"/>
                    <w:tr2bl w:val="nil"/>
                  </w:tcBorders>
                  <w:vAlign w:val="center"/>
                </w:tcPr>
                <w:p w14:paraId="6891406C">
                  <w:pPr>
                    <w:widowControl/>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w:t>
                  </w:r>
                </w:p>
              </w:tc>
              <w:tc>
                <w:tcPr>
                  <w:tcW w:w="1533" w:type="dxa"/>
                  <w:tcBorders>
                    <w:tl2br w:val="nil"/>
                    <w:tr2bl w:val="nil"/>
                  </w:tcBorders>
                  <w:shd w:val="clear" w:color="auto" w:fill="auto"/>
                  <w:vAlign w:val="center"/>
                </w:tcPr>
                <w:p w14:paraId="27616ACB">
                  <w:pPr>
                    <w:widowControl/>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电</w:t>
                  </w:r>
                </w:p>
              </w:tc>
              <w:tc>
                <w:tcPr>
                  <w:tcW w:w="1065" w:type="dxa"/>
                  <w:tcBorders>
                    <w:tl2br w:val="nil"/>
                    <w:tr2bl w:val="nil"/>
                  </w:tcBorders>
                  <w:shd w:val="clear" w:color="auto" w:fill="auto"/>
                  <w:vAlign w:val="center"/>
                </w:tcPr>
                <w:p w14:paraId="5F4AB560">
                  <w:pPr>
                    <w:widowControl/>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万kWh/a</w:t>
                  </w:r>
                </w:p>
              </w:tc>
              <w:tc>
                <w:tcPr>
                  <w:tcW w:w="1545" w:type="dxa"/>
                  <w:tcBorders>
                    <w:tl2br w:val="nil"/>
                    <w:tr2bl w:val="nil"/>
                  </w:tcBorders>
                  <w:shd w:val="clear" w:color="auto" w:fill="auto"/>
                  <w:vAlign w:val="center"/>
                </w:tcPr>
                <w:p w14:paraId="501D1697">
                  <w:pPr>
                    <w:pStyle w:val="115"/>
                    <w:spacing w:line="240" w:lineRule="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cs="Times New Roman"/>
                      <w:color w:val="000000" w:themeColor="text1"/>
                      <w:lang w:val="en-US" w:eastAsia="zh-CN"/>
                      <w14:textFill>
                        <w14:solidFill>
                          <w14:schemeClr w14:val="tx1"/>
                        </w14:solidFill>
                      </w14:textFill>
                    </w:rPr>
                    <w:t>50</w:t>
                  </w:r>
                </w:p>
              </w:tc>
              <w:tc>
                <w:tcPr>
                  <w:tcW w:w="1344" w:type="dxa"/>
                  <w:tcBorders>
                    <w:tl2br w:val="nil"/>
                    <w:tr2bl w:val="nil"/>
                  </w:tcBorders>
                  <w:shd w:val="clear" w:color="auto" w:fill="auto"/>
                  <w:vAlign w:val="center"/>
                </w:tcPr>
                <w:p w14:paraId="06F87C38">
                  <w:pPr>
                    <w:pStyle w:val="115"/>
                    <w:spacing w:line="240" w:lineRule="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cs="Times New Roman"/>
                      <w:color w:val="000000" w:themeColor="text1"/>
                      <w:lang w:val="en-US" w:eastAsia="zh-CN"/>
                      <w14:textFill>
                        <w14:solidFill>
                          <w14:schemeClr w14:val="tx1"/>
                        </w14:solidFill>
                      </w14:textFill>
                    </w:rPr>
                    <w:t>/</w:t>
                  </w:r>
                </w:p>
              </w:tc>
              <w:tc>
                <w:tcPr>
                  <w:tcW w:w="2489" w:type="dxa"/>
                  <w:tcBorders>
                    <w:tl2br w:val="nil"/>
                    <w:tr2bl w:val="nil"/>
                  </w:tcBorders>
                  <w:shd w:val="clear" w:color="auto" w:fill="auto"/>
                  <w:vAlign w:val="center"/>
                </w:tcPr>
                <w:p w14:paraId="5CA608DB">
                  <w:pPr>
                    <w:pStyle w:val="115"/>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当地供电局</w:t>
                  </w:r>
                </w:p>
              </w:tc>
            </w:tr>
          </w:tbl>
          <w:p w14:paraId="5DC0AA7C">
            <w:pPr>
              <w:spacing w:line="360" w:lineRule="auto"/>
              <w:ind w:firstLine="420" w:firstLineChars="200"/>
              <w:rPr>
                <w:rFonts w:hint="default"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费托蜡：费托蜡是亚甲基聚合物，是碳氢基合成气或天然气合成的烷烃聚合物。费托蜡可以应用到塑料加工中，如注塑、挤出以及造粒行业。费托蜡在色母粒和改性塑料生产过程中，在混料时有助于填料的分散和出色滑爽性。可以用作</w:t>
            </w:r>
            <w:r>
              <w:rPr>
                <w:rFonts w:hint="default" w:cs="Times New Roman"/>
                <w:color w:val="000000" w:themeColor="text1"/>
                <w:szCs w:val="21"/>
                <w:lang w:val="en-US" w:eastAsia="zh-CN"/>
                <w14:textFill>
                  <w14:solidFill>
                    <w14:schemeClr w14:val="tx1"/>
                  </w14:solidFill>
                </w14:textFill>
              </w:rPr>
              <w:t>PVC</w:t>
            </w:r>
            <w:r>
              <w:rPr>
                <w:rFonts w:hint="eastAsia" w:cs="Times New Roman"/>
                <w:color w:val="000000" w:themeColor="text1"/>
                <w:szCs w:val="21"/>
                <w:lang w:val="en-US" w:eastAsia="zh-CN"/>
                <w14:textFill>
                  <w14:solidFill>
                    <w14:schemeClr w14:val="tx1"/>
                  </w14:solidFill>
                </w14:textFill>
              </w:rPr>
              <w:t>的外润滑剂，低黏度能提高产品的生产速度，在混料时有助于颜填料的分散</w:t>
            </w:r>
            <w:r>
              <w:rPr>
                <w:rFonts w:hint="eastAsia"/>
                <w:lang w:eastAsia="zh-CN"/>
              </w:rPr>
              <w:t>，</w:t>
            </w:r>
            <w:r>
              <w:rPr>
                <w:rFonts w:hint="eastAsia" w:cs="Times New Roman"/>
                <w:color w:val="000000" w:themeColor="text1"/>
                <w:szCs w:val="21"/>
                <w:lang w:val="en-US" w:eastAsia="zh-CN"/>
                <w14:textFill>
                  <w14:solidFill>
                    <w14:schemeClr w14:val="tx1"/>
                  </w14:solidFill>
                </w14:textFill>
              </w:rPr>
              <w:t>特别在高粘度体系的挤出中有较好的作用，而且能显著提高制品表面光泽</w:t>
            </w:r>
            <w:r>
              <w:rPr>
                <w:rFonts w:hint="default" w:cs="Times New Roman"/>
                <w:color w:val="000000" w:themeColor="text1"/>
                <w:szCs w:val="21"/>
                <w:lang w:val="en-US" w:eastAsia="zh-CN"/>
                <w14:textFill>
                  <w14:solidFill>
                    <w14:schemeClr w14:val="tx1"/>
                  </w14:solidFill>
                </w14:textFill>
              </w:rPr>
              <w:t>。熔点范围通常在45-129℃之间</w:t>
            </w:r>
            <w:r>
              <w:rPr>
                <w:rFonts w:hint="eastAsia" w:cs="Times New Roman"/>
                <w:color w:val="000000" w:themeColor="text1"/>
                <w:szCs w:val="21"/>
                <w:lang w:val="en-US" w:eastAsia="zh-CN"/>
                <w14:textFill>
                  <w14:solidFill>
                    <w14:schemeClr w14:val="tx1"/>
                  </w14:solidFill>
                </w14:textFill>
              </w:rPr>
              <w:t>，沸点大于300</w:t>
            </w:r>
            <w:r>
              <w:rPr>
                <w:rFonts w:hint="default" w:cs="Times New Roman"/>
                <w:color w:val="000000" w:themeColor="text1"/>
                <w:szCs w:val="21"/>
                <w:lang w:val="en-US"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w:t>
            </w:r>
          </w:p>
          <w:p w14:paraId="4F42E8DC">
            <w:pPr>
              <w:spacing w:line="360" w:lineRule="auto"/>
              <w:ind w:firstLine="420" w:firstLineChars="200"/>
              <w:rPr>
                <w:rFonts w:hint="default"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费托蜡图片：</w:t>
            </w:r>
          </w:p>
          <w:p w14:paraId="0D81E9BE">
            <w:pPr>
              <w:pStyle w:val="20"/>
              <w:rPr>
                <w:rFonts w:hint="default"/>
                <w:lang w:val="en-US" w:eastAsia="zh-CN"/>
              </w:rPr>
            </w:pPr>
            <w:r>
              <w:rPr>
                <w:rFonts w:ascii="宋体" w:hAnsi="宋体" w:eastAsia="宋体" w:cs="宋体"/>
                <w:sz w:val="24"/>
                <w:szCs w:val="24"/>
              </w:rPr>
              <w:drawing>
                <wp:inline distT="0" distB="0" distL="114300" distR="114300">
                  <wp:extent cx="2792095" cy="2520315"/>
                  <wp:effectExtent l="0" t="0" r="8255" b="13335"/>
                  <wp:docPr id="13"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descr="IMG_256"/>
                          <pic:cNvPicPr>
                            <a:picLocks noChangeAspect="1"/>
                          </pic:cNvPicPr>
                        </pic:nvPicPr>
                        <pic:blipFill>
                          <a:blip r:embed="rId18"/>
                          <a:srcRect l="17356" r="6581"/>
                          <a:stretch>
                            <a:fillRect/>
                          </a:stretch>
                        </pic:blipFill>
                        <pic:spPr>
                          <a:xfrm>
                            <a:off x="0" y="0"/>
                            <a:ext cx="2792095" cy="2520315"/>
                          </a:xfrm>
                          <a:prstGeom prst="rect">
                            <a:avLst/>
                          </a:prstGeom>
                          <a:noFill/>
                          <a:ln w="9525">
                            <a:noFill/>
                          </a:ln>
                        </pic:spPr>
                      </pic:pic>
                    </a:graphicData>
                  </a:graphic>
                </wp:inline>
              </w:drawing>
            </w:r>
          </w:p>
          <w:p w14:paraId="54FB22C8">
            <w:pPr>
              <w:spacing w:line="360" w:lineRule="auto"/>
              <w:ind w:firstLine="420" w:firstLineChars="200"/>
              <w:rPr>
                <w:rFonts w:hint="eastAsia"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聚乙烯蜡</w:t>
            </w:r>
            <w:r>
              <w:rPr>
                <w:rFonts w:hint="eastAsia" w:ascii="Times New Roman" w:hAnsi="Times New Roman" w:eastAsia="宋体" w:cs="Times New Roman"/>
                <w:color w:val="000000" w:themeColor="text1"/>
                <w:szCs w:val="21"/>
                <w:lang w:val="en-US" w:eastAsia="zh-CN"/>
                <w14:textFill>
                  <w14:solidFill>
                    <w14:schemeClr w14:val="tx1"/>
                  </w14:solidFill>
                </w14:textFill>
              </w:rPr>
              <w:t>：聚</w: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Cs w:val="21"/>
                <w:lang w:val="en-US" w:eastAsia="zh-CN"/>
                <w14:textFill>
                  <w14:solidFill>
                    <w14:schemeClr w14:val="tx1"/>
                  </w14:solidFill>
                </w14:textFill>
              </w:rPr>
              <w:instrText xml:space="preserve"> HYPERLINK "https://baike.baidu.com/item/%E4%B9%99%E7%83%AF/312903?fromModule=lemma_inlink" \t "https://baike.baidu.com/item/%E8%81%9A%E4%B9%99%E7%83%AF%E8%9C%A1/_blank" </w:instrTex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Cs w:val="21"/>
                <w:lang w:val="en-US" w:eastAsia="zh-CN"/>
                <w14:textFill>
                  <w14:solidFill>
                    <w14:schemeClr w14:val="tx1"/>
                  </w14:solidFill>
                </w14:textFill>
              </w:rPr>
              <w:t>乙烯</w: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zCs w:val="21"/>
                <w:lang w:val="en-US" w:eastAsia="zh-CN"/>
                <w14:textFill>
                  <w14:solidFill>
                    <w14:schemeClr w14:val="tx1"/>
                  </w14:solidFill>
                </w14:textFill>
              </w:rPr>
              <w:t>蜡(</w: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Cs w:val="21"/>
                <w:lang w:val="en-US" w:eastAsia="zh-CN"/>
                <w14:textFill>
                  <w14:solidFill>
                    <w14:schemeClr w14:val="tx1"/>
                  </w14:solidFill>
                </w14:textFill>
              </w:rPr>
              <w:instrText xml:space="preserve"> HYPERLINK "https://baike.baidu.com/item/tissue/4604005?fromModule=lemma_inlink" \t "https://baike.baidu.com/item/%E8%81%9A%E4%B9%99%E7%83%AF%E8%9C%A1/_blank" </w:instrTex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Cs w:val="21"/>
                <w:lang w:val="en-US" w:eastAsia="zh-CN"/>
                <w14:textFill>
                  <w14:solidFill>
                    <w14:schemeClr w14:val="tx1"/>
                  </w14:solidFill>
                </w14:textFill>
              </w:rPr>
              <w:t>tissue</w: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zCs w:val="21"/>
                <w:lang w:val="en-US" w:eastAsia="zh-CN"/>
                <w14:textFill>
                  <w14:solidFill>
                    <w14:schemeClr w14:val="tx1"/>
                  </w14:solidFill>
                </w14:textFill>
              </w:rPr>
              <w:t>mat E)是一种</w: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Cs w:val="21"/>
                <w:lang w:val="en-US" w:eastAsia="zh-CN"/>
                <w14:textFill>
                  <w14:solidFill>
                    <w14:schemeClr w14:val="tx1"/>
                  </w14:solidFill>
                </w14:textFill>
              </w:rPr>
              <w:instrText xml:space="preserve"> HYPERLINK "https://baike.baidu.com/item/%E5%8C%96%E5%B7%A5%E6%9D%90%E6%96%99/8632219?fromModule=lemma_inlink" \t "https://baike.baidu.com/item/%E8%81%9A%E4%B9%99%E7%83%AF%E8%9C%A1/_blank" </w:instrTex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Cs w:val="21"/>
                <w:lang w:val="en-US" w:eastAsia="zh-CN"/>
                <w14:textFill>
                  <w14:solidFill>
                    <w14:schemeClr w14:val="tx1"/>
                  </w14:solidFill>
                </w14:textFill>
              </w:rPr>
              <w:t>化工材料</w: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zCs w:val="21"/>
                <w:lang w:val="en-US" w:eastAsia="zh-CN"/>
                <w14:textFill>
                  <w14:solidFill>
                    <w14:schemeClr w14:val="tx1"/>
                  </w14:solidFill>
                </w14:textFill>
              </w:rPr>
              <w:t>，其中聚乙烯蜡的成色为白色小微珠状/片状，由乙烯聚合</w: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Cs w:val="21"/>
                <w:lang w:val="en-US" w:eastAsia="zh-CN"/>
                <w14:textFill>
                  <w14:solidFill>
                    <w14:schemeClr w14:val="tx1"/>
                  </w14:solidFill>
                </w14:textFill>
              </w:rPr>
              <w:instrText xml:space="preserve"> HYPERLINK "https://baike.baidu.com/item/%E6%A9%A1%E8%83%B6%E5%8A%A0%E5%B7%A5/4610649?fromModule=lemma_inlink" \t "https://baike.baidu.com/item/%E8%81%9A%E4%B9%99%E7%83%AF%E8%9C%A1/_blank" </w:instrTex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Cs w:val="21"/>
                <w:lang w:val="en-US" w:eastAsia="zh-CN"/>
                <w14:textFill>
                  <w14:solidFill>
                    <w14:schemeClr w14:val="tx1"/>
                  </w14:solidFill>
                </w14:textFill>
              </w:rPr>
              <w:t>橡胶加工</w: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zCs w:val="21"/>
                <w:lang w:val="en-US" w:eastAsia="zh-CN"/>
                <w14:textFill>
                  <w14:solidFill>
                    <w14:schemeClr w14:val="tx1"/>
                  </w14:solidFill>
                </w14:textFill>
              </w:rPr>
              <w:t>剂而形成的，其具有熔点较高、硬度大、</w: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begin"/>
            </w:r>
            <w:r>
              <w:rPr>
                <w:rFonts w:hint="default" w:ascii="Times New Roman" w:hAnsi="Times New Roman" w:eastAsia="宋体" w:cs="Times New Roman"/>
                <w:color w:val="000000" w:themeColor="text1"/>
                <w:szCs w:val="21"/>
                <w:lang w:val="en-US" w:eastAsia="zh-CN"/>
                <w14:textFill>
                  <w14:solidFill>
                    <w14:schemeClr w14:val="tx1"/>
                  </w14:solidFill>
                </w14:textFill>
              </w:rPr>
              <w:instrText xml:space="preserve"> HYPERLINK "https://baike.baidu.com/item/%E5%85%89%E6%B3%BD%E5%BA%A6/6379415?fromModule=lemma_inlink" \t "https://baike.baidu.com/item/%E8%81%9A%E4%B9%99%E7%83%AF%E8%9C%A1/_blank" </w:instrTex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separate"/>
            </w:r>
            <w:r>
              <w:rPr>
                <w:rFonts w:hint="default" w:ascii="Times New Roman" w:hAnsi="Times New Roman" w:eastAsia="宋体" w:cs="Times New Roman"/>
                <w:color w:val="000000" w:themeColor="text1"/>
                <w:szCs w:val="21"/>
                <w:lang w:val="en-US" w:eastAsia="zh-CN"/>
                <w14:textFill>
                  <w14:solidFill>
                    <w14:schemeClr w14:val="tx1"/>
                  </w14:solidFill>
                </w14:textFill>
              </w:rPr>
              <w:t>光泽度</w:t>
            </w:r>
            <w:r>
              <w:rPr>
                <w:rFonts w:hint="default" w:ascii="Times New Roman" w:hAnsi="Times New Roman" w:eastAsia="宋体" w:cs="Times New Roman"/>
                <w:color w:val="000000" w:themeColor="text1"/>
                <w:szCs w:val="21"/>
                <w:lang w:val="en-US" w:eastAsia="zh-CN"/>
                <w14:textFill>
                  <w14:solidFill>
                    <w14:schemeClr w14:val="tx1"/>
                  </w14:solidFill>
                </w14:textFill>
              </w:rPr>
              <w:fldChar w:fldCharType="end"/>
            </w:r>
            <w:r>
              <w:rPr>
                <w:rFonts w:hint="default" w:ascii="Times New Roman" w:hAnsi="Times New Roman" w:eastAsia="宋体" w:cs="Times New Roman"/>
                <w:color w:val="000000" w:themeColor="text1"/>
                <w:szCs w:val="21"/>
                <w:lang w:val="en-US" w:eastAsia="zh-CN"/>
                <w14:textFill>
                  <w14:solidFill>
                    <w14:schemeClr w14:val="tx1"/>
                  </w14:solidFill>
                </w14:textFill>
              </w:rPr>
              <w:t>高、颜色雪白等特点</w:t>
            </w:r>
            <w:r>
              <w:rPr>
                <w:rFonts w:hint="eastAsia" w:ascii="Times New Roman" w:hAnsi="Times New Roman" w:eastAsia="宋体" w:cs="Times New Roman"/>
                <w:color w:val="000000" w:themeColor="text1"/>
                <w:szCs w:val="21"/>
                <w:lang w:val="en-US" w:eastAsia="zh-CN"/>
                <w14:textFill>
                  <w14:solidFill>
                    <w14:schemeClr w14:val="tx1"/>
                  </w14:solidFill>
                </w14:textFill>
              </w:rPr>
              <w:t>，</w:t>
            </w:r>
            <w:r>
              <w:rPr>
                <w:rFonts w:ascii="Helvetica" w:hAnsi="Helvetica" w:eastAsia="Helvetica" w:cs="Helvetica"/>
                <w:i w:val="0"/>
                <w:iCs w:val="0"/>
                <w:caps w:val="0"/>
                <w:color w:val="333333"/>
                <w:spacing w:val="0"/>
                <w:sz w:val="21"/>
                <w:szCs w:val="21"/>
                <w:shd w:val="clear" w:fill="FFFFFF"/>
              </w:rPr>
              <w:t>其密度为0.93-0.98，熔点90-120°C，分子量1500～5000</w:t>
            </w:r>
            <w:r>
              <w:rPr>
                <w:rFonts w:hint="eastAsia" w:ascii="Times New Roman" w:hAnsi="Times New Roman" w:eastAsia="宋体" w:cs="Times New Roman"/>
                <w:color w:val="000000" w:themeColor="text1"/>
                <w:szCs w:val="21"/>
                <w:lang w:val="en-US" w:eastAsia="zh-CN"/>
                <w14:textFill>
                  <w14:solidFill>
                    <w14:schemeClr w14:val="tx1"/>
                  </w14:solidFill>
                </w14:textFill>
              </w:rPr>
              <w:t>，裂解温度</w:t>
            </w:r>
            <w:r>
              <w:rPr>
                <w:rFonts w:hint="default" w:ascii="Times New Roman" w:hAnsi="Times New Roman" w:eastAsia="宋体" w:cs="Times New Roman"/>
                <w:color w:val="000000" w:themeColor="text1"/>
                <w:szCs w:val="21"/>
                <w:lang w:val="en-US" w:eastAsia="zh-CN"/>
                <w14:textFill>
                  <w14:solidFill>
                    <w14:schemeClr w14:val="tx1"/>
                  </w14:solidFill>
                </w14:textFill>
              </w:rPr>
              <w:t>250℃~450℃</w:t>
            </w:r>
            <w:r>
              <w:rPr>
                <w:rFonts w:hint="eastAsia" w:ascii="Times New Roman" w:hAnsi="Times New Roman" w:eastAsia="宋体" w:cs="Times New Roman"/>
                <w:color w:val="000000" w:themeColor="text1"/>
                <w:szCs w:val="21"/>
                <w:lang w:val="en-US" w:eastAsia="zh-CN"/>
                <w14:textFill>
                  <w14:solidFill>
                    <w14:schemeClr w14:val="tx1"/>
                  </w14:solidFill>
                </w14:textFill>
              </w:rPr>
              <w:t>，分解温度</w:t>
            </w:r>
            <w:r>
              <w:rPr>
                <w:rFonts w:hint="default" w:ascii="Times New Roman" w:hAnsi="Times New Roman" w:eastAsia="宋体" w:cs="Times New Roman"/>
                <w:color w:val="000000" w:themeColor="text1"/>
                <w:szCs w:val="21"/>
                <w:lang w:val="en-US" w:eastAsia="zh-CN"/>
                <w14:textFill>
                  <w14:solidFill>
                    <w14:schemeClr w14:val="tx1"/>
                  </w14:solidFill>
                </w14:textFill>
              </w:rPr>
              <w:t>470℃~550℃</w:t>
            </w:r>
            <w:r>
              <w:rPr>
                <w:rFonts w:hint="eastAsia" w:ascii="Times New Roman" w:hAnsi="Times New Roman" w:eastAsia="宋体" w:cs="Times New Roman"/>
                <w:color w:val="000000" w:themeColor="text1"/>
                <w:szCs w:val="21"/>
                <w:lang w:val="en-US" w:eastAsia="zh-CN"/>
                <w14:textFill>
                  <w14:solidFill>
                    <w14:schemeClr w14:val="tx1"/>
                  </w14:solidFill>
                </w14:textFill>
              </w:rPr>
              <w:t>。不溶于水，微溶于烃类等。</w:t>
            </w:r>
          </w:p>
          <w:p w14:paraId="5A064F65">
            <w:pPr>
              <w:spacing w:line="360" w:lineRule="auto"/>
              <w:ind w:firstLine="420" w:firstLineChars="200"/>
              <w:rPr>
                <w:rFonts w:hint="eastAsia"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聚乙烯蜡图片：</w:t>
            </w:r>
          </w:p>
          <w:p w14:paraId="03E03E3A">
            <w:pPr>
              <w:pStyle w:val="20"/>
              <w:rPr>
                <w:rFonts w:hint="eastAsia"/>
                <w:lang w:val="en-US" w:eastAsia="zh-CN"/>
              </w:rPr>
            </w:pPr>
            <w:r>
              <w:drawing>
                <wp:inline distT="0" distB="0" distL="114300" distR="114300">
                  <wp:extent cx="3009900" cy="2520315"/>
                  <wp:effectExtent l="0" t="0" r="0" b="13335"/>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19"/>
                          <a:stretch>
                            <a:fillRect/>
                          </a:stretch>
                        </pic:blipFill>
                        <pic:spPr>
                          <a:xfrm>
                            <a:off x="0" y="0"/>
                            <a:ext cx="3009900" cy="2520315"/>
                          </a:xfrm>
                          <a:prstGeom prst="rect">
                            <a:avLst/>
                          </a:prstGeom>
                          <a:noFill/>
                          <a:ln>
                            <a:noFill/>
                          </a:ln>
                        </pic:spPr>
                      </pic:pic>
                    </a:graphicData>
                  </a:graphic>
                </wp:inline>
              </w:drawing>
            </w:r>
          </w:p>
          <w:p w14:paraId="54EC1B42">
            <w:pPr>
              <w:spacing w:line="360" w:lineRule="auto"/>
              <w:ind w:left="42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物料平衡：</w:t>
            </w:r>
          </w:p>
          <w:p w14:paraId="5A37ACFB">
            <w:pPr>
              <w:spacing w:line="240" w:lineRule="auto"/>
              <w:jc w:val="center"/>
              <w:rPr>
                <w:rFonts w:hint="default" w:ascii="Times New Roman" w:hAnsi="Times New Roman" w:eastAsia="宋体" w:cs="Times New Roman"/>
                <w:b/>
                <w:color w:val="000000" w:themeColor="text1"/>
                <w:szCs w:val="21"/>
                <w14:textFill>
                  <w14:solidFill>
                    <w14:schemeClr w14:val="tx1"/>
                  </w14:solidFill>
                </w14:textFill>
              </w:rPr>
            </w:pPr>
            <w:r>
              <w:rPr>
                <w:rFonts w:hint="eastAsia" w:cs="Times New Roman"/>
                <w:b/>
                <w:color w:val="000000" w:themeColor="text1"/>
                <w:szCs w:val="21"/>
                <w:lang w:val="en-US" w:eastAsia="zh-CN"/>
                <w14:textFill>
                  <w14:solidFill>
                    <w14:schemeClr w14:val="tx1"/>
                  </w14:solidFill>
                </w14:textFill>
              </w:rPr>
              <w:t>表2-4</w:t>
            </w:r>
            <w:r>
              <w:rPr>
                <w:rFonts w:hint="default" w:ascii="Times New Roman" w:hAnsi="Times New Roman" w:eastAsia="宋体" w:cs="Times New Roman"/>
                <w:b/>
                <w:color w:val="000000" w:themeColor="text1"/>
                <w:szCs w:val="21"/>
                <w14:textFill>
                  <w14:solidFill>
                    <w14:schemeClr w14:val="tx1"/>
                  </w14:solidFill>
                </w14:textFill>
              </w:rPr>
              <w:t>物料平衡一览表</w:t>
            </w:r>
          </w:p>
          <w:tbl>
            <w:tblPr>
              <w:tblStyle w:val="3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281"/>
              <w:gridCol w:w="2312"/>
              <w:gridCol w:w="2312"/>
              <w:gridCol w:w="2267"/>
              <w:gridCol w:w="2046"/>
            </w:tblGrid>
            <w:tr w14:paraId="2EBC2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27" w:type="pct"/>
                  <w:vMerge w:val="restart"/>
                  <w:shd w:val="clear" w:color="auto" w:fill="auto"/>
                  <w:vAlign w:val="center"/>
                </w:tcPr>
                <w:p w14:paraId="054ED08B">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序号</w:t>
                  </w:r>
                </w:p>
              </w:tc>
              <w:tc>
                <w:tcPr>
                  <w:tcW w:w="2262" w:type="pct"/>
                  <w:gridSpan w:val="2"/>
                  <w:shd w:val="clear" w:color="auto" w:fill="auto"/>
                  <w:vAlign w:val="center"/>
                </w:tcPr>
                <w:p w14:paraId="03EEB1CD">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投入</w:t>
                  </w:r>
                </w:p>
              </w:tc>
              <w:tc>
                <w:tcPr>
                  <w:tcW w:w="2110" w:type="pct"/>
                  <w:gridSpan w:val="2"/>
                  <w:shd w:val="clear" w:color="auto" w:fill="auto"/>
                  <w:vAlign w:val="center"/>
                </w:tcPr>
                <w:p w14:paraId="4D7ED096">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产出</w:t>
                  </w:r>
                </w:p>
              </w:tc>
            </w:tr>
            <w:tr w14:paraId="12018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7" w:type="pct"/>
                  <w:vMerge w:val="continue"/>
                  <w:shd w:val="clear" w:color="auto" w:fill="auto"/>
                  <w:vAlign w:val="center"/>
                </w:tcPr>
                <w:p w14:paraId="1732067F">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p>
              </w:tc>
              <w:tc>
                <w:tcPr>
                  <w:tcW w:w="1131" w:type="pct"/>
                  <w:shd w:val="clear" w:color="auto" w:fill="auto"/>
                  <w:vAlign w:val="center"/>
                </w:tcPr>
                <w:p w14:paraId="7771E469">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名称</w:t>
                  </w:r>
                </w:p>
              </w:tc>
              <w:tc>
                <w:tcPr>
                  <w:tcW w:w="1131" w:type="pct"/>
                  <w:shd w:val="clear" w:color="auto" w:fill="auto"/>
                  <w:vAlign w:val="center"/>
                </w:tcPr>
                <w:p w14:paraId="6D68D304">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用量（t/a）</w:t>
                  </w:r>
                </w:p>
              </w:tc>
              <w:tc>
                <w:tcPr>
                  <w:tcW w:w="1109" w:type="pct"/>
                  <w:shd w:val="clear" w:color="auto" w:fill="auto"/>
                  <w:vAlign w:val="center"/>
                </w:tcPr>
                <w:p w14:paraId="26A2D764">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名称</w:t>
                  </w:r>
                </w:p>
              </w:tc>
              <w:tc>
                <w:tcPr>
                  <w:tcW w:w="1000" w:type="pct"/>
                  <w:shd w:val="clear" w:color="auto" w:fill="auto"/>
                  <w:vAlign w:val="center"/>
                </w:tcPr>
                <w:p w14:paraId="30B607AF">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产量（t/a）</w:t>
                  </w:r>
                </w:p>
              </w:tc>
            </w:tr>
            <w:tr w14:paraId="63917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7" w:type="pct"/>
                  <w:shd w:val="clear" w:color="auto" w:fill="auto"/>
                  <w:vAlign w:val="center"/>
                </w:tcPr>
                <w:p w14:paraId="49C532ED">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1</w:t>
                  </w:r>
                </w:p>
              </w:tc>
              <w:tc>
                <w:tcPr>
                  <w:tcW w:w="1131" w:type="pct"/>
                  <w:shd w:val="clear" w:color="auto" w:fill="auto"/>
                  <w:vAlign w:val="center"/>
                </w:tcPr>
                <w:p w14:paraId="044D63ED">
                  <w:pPr>
                    <w:widowControl/>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费托蜡</w:t>
                  </w:r>
                </w:p>
              </w:tc>
              <w:tc>
                <w:tcPr>
                  <w:tcW w:w="1131" w:type="pct"/>
                  <w:shd w:val="clear" w:color="auto" w:fill="auto"/>
                  <w:vAlign w:val="center"/>
                </w:tcPr>
                <w:p w14:paraId="777759DF">
                  <w:pPr>
                    <w:widowControl/>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1000.78</w:t>
                  </w:r>
                </w:p>
              </w:tc>
              <w:tc>
                <w:tcPr>
                  <w:tcW w:w="1109" w:type="pct"/>
                  <w:shd w:val="clear" w:color="auto" w:fill="auto"/>
                  <w:vAlign w:val="center"/>
                </w:tcPr>
                <w:p w14:paraId="61EA6C96">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聚乙烯蜡</w:t>
                  </w:r>
                </w:p>
              </w:tc>
              <w:tc>
                <w:tcPr>
                  <w:tcW w:w="1000" w:type="pct"/>
                  <w:shd w:val="clear" w:color="auto" w:fill="auto"/>
                  <w:vAlign w:val="center"/>
                </w:tcPr>
                <w:p w14:paraId="23020DA1">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2000</w:t>
                  </w:r>
                </w:p>
              </w:tc>
            </w:tr>
            <w:tr w14:paraId="0E58F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7" w:type="pct"/>
                  <w:shd w:val="clear" w:color="auto" w:fill="auto"/>
                  <w:vAlign w:val="center"/>
                </w:tcPr>
                <w:p w14:paraId="52438509">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2</w:t>
                  </w:r>
                </w:p>
              </w:tc>
              <w:tc>
                <w:tcPr>
                  <w:tcW w:w="1131" w:type="pct"/>
                  <w:shd w:val="clear" w:color="auto" w:fill="auto"/>
                  <w:vAlign w:val="center"/>
                </w:tcPr>
                <w:p w14:paraId="4BA1B6EF">
                  <w:pPr>
                    <w:widowControl/>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聚乙烯蜡</w:t>
                  </w:r>
                </w:p>
              </w:tc>
              <w:tc>
                <w:tcPr>
                  <w:tcW w:w="1131" w:type="pct"/>
                  <w:shd w:val="clear" w:color="auto" w:fill="auto"/>
                  <w:vAlign w:val="center"/>
                </w:tcPr>
                <w:p w14:paraId="103C4818">
                  <w:pPr>
                    <w:widowControl/>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1000.78</w:t>
                  </w:r>
                </w:p>
              </w:tc>
              <w:tc>
                <w:tcPr>
                  <w:tcW w:w="1109" w:type="pct"/>
                  <w:shd w:val="clear" w:color="auto" w:fill="auto"/>
                  <w:vAlign w:val="center"/>
                </w:tcPr>
                <w:p w14:paraId="796E77CF">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有机废气</w:t>
                  </w:r>
                </w:p>
              </w:tc>
              <w:tc>
                <w:tcPr>
                  <w:tcW w:w="1000" w:type="pct"/>
                  <w:shd w:val="clear" w:color="auto" w:fill="auto"/>
                  <w:vAlign w:val="center"/>
                </w:tcPr>
                <w:p w14:paraId="23827B40">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1.56</w:t>
                  </w:r>
                </w:p>
              </w:tc>
            </w:tr>
            <w:tr w14:paraId="543C0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7" w:type="pct"/>
                  <w:shd w:val="clear" w:color="auto" w:fill="auto"/>
                </w:tcPr>
                <w:p w14:paraId="05038BC9">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cs="Times New Roman"/>
                      <w:kern w:val="0"/>
                      <w:sz w:val="21"/>
                      <w:szCs w:val="21"/>
                      <w:lang w:val="en-US" w:eastAsia="zh-CN" w:bidi="ar-SA"/>
                    </w:rPr>
                  </w:pPr>
                  <w:r>
                    <w:rPr>
                      <w:rFonts w:hint="eastAsia" w:cs="Times New Roman"/>
                      <w:kern w:val="0"/>
                      <w:sz w:val="21"/>
                      <w:szCs w:val="21"/>
                      <w:lang w:val="en-US" w:eastAsia="zh-CN" w:bidi="ar-SA"/>
                    </w:rPr>
                    <w:t>合计</w:t>
                  </w:r>
                </w:p>
              </w:tc>
              <w:tc>
                <w:tcPr>
                  <w:tcW w:w="1131" w:type="pct"/>
                  <w:shd w:val="clear" w:color="auto" w:fill="auto"/>
                  <w:vAlign w:val="center"/>
                </w:tcPr>
                <w:p w14:paraId="570915DD">
                  <w:pPr>
                    <w:widowControl/>
                    <w:jc w:val="center"/>
                    <w:rPr>
                      <w:rFonts w:hint="default"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w:t>
                  </w:r>
                </w:p>
              </w:tc>
              <w:tc>
                <w:tcPr>
                  <w:tcW w:w="1131" w:type="pct"/>
                  <w:shd w:val="clear" w:color="auto" w:fill="auto"/>
                  <w:vAlign w:val="center"/>
                </w:tcPr>
                <w:p w14:paraId="06F7D871">
                  <w:pPr>
                    <w:widowControl/>
                    <w:jc w:val="center"/>
                    <w:rPr>
                      <w:rFonts w:hint="default"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2,001.56</w:t>
                  </w:r>
                </w:p>
              </w:tc>
              <w:tc>
                <w:tcPr>
                  <w:tcW w:w="1109" w:type="pct"/>
                  <w:shd w:val="clear" w:color="auto" w:fill="auto"/>
                </w:tcPr>
                <w:p w14:paraId="1BEDF062">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w:t>
                  </w:r>
                </w:p>
              </w:tc>
              <w:tc>
                <w:tcPr>
                  <w:tcW w:w="1000" w:type="pct"/>
                  <w:shd w:val="clear" w:color="auto" w:fill="auto"/>
                </w:tcPr>
                <w:p w14:paraId="35645935">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2,001.56</w:t>
                  </w:r>
                </w:p>
              </w:tc>
            </w:tr>
          </w:tbl>
          <w:p w14:paraId="22E33918">
            <w:pPr>
              <w:spacing w:line="360" w:lineRule="auto"/>
              <w:ind w:left="42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6、主要生产设备</w:t>
            </w:r>
          </w:p>
          <w:p w14:paraId="021202D9">
            <w:pPr>
              <w:pStyle w:val="37"/>
              <w:spacing w:after="0" w:line="360" w:lineRule="auto"/>
              <w:ind w:left="0" w:leftChars="0" w:firstLine="48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本项目主要设备情况见表2-</w:t>
            </w:r>
            <w:r>
              <w:rPr>
                <w:rFonts w:hint="eastAsia" w:cs="Times New Roman"/>
                <w:color w:val="000000" w:themeColor="text1"/>
                <w:sz w:val="24"/>
                <w:lang w:val="en-US" w:eastAsia="zh-CN"/>
                <w14:textFill>
                  <w14:solidFill>
                    <w14:schemeClr w14:val="tx1"/>
                  </w14:solidFill>
                </w14:textFill>
              </w:rPr>
              <w:t>5</w:t>
            </w:r>
            <w:r>
              <w:rPr>
                <w:rFonts w:hint="default" w:ascii="Times New Roman" w:hAnsi="Times New Roman" w:eastAsia="宋体" w:cs="Times New Roman"/>
                <w:color w:val="000000" w:themeColor="text1"/>
                <w:sz w:val="24"/>
                <w14:textFill>
                  <w14:solidFill>
                    <w14:schemeClr w14:val="tx1"/>
                  </w14:solidFill>
                </w14:textFill>
              </w:rPr>
              <w:t>。</w:t>
            </w:r>
          </w:p>
          <w:p w14:paraId="0803E9FF">
            <w:pPr>
              <w:ind w:firstLine="422" w:firstLineChars="20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表2-</w:t>
            </w:r>
            <w:r>
              <w:rPr>
                <w:rFonts w:hint="eastAsia" w:cs="Times New Roman"/>
                <w:b/>
                <w:bCs/>
                <w:color w:val="000000" w:themeColor="text1"/>
                <w:szCs w:val="21"/>
                <w:lang w:val="en-US" w:eastAsia="zh-CN"/>
                <w14:textFill>
                  <w14:solidFill>
                    <w14:schemeClr w14:val="tx1"/>
                  </w14:solidFill>
                </w14:textFill>
              </w:rPr>
              <w:t>5</w:t>
            </w:r>
            <w:r>
              <w:rPr>
                <w:rFonts w:hint="default" w:ascii="Times New Roman" w:hAnsi="Times New Roman" w:eastAsia="宋体" w:cs="Times New Roman"/>
                <w:b/>
                <w:bCs/>
                <w:color w:val="000000" w:themeColor="text1"/>
                <w:szCs w:val="21"/>
                <w14:textFill>
                  <w14:solidFill>
                    <w14:schemeClr w14:val="tx1"/>
                  </w14:solidFill>
                </w14:textFill>
              </w:rPr>
              <w:t>本项目主要设备情况一览表</w:t>
            </w:r>
          </w:p>
          <w:tbl>
            <w:tblPr>
              <w:tblStyle w:val="38"/>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9"/>
              <w:gridCol w:w="3355"/>
              <w:gridCol w:w="1473"/>
              <w:gridCol w:w="1473"/>
              <w:gridCol w:w="1589"/>
              <w:gridCol w:w="1485"/>
            </w:tblGrid>
            <w:tr w14:paraId="049946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tcBorders>
                    <w:tl2br w:val="nil"/>
                    <w:tr2bl w:val="nil"/>
                  </w:tcBorders>
                  <w:vAlign w:val="center"/>
                </w:tcPr>
                <w:p w14:paraId="193480BB">
                  <w:pPr>
                    <w:pStyle w:val="115"/>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序号</w:t>
                  </w:r>
                </w:p>
              </w:tc>
              <w:tc>
                <w:tcPr>
                  <w:tcW w:w="1644" w:type="pct"/>
                  <w:tcBorders>
                    <w:tl2br w:val="nil"/>
                    <w:tr2bl w:val="nil"/>
                  </w:tcBorders>
                  <w:vAlign w:val="center"/>
                </w:tcPr>
                <w:p w14:paraId="0E3B4D09">
                  <w:pPr>
                    <w:pStyle w:val="115"/>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名称</w:t>
                  </w:r>
                </w:p>
              </w:tc>
              <w:tc>
                <w:tcPr>
                  <w:tcW w:w="722" w:type="pct"/>
                  <w:tcBorders>
                    <w:tl2br w:val="nil"/>
                    <w:tr2bl w:val="nil"/>
                  </w:tcBorders>
                  <w:vAlign w:val="center"/>
                </w:tcPr>
                <w:p w14:paraId="5D7A6BBE">
                  <w:pPr>
                    <w:pStyle w:val="115"/>
                    <w:spacing w:line="240" w:lineRule="auto"/>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cs="Times New Roman"/>
                      <w:b/>
                      <w:bCs/>
                      <w:color w:val="000000" w:themeColor="text1"/>
                      <w:sz w:val="21"/>
                      <w:szCs w:val="21"/>
                      <w:lang w:val="en-US" w:eastAsia="zh-CN"/>
                      <w14:textFill>
                        <w14:solidFill>
                          <w14:schemeClr w14:val="tx1"/>
                        </w14:solidFill>
                      </w14:textFill>
                    </w:rPr>
                    <w:t>型号</w:t>
                  </w:r>
                </w:p>
              </w:tc>
              <w:tc>
                <w:tcPr>
                  <w:tcW w:w="722" w:type="pct"/>
                  <w:tcBorders>
                    <w:tl2br w:val="nil"/>
                    <w:tr2bl w:val="nil"/>
                  </w:tcBorders>
                  <w:vAlign w:val="center"/>
                </w:tcPr>
                <w:p w14:paraId="140704F6">
                  <w:pPr>
                    <w:pStyle w:val="115"/>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单位</w:t>
                  </w:r>
                </w:p>
              </w:tc>
              <w:tc>
                <w:tcPr>
                  <w:tcW w:w="779" w:type="pct"/>
                  <w:tcBorders>
                    <w:tl2br w:val="nil"/>
                    <w:tr2bl w:val="nil"/>
                  </w:tcBorders>
                  <w:vAlign w:val="center"/>
                </w:tcPr>
                <w:p w14:paraId="6C56136A">
                  <w:pPr>
                    <w:pStyle w:val="115"/>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数量</w:t>
                  </w:r>
                </w:p>
              </w:tc>
              <w:tc>
                <w:tcPr>
                  <w:tcW w:w="728" w:type="pct"/>
                  <w:tcBorders>
                    <w:tl2br w:val="nil"/>
                    <w:tr2bl w:val="nil"/>
                  </w:tcBorders>
                  <w:vAlign w:val="center"/>
                </w:tcPr>
                <w:p w14:paraId="3D33BAFD">
                  <w:pPr>
                    <w:pStyle w:val="115"/>
                    <w:spacing w:line="240" w:lineRule="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备注</w:t>
                  </w:r>
                </w:p>
              </w:tc>
            </w:tr>
            <w:tr w14:paraId="3685C8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402" w:type="pct"/>
                  <w:tcBorders>
                    <w:tl2br w:val="nil"/>
                    <w:tr2bl w:val="nil"/>
                  </w:tcBorders>
                  <w:vAlign w:val="center"/>
                </w:tcPr>
                <w:p w14:paraId="072B5311">
                  <w:pPr>
                    <w:pStyle w:val="11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644" w:type="pct"/>
                  <w:tcBorders>
                    <w:tl2br w:val="nil"/>
                    <w:tr2bl w:val="nil"/>
                  </w:tcBorders>
                  <w:shd w:val="clear" w:color="auto" w:fill="auto"/>
                  <w:vAlign w:val="center"/>
                </w:tcPr>
                <w:p w14:paraId="241E6B26">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加</w:t>
                  </w:r>
                  <w:r>
                    <w:rPr>
                      <w:rFonts w:hint="eastAsia" w:ascii="Times New Roman" w:hAnsi="Times New Roman" w:eastAsia="宋体" w:cs="Times New Roman"/>
                      <w:kern w:val="0"/>
                      <w:sz w:val="21"/>
                      <w:szCs w:val="21"/>
                      <w:lang w:val="en-US" w:eastAsia="zh-CN" w:bidi="ar-SA"/>
                    </w:rPr>
                    <w:t>热搅拌罐</w:t>
                  </w:r>
                </w:p>
              </w:tc>
              <w:tc>
                <w:tcPr>
                  <w:tcW w:w="722" w:type="pct"/>
                  <w:tcBorders>
                    <w:tl2br w:val="nil"/>
                    <w:tr2bl w:val="nil"/>
                  </w:tcBorders>
                  <w:shd w:val="clear" w:color="auto" w:fill="auto"/>
                  <w:vAlign w:val="center"/>
                </w:tcPr>
                <w:p w14:paraId="680D8746">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2m</w:t>
                  </w:r>
                  <w:r>
                    <w:rPr>
                      <w:rFonts w:hint="eastAsia" w:cs="Times New Roman"/>
                      <w:color w:val="000000" w:themeColor="text1"/>
                      <w:kern w:val="0"/>
                      <w:sz w:val="21"/>
                      <w:szCs w:val="21"/>
                      <w:vertAlign w:val="superscript"/>
                      <w:lang w:val="en-US" w:eastAsia="zh-CN" w:bidi="ar-SA"/>
                      <w14:textFill>
                        <w14:solidFill>
                          <w14:schemeClr w14:val="tx1"/>
                        </w14:solidFill>
                      </w14:textFill>
                    </w:rPr>
                    <w:t>3</w:t>
                  </w:r>
                </w:p>
              </w:tc>
              <w:tc>
                <w:tcPr>
                  <w:tcW w:w="722" w:type="pct"/>
                  <w:tcBorders>
                    <w:tl2br w:val="nil"/>
                    <w:tr2bl w:val="nil"/>
                  </w:tcBorders>
                  <w:shd w:val="clear" w:color="auto" w:fill="auto"/>
                  <w:vAlign w:val="center"/>
                </w:tcPr>
                <w:p w14:paraId="3E015E95">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台</w:t>
                  </w:r>
                </w:p>
              </w:tc>
              <w:tc>
                <w:tcPr>
                  <w:tcW w:w="779" w:type="pct"/>
                  <w:tcBorders>
                    <w:tl2br w:val="nil"/>
                    <w:tr2bl w:val="nil"/>
                  </w:tcBorders>
                  <w:shd w:val="clear" w:color="auto" w:fill="auto"/>
                  <w:vAlign w:val="center"/>
                </w:tcPr>
                <w:p w14:paraId="5596426F">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2</w:t>
                  </w:r>
                </w:p>
              </w:tc>
              <w:tc>
                <w:tcPr>
                  <w:tcW w:w="728" w:type="pct"/>
                  <w:tcBorders>
                    <w:tl2br w:val="nil"/>
                    <w:tr2bl w:val="nil"/>
                  </w:tcBorders>
                  <w:shd w:val="clear" w:color="auto" w:fill="auto"/>
                  <w:vAlign w:val="center"/>
                </w:tcPr>
                <w:p w14:paraId="007F8108">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p>
              </w:tc>
            </w:tr>
            <w:tr w14:paraId="02DD7E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tcBorders>
                    <w:tl2br w:val="nil"/>
                    <w:tr2bl w:val="nil"/>
                  </w:tcBorders>
                  <w:vAlign w:val="center"/>
                </w:tcPr>
                <w:p w14:paraId="455D4FFF">
                  <w:pPr>
                    <w:pStyle w:val="11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644" w:type="pct"/>
                  <w:tcBorders>
                    <w:tl2br w:val="nil"/>
                    <w:tr2bl w:val="nil"/>
                  </w:tcBorders>
                  <w:shd w:val="clear" w:color="auto" w:fill="auto"/>
                  <w:vAlign w:val="center"/>
                </w:tcPr>
                <w:p w14:paraId="27D2D34A">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压片机</w:t>
                  </w:r>
                </w:p>
              </w:tc>
              <w:tc>
                <w:tcPr>
                  <w:tcW w:w="722" w:type="pct"/>
                  <w:tcBorders>
                    <w:tl2br w:val="nil"/>
                    <w:tr2bl w:val="nil"/>
                  </w:tcBorders>
                  <w:shd w:val="clear" w:color="auto" w:fill="auto"/>
                  <w:vAlign w:val="center"/>
                </w:tcPr>
                <w:p w14:paraId="4A407391">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THP-20</w:t>
                  </w:r>
                </w:p>
              </w:tc>
              <w:tc>
                <w:tcPr>
                  <w:tcW w:w="722" w:type="pct"/>
                  <w:tcBorders>
                    <w:tl2br w:val="nil"/>
                    <w:tr2bl w:val="nil"/>
                  </w:tcBorders>
                  <w:shd w:val="clear" w:color="auto" w:fill="auto"/>
                  <w:vAlign w:val="center"/>
                </w:tcPr>
                <w:p w14:paraId="5E0075B4">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台</w:t>
                  </w:r>
                </w:p>
              </w:tc>
              <w:tc>
                <w:tcPr>
                  <w:tcW w:w="779" w:type="pct"/>
                  <w:tcBorders>
                    <w:tl2br w:val="nil"/>
                    <w:tr2bl w:val="nil"/>
                  </w:tcBorders>
                  <w:shd w:val="clear" w:color="auto" w:fill="auto"/>
                  <w:vAlign w:val="center"/>
                </w:tcPr>
                <w:p w14:paraId="52B06098">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1</w:t>
                  </w:r>
                </w:p>
              </w:tc>
              <w:tc>
                <w:tcPr>
                  <w:tcW w:w="728" w:type="pct"/>
                  <w:tcBorders>
                    <w:tl2br w:val="nil"/>
                    <w:tr2bl w:val="nil"/>
                  </w:tcBorders>
                  <w:shd w:val="clear" w:color="auto" w:fill="auto"/>
                  <w:vAlign w:val="center"/>
                </w:tcPr>
                <w:p w14:paraId="537677C4">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p>
              </w:tc>
            </w:tr>
            <w:tr w14:paraId="7B7FA2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tcBorders>
                    <w:tl2br w:val="nil"/>
                    <w:tr2bl w:val="nil"/>
                  </w:tcBorders>
                  <w:vAlign w:val="center"/>
                </w:tcPr>
                <w:p w14:paraId="063DAA36">
                  <w:pPr>
                    <w:pStyle w:val="11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1644" w:type="pct"/>
                  <w:tcBorders>
                    <w:tl2br w:val="nil"/>
                    <w:tr2bl w:val="nil"/>
                  </w:tcBorders>
                  <w:shd w:val="clear" w:color="auto" w:fill="auto"/>
                  <w:vAlign w:val="center"/>
                </w:tcPr>
                <w:p w14:paraId="06B79FC2">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冷却塔</w:t>
                  </w:r>
                </w:p>
              </w:tc>
              <w:tc>
                <w:tcPr>
                  <w:tcW w:w="722" w:type="pct"/>
                  <w:tcBorders>
                    <w:tl2br w:val="nil"/>
                    <w:tr2bl w:val="nil"/>
                  </w:tcBorders>
                  <w:shd w:val="clear" w:color="auto" w:fill="auto"/>
                  <w:vAlign w:val="center"/>
                </w:tcPr>
                <w:p w14:paraId="5A2B1EFD">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3</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m</w:t>
                  </w:r>
                  <w:r>
                    <w:rPr>
                      <w:rFonts w:hint="default" w:ascii="Times New Roman" w:hAnsi="Times New Roman" w:eastAsia="宋体" w:cs="Times New Roman"/>
                      <w:bCs/>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/h</w:t>
                  </w:r>
                </w:p>
              </w:tc>
              <w:tc>
                <w:tcPr>
                  <w:tcW w:w="722" w:type="pct"/>
                  <w:tcBorders>
                    <w:tl2br w:val="nil"/>
                    <w:tr2bl w:val="nil"/>
                  </w:tcBorders>
                  <w:shd w:val="clear" w:color="auto" w:fill="auto"/>
                  <w:vAlign w:val="center"/>
                </w:tcPr>
                <w:p w14:paraId="4D787A2E">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台</w:t>
                  </w:r>
                </w:p>
              </w:tc>
              <w:tc>
                <w:tcPr>
                  <w:tcW w:w="779" w:type="pct"/>
                  <w:tcBorders>
                    <w:tl2br w:val="nil"/>
                    <w:tr2bl w:val="nil"/>
                  </w:tcBorders>
                  <w:shd w:val="clear" w:color="auto" w:fill="auto"/>
                  <w:vAlign w:val="center"/>
                </w:tcPr>
                <w:p w14:paraId="21F427CF">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1</w:t>
                  </w:r>
                </w:p>
              </w:tc>
              <w:tc>
                <w:tcPr>
                  <w:tcW w:w="728" w:type="pct"/>
                  <w:tcBorders>
                    <w:tl2br w:val="nil"/>
                    <w:tr2bl w:val="nil"/>
                  </w:tcBorders>
                  <w:shd w:val="clear" w:color="auto" w:fill="auto"/>
                  <w:vAlign w:val="center"/>
                </w:tcPr>
                <w:p w14:paraId="2EA7EEC4">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p>
              </w:tc>
            </w:tr>
            <w:tr w14:paraId="74290D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tcBorders>
                    <w:tl2br w:val="nil"/>
                    <w:tr2bl w:val="nil"/>
                  </w:tcBorders>
                  <w:vAlign w:val="center"/>
                </w:tcPr>
                <w:p w14:paraId="6A854086">
                  <w:pPr>
                    <w:pStyle w:val="11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1644" w:type="pct"/>
                  <w:tcBorders>
                    <w:tl2br w:val="nil"/>
                    <w:tr2bl w:val="nil"/>
                  </w:tcBorders>
                  <w:shd w:val="clear" w:color="auto" w:fill="auto"/>
                  <w:vAlign w:val="center"/>
                </w:tcPr>
                <w:p w14:paraId="15093411">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空气压缩机</w:t>
                  </w:r>
                </w:p>
              </w:tc>
              <w:tc>
                <w:tcPr>
                  <w:tcW w:w="722" w:type="pct"/>
                  <w:tcBorders>
                    <w:tl2br w:val="nil"/>
                    <w:tr2bl w:val="nil"/>
                  </w:tcBorders>
                  <w:shd w:val="clear" w:color="auto" w:fill="auto"/>
                  <w:vAlign w:val="center"/>
                </w:tcPr>
                <w:p w14:paraId="705CA4DC">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BK7.5G-8</w:t>
                  </w:r>
                </w:p>
              </w:tc>
              <w:tc>
                <w:tcPr>
                  <w:tcW w:w="722" w:type="pct"/>
                  <w:tcBorders>
                    <w:tl2br w:val="nil"/>
                    <w:tr2bl w:val="nil"/>
                  </w:tcBorders>
                  <w:shd w:val="clear" w:color="auto" w:fill="auto"/>
                  <w:vAlign w:val="center"/>
                </w:tcPr>
                <w:p w14:paraId="1D1F2C6C">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台</w:t>
                  </w:r>
                </w:p>
              </w:tc>
              <w:tc>
                <w:tcPr>
                  <w:tcW w:w="779" w:type="pct"/>
                  <w:tcBorders>
                    <w:tl2br w:val="nil"/>
                    <w:tr2bl w:val="nil"/>
                  </w:tcBorders>
                  <w:shd w:val="clear" w:color="auto" w:fill="auto"/>
                  <w:vAlign w:val="center"/>
                </w:tcPr>
                <w:p w14:paraId="4FF7E035">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1</w:t>
                  </w:r>
                </w:p>
              </w:tc>
              <w:tc>
                <w:tcPr>
                  <w:tcW w:w="728" w:type="pct"/>
                  <w:tcBorders>
                    <w:tl2br w:val="nil"/>
                    <w:tr2bl w:val="nil"/>
                  </w:tcBorders>
                  <w:shd w:val="clear" w:color="auto" w:fill="auto"/>
                  <w:vAlign w:val="center"/>
                </w:tcPr>
                <w:p w14:paraId="73613B33">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r>
            <w:tr w14:paraId="0A6673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tcBorders>
                    <w:tl2br w:val="nil"/>
                    <w:tr2bl w:val="nil"/>
                  </w:tcBorders>
                  <w:vAlign w:val="center"/>
                </w:tcPr>
                <w:p w14:paraId="65FB0948">
                  <w:pPr>
                    <w:pStyle w:val="11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1644" w:type="pct"/>
                  <w:tcBorders>
                    <w:tl2br w:val="nil"/>
                    <w:tr2bl w:val="nil"/>
                  </w:tcBorders>
                  <w:shd w:val="clear" w:color="auto" w:fill="auto"/>
                  <w:vAlign w:val="center"/>
                </w:tcPr>
                <w:p w14:paraId="6AA00E9B">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储气罐</w:t>
                  </w:r>
                </w:p>
              </w:tc>
              <w:tc>
                <w:tcPr>
                  <w:tcW w:w="722" w:type="pct"/>
                  <w:tcBorders>
                    <w:tl2br w:val="nil"/>
                    <w:tr2bl w:val="nil"/>
                  </w:tcBorders>
                  <w:shd w:val="clear" w:color="auto" w:fill="auto"/>
                  <w:vAlign w:val="center"/>
                </w:tcPr>
                <w:p w14:paraId="39E482B6">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1m</w:t>
                  </w:r>
                  <w:r>
                    <w:rPr>
                      <w:rFonts w:hint="eastAsia" w:cs="Times New Roman"/>
                      <w:color w:val="000000" w:themeColor="text1"/>
                      <w:kern w:val="0"/>
                      <w:sz w:val="21"/>
                      <w:szCs w:val="21"/>
                      <w:vertAlign w:val="superscript"/>
                      <w:lang w:val="en-US" w:eastAsia="zh-CN" w:bidi="ar-SA"/>
                      <w14:textFill>
                        <w14:solidFill>
                          <w14:schemeClr w14:val="tx1"/>
                        </w14:solidFill>
                      </w14:textFill>
                    </w:rPr>
                    <w:t>3</w:t>
                  </w:r>
                </w:p>
              </w:tc>
              <w:tc>
                <w:tcPr>
                  <w:tcW w:w="722" w:type="pct"/>
                  <w:tcBorders>
                    <w:tl2br w:val="nil"/>
                    <w:tr2bl w:val="nil"/>
                  </w:tcBorders>
                  <w:shd w:val="clear" w:color="auto" w:fill="auto"/>
                  <w:vAlign w:val="center"/>
                </w:tcPr>
                <w:p w14:paraId="195D4F64">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台</w:t>
                  </w:r>
                </w:p>
              </w:tc>
              <w:tc>
                <w:tcPr>
                  <w:tcW w:w="779" w:type="pct"/>
                  <w:tcBorders>
                    <w:tl2br w:val="nil"/>
                    <w:tr2bl w:val="nil"/>
                  </w:tcBorders>
                  <w:shd w:val="clear" w:color="auto" w:fill="auto"/>
                  <w:vAlign w:val="center"/>
                </w:tcPr>
                <w:p w14:paraId="2BBB6534">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1</w:t>
                  </w:r>
                </w:p>
              </w:tc>
              <w:tc>
                <w:tcPr>
                  <w:tcW w:w="728" w:type="pct"/>
                  <w:tcBorders>
                    <w:tl2br w:val="nil"/>
                    <w:tr2bl w:val="nil"/>
                  </w:tcBorders>
                  <w:shd w:val="clear" w:color="auto" w:fill="auto"/>
                  <w:vAlign w:val="center"/>
                </w:tcPr>
                <w:p w14:paraId="4F26465E">
                  <w:pPr>
                    <w:pStyle w:val="11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617F51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tcBorders>
                    <w:tl2br w:val="nil"/>
                    <w:tr2bl w:val="nil"/>
                  </w:tcBorders>
                  <w:vAlign w:val="center"/>
                </w:tcPr>
                <w:p w14:paraId="175B201D">
                  <w:pPr>
                    <w:pStyle w:val="11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1644" w:type="pct"/>
                  <w:tcBorders>
                    <w:tl2br w:val="nil"/>
                    <w:tr2bl w:val="nil"/>
                  </w:tcBorders>
                  <w:shd w:val="clear" w:color="auto" w:fill="auto"/>
                  <w:vAlign w:val="center"/>
                </w:tcPr>
                <w:p w14:paraId="1DEBC6B0">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电加热导热油炉</w:t>
                  </w:r>
                </w:p>
              </w:tc>
              <w:tc>
                <w:tcPr>
                  <w:tcW w:w="722" w:type="pct"/>
                  <w:tcBorders>
                    <w:tl2br w:val="nil"/>
                    <w:tr2bl w:val="nil"/>
                  </w:tcBorders>
                  <w:shd w:val="clear" w:color="auto" w:fill="auto"/>
                  <w:vAlign w:val="center"/>
                </w:tcPr>
                <w:p w14:paraId="3EDD2037">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WL--0600</w:t>
                  </w:r>
                </w:p>
              </w:tc>
              <w:tc>
                <w:tcPr>
                  <w:tcW w:w="722" w:type="pct"/>
                  <w:tcBorders>
                    <w:tl2br w:val="nil"/>
                    <w:tr2bl w:val="nil"/>
                  </w:tcBorders>
                  <w:shd w:val="clear" w:color="auto" w:fill="auto"/>
                  <w:vAlign w:val="center"/>
                </w:tcPr>
                <w:p w14:paraId="793212B8">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台</w:t>
                  </w:r>
                </w:p>
              </w:tc>
              <w:tc>
                <w:tcPr>
                  <w:tcW w:w="779" w:type="pct"/>
                  <w:tcBorders>
                    <w:tl2br w:val="nil"/>
                    <w:tr2bl w:val="nil"/>
                  </w:tcBorders>
                  <w:shd w:val="clear" w:color="auto" w:fill="auto"/>
                  <w:vAlign w:val="center"/>
                </w:tcPr>
                <w:p w14:paraId="1105134F">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2</w:t>
                  </w:r>
                </w:p>
              </w:tc>
              <w:tc>
                <w:tcPr>
                  <w:tcW w:w="728" w:type="pct"/>
                  <w:tcBorders>
                    <w:tl2br w:val="nil"/>
                    <w:tr2bl w:val="nil"/>
                  </w:tcBorders>
                  <w:shd w:val="clear" w:color="auto" w:fill="auto"/>
                  <w:vAlign w:val="center"/>
                </w:tcPr>
                <w:p w14:paraId="0AC277EC">
                  <w:pPr>
                    <w:pStyle w:val="11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p>
              </w:tc>
            </w:tr>
            <w:tr w14:paraId="742670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tcBorders>
                    <w:tl2br w:val="nil"/>
                    <w:tr2bl w:val="nil"/>
                  </w:tcBorders>
                  <w:vAlign w:val="center"/>
                </w:tcPr>
                <w:p w14:paraId="6C61DC5D">
                  <w:pPr>
                    <w:pStyle w:val="11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w:t>
                  </w:r>
                </w:p>
              </w:tc>
              <w:tc>
                <w:tcPr>
                  <w:tcW w:w="1644" w:type="pct"/>
                  <w:tcBorders>
                    <w:tl2br w:val="nil"/>
                    <w:tr2bl w:val="nil"/>
                  </w:tcBorders>
                  <w:shd w:val="clear" w:color="auto" w:fill="auto"/>
                  <w:vAlign w:val="center"/>
                </w:tcPr>
                <w:p w14:paraId="014FCBBB">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气力输送系统</w:t>
                  </w:r>
                </w:p>
              </w:tc>
              <w:tc>
                <w:tcPr>
                  <w:tcW w:w="722" w:type="pct"/>
                  <w:tcBorders>
                    <w:tl2br w:val="nil"/>
                    <w:tr2bl w:val="nil"/>
                  </w:tcBorders>
                  <w:shd w:val="clear" w:color="auto" w:fill="auto"/>
                  <w:vAlign w:val="center"/>
                </w:tcPr>
                <w:p w14:paraId="362D39C6">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w:t>
                  </w:r>
                  <w:r>
                    <w:rPr>
                      <w:rFonts w:hint="default" w:ascii="Times New Roman" w:hAnsi="Times New Roman" w:eastAsia="宋体" w:cs="Times New Roman"/>
                      <w:kern w:val="0"/>
                      <w:sz w:val="21"/>
                      <w:szCs w:val="21"/>
                      <w:lang w:val="en-US" w:eastAsia="zh-CN" w:bidi="ar-SA"/>
                    </w:rPr>
                    <w:t>PHCB-1000‌</w:t>
                  </w:r>
                </w:p>
              </w:tc>
              <w:tc>
                <w:tcPr>
                  <w:tcW w:w="722" w:type="pct"/>
                  <w:tcBorders>
                    <w:tl2br w:val="nil"/>
                    <w:tr2bl w:val="nil"/>
                  </w:tcBorders>
                  <w:shd w:val="clear" w:color="auto" w:fill="auto"/>
                  <w:vAlign w:val="center"/>
                </w:tcPr>
                <w:p w14:paraId="6D4786CB">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套</w:t>
                  </w:r>
                </w:p>
              </w:tc>
              <w:tc>
                <w:tcPr>
                  <w:tcW w:w="779" w:type="pct"/>
                  <w:tcBorders>
                    <w:tl2br w:val="nil"/>
                    <w:tr2bl w:val="nil"/>
                  </w:tcBorders>
                  <w:shd w:val="clear" w:color="auto" w:fill="auto"/>
                  <w:vAlign w:val="center"/>
                </w:tcPr>
                <w:p w14:paraId="6C0B0CFC">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1</w:t>
                  </w:r>
                </w:p>
              </w:tc>
              <w:tc>
                <w:tcPr>
                  <w:tcW w:w="728" w:type="pct"/>
                  <w:tcBorders>
                    <w:tl2br w:val="nil"/>
                    <w:tr2bl w:val="nil"/>
                  </w:tcBorders>
                  <w:shd w:val="clear" w:color="auto" w:fill="auto"/>
                  <w:vAlign w:val="center"/>
                </w:tcPr>
                <w:p w14:paraId="2BB2F003">
                  <w:pPr>
                    <w:pStyle w:val="115"/>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140E54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tcBorders>
                    <w:tl2br w:val="nil"/>
                    <w:tr2bl w:val="nil"/>
                  </w:tcBorders>
                  <w:vAlign w:val="center"/>
                </w:tcPr>
                <w:p w14:paraId="378C9763">
                  <w:pPr>
                    <w:pStyle w:val="115"/>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8</w:t>
                  </w:r>
                </w:p>
              </w:tc>
              <w:tc>
                <w:tcPr>
                  <w:tcW w:w="1644" w:type="pct"/>
                  <w:tcBorders>
                    <w:tl2br w:val="nil"/>
                    <w:tr2bl w:val="nil"/>
                  </w:tcBorders>
                  <w:shd w:val="clear" w:color="auto" w:fill="auto"/>
                  <w:vAlign w:val="center"/>
                </w:tcPr>
                <w:p w14:paraId="536ECE05">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自动包装机</w:t>
                  </w:r>
                </w:p>
              </w:tc>
              <w:tc>
                <w:tcPr>
                  <w:tcW w:w="722" w:type="pct"/>
                  <w:tcBorders>
                    <w:tl2br w:val="nil"/>
                    <w:tr2bl w:val="nil"/>
                  </w:tcBorders>
                  <w:shd w:val="clear" w:color="auto" w:fill="auto"/>
                  <w:vAlign w:val="center"/>
                </w:tcPr>
                <w:p w14:paraId="571B5355">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w:t>
                  </w:r>
                </w:p>
              </w:tc>
              <w:tc>
                <w:tcPr>
                  <w:tcW w:w="722" w:type="pct"/>
                  <w:tcBorders>
                    <w:tl2br w:val="nil"/>
                    <w:tr2bl w:val="nil"/>
                  </w:tcBorders>
                  <w:shd w:val="clear" w:color="auto" w:fill="auto"/>
                  <w:vAlign w:val="center"/>
                </w:tcPr>
                <w:p w14:paraId="74DEA57B">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台</w:t>
                  </w:r>
                </w:p>
              </w:tc>
              <w:tc>
                <w:tcPr>
                  <w:tcW w:w="779" w:type="pct"/>
                  <w:tcBorders>
                    <w:tl2br w:val="nil"/>
                    <w:tr2bl w:val="nil"/>
                  </w:tcBorders>
                  <w:shd w:val="clear" w:color="auto" w:fill="auto"/>
                  <w:vAlign w:val="center"/>
                </w:tcPr>
                <w:p w14:paraId="4C56BD1F">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1</w:t>
                  </w:r>
                </w:p>
              </w:tc>
              <w:tc>
                <w:tcPr>
                  <w:tcW w:w="728" w:type="pct"/>
                  <w:tcBorders>
                    <w:tl2br w:val="nil"/>
                    <w:tr2bl w:val="nil"/>
                  </w:tcBorders>
                  <w:shd w:val="clear" w:color="auto" w:fill="auto"/>
                  <w:vAlign w:val="center"/>
                </w:tcPr>
                <w:p w14:paraId="059B13CA">
                  <w:pPr>
                    <w:pStyle w:val="115"/>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6F87B9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tcBorders>
                    <w:tl2br w:val="nil"/>
                    <w:tr2bl w:val="nil"/>
                  </w:tcBorders>
                  <w:vAlign w:val="center"/>
                </w:tcPr>
                <w:p w14:paraId="3DACBCC0">
                  <w:pPr>
                    <w:pStyle w:val="115"/>
                    <w:spacing w:line="240" w:lineRule="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9</w:t>
                  </w:r>
                </w:p>
              </w:tc>
              <w:tc>
                <w:tcPr>
                  <w:tcW w:w="1644" w:type="pct"/>
                  <w:tcBorders>
                    <w:tl2br w:val="nil"/>
                    <w:tr2bl w:val="nil"/>
                  </w:tcBorders>
                  <w:shd w:val="clear" w:color="auto" w:fill="auto"/>
                  <w:vAlign w:val="center"/>
                </w:tcPr>
                <w:p w14:paraId="3B1F67D6">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储料罐</w:t>
                  </w:r>
                </w:p>
              </w:tc>
              <w:tc>
                <w:tcPr>
                  <w:tcW w:w="722" w:type="pct"/>
                  <w:tcBorders>
                    <w:tl2br w:val="nil"/>
                    <w:tr2bl w:val="nil"/>
                  </w:tcBorders>
                  <w:shd w:val="clear" w:color="auto" w:fill="auto"/>
                  <w:vAlign w:val="center"/>
                </w:tcPr>
                <w:p w14:paraId="62DD05B5">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2m</w:t>
                  </w:r>
                  <w:r>
                    <w:rPr>
                      <w:rFonts w:hint="eastAsia" w:cs="Times New Roman"/>
                      <w:kern w:val="0"/>
                      <w:sz w:val="21"/>
                      <w:szCs w:val="21"/>
                      <w:vertAlign w:val="superscript"/>
                      <w:lang w:val="en-US" w:eastAsia="zh-CN" w:bidi="ar-SA"/>
                    </w:rPr>
                    <w:t>3</w:t>
                  </w:r>
                </w:p>
              </w:tc>
              <w:tc>
                <w:tcPr>
                  <w:tcW w:w="722" w:type="pct"/>
                  <w:tcBorders>
                    <w:tl2br w:val="nil"/>
                    <w:tr2bl w:val="nil"/>
                  </w:tcBorders>
                  <w:shd w:val="clear" w:color="auto" w:fill="auto"/>
                  <w:vAlign w:val="center"/>
                </w:tcPr>
                <w:p w14:paraId="6A24905B">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台</w:t>
                  </w:r>
                </w:p>
              </w:tc>
              <w:tc>
                <w:tcPr>
                  <w:tcW w:w="779" w:type="pct"/>
                  <w:tcBorders>
                    <w:tl2br w:val="nil"/>
                    <w:tr2bl w:val="nil"/>
                  </w:tcBorders>
                  <w:shd w:val="clear" w:color="auto" w:fill="auto"/>
                  <w:vAlign w:val="center"/>
                </w:tcPr>
                <w:p w14:paraId="1B75E7C4">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eastAsia"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2</w:t>
                  </w:r>
                </w:p>
              </w:tc>
              <w:tc>
                <w:tcPr>
                  <w:tcW w:w="728" w:type="pct"/>
                  <w:tcBorders>
                    <w:tl2br w:val="nil"/>
                    <w:tr2bl w:val="nil"/>
                  </w:tcBorders>
                  <w:shd w:val="clear" w:color="auto" w:fill="auto"/>
                  <w:vAlign w:val="center"/>
                </w:tcPr>
                <w:p w14:paraId="2A7C7000">
                  <w:pPr>
                    <w:pStyle w:val="115"/>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1B75D6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tcBorders>
                    <w:tl2br w:val="nil"/>
                    <w:tr2bl w:val="nil"/>
                  </w:tcBorders>
                  <w:vAlign w:val="center"/>
                </w:tcPr>
                <w:p w14:paraId="29D62723">
                  <w:pPr>
                    <w:pStyle w:val="115"/>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10</w:t>
                  </w:r>
                </w:p>
              </w:tc>
              <w:tc>
                <w:tcPr>
                  <w:tcW w:w="1644" w:type="pct"/>
                  <w:tcBorders>
                    <w:tl2br w:val="nil"/>
                    <w:tr2bl w:val="nil"/>
                  </w:tcBorders>
                  <w:shd w:val="clear" w:color="auto" w:fill="auto"/>
                  <w:vAlign w:val="center"/>
                </w:tcPr>
                <w:p w14:paraId="19EDCFEA">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二级活性炭吸附装置</w:t>
                  </w:r>
                </w:p>
              </w:tc>
              <w:tc>
                <w:tcPr>
                  <w:tcW w:w="722" w:type="pct"/>
                  <w:tcBorders>
                    <w:tl2br w:val="nil"/>
                    <w:tr2bl w:val="nil"/>
                  </w:tcBorders>
                  <w:shd w:val="clear" w:color="auto" w:fill="auto"/>
                  <w:vAlign w:val="center"/>
                </w:tcPr>
                <w:p w14:paraId="3E2596E6">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w:t>
                  </w:r>
                  <w:r>
                    <w:rPr>
                      <w:rFonts w:hint="default" w:ascii="Times New Roman" w:hAnsi="Times New Roman" w:eastAsia="宋体" w:cs="Times New Roman"/>
                      <w:kern w:val="0"/>
                      <w:sz w:val="21"/>
                      <w:szCs w:val="21"/>
                      <w:lang w:val="en-US" w:eastAsia="zh-CN" w:bidi="ar-SA"/>
                    </w:rPr>
                    <w:t>ZC-11</w:t>
                  </w:r>
                </w:p>
              </w:tc>
              <w:tc>
                <w:tcPr>
                  <w:tcW w:w="722" w:type="pct"/>
                  <w:tcBorders>
                    <w:tl2br w:val="nil"/>
                    <w:tr2bl w:val="nil"/>
                  </w:tcBorders>
                  <w:shd w:val="clear" w:color="auto" w:fill="auto"/>
                  <w:vAlign w:val="center"/>
                </w:tcPr>
                <w:p w14:paraId="3D429FAA">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套</w:t>
                  </w:r>
                </w:p>
              </w:tc>
              <w:tc>
                <w:tcPr>
                  <w:tcW w:w="779" w:type="pct"/>
                  <w:tcBorders>
                    <w:tl2br w:val="nil"/>
                    <w:tr2bl w:val="nil"/>
                  </w:tcBorders>
                  <w:shd w:val="clear" w:color="auto" w:fill="auto"/>
                  <w:vAlign w:val="center"/>
                </w:tcPr>
                <w:p w14:paraId="2A52C297">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eastAsia"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1</w:t>
                  </w:r>
                </w:p>
              </w:tc>
              <w:tc>
                <w:tcPr>
                  <w:tcW w:w="728" w:type="pct"/>
                  <w:tcBorders>
                    <w:tl2br w:val="nil"/>
                    <w:tr2bl w:val="nil"/>
                  </w:tcBorders>
                  <w:shd w:val="clear" w:color="auto" w:fill="auto"/>
                  <w:vAlign w:val="center"/>
                </w:tcPr>
                <w:p w14:paraId="50972FAD">
                  <w:pPr>
                    <w:pStyle w:val="115"/>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0B8599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47" w:type="pct"/>
                  <w:gridSpan w:val="2"/>
                  <w:tcBorders>
                    <w:tl2br w:val="nil"/>
                    <w:tr2bl w:val="nil"/>
                  </w:tcBorders>
                  <w:vAlign w:val="center"/>
                </w:tcPr>
                <w:p w14:paraId="6501DF49">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合计</w:t>
                  </w:r>
                </w:p>
              </w:tc>
              <w:tc>
                <w:tcPr>
                  <w:tcW w:w="722" w:type="pct"/>
                  <w:tcBorders>
                    <w:tl2br w:val="nil"/>
                    <w:tr2bl w:val="nil"/>
                  </w:tcBorders>
                  <w:shd w:val="clear" w:color="auto" w:fill="auto"/>
                  <w:vAlign w:val="center"/>
                </w:tcPr>
                <w:p w14:paraId="712B7487">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eastAsia" w:cs="Times New Roman"/>
                      <w:color w:val="000000" w:themeColor="text1"/>
                      <w:kern w:val="0"/>
                      <w:sz w:val="21"/>
                      <w:szCs w:val="21"/>
                      <w:lang w:val="en-US" w:eastAsia="zh-CN" w:bidi="ar-SA"/>
                      <w14:textFill>
                        <w14:solidFill>
                          <w14:schemeClr w14:val="tx1"/>
                        </w14:solidFill>
                      </w14:textFill>
                    </w:rPr>
                  </w:pPr>
                </w:p>
              </w:tc>
              <w:tc>
                <w:tcPr>
                  <w:tcW w:w="722" w:type="pct"/>
                  <w:tcBorders>
                    <w:tl2br w:val="nil"/>
                    <w:tr2bl w:val="nil"/>
                  </w:tcBorders>
                  <w:shd w:val="clear" w:color="auto" w:fill="auto"/>
                  <w:vAlign w:val="center"/>
                </w:tcPr>
                <w:p w14:paraId="7F3E2BB9">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台/套</w:t>
                  </w:r>
                </w:p>
              </w:tc>
              <w:tc>
                <w:tcPr>
                  <w:tcW w:w="779" w:type="pct"/>
                  <w:tcBorders>
                    <w:tl2br w:val="nil"/>
                    <w:tr2bl w:val="nil"/>
                  </w:tcBorders>
                  <w:shd w:val="clear" w:color="auto" w:fill="auto"/>
                  <w:vAlign w:val="center"/>
                </w:tcPr>
                <w:p w14:paraId="6C93E796">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13</w:t>
                  </w:r>
                </w:p>
              </w:tc>
              <w:tc>
                <w:tcPr>
                  <w:tcW w:w="728" w:type="pct"/>
                  <w:tcBorders>
                    <w:tl2br w:val="nil"/>
                    <w:tr2bl w:val="nil"/>
                  </w:tcBorders>
                  <w:shd w:val="clear" w:color="auto" w:fill="auto"/>
                  <w:vAlign w:val="center"/>
                </w:tcPr>
                <w:p w14:paraId="25EA8C0F">
                  <w:pPr>
                    <w:pStyle w:val="115"/>
                    <w:spacing w:line="240" w:lineRule="auto"/>
                    <w:rPr>
                      <w:rFonts w:hint="default" w:ascii="Times New Roman" w:cs="Times New Roman"/>
                      <w:color w:val="000000" w:themeColor="text1"/>
                      <w:sz w:val="21"/>
                      <w:szCs w:val="21"/>
                      <w:lang w:val="en-US" w:eastAsia="zh-CN"/>
                      <w14:textFill>
                        <w14:solidFill>
                          <w14:schemeClr w14:val="tx1"/>
                        </w14:solidFill>
                      </w14:textFill>
                    </w:rPr>
                  </w:pPr>
                </w:p>
              </w:tc>
            </w:tr>
          </w:tbl>
          <w:p w14:paraId="2C51F95D">
            <w:pPr>
              <w:pStyle w:val="33"/>
              <w:spacing w:before="0" w:beforeAutospacing="0" w:after="0" w:afterAutospacing="0" w:line="360" w:lineRule="auto"/>
              <w:ind w:left="420"/>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7、公用工程</w:t>
            </w:r>
          </w:p>
          <w:p w14:paraId="5FD82359">
            <w:pPr>
              <w:pStyle w:val="33"/>
              <w:spacing w:before="0" w:beforeAutospacing="0" w:after="0" w:afterAutospacing="0" w:line="360" w:lineRule="auto"/>
              <w:ind w:firstLine="482" w:firstLineChars="200"/>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（1）给排水</w:t>
            </w:r>
          </w:p>
          <w:p w14:paraId="01D100E0">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1）给水</w:t>
            </w:r>
          </w:p>
          <w:p w14:paraId="4A1B484C">
            <w:pPr>
              <w:adjustRightInd w:val="0"/>
              <w:snapToGrid w:val="0"/>
              <w:spacing w:line="360" w:lineRule="auto"/>
              <w:ind w:firstLine="480" w:firstLineChars="200"/>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拟建项目用水由供水管网提供，项目用水主要为</w:t>
            </w:r>
            <w:r>
              <w:rPr>
                <w:rFonts w:hint="eastAsia" w:ascii="Times New Roman" w:hAnsi="Times New Roman" w:eastAsia="宋体" w:cs="Times New Roman"/>
                <w:bCs/>
                <w:color w:val="000000" w:themeColor="text1"/>
                <w:sz w:val="24"/>
                <w:lang w:val="en-US" w:eastAsia="zh-CN"/>
                <w14:textFill>
                  <w14:solidFill>
                    <w14:schemeClr w14:val="tx1"/>
                  </w14:solidFill>
                </w14:textFill>
              </w:rPr>
              <w:t>冷却用水</w:t>
            </w:r>
            <w:r>
              <w:rPr>
                <w:rFonts w:hint="eastAsia" w:ascii="Times New Roman" w:hAnsi="Times New Roman" w:eastAsia="宋体" w:cs="Times New Roman"/>
                <w:bCs/>
                <w:color w:val="000000" w:themeColor="text1"/>
                <w:sz w:val="24"/>
                <w:lang w:eastAsia="zh-CN"/>
                <w14:textFill>
                  <w14:solidFill>
                    <w14:schemeClr w14:val="tx1"/>
                  </w14:solidFill>
                </w14:textFill>
              </w:rPr>
              <w:t>、</w:t>
            </w:r>
            <w:r>
              <w:rPr>
                <w:rFonts w:hint="default" w:ascii="Times New Roman" w:hAnsi="Times New Roman" w:eastAsia="宋体" w:cs="Times New Roman"/>
                <w:bCs/>
                <w:color w:val="000000" w:themeColor="text1"/>
                <w:sz w:val="24"/>
                <w14:textFill>
                  <w14:solidFill>
                    <w14:schemeClr w14:val="tx1"/>
                  </w14:solidFill>
                </w14:textFill>
              </w:rPr>
              <w:t>生活用水。</w:t>
            </w:r>
          </w:p>
          <w:p w14:paraId="73E178FD">
            <w:pPr>
              <w:adjustRightInd w:val="0"/>
              <w:snapToGrid w:val="0"/>
              <w:spacing w:line="360" w:lineRule="auto"/>
              <w:ind w:firstLine="480" w:firstLineChars="200"/>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①</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冷却用水</w:t>
            </w:r>
          </w:p>
          <w:p w14:paraId="7221B833">
            <w:pPr>
              <w:adjustRightInd w:val="0"/>
              <w:snapToGrid w:val="0"/>
              <w:spacing w:line="360" w:lineRule="auto"/>
              <w:ind w:firstLine="480" w:firstLineChars="200"/>
              <w:rPr>
                <w:rFonts w:hint="default" w:ascii="Times New Roman" w:hAnsi="Times New Roman" w:eastAsia="宋体" w:cs="Times New Roman"/>
                <w:bCs/>
                <w:color w:val="000000" w:themeColor="text1"/>
                <w:sz w:val="24"/>
                <w14:textFill>
                  <w14:solidFill>
                    <w14:schemeClr w14:val="tx1"/>
                  </w14:solidFill>
                </w14:textFill>
              </w:rPr>
            </w:pP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项目制片工序需进行冷却，采取间接冷却，设冷却塔</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1</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台，循环量为3</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m</w:t>
            </w:r>
            <w:r>
              <w:rPr>
                <w:rFonts w:hint="default" w:ascii="Times New Roman" w:hAnsi="Times New Roman" w:eastAsia="宋体" w:cs="Times New Roman"/>
                <w:bCs/>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/h</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。冷却塔补充水量按冷却塔循环水量的</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1%</w:t>
            </w:r>
            <w:r>
              <w:rPr>
                <w:rFonts w:hint="eastAsia" w:cs="Times New Roman"/>
                <w:bCs/>
                <w:color w:val="000000" w:themeColor="text1"/>
                <w:kern w:val="2"/>
                <w:sz w:val="24"/>
                <w:szCs w:val="24"/>
                <w:lang w:val="en-US" w:eastAsia="zh-CN" w:bidi="ar-SA"/>
                <w14:textFill>
                  <w14:solidFill>
                    <w14:schemeClr w14:val="tx1"/>
                  </w14:solidFill>
                </w14:textFill>
              </w:rPr>
              <w:t>计，</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项目日工作</w:t>
            </w:r>
            <w:r>
              <w:rPr>
                <w:rFonts w:hint="eastAsia" w:cs="Times New Roman"/>
                <w:bCs/>
                <w:color w:val="000000" w:themeColor="text1"/>
                <w:kern w:val="2"/>
                <w:sz w:val="24"/>
                <w:szCs w:val="24"/>
                <w:lang w:val="en-US" w:eastAsia="zh-CN" w:bidi="ar-SA"/>
                <w14:textFill>
                  <w14:solidFill>
                    <w14:schemeClr w14:val="tx1"/>
                  </w14:solidFill>
                </w14:textFill>
              </w:rPr>
              <w:t>16</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小时，年工作300天，循环水量为</w:t>
            </w:r>
            <w:r>
              <w:rPr>
                <w:rFonts w:hint="eastAsia" w:cs="Times New Roman"/>
                <w:bCs/>
                <w:color w:val="000000" w:themeColor="text1"/>
                <w:sz w:val="24"/>
                <w:lang w:val="en-US" w:eastAsia="zh-CN"/>
                <w14:textFill>
                  <w14:solidFill>
                    <w14:schemeClr w14:val="tx1"/>
                  </w14:solidFill>
                </w14:textFill>
              </w:rPr>
              <w:t>48</w:t>
            </w:r>
            <w:r>
              <w:rPr>
                <w:rFonts w:hint="default" w:ascii="Times New Roman" w:hAnsi="Times New Roman" w:eastAsia="宋体" w:cs="Times New Roman"/>
                <w:bCs/>
                <w:color w:val="000000" w:themeColor="text1"/>
                <w:sz w:val="24"/>
                <w:lang w:val="en-US" w:eastAsia="zh-CN"/>
                <w14:textFill>
                  <w14:solidFill>
                    <w14:schemeClr w14:val="tx1"/>
                  </w14:solidFill>
                </w14:textFill>
              </w:rPr>
              <w:t>m</w:t>
            </w:r>
            <w:r>
              <w:rPr>
                <w:rFonts w:hint="default" w:ascii="Times New Roman" w:hAnsi="Times New Roman" w:eastAsia="宋体" w:cs="Times New Roman"/>
                <w:bCs/>
                <w:color w:val="000000" w:themeColor="text1"/>
                <w:sz w:val="24"/>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lang w:val="en-US" w:eastAsia="zh-CN"/>
                <w14:textFill>
                  <w14:solidFill>
                    <w14:schemeClr w14:val="tx1"/>
                  </w14:solidFill>
                </w14:textFill>
              </w:rPr>
              <w:t>/d</w:t>
            </w:r>
            <w:r>
              <w:rPr>
                <w:rFonts w:hint="eastAsia" w:ascii="Times New Roman" w:hAnsi="Times New Roman" w:eastAsia="宋体" w:cs="Times New Roman"/>
                <w:bCs/>
                <w:color w:val="000000" w:themeColor="text1"/>
                <w:sz w:val="24"/>
                <w:lang w:val="en-US" w:eastAsia="zh-CN"/>
                <w14:textFill>
                  <w14:solidFill>
                    <w14:schemeClr w14:val="tx1"/>
                  </w14:solidFill>
                </w14:textFill>
              </w:rPr>
              <w:t>，补水量为</w:t>
            </w:r>
            <w:r>
              <w:rPr>
                <w:rFonts w:hint="eastAsia" w:cs="Times New Roman"/>
                <w:bCs/>
                <w:color w:val="000000" w:themeColor="text1"/>
                <w:sz w:val="24"/>
                <w:lang w:val="en-US" w:eastAsia="zh-CN"/>
                <w14:textFill>
                  <w14:solidFill>
                    <w14:schemeClr w14:val="tx1"/>
                  </w14:solidFill>
                </w14:textFill>
              </w:rPr>
              <w:t>0.48</w:t>
            </w:r>
            <w:r>
              <w:rPr>
                <w:rFonts w:hint="default" w:ascii="Times New Roman" w:hAnsi="Times New Roman" w:eastAsia="宋体" w:cs="Times New Roman"/>
                <w:bCs/>
                <w:color w:val="000000" w:themeColor="text1"/>
                <w:sz w:val="24"/>
                <w:lang w:val="en-US" w:eastAsia="zh-CN"/>
                <w14:textFill>
                  <w14:solidFill>
                    <w14:schemeClr w14:val="tx1"/>
                  </w14:solidFill>
                </w14:textFill>
              </w:rPr>
              <w:t>m</w:t>
            </w:r>
            <w:r>
              <w:rPr>
                <w:rFonts w:hint="default" w:ascii="Times New Roman" w:hAnsi="Times New Roman" w:eastAsia="宋体" w:cs="Times New Roman"/>
                <w:bCs/>
                <w:color w:val="000000" w:themeColor="text1"/>
                <w:sz w:val="24"/>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lang w:val="en-US" w:eastAsia="zh-CN"/>
                <w14:textFill>
                  <w14:solidFill>
                    <w14:schemeClr w14:val="tx1"/>
                  </w14:solidFill>
                </w14:textFill>
              </w:rPr>
              <w:t>/d</w:t>
            </w:r>
            <w:r>
              <w:rPr>
                <w:rFonts w:hint="eastAsia" w:ascii="Times New Roman" w:hAnsi="Times New Roman" w:eastAsia="宋体" w:cs="Times New Roman"/>
                <w:bCs/>
                <w:color w:val="000000" w:themeColor="text1"/>
                <w:sz w:val="24"/>
                <w:lang w:val="en-US" w:eastAsia="zh-CN"/>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144</w:t>
            </w:r>
            <w:r>
              <w:rPr>
                <w:rFonts w:hint="default" w:ascii="Times New Roman" w:hAnsi="Times New Roman" w:eastAsia="宋体" w:cs="Times New Roman"/>
                <w:bCs/>
                <w:color w:val="000000" w:themeColor="text1"/>
                <w:sz w:val="24"/>
                <w:lang w:val="en-US" w:eastAsia="zh-CN"/>
                <w14:textFill>
                  <w14:solidFill>
                    <w14:schemeClr w14:val="tx1"/>
                  </w14:solidFill>
                </w14:textFill>
              </w:rPr>
              <w:t>m</w:t>
            </w:r>
            <w:r>
              <w:rPr>
                <w:rFonts w:hint="default" w:ascii="Times New Roman" w:hAnsi="Times New Roman" w:eastAsia="宋体" w:cs="Times New Roman"/>
                <w:bCs/>
                <w:color w:val="000000" w:themeColor="text1"/>
                <w:sz w:val="24"/>
                <w:vertAlign w:val="superscript"/>
                <w:lang w:val="en-US" w:eastAsia="zh-CN"/>
                <w14:textFill>
                  <w14:solidFill>
                    <w14:schemeClr w14:val="tx1"/>
                  </w14:solidFill>
                </w14:textFill>
              </w:rPr>
              <w:t>3</w:t>
            </w:r>
            <w:r>
              <w:rPr>
                <w:rFonts w:hint="default" w:ascii="Times New Roman" w:hAnsi="Times New Roman" w:eastAsia="宋体" w:cs="Times New Roman"/>
                <w:bCs/>
                <w:color w:val="000000" w:themeColor="text1"/>
                <w:sz w:val="24"/>
                <w:lang w:val="en-US" w:eastAsia="zh-CN"/>
                <w14:textFill>
                  <w14:solidFill>
                    <w14:schemeClr w14:val="tx1"/>
                  </w14:solidFill>
                </w14:textFill>
              </w:rPr>
              <w:t>/a</w:t>
            </w:r>
            <w:r>
              <w:rPr>
                <w:rFonts w:hint="eastAsia" w:cs="Times New Roman"/>
                <w:bCs/>
                <w:color w:val="000000" w:themeColor="text1"/>
                <w:sz w:val="24"/>
                <w:lang w:val="en-US" w:eastAsia="zh-CN"/>
                <w14:textFill>
                  <w14:solidFill>
                    <w14:schemeClr w14:val="tx1"/>
                  </w14:solidFill>
                </w14:textFill>
              </w:rPr>
              <w:t>，补水水源为自来水</w:t>
            </w:r>
            <w:r>
              <w:rPr>
                <w:rFonts w:hint="eastAsia" w:ascii="Times New Roman" w:hAnsi="Times New Roman" w:eastAsia="宋体" w:cs="Times New Roman"/>
                <w:bCs/>
                <w:color w:val="000000" w:themeColor="text1"/>
                <w:sz w:val="24"/>
                <w:lang w:val="en-US" w:eastAsia="zh-CN"/>
                <w14:textFill>
                  <w14:solidFill>
                    <w14:schemeClr w14:val="tx1"/>
                  </w14:solidFill>
                </w14:textFill>
              </w:rPr>
              <w:t>。循环使用，不外排</w:t>
            </w:r>
            <w:r>
              <w:rPr>
                <w:rFonts w:hint="default" w:ascii="Times New Roman" w:hAnsi="Times New Roman" w:eastAsia="宋体" w:cs="Times New Roman"/>
                <w:bCs/>
                <w:color w:val="000000" w:themeColor="text1"/>
                <w:sz w:val="24"/>
                <w14:textFill>
                  <w14:solidFill>
                    <w14:schemeClr w14:val="tx1"/>
                  </w14:solidFill>
                </w14:textFill>
              </w:rPr>
              <w:t>。</w:t>
            </w:r>
          </w:p>
          <w:p w14:paraId="2956C57C">
            <w:pPr>
              <w:pStyle w:val="62"/>
              <w:adjustRightInd w:val="0"/>
              <w:snapToGrid w:val="0"/>
              <w:spacing w:line="360" w:lineRule="auto"/>
              <w:ind w:firstLine="48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②</w:t>
            </w:r>
            <w:r>
              <w:rPr>
                <w:rFonts w:hint="default" w:ascii="Times New Roman" w:hAnsi="Times New Roman" w:eastAsia="宋体" w:cs="Times New Roman"/>
                <w:bCs/>
                <w:color w:val="000000" w:themeColor="text1"/>
                <w:sz w:val="24"/>
                <w:szCs w:val="24"/>
                <w14:textFill>
                  <w14:solidFill>
                    <w14:schemeClr w14:val="tx1"/>
                  </w14:solidFill>
                </w14:textFill>
              </w:rPr>
              <w:t>职工生活用水：本</w:t>
            </w:r>
            <w:r>
              <w:rPr>
                <w:rFonts w:hint="default" w:ascii="Times New Roman" w:hAnsi="Times New Roman" w:eastAsia="宋体" w:cs="Times New Roman"/>
                <w:color w:val="000000" w:themeColor="text1"/>
                <w:sz w:val="24"/>
                <w:szCs w:val="24"/>
                <w14:textFill>
                  <w14:solidFill>
                    <w14:schemeClr w14:val="tx1"/>
                  </w14:solidFill>
                </w14:textFill>
              </w:rPr>
              <w:t>项目劳动定员</w:t>
            </w:r>
            <w:r>
              <w:rPr>
                <w:rFonts w:hint="eastAsia" w:ascii="Times New Roman" w:hAnsi="Times New Roman"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人，参考《建筑给水排水设计规范》（GB50015-2019）表3.2.2“13-办公-每人每班日生活用水定额30~50L/人·天”。本项目职工生活用水按照40L/人·天计，则本项目职工生活用水量约为</w:t>
            </w:r>
            <w:r>
              <w:rPr>
                <w:rFonts w:hint="eastAsia" w:ascii="Times New Roman" w:hAnsi="Times New Roman" w:cs="Times New Roman"/>
                <w:color w:val="000000" w:themeColor="text1"/>
                <w:sz w:val="24"/>
                <w:szCs w:val="24"/>
                <w:lang w:val="en-US" w:eastAsia="zh-CN"/>
                <w14:textFill>
                  <w14:solidFill>
                    <w14:schemeClr w14:val="tx1"/>
                  </w14:solidFill>
                </w14:textFill>
              </w:rPr>
              <w:t>60</w:t>
            </w:r>
            <w:r>
              <w:rPr>
                <w:rFonts w:hint="default" w:ascii="Times New Roman" w:hAnsi="Times New Roman" w:eastAsia="宋体" w:cs="Times New Roman"/>
                <w:color w:val="000000" w:themeColor="text1"/>
                <w:sz w:val="24"/>
                <w:szCs w:val="24"/>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/a。</w:t>
            </w:r>
          </w:p>
          <w:p w14:paraId="00E2EA16">
            <w:pPr>
              <w:pStyle w:val="62"/>
              <w:adjustRightInd w:val="0"/>
              <w:snapToGrid w:val="0"/>
              <w:spacing w:line="360" w:lineRule="auto"/>
              <w:ind w:firstLine="48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综上，本项目新鲜水用量为</w:t>
            </w:r>
            <w:r>
              <w:rPr>
                <w:rFonts w:hint="eastAsia" w:ascii="Times New Roman" w:hAnsi="Times New Roman" w:cs="Times New Roman"/>
                <w:color w:val="000000" w:themeColor="text1"/>
                <w:sz w:val="24"/>
                <w:szCs w:val="24"/>
                <w:lang w:val="en-US" w:eastAsia="zh-CN"/>
                <w14:textFill>
                  <w14:solidFill>
                    <w14:schemeClr w14:val="tx1"/>
                  </w14:solidFill>
                </w14:textFill>
              </w:rPr>
              <w:t>204</w:t>
            </w:r>
            <w:r>
              <w:rPr>
                <w:rFonts w:hint="default" w:ascii="Times New Roman" w:hAnsi="Times New Roman" w:eastAsia="宋体" w:cs="Times New Roman"/>
                <w:color w:val="000000" w:themeColor="text1"/>
                <w:sz w:val="24"/>
                <w:szCs w:val="24"/>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/a，由当地供水管网供给。</w:t>
            </w:r>
          </w:p>
          <w:p w14:paraId="1C3AFEC6">
            <w:pPr>
              <w:pStyle w:val="62"/>
              <w:adjustRightInd w:val="0"/>
              <w:snapToGrid w:val="0"/>
              <w:spacing w:line="360" w:lineRule="auto"/>
              <w:ind w:firstLine="48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2）排水</w:t>
            </w:r>
          </w:p>
          <w:p w14:paraId="49B25A2C">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拟建项目生活污水按生活用水量的80%计，生活污水产生量</w:t>
            </w:r>
            <w:r>
              <w:rPr>
                <w:rFonts w:hint="eastAsia" w:cs="Times New Roman"/>
                <w:color w:val="000000" w:themeColor="text1"/>
                <w:sz w:val="24"/>
                <w:lang w:val="en-US" w:eastAsia="zh-CN"/>
                <w14:textFill>
                  <w14:solidFill>
                    <w14:schemeClr w14:val="tx1"/>
                  </w14:solidFill>
                </w14:textFill>
              </w:rPr>
              <w:t>48</w:t>
            </w:r>
            <w:r>
              <w:rPr>
                <w:rFonts w:hint="default" w:ascii="Times New Roman" w:hAnsi="Times New Roman" w:eastAsia="宋体" w:cs="Times New Roman"/>
                <w:color w:val="000000" w:themeColor="text1"/>
                <w:sz w:val="24"/>
                <w14:textFill>
                  <w14:solidFill>
                    <w14:schemeClr w14:val="tx1"/>
                  </w14:solidFill>
                </w14:textFill>
              </w:rPr>
              <w:t>m</w:t>
            </w:r>
            <w:r>
              <w:rPr>
                <w:rFonts w:hint="default" w:ascii="Times New Roman" w:hAnsi="Times New Roman" w:eastAsia="宋体" w:cs="Times New Roman"/>
                <w:color w:val="000000" w:themeColor="text1"/>
                <w:sz w:val="24"/>
                <w:vertAlign w:val="superscript"/>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/a，经化粪池预处理后委托环卫部门清运。</w:t>
            </w:r>
          </w:p>
          <w:p w14:paraId="3755AF56">
            <w:pPr>
              <w:adjustRightInd w:val="0"/>
              <w:snapToGrid w:val="0"/>
              <w:spacing w:line="360" w:lineRule="auto"/>
              <w:rPr>
                <w:rFonts w:hint="default" w:ascii="Times New Roman" w:hAnsi="Times New Roman" w:eastAsia="宋体" w:cs="Times New Roman"/>
                <w:color w:val="000000" w:themeColor="text1"/>
                <w:sz w:val="24"/>
                <w14:textFill>
                  <w14:solidFill>
                    <w14:schemeClr w14:val="tx1"/>
                  </w14:solidFill>
                </w14:textFill>
              </w:rPr>
            </w:pPr>
            <w:r>
              <w:drawing>
                <wp:inline distT="0" distB="0" distL="114300" distR="114300">
                  <wp:extent cx="5542280" cy="2375535"/>
                  <wp:effectExtent l="0" t="0" r="1270" b="5715"/>
                  <wp:docPr id="9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1"/>
                          <pic:cNvPicPr>
                            <a:picLocks noChangeAspect="1"/>
                          </pic:cNvPicPr>
                        </pic:nvPicPr>
                        <pic:blipFill>
                          <a:blip r:embed="rId20"/>
                          <a:stretch>
                            <a:fillRect/>
                          </a:stretch>
                        </pic:blipFill>
                        <pic:spPr>
                          <a:xfrm>
                            <a:off x="0" y="0"/>
                            <a:ext cx="5542280" cy="2375535"/>
                          </a:xfrm>
                          <a:prstGeom prst="rect">
                            <a:avLst/>
                          </a:prstGeom>
                          <a:noFill/>
                          <a:ln>
                            <a:noFill/>
                          </a:ln>
                        </pic:spPr>
                      </pic:pic>
                    </a:graphicData>
                  </a:graphic>
                </wp:inline>
              </w:drawing>
            </w:r>
          </w:p>
          <w:p w14:paraId="5D5FF7CB">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图2-</w:t>
            </w:r>
            <w:r>
              <w:rPr>
                <w:rFonts w:hint="eastAsia" w:cs="Times New Roman"/>
                <w:b/>
                <w:color w:val="000000" w:themeColor="text1"/>
                <w:szCs w:val="21"/>
                <w:lang w:val="en-US" w:eastAsia="zh-CN"/>
                <w14:textFill>
                  <w14:solidFill>
                    <w14:schemeClr w14:val="tx1"/>
                  </w14:solidFill>
                </w14:textFill>
              </w:rPr>
              <w:t>1</w:t>
            </w:r>
            <w:r>
              <w:rPr>
                <w:rFonts w:hint="default" w:ascii="Times New Roman" w:hAnsi="Times New Roman" w:eastAsia="宋体" w:cs="Times New Roman"/>
                <w:b/>
                <w:color w:val="000000" w:themeColor="text1"/>
                <w:szCs w:val="21"/>
                <w14:textFill>
                  <w14:solidFill>
                    <w14:schemeClr w14:val="tx1"/>
                  </w14:solidFill>
                </w14:textFill>
              </w:rPr>
              <w:t>本项目水平衡图（单位：m</w:t>
            </w:r>
            <w:r>
              <w:rPr>
                <w:rFonts w:hint="default" w:ascii="Times New Roman" w:hAnsi="Times New Roman" w:eastAsia="宋体" w:cs="Times New Roman"/>
                <w:b/>
                <w:color w:val="000000" w:themeColor="text1"/>
                <w:szCs w:val="21"/>
                <w:vertAlign w:val="superscript"/>
                <w14:textFill>
                  <w14:solidFill>
                    <w14:schemeClr w14:val="tx1"/>
                  </w14:solidFill>
                </w14:textFill>
              </w:rPr>
              <w:t>3</w:t>
            </w:r>
            <w:r>
              <w:rPr>
                <w:rFonts w:hint="default" w:ascii="Times New Roman" w:hAnsi="Times New Roman" w:eastAsia="宋体" w:cs="Times New Roman"/>
                <w:b/>
                <w:color w:val="000000" w:themeColor="text1"/>
                <w:szCs w:val="21"/>
                <w14:textFill>
                  <w14:solidFill>
                    <w14:schemeClr w14:val="tx1"/>
                  </w14:solidFill>
                </w14:textFill>
              </w:rPr>
              <w:t>/a）</w:t>
            </w:r>
          </w:p>
          <w:p w14:paraId="45B1FEA3">
            <w:pPr>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（2）供热</w:t>
            </w:r>
          </w:p>
          <w:p w14:paraId="58828F86">
            <w:pPr>
              <w:pStyle w:val="37"/>
              <w:spacing w:after="0" w:line="360" w:lineRule="auto"/>
              <w:ind w:left="0" w:leftChars="0" w:firstLine="48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w:t>
            </w:r>
            <w:r>
              <w:rPr>
                <w:rFonts w:hint="eastAsia" w:cs="Times New Roman"/>
                <w:color w:val="000000" w:themeColor="text1"/>
                <w:sz w:val="24"/>
                <w:lang w:val="en-US" w:eastAsia="zh-CN"/>
                <w14:textFill>
                  <w14:solidFill>
                    <w14:schemeClr w14:val="tx1"/>
                  </w14:solidFill>
                </w14:textFill>
              </w:rPr>
              <w:t>生产</w:t>
            </w:r>
            <w:r>
              <w:rPr>
                <w:rFonts w:hint="default" w:ascii="Times New Roman" w:hAnsi="Times New Roman" w:eastAsia="宋体" w:cs="Times New Roman"/>
                <w:color w:val="000000" w:themeColor="text1"/>
                <w:sz w:val="24"/>
                <w14:textFill>
                  <w14:solidFill>
                    <w14:schemeClr w14:val="tx1"/>
                  </w14:solidFill>
                </w14:textFill>
              </w:rPr>
              <w:t>车间不涉及供暖。</w:t>
            </w:r>
          </w:p>
          <w:p w14:paraId="23C8FF7E">
            <w:pPr>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（3）供电</w:t>
            </w:r>
          </w:p>
          <w:p w14:paraId="70FE4941">
            <w:pPr>
              <w:pStyle w:val="37"/>
              <w:spacing w:after="0" w:line="360" w:lineRule="auto"/>
              <w:ind w:left="0" w:leftChars="0" w:firstLine="48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本项目用电量</w:t>
            </w:r>
            <w:r>
              <w:rPr>
                <w:rFonts w:hint="eastAsia" w:cs="Times New Roman"/>
                <w:color w:val="000000" w:themeColor="text1"/>
                <w:sz w:val="24"/>
                <w:lang w:val="en-US" w:eastAsia="zh-CN"/>
                <w14:textFill>
                  <w14:solidFill>
                    <w14:schemeClr w14:val="tx1"/>
                  </w14:solidFill>
                </w14:textFill>
              </w:rPr>
              <w:t>5</w:t>
            </w:r>
            <w:r>
              <w:rPr>
                <w:rFonts w:hint="default" w:ascii="Times New Roman" w:hAnsi="Times New Roman" w:eastAsia="宋体" w:cs="Times New Roman"/>
                <w:color w:val="000000" w:themeColor="text1"/>
                <w:sz w:val="24"/>
                <w14:textFill>
                  <w14:solidFill>
                    <w14:schemeClr w14:val="tx1"/>
                  </w14:solidFill>
                </w14:textFill>
              </w:rPr>
              <w:t>0万kWh/a，由当地供电网供给。</w:t>
            </w:r>
          </w:p>
          <w:p w14:paraId="664D4390">
            <w:pPr>
              <w:pStyle w:val="33"/>
              <w:spacing w:before="0" w:beforeAutospacing="0" w:after="0" w:afterAutospacing="0" w:line="360" w:lineRule="auto"/>
              <w:ind w:left="420"/>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8、总平面图布置</w:t>
            </w:r>
          </w:p>
          <w:p w14:paraId="3D25DC61">
            <w:pPr>
              <w:spacing w:line="360" w:lineRule="auto"/>
              <w:ind w:firstLine="480" w:firstLineChars="200"/>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（1）总平面布置情况</w:t>
            </w:r>
          </w:p>
          <w:p w14:paraId="708452BF">
            <w:pPr>
              <w:keepNext/>
              <w:keepLines/>
              <w:adjustRightInd w:val="0"/>
              <w:snapToGrid w:val="0"/>
              <w:spacing w:line="360" w:lineRule="auto"/>
              <w:ind w:firstLine="480" w:firstLineChars="200"/>
              <w:outlineLvl w:val="2"/>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本项目位于</w:t>
            </w:r>
            <w:r>
              <w:rPr>
                <w:rFonts w:hint="eastAsia" w:cs="Times New Roman"/>
                <w:color w:val="000000" w:themeColor="text1"/>
                <w:sz w:val="24"/>
                <w:lang w:eastAsia="zh-CN"/>
                <w14:textFill>
                  <w14:solidFill>
                    <w14:schemeClr w14:val="tx1"/>
                  </w14:solidFill>
                </w14:textFill>
              </w:rPr>
              <w:t>山东省淄博市张店区湖田街道办事处南焦宋村南首</w:t>
            </w:r>
            <w:r>
              <w:rPr>
                <w:rFonts w:hint="default" w:ascii="Times New Roman" w:hAnsi="Times New Roman" w:eastAsia="宋体" w:cs="Times New Roman"/>
                <w:color w:val="000000" w:themeColor="text1"/>
                <w:sz w:val="24"/>
                <w14:textFill>
                  <w14:solidFill>
                    <w14:schemeClr w14:val="tx1"/>
                  </w14:solidFill>
                </w14:textFill>
              </w:rPr>
              <w:t>，租赁现有生产车间进行生产</w:t>
            </w:r>
            <w:r>
              <w:rPr>
                <w:rFonts w:hint="default" w:ascii="Times New Roman" w:hAnsi="Times New Roman" w:eastAsia="宋体" w:cs="Times New Roman"/>
                <w:bCs/>
                <w:color w:val="000000" w:themeColor="text1"/>
                <w:sz w:val="24"/>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本项目</w:t>
            </w:r>
            <w:r>
              <w:rPr>
                <w:rFonts w:hint="default" w:ascii="Times New Roman" w:hAnsi="Times New Roman" w:eastAsia="宋体" w:cs="Times New Roman"/>
                <w:bCs/>
                <w:color w:val="000000" w:themeColor="text1"/>
                <w:sz w:val="24"/>
                <w14:textFill>
                  <w14:solidFill>
                    <w14:schemeClr w14:val="tx1"/>
                  </w14:solidFill>
                </w14:textFill>
              </w:rPr>
              <w:t>生产车间</w:t>
            </w:r>
            <w:r>
              <w:rPr>
                <w:rFonts w:hint="eastAsia" w:cs="Times New Roman"/>
                <w:bCs/>
                <w:color w:val="000000" w:themeColor="text1"/>
                <w:sz w:val="24"/>
                <w:lang w:val="en-US" w:eastAsia="zh-CN"/>
                <w14:textFill>
                  <w14:solidFill>
                    <w14:schemeClr w14:val="tx1"/>
                  </w14:solidFill>
                </w14:textFill>
              </w:rPr>
              <w:t>位于所在厂区西南侧，</w:t>
            </w:r>
            <w:r>
              <w:rPr>
                <w:rFonts w:hint="default" w:ascii="Times New Roman" w:hAnsi="Times New Roman" w:eastAsia="宋体" w:cs="Times New Roman"/>
                <w:bCs/>
                <w:color w:val="000000" w:themeColor="text1"/>
                <w:sz w:val="24"/>
                <w14:textFill>
                  <w14:solidFill>
                    <w14:schemeClr w14:val="tx1"/>
                  </w14:solidFill>
                </w14:textFill>
              </w:rPr>
              <w:t>项目平面布置图详见附图3。</w:t>
            </w:r>
          </w:p>
          <w:p w14:paraId="1F675D9A">
            <w:pPr>
              <w:keepNext/>
              <w:keepLines/>
              <w:adjustRightInd w:val="0"/>
              <w:snapToGrid w:val="0"/>
              <w:spacing w:line="360" w:lineRule="auto"/>
              <w:ind w:firstLine="480" w:firstLineChars="200"/>
              <w:outlineLvl w:val="2"/>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（2）合理性分析</w:t>
            </w:r>
          </w:p>
          <w:p w14:paraId="5B7EAC4B">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①项目以生产流程为原则布置，顺延了原料走向，交通方便，便于原料的输送、生产。</w:t>
            </w:r>
          </w:p>
          <w:p w14:paraId="25A4A0CD">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②本项目评价范围内不涉及自然保护区、风景名胜区等需要特殊保护的敏感目标，其他敏感目标距离项目均较远，因此生产过程对其环境影响较小。</w:t>
            </w:r>
          </w:p>
          <w:p w14:paraId="37B98D00">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③由于本项目对外界环境要求不高，且周围企业采取相应的环保措施后能够满足相应大气污染物排放标准和工业企业厂界环境噪声排放标准，对本项目周围环境影响程度较小。因此，本项目与厂区周围环境相协调。</w:t>
            </w:r>
          </w:p>
          <w:p w14:paraId="6462F923">
            <w:pPr>
              <w:keepNext/>
              <w:keepLines/>
              <w:adjustRightInd w:val="0"/>
              <w:snapToGrid w:val="0"/>
              <w:spacing w:line="360" w:lineRule="auto"/>
              <w:ind w:firstLine="480" w:firstLineChars="200"/>
              <w:outlineLvl w:val="2"/>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④厂区平</w:t>
            </w:r>
            <w:r>
              <w:rPr>
                <w:rFonts w:hint="default" w:ascii="Times New Roman" w:hAnsi="Times New Roman" w:eastAsia="宋体" w:cs="Times New Roman"/>
                <w:color w:val="000000" w:themeColor="text1"/>
                <w:sz w:val="24"/>
                <w14:textFill>
                  <w14:solidFill>
                    <w14:schemeClr w14:val="tx1"/>
                  </w14:solidFill>
                </w14:textFill>
              </w:rPr>
              <w:t>面布置基本可以满足企业生产和管理要求，符合国家和地方有关环保、防火、安全、卫生等方面的要求。</w:t>
            </w:r>
          </w:p>
          <w:p w14:paraId="351A69EF">
            <w:pPr>
              <w:pStyle w:val="33"/>
              <w:spacing w:before="0" w:beforeAutospacing="0" w:after="0" w:afterAutospacing="0" w:line="360" w:lineRule="auto"/>
              <w:ind w:left="42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eastAsia" w:ascii="Times New Roman" w:hAnsi="Times New Roman" w:eastAsia="宋体" w:cs="Times New Roman"/>
                <w:b/>
                <w:bCs/>
                <w:color w:val="000000" w:themeColor="text1"/>
                <w:lang w:val="en-US" w:eastAsia="zh-CN"/>
                <w14:textFill>
                  <w14:solidFill>
                    <w14:schemeClr w14:val="tx1"/>
                  </w14:solidFill>
                </w14:textFill>
              </w:rPr>
              <w:t>9、环保设施及投资</w:t>
            </w:r>
          </w:p>
          <w:p w14:paraId="0B1AD441">
            <w:pPr>
              <w:keepNext/>
              <w:keepLines/>
              <w:adjustRightInd w:val="0"/>
              <w:snapToGrid w:val="0"/>
              <w:spacing w:line="360" w:lineRule="auto"/>
              <w:ind w:firstLine="480" w:firstLineChars="200"/>
              <w:outlineLvl w:val="2"/>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拟</w:t>
            </w:r>
            <w:r>
              <w:rPr>
                <w:rFonts w:hint="default" w:ascii="Times New Roman" w:hAnsi="Times New Roman" w:eastAsia="宋体" w:cs="Times New Roman"/>
                <w:color w:val="000000" w:themeColor="text1"/>
                <w:sz w:val="24"/>
                <w:lang w:val="en-US" w:eastAsia="zh-CN"/>
                <w14:textFill>
                  <w14:solidFill>
                    <w14:schemeClr w14:val="tx1"/>
                  </w14:solidFill>
                </w14:textFill>
              </w:rPr>
              <w:t>建项目需配套采取废气处理设施、隔声降噪等环保措施。拟建项目总投资</w:t>
            </w:r>
            <w:r>
              <w:rPr>
                <w:rFonts w:hint="eastAsia" w:cs="Times New Roman"/>
                <w:color w:val="000000" w:themeColor="text1"/>
                <w:sz w:val="24"/>
                <w:lang w:val="en-US" w:eastAsia="zh-CN"/>
                <w14:textFill>
                  <w14:solidFill>
                    <w14:schemeClr w14:val="tx1"/>
                  </w14:solidFill>
                </w14:textFill>
              </w:rPr>
              <w:t>200</w:t>
            </w:r>
            <w:r>
              <w:rPr>
                <w:rFonts w:hint="default" w:ascii="Times New Roman" w:hAnsi="Times New Roman" w:eastAsia="宋体" w:cs="Times New Roman"/>
                <w:color w:val="000000" w:themeColor="text1"/>
                <w:sz w:val="24"/>
                <w:lang w:val="en-US" w:eastAsia="zh-CN"/>
                <w14:textFill>
                  <w14:solidFill>
                    <w14:schemeClr w14:val="tx1"/>
                  </w14:solidFill>
                </w14:textFill>
              </w:rPr>
              <w:t>万元，其中环保投资</w:t>
            </w:r>
            <w:r>
              <w:rPr>
                <w:rFonts w:hint="eastAsia" w:cs="Times New Roman"/>
                <w:color w:val="000000" w:themeColor="text1"/>
                <w:sz w:val="24"/>
                <w:lang w:val="en-US" w:eastAsia="zh-CN"/>
                <w14:textFill>
                  <w14:solidFill>
                    <w14:schemeClr w14:val="tx1"/>
                  </w14:solidFill>
                </w14:textFill>
              </w:rPr>
              <w:t>10</w:t>
            </w:r>
            <w:r>
              <w:rPr>
                <w:rFonts w:hint="default" w:ascii="Times New Roman" w:hAnsi="Times New Roman" w:eastAsia="宋体" w:cs="Times New Roman"/>
                <w:color w:val="000000" w:themeColor="text1"/>
                <w:sz w:val="24"/>
                <w:lang w:val="en-US" w:eastAsia="zh-CN"/>
                <w14:textFill>
                  <w14:solidFill>
                    <w14:schemeClr w14:val="tx1"/>
                  </w14:solidFill>
                </w14:textFill>
              </w:rPr>
              <w:t>万元，占总投资额</w:t>
            </w:r>
            <w:r>
              <w:rPr>
                <w:rFonts w:hint="eastAsia" w:cs="Times New Roman"/>
                <w:color w:val="000000" w:themeColor="text1"/>
                <w:sz w:val="24"/>
                <w:lang w:val="en-US" w:eastAsia="zh-CN"/>
                <w14:textFill>
                  <w14:solidFill>
                    <w14:schemeClr w14:val="tx1"/>
                  </w14:solidFill>
                </w14:textFill>
              </w:rPr>
              <w:t>5</w:t>
            </w:r>
            <w:r>
              <w:rPr>
                <w:rFonts w:hint="default" w:ascii="Times New Roman" w:hAnsi="Times New Roman" w:eastAsia="宋体" w:cs="Times New Roman"/>
                <w:color w:val="000000" w:themeColor="text1"/>
                <w:sz w:val="24"/>
                <w:lang w:val="en-US" w:eastAsia="zh-CN"/>
                <w14:textFill>
                  <w14:solidFill>
                    <w14:schemeClr w14:val="tx1"/>
                  </w14:solidFill>
                </w14:textFill>
              </w:rPr>
              <w:t>%。环保设施投资情况见</w:t>
            </w:r>
            <w:r>
              <w:rPr>
                <w:rFonts w:hint="eastAsia" w:cs="Times New Roman"/>
                <w:color w:val="000000" w:themeColor="text1"/>
                <w:sz w:val="24"/>
                <w:lang w:val="en-US" w:eastAsia="zh-CN"/>
                <w14:textFill>
                  <w14:solidFill>
                    <w14:schemeClr w14:val="tx1"/>
                  </w14:solidFill>
                </w14:textFill>
              </w:rPr>
              <w:t>下</w:t>
            </w:r>
            <w:r>
              <w:rPr>
                <w:rFonts w:hint="default" w:ascii="Times New Roman" w:hAnsi="Times New Roman" w:eastAsia="宋体" w:cs="Times New Roman"/>
                <w:color w:val="000000" w:themeColor="text1"/>
                <w:sz w:val="24"/>
                <w:lang w:val="en-US" w:eastAsia="zh-CN"/>
                <w14:textFill>
                  <w14:solidFill>
                    <w14:schemeClr w14:val="tx1"/>
                  </w14:solidFill>
                </w14:textFill>
              </w:rPr>
              <w:t>表</w:t>
            </w:r>
            <w:r>
              <w:rPr>
                <w:rFonts w:hint="eastAsia" w:cs="Times New Roman"/>
                <w:color w:val="000000" w:themeColor="text1"/>
                <w:sz w:val="24"/>
                <w:lang w:val="en-US" w:eastAsia="zh-CN"/>
                <w14:textFill>
                  <w14:solidFill>
                    <w14:schemeClr w14:val="tx1"/>
                  </w14:solidFill>
                </w14:textFill>
              </w:rPr>
              <w:t>。</w:t>
            </w:r>
          </w:p>
          <w:p w14:paraId="53E02C1E">
            <w:pPr>
              <w:keepNext/>
              <w:keepLines/>
              <w:adjustRightInd w:val="0"/>
              <w:snapToGrid w:val="0"/>
              <w:spacing w:line="240" w:lineRule="auto"/>
              <w:jc w:val="center"/>
              <w:outlineLvl w:val="2"/>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表2-</w:t>
            </w:r>
            <w:r>
              <w:rPr>
                <w:rFonts w:hint="eastAsia" w:cs="Times New Roman"/>
                <w:b/>
                <w:bCs/>
                <w:color w:val="000000" w:themeColor="text1"/>
                <w:sz w:val="21"/>
                <w:szCs w:val="21"/>
                <w:lang w:val="en-US" w:eastAsia="zh-CN"/>
                <w14:textFill>
                  <w14:solidFill>
                    <w14:schemeClr w14:val="tx1"/>
                  </w14:solidFill>
                </w14:textFill>
              </w:rPr>
              <w:t>6</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环保设施及投资一览表</w:t>
            </w:r>
          </w:p>
          <w:tbl>
            <w:tblPr>
              <w:tblStyle w:val="3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67"/>
              <w:gridCol w:w="3239"/>
              <w:gridCol w:w="1359"/>
              <w:gridCol w:w="1790"/>
              <w:gridCol w:w="2845"/>
            </w:tblGrid>
            <w:tr w14:paraId="52E433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4" w:type="pct"/>
                  <w:tcBorders>
                    <w:tl2br w:val="nil"/>
                    <w:tr2bl w:val="nil"/>
                  </w:tcBorders>
                  <w:vAlign w:val="center"/>
                </w:tcPr>
                <w:p w14:paraId="6776257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序号</w:t>
                  </w:r>
                </w:p>
              </w:tc>
              <w:tc>
                <w:tcPr>
                  <w:tcW w:w="1587" w:type="pct"/>
                  <w:tcBorders>
                    <w:tl2br w:val="nil"/>
                    <w:tr2bl w:val="nil"/>
                  </w:tcBorders>
                  <w:vAlign w:val="center"/>
                </w:tcPr>
                <w:p w14:paraId="517C56B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0"/>
                      <w:sz w:val="21"/>
                      <w:szCs w:val="21"/>
                      <w:lang w:val="en-US" w:eastAsia="zh-CN" w:bidi="ar-SA"/>
                    </w:rPr>
                  </w:pPr>
                  <w:r>
                    <w:rPr>
                      <w:rFonts w:hint="eastAsia" w:ascii="Times New Roman" w:hAnsi="Times New Roman" w:eastAsia="宋体" w:cs="Times New Roman"/>
                      <w:b/>
                      <w:bCs/>
                      <w:kern w:val="0"/>
                      <w:sz w:val="21"/>
                      <w:szCs w:val="21"/>
                      <w:lang w:val="en-US" w:eastAsia="zh-CN" w:bidi="ar-SA"/>
                    </w:rPr>
                    <w:t>设施</w:t>
                  </w:r>
                  <w:r>
                    <w:rPr>
                      <w:rFonts w:hint="default" w:ascii="Times New Roman" w:hAnsi="Times New Roman" w:eastAsia="宋体" w:cs="Times New Roman"/>
                      <w:b/>
                      <w:bCs/>
                      <w:kern w:val="0"/>
                      <w:sz w:val="21"/>
                      <w:szCs w:val="21"/>
                      <w:lang w:val="en-US" w:eastAsia="zh-CN" w:bidi="ar-SA"/>
                    </w:rPr>
                    <w:t>名称</w:t>
                  </w:r>
                </w:p>
              </w:tc>
              <w:tc>
                <w:tcPr>
                  <w:tcW w:w="666" w:type="pct"/>
                  <w:tcBorders>
                    <w:tl2br w:val="nil"/>
                    <w:tr2bl w:val="nil"/>
                  </w:tcBorders>
                  <w:vAlign w:val="center"/>
                </w:tcPr>
                <w:p w14:paraId="749AD9D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kern w:val="0"/>
                      <w:sz w:val="21"/>
                      <w:szCs w:val="21"/>
                      <w:lang w:val="en-US" w:eastAsia="zh-CN" w:bidi="ar-SA"/>
                    </w:rPr>
                  </w:pPr>
                  <w:r>
                    <w:rPr>
                      <w:rFonts w:hint="eastAsia" w:ascii="Times New Roman" w:hAnsi="Times New Roman" w:eastAsia="宋体" w:cs="Times New Roman"/>
                      <w:b/>
                      <w:bCs/>
                      <w:kern w:val="0"/>
                      <w:sz w:val="21"/>
                      <w:szCs w:val="21"/>
                      <w:lang w:val="en-US" w:eastAsia="zh-CN" w:bidi="ar-SA"/>
                    </w:rPr>
                    <w:t>数量</w:t>
                  </w:r>
                </w:p>
              </w:tc>
              <w:tc>
                <w:tcPr>
                  <w:tcW w:w="877" w:type="pct"/>
                  <w:tcBorders>
                    <w:tl2br w:val="nil"/>
                    <w:tr2bl w:val="nil"/>
                  </w:tcBorders>
                  <w:vAlign w:val="center"/>
                </w:tcPr>
                <w:p w14:paraId="75F8AD7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0"/>
                      <w:sz w:val="21"/>
                      <w:szCs w:val="21"/>
                      <w:lang w:val="en-US" w:eastAsia="zh-CN" w:bidi="ar-SA"/>
                    </w:rPr>
                  </w:pPr>
                  <w:r>
                    <w:rPr>
                      <w:rFonts w:hint="eastAsia" w:ascii="Times New Roman" w:hAnsi="Times New Roman" w:eastAsia="宋体" w:cs="Times New Roman"/>
                      <w:b/>
                      <w:bCs/>
                      <w:kern w:val="0"/>
                      <w:sz w:val="21"/>
                      <w:szCs w:val="21"/>
                      <w:lang w:val="en-US" w:eastAsia="zh-CN" w:bidi="ar-SA"/>
                    </w:rPr>
                    <w:t>投资（万元）</w:t>
                  </w:r>
                </w:p>
              </w:tc>
              <w:tc>
                <w:tcPr>
                  <w:tcW w:w="1394" w:type="pct"/>
                  <w:tcBorders>
                    <w:tl2br w:val="nil"/>
                    <w:tr2bl w:val="nil"/>
                  </w:tcBorders>
                  <w:vAlign w:val="center"/>
                </w:tcPr>
                <w:p w14:paraId="117A9DB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备注</w:t>
                  </w:r>
                </w:p>
              </w:tc>
            </w:tr>
            <w:tr w14:paraId="6C34C3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4" w:type="pct"/>
                  <w:tcBorders>
                    <w:tl2br w:val="nil"/>
                    <w:tr2bl w:val="nil"/>
                  </w:tcBorders>
                  <w:vAlign w:val="center"/>
                </w:tcPr>
                <w:p w14:paraId="6AD7FCC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1</w:t>
                  </w:r>
                </w:p>
              </w:tc>
              <w:tc>
                <w:tcPr>
                  <w:tcW w:w="1587" w:type="pct"/>
                  <w:tcBorders>
                    <w:tl2br w:val="nil"/>
                    <w:tr2bl w:val="nil"/>
                  </w:tcBorders>
                  <w:shd w:val="clear" w:color="auto" w:fill="auto"/>
                  <w:vAlign w:val="center"/>
                </w:tcPr>
                <w:p w14:paraId="66F5D08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集</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气罩</w:t>
                  </w:r>
                  <w:r>
                    <w:rPr>
                      <w:rFonts w:hint="eastAsia" w:cs="Times New Roman"/>
                      <w:color w:val="000000" w:themeColor="text1"/>
                      <w:kern w:val="0"/>
                      <w:sz w:val="21"/>
                      <w:szCs w:val="21"/>
                      <w:lang w:val="en-US" w:eastAsia="zh-CN" w:bidi="ar-SA"/>
                      <w14:textFill>
                        <w14:solidFill>
                          <w14:schemeClr w14:val="tx1"/>
                        </w14:solidFill>
                      </w14:textFill>
                    </w:rPr>
                    <w:t>、集气</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管道+</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二级活性炭吸附装置+配套风机</w:t>
                  </w:r>
                </w:p>
              </w:tc>
              <w:tc>
                <w:tcPr>
                  <w:tcW w:w="666" w:type="pct"/>
                  <w:tcBorders>
                    <w:tl2br w:val="nil"/>
                    <w:tr2bl w:val="nil"/>
                  </w:tcBorders>
                  <w:shd w:val="clear" w:color="auto" w:fill="auto"/>
                  <w:vAlign w:val="center"/>
                </w:tcPr>
                <w:p w14:paraId="619BFF4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1</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套</w:t>
                  </w:r>
                </w:p>
              </w:tc>
              <w:tc>
                <w:tcPr>
                  <w:tcW w:w="877" w:type="pct"/>
                  <w:tcBorders>
                    <w:tl2br w:val="nil"/>
                    <w:tr2bl w:val="nil"/>
                  </w:tcBorders>
                  <w:shd w:val="clear" w:color="auto" w:fill="auto"/>
                  <w:vAlign w:val="center"/>
                </w:tcPr>
                <w:p w14:paraId="322C23D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6</w:t>
                  </w:r>
                </w:p>
              </w:tc>
              <w:tc>
                <w:tcPr>
                  <w:tcW w:w="1394" w:type="pct"/>
                  <w:tcBorders>
                    <w:tl2br w:val="nil"/>
                    <w:tr2bl w:val="nil"/>
                  </w:tcBorders>
                  <w:shd w:val="clear" w:color="auto" w:fill="auto"/>
                  <w:vAlign w:val="center"/>
                </w:tcPr>
                <w:p w14:paraId="1B91B09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用于收集、处理生产过程中产生的废气</w:t>
                  </w:r>
                </w:p>
              </w:tc>
            </w:tr>
            <w:tr w14:paraId="0C2477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4" w:type="pct"/>
                  <w:tcBorders>
                    <w:tl2br w:val="nil"/>
                    <w:tr2bl w:val="nil"/>
                  </w:tcBorders>
                  <w:vAlign w:val="center"/>
                </w:tcPr>
                <w:p w14:paraId="3B0C169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2</w:t>
                  </w:r>
                </w:p>
              </w:tc>
              <w:tc>
                <w:tcPr>
                  <w:tcW w:w="1587" w:type="pct"/>
                  <w:tcBorders>
                    <w:tl2br w:val="nil"/>
                    <w:tr2bl w:val="nil"/>
                  </w:tcBorders>
                  <w:shd w:val="clear" w:color="auto" w:fill="auto"/>
                  <w:vAlign w:val="center"/>
                </w:tcPr>
                <w:p w14:paraId="774F0D3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设备</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基础减振</w:t>
                  </w:r>
                </w:p>
              </w:tc>
              <w:tc>
                <w:tcPr>
                  <w:tcW w:w="666" w:type="pct"/>
                  <w:tcBorders>
                    <w:tl2br w:val="nil"/>
                    <w:tr2bl w:val="nil"/>
                  </w:tcBorders>
                  <w:shd w:val="clear" w:color="auto" w:fill="auto"/>
                  <w:vAlign w:val="center"/>
                </w:tcPr>
                <w:p w14:paraId="391797E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w:t>
                  </w:r>
                </w:p>
              </w:tc>
              <w:tc>
                <w:tcPr>
                  <w:tcW w:w="877" w:type="pct"/>
                  <w:tcBorders>
                    <w:tl2br w:val="nil"/>
                    <w:tr2bl w:val="nil"/>
                  </w:tcBorders>
                  <w:shd w:val="clear" w:color="auto" w:fill="auto"/>
                  <w:vAlign w:val="center"/>
                </w:tcPr>
                <w:p w14:paraId="2966503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1</w:t>
                  </w:r>
                </w:p>
              </w:tc>
              <w:tc>
                <w:tcPr>
                  <w:tcW w:w="1394" w:type="pct"/>
                  <w:tcBorders>
                    <w:tl2br w:val="nil"/>
                    <w:tr2bl w:val="nil"/>
                  </w:tcBorders>
                  <w:shd w:val="clear" w:color="auto" w:fill="auto"/>
                  <w:vAlign w:val="center"/>
                </w:tcPr>
                <w:p w14:paraId="41CEA1B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用于降低噪声</w:t>
                  </w:r>
                </w:p>
              </w:tc>
            </w:tr>
            <w:tr w14:paraId="3EF439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4" w:type="pct"/>
                  <w:tcBorders>
                    <w:tl2br w:val="nil"/>
                    <w:tr2bl w:val="nil"/>
                  </w:tcBorders>
                  <w:vAlign w:val="center"/>
                </w:tcPr>
                <w:p w14:paraId="141812D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3</w:t>
                  </w:r>
                </w:p>
              </w:tc>
              <w:tc>
                <w:tcPr>
                  <w:tcW w:w="1587" w:type="pct"/>
                  <w:tcBorders>
                    <w:tl2br w:val="nil"/>
                    <w:tr2bl w:val="nil"/>
                  </w:tcBorders>
                  <w:shd w:val="clear" w:color="auto" w:fill="auto"/>
                  <w:vAlign w:val="center"/>
                </w:tcPr>
                <w:p w14:paraId="1880791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一般固废间</w:t>
                  </w:r>
                </w:p>
              </w:tc>
              <w:tc>
                <w:tcPr>
                  <w:tcW w:w="666" w:type="pct"/>
                  <w:tcBorders>
                    <w:tl2br w:val="nil"/>
                    <w:tr2bl w:val="nil"/>
                  </w:tcBorders>
                  <w:shd w:val="clear" w:color="auto" w:fill="auto"/>
                  <w:vAlign w:val="center"/>
                </w:tcPr>
                <w:p w14:paraId="45E4544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w:t>
                  </w:r>
                </w:p>
              </w:tc>
              <w:tc>
                <w:tcPr>
                  <w:tcW w:w="877" w:type="pct"/>
                  <w:tcBorders>
                    <w:tl2br w:val="nil"/>
                    <w:tr2bl w:val="nil"/>
                  </w:tcBorders>
                  <w:shd w:val="clear" w:color="auto" w:fill="auto"/>
                  <w:vAlign w:val="center"/>
                </w:tcPr>
                <w:p w14:paraId="2B1FAC5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1</w:t>
                  </w:r>
                </w:p>
              </w:tc>
              <w:tc>
                <w:tcPr>
                  <w:tcW w:w="1394" w:type="pct"/>
                  <w:tcBorders>
                    <w:tl2br w:val="nil"/>
                    <w:tr2bl w:val="nil"/>
                  </w:tcBorders>
                  <w:shd w:val="clear" w:color="auto" w:fill="auto"/>
                  <w:vAlign w:val="center"/>
                </w:tcPr>
                <w:p w14:paraId="0973E12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用</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于存放一般固废</w:t>
                  </w:r>
                </w:p>
              </w:tc>
            </w:tr>
            <w:tr w14:paraId="4EDC6C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4" w:type="pct"/>
                  <w:tcBorders>
                    <w:tl2br w:val="nil"/>
                    <w:tr2bl w:val="nil"/>
                  </w:tcBorders>
                  <w:vAlign w:val="center"/>
                </w:tcPr>
                <w:p w14:paraId="4EF667C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4</w:t>
                  </w:r>
                </w:p>
              </w:tc>
              <w:tc>
                <w:tcPr>
                  <w:tcW w:w="1587" w:type="pct"/>
                  <w:tcBorders>
                    <w:tl2br w:val="nil"/>
                    <w:tr2bl w:val="nil"/>
                  </w:tcBorders>
                  <w:shd w:val="clear" w:color="auto" w:fill="auto"/>
                  <w:vAlign w:val="center"/>
                </w:tcPr>
                <w:p w14:paraId="6E48F29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危废间</w:t>
                  </w:r>
                </w:p>
              </w:tc>
              <w:tc>
                <w:tcPr>
                  <w:tcW w:w="666" w:type="pct"/>
                  <w:tcBorders>
                    <w:tl2br w:val="nil"/>
                    <w:tr2bl w:val="nil"/>
                  </w:tcBorders>
                  <w:shd w:val="clear" w:color="auto" w:fill="auto"/>
                  <w:vAlign w:val="center"/>
                </w:tcPr>
                <w:p w14:paraId="4928798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w:t>
                  </w:r>
                </w:p>
              </w:tc>
              <w:tc>
                <w:tcPr>
                  <w:tcW w:w="877" w:type="pct"/>
                  <w:tcBorders>
                    <w:tl2br w:val="nil"/>
                    <w:tr2bl w:val="nil"/>
                  </w:tcBorders>
                  <w:shd w:val="clear" w:color="auto" w:fill="auto"/>
                  <w:vAlign w:val="center"/>
                </w:tcPr>
                <w:p w14:paraId="15392A6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1</w:t>
                  </w:r>
                </w:p>
              </w:tc>
              <w:tc>
                <w:tcPr>
                  <w:tcW w:w="1394" w:type="pct"/>
                  <w:tcBorders>
                    <w:tl2br w:val="nil"/>
                    <w:tr2bl w:val="nil"/>
                  </w:tcBorders>
                  <w:shd w:val="clear" w:color="auto" w:fill="auto"/>
                  <w:vAlign w:val="center"/>
                </w:tcPr>
                <w:p w14:paraId="7F263AE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用</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于存放危险废物</w:t>
                  </w:r>
                </w:p>
              </w:tc>
            </w:tr>
            <w:tr w14:paraId="54D637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4" w:type="pct"/>
                  <w:tcBorders>
                    <w:tl2br w:val="nil"/>
                    <w:tr2bl w:val="nil"/>
                  </w:tcBorders>
                  <w:vAlign w:val="center"/>
                </w:tcPr>
                <w:p w14:paraId="72C452D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5</w:t>
                  </w:r>
                </w:p>
              </w:tc>
              <w:tc>
                <w:tcPr>
                  <w:tcW w:w="1587" w:type="pct"/>
                  <w:tcBorders>
                    <w:tl2br w:val="nil"/>
                    <w:tr2bl w:val="nil"/>
                  </w:tcBorders>
                  <w:shd w:val="clear" w:color="auto" w:fill="auto"/>
                  <w:vAlign w:val="center"/>
                </w:tcPr>
                <w:p w14:paraId="17A3290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风险防范设施</w:t>
                  </w:r>
                </w:p>
              </w:tc>
              <w:tc>
                <w:tcPr>
                  <w:tcW w:w="666" w:type="pct"/>
                  <w:tcBorders>
                    <w:tl2br w:val="nil"/>
                    <w:tr2bl w:val="nil"/>
                  </w:tcBorders>
                  <w:shd w:val="clear" w:color="auto" w:fill="auto"/>
                  <w:vAlign w:val="center"/>
                </w:tcPr>
                <w:p w14:paraId="07DE644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w:t>
                  </w:r>
                </w:p>
              </w:tc>
              <w:tc>
                <w:tcPr>
                  <w:tcW w:w="877" w:type="pct"/>
                  <w:tcBorders>
                    <w:tl2br w:val="nil"/>
                    <w:tr2bl w:val="nil"/>
                  </w:tcBorders>
                  <w:shd w:val="clear" w:color="auto" w:fill="auto"/>
                  <w:vAlign w:val="center"/>
                </w:tcPr>
                <w:p w14:paraId="6481D1E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1</w:t>
                  </w:r>
                </w:p>
              </w:tc>
              <w:tc>
                <w:tcPr>
                  <w:tcW w:w="1394" w:type="pct"/>
                  <w:tcBorders>
                    <w:tl2br w:val="nil"/>
                    <w:tr2bl w:val="nil"/>
                  </w:tcBorders>
                  <w:shd w:val="clear" w:color="auto" w:fill="auto"/>
                  <w:vAlign w:val="center"/>
                </w:tcPr>
                <w:p w14:paraId="50C4C2D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kern w:val="0"/>
                      <w:sz w:val="21"/>
                      <w:szCs w:val="21"/>
                      <w:lang w:val="en-US" w:eastAsia="zh-CN" w:bidi="ar-SA"/>
                      <w14:textFill>
                        <w14:solidFill>
                          <w14:schemeClr w14:val="tx1"/>
                        </w14:solidFill>
                      </w14:textFill>
                    </w:rPr>
                    <w:t>灭火器、沙袋等风险防范设施</w:t>
                  </w:r>
                </w:p>
              </w:tc>
            </w:tr>
            <w:tr w14:paraId="491AAB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61" w:type="pct"/>
                  <w:gridSpan w:val="2"/>
                  <w:tcBorders>
                    <w:tl2br w:val="nil"/>
                    <w:tr2bl w:val="nil"/>
                  </w:tcBorders>
                  <w:vAlign w:val="center"/>
                </w:tcPr>
                <w:p w14:paraId="1D7CC74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合计</w:t>
                  </w:r>
                </w:p>
              </w:tc>
              <w:tc>
                <w:tcPr>
                  <w:tcW w:w="666" w:type="pct"/>
                  <w:tcBorders>
                    <w:tl2br w:val="nil"/>
                    <w:tr2bl w:val="nil"/>
                  </w:tcBorders>
                  <w:shd w:val="clear" w:color="auto" w:fill="auto"/>
                  <w:vAlign w:val="center"/>
                </w:tcPr>
                <w:p w14:paraId="1E43399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w:t>
                  </w:r>
                </w:p>
              </w:tc>
              <w:tc>
                <w:tcPr>
                  <w:tcW w:w="877" w:type="pct"/>
                  <w:tcBorders>
                    <w:tl2br w:val="nil"/>
                    <w:tr2bl w:val="nil"/>
                  </w:tcBorders>
                  <w:shd w:val="clear" w:color="auto" w:fill="auto"/>
                  <w:vAlign w:val="center"/>
                </w:tcPr>
                <w:p w14:paraId="75393B5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10</w:t>
                  </w:r>
                </w:p>
              </w:tc>
              <w:tc>
                <w:tcPr>
                  <w:tcW w:w="1394" w:type="pct"/>
                  <w:tcBorders>
                    <w:tl2br w:val="nil"/>
                    <w:tr2bl w:val="nil"/>
                  </w:tcBorders>
                  <w:shd w:val="clear" w:color="auto" w:fill="auto"/>
                  <w:vAlign w:val="center"/>
                </w:tcPr>
                <w:p w14:paraId="7DBF8D0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SA"/>
                    </w:rPr>
                  </w:pPr>
                  <w:r>
                    <w:rPr>
                      <w:rFonts w:hint="eastAsia" w:cs="Times New Roman"/>
                      <w:kern w:val="0"/>
                      <w:sz w:val="21"/>
                      <w:szCs w:val="21"/>
                      <w:lang w:val="en-US" w:eastAsia="zh-CN" w:bidi="ar-SA"/>
                    </w:rPr>
                    <w:t>/</w:t>
                  </w:r>
                </w:p>
              </w:tc>
            </w:tr>
          </w:tbl>
          <w:p w14:paraId="449DEF9F">
            <w:pPr>
              <w:keepNext/>
              <w:keepLines/>
              <w:adjustRightInd w:val="0"/>
              <w:snapToGrid w:val="0"/>
              <w:spacing w:line="360" w:lineRule="auto"/>
              <w:ind w:firstLine="480" w:firstLineChars="200"/>
              <w:outlineLvl w:val="2"/>
              <w:rPr>
                <w:rFonts w:hint="default" w:ascii="Times New Roman" w:hAnsi="Times New Roman" w:eastAsia="宋体" w:cs="Times New Roman"/>
                <w:color w:val="000000" w:themeColor="text1"/>
                <w:sz w:val="24"/>
                <w14:textFill>
                  <w14:solidFill>
                    <w14:schemeClr w14:val="tx1"/>
                  </w14:solidFill>
                </w14:textFill>
              </w:rPr>
            </w:pPr>
          </w:p>
        </w:tc>
      </w:tr>
      <w:tr w14:paraId="5BC96B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4" w:hRule="atLeast"/>
          <w:jc w:val="center"/>
        </w:trPr>
        <w:tc>
          <w:tcPr>
            <w:tcW w:w="324" w:type="pct"/>
            <w:vAlign w:val="center"/>
          </w:tcPr>
          <w:p w14:paraId="4D98322F">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工艺流程和产排污环节</w:t>
            </w:r>
          </w:p>
        </w:tc>
        <w:tc>
          <w:tcPr>
            <w:tcW w:w="4675" w:type="pct"/>
            <w:vAlign w:val="center"/>
          </w:tcPr>
          <w:p w14:paraId="62CA1C40">
            <w:pPr>
              <w:spacing w:line="360" w:lineRule="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一、施工期</w:t>
            </w:r>
          </w:p>
          <w:p w14:paraId="28EBED80">
            <w:pPr>
              <w:snapToGrid w:val="0"/>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1</w:t>
            </w:r>
            <w:r>
              <w:rPr>
                <w:rFonts w:hint="default" w:ascii="Times New Roman" w:hAnsi="Times New Roman" w:eastAsia="宋体" w:cs="Times New Roman"/>
                <w:color w:val="000000" w:themeColor="text1"/>
                <w:sz w:val="24"/>
                <w14:textFill>
                  <w14:solidFill>
                    <w14:schemeClr w14:val="tx1"/>
                  </w14:solidFill>
                </w14:textFill>
              </w:rPr>
              <w:t>、施工期主要工艺流程和产排污环节如下图所示。</w:t>
            </w:r>
          </w:p>
          <w:p w14:paraId="7EAAA1A8">
            <w:pPr>
              <w:snapToGrid w:val="0"/>
              <w:spacing w:line="360" w:lineRule="auto"/>
              <w:ind w:firstLine="480" w:firstLineChars="200"/>
              <w:jc w:val="left"/>
              <w:rPr>
                <w:rFonts w:hint="eastAsia"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本项目租赁现有厂房进行建设，施工期主要进行设备的安装与调试，施工期的影响很小。施工过程中污染因素主要有：</w:t>
            </w:r>
            <w:r>
              <w:rPr>
                <w:rFonts w:hint="eastAsia" w:cs="Times New Roman"/>
                <w:color w:val="000000" w:themeColor="text1"/>
                <w:sz w:val="24"/>
                <w:lang w:val="en-US" w:eastAsia="zh-CN"/>
                <w14:textFill>
                  <w14:solidFill>
                    <w14:schemeClr w14:val="tx1"/>
                  </w14:solidFill>
                </w14:textFill>
              </w:rPr>
              <w:t>施工及设备安装产生的粉尘、</w:t>
            </w:r>
            <w:r>
              <w:rPr>
                <w:rFonts w:hint="default" w:ascii="Times New Roman" w:hAnsi="Times New Roman" w:eastAsia="宋体" w:cs="Times New Roman"/>
                <w:color w:val="000000" w:themeColor="text1"/>
                <w:sz w:val="24"/>
                <w14:textFill>
                  <w14:solidFill>
                    <w14:schemeClr w14:val="tx1"/>
                  </w14:solidFill>
                </w14:textFill>
              </w:rPr>
              <w:t>机械噪声、施工废水、建筑垃圾</w:t>
            </w:r>
            <w:r>
              <w:rPr>
                <w:rFonts w:hint="eastAsia" w:cs="Times New Roman"/>
                <w:color w:val="000000" w:themeColor="text1"/>
                <w:sz w:val="24"/>
                <w:lang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施工人员生活污水</w:t>
            </w:r>
            <w:r>
              <w:rPr>
                <w:rFonts w:hint="default" w:ascii="Times New Roman" w:hAnsi="Times New Roman" w:eastAsia="宋体" w:cs="Times New Roman"/>
                <w:color w:val="000000" w:themeColor="text1"/>
                <w:sz w:val="24"/>
                <w14:textFill>
                  <w14:solidFill>
                    <w14:schemeClr w14:val="tx1"/>
                  </w14:solidFill>
                </w14:textFill>
              </w:rPr>
              <w:t>等</w:t>
            </w:r>
            <w:r>
              <w:rPr>
                <w:rFonts w:hint="eastAsia" w:cs="Times New Roman"/>
                <w:color w:val="000000" w:themeColor="text1"/>
                <w:sz w:val="24"/>
                <w:lang w:eastAsia="zh-CN"/>
                <w14:textFill>
                  <w14:solidFill>
                    <w14:schemeClr w14:val="tx1"/>
                  </w14:solidFill>
                </w14:textFill>
              </w:rPr>
              <w:t>。</w:t>
            </w:r>
          </w:p>
          <w:p w14:paraId="15993B1F">
            <w:pPr>
              <w:pStyle w:val="37"/>
              <w:ind w:left="0" w:leftChars="0" w:firstLine="0" w:firstLineChars="0"/>
              <w:jc w:val="center"/>
              <w:rPr>
                <w:rFonts w:hint="eastAsia" w:cs="Times New Roman"/>
                <w:color w:val="0000FF"/>
                <w:sz w:val="24"/>
                <w:lang w:eastAsia="zh-CN"/>
              </w:rPr>
            </w:pPr>
            <w:r>
              <w:rPr>
                <w:rFonts w:hint="eastAsia" w:cs="Times New Roman"/>
                <w:color w:val="0000FF"/>
                <w:sz w:val="24"/>
                <w:lang w:eastAsia="zh-CN"/>
              </w:rPr>
              <w:object>
                <v:shape id="_x0000_i1025" o:spt="75" type="#_x0000_t75" style="height:113.4pt;width:405pt;" o:ole="t" filled="f" o:preferrelative="t" stroked="f" coordsize="21600,21600">
                  <v:path/>
                  <v:fill on="f" focussize="0,0"/>
                  <v:stroke on="f"/>
                  <v:imagedata r:id="rId22" o:title=""/>
                  <o:lock v:ext="edit" aspectratio="t"/>
                  <w10:wrap type="none"/>
                  <w10:anchorlock/>
                </v:shape>
                <o:OLEObject Type="Embed" ProgID="Visio.Drawing.11" ShapeID="_x0000_i1025" DrawAspect="Content" ObjectID="_1468075725" r:id="rId21">
                  <o:LockedField>false</o:LockedField>
                </o:OLEObject>
              </w:object>
            </w:r>
          </w:p>
          <w:p w14:paraId="6329BD25">
            <w:pPr>
              <w:pStyle w:val="37"/>
              <w:ind w:left="0" w:leftChars="0" w:firstLine="0" w:firstLineChars="0"/>
              <w:jc w:val="center"/>
              <w:rPr>
                <w:rFonts w:hint="eastAsia"/>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图2</w:t>
            </w:r>
            <w:r>
              <w:rPr>
                <w:rFonts w:hint="eastAsia"/>
                <w:b/>
                <w:bCs/>
                <w:color w:val="000000" w:themeColor="text1"/>
                <w:lang w:val="en-US" w:eastAsia="zh-CN"/>
                <w14:textFill>
                  <w14:solidFill>
                    <w14:schemeClr w14:val="tx1"/>
                  </w14:solidFill>
                </w14:textFill>
              </w:rPr>
              <w:t>-2</w:t>
            </w:r>
            <w:r>
              <w:rPr>
                <w:rFonts w:hint="eastAsia"/>
                <w:b/>
                <w:bCs/>
                <w:color w:val="000000" w:themeColor="text1"/>
                <w:lang w:eastAsia="zh-CN"/>
                <w14:textFill>
                  <w14:solidFill>
                    <w14:schemeClr w14:val="tx1"/>
                  </w14:solidFill>
                </w14:textFill>
              </w:rPr>
              <w:t>施工期工艺流程及产污环节图</w:t>
            </w:r>
          </w:p>
          <w:p w14:paraId="170C26CA">
            <w:pPr>
              <w:snapToGrid w:val="0"/>
              <w:spacing w:line="360" w:lineRule="auto"/>
              <w:ind w:firstLine="480" w:firstLineChars="200"/>
              <w:jc w:val="left"/>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2、主要产污环节</w:t>
            </w:r>
          </w:p>
          <w:p w14:paraId="4227B843">
            <w:pPr>
              <w:snapToGrid w:val="0"/>
              <w:spacing w:line="360" w:lineRule="auto"/>
              <w:ind w:firstLine="480" w:firstLineChars="200"/>
              <w:jc w:val="left"/>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（1）施工废气主要</w:t>
            </w:r>
            <w:r>
              <w:rPr>
                <w:rFonts w:hint="eastAsia" w:ascii="Times New Roman" w:hAnsi="Times New Roman" w:eastAsia="宋体" w:cs="Times New Roman"/>
                <w:color w:val="000000" w:themeColor="text1"/>
                <w:sz w:val="24"/>
                <w:lang w:val="en-US" w:eastAsia="zh-CN"/>
                <w14:textFill>
                  <w14:solidFill>
                    <w14:schemeClr w14:val="tx1"/>
                  </w14:solidFill>
                </w14:textFill>
              </w:rPr>
              <w:t>为地面墙面钻孔打眼、设备焊接安装产生的粉尘</w:t>
            </w:r>
            <w:r>
              <w:rPr>
                <w:rFonts w:hint="eastAsia" w:ascii="Times New Roman" w:hAnsi="Times New Roman" w:eastAsia="宋体" w:cs="Times New Roman"/>
                <w:color w:val="000000" w:themeColor="text1"/>
                <w:sz w:val="24"/>
                <w:lang w:eastAsia="zh-CN"/>
                <w14:textFill>
                  <w14:solidFill>
                    <w14:schemeClr w14:val="tx1"/>
                  </w14:solidFill>
                </w14:textFill>
              </w:rPr>
              <w:t>。</w:t>
            </w:r>
          </w:p>
          <w:p w14:paraId="4D047072">
            <w:pPr>
              <w:snapToGrid w:val="0"/>
              <w:spacing w:line="360" w:lineRule="auto"/>
              <w:ind w:firstLine="480" w:firstLineChars="200"/>
              <w:jc w:val="left"/>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（2）项目施工期废水主要包括施工废水和</w:t>
            </w:r>
            <w:r>
              <w:rPr>
                <w:rFonts w:hint="eastAsia" w:ascii="Times New Roman" w:hAnsi="Times New Roman" w:eastAsia="宋体" w:cs="Times New Roman"/>
                <w:color w:val="000000" w:themeColor="text1"/>
                <w:sz w:val="24"/>
                <w:lang w:val="en-US" w:eastAsia="zh-CN"/>
                <w14:textFill>
                  <w14:solidFill>
                    <w14:schemeClr w14:val="tx1"/>
                  </w14:solidFill>
                </w14:textFill>
              </w:rPr>
              <w:t>设备安装</w:t>
            </w:r>
            <w:r>
              <w:rPr>
                <w:rFonts w:hint="eastAsia" w:ascii="Times New Roman" w:hAnsi="Times New Roman" w:eastAsia="宋体" w:cs="Times New Roman"/>
                <w:color w:val="000000" w:themeColor="text1"/>
                <w:sz w:val="24"/>
                <w:lang w:eastAsia="zh-CN"/>
                <w14:textFill>
                  <w14:solidFill>
                    <w14:schemeClr w14:val="tx1"/>
                  </w14:solidFill>
                </w14:textFill>
              </w:rPr>
              <w:t>工人</w:t>
            </w:r>
            <w:r>
              <w:rPr>
                <w:rFonts w:hint="eastAsia" w:ascii="Times New Roman" w:hAnsi="Times New Roman" w:eastAsia="宋体" w:cs="Times New Roman"/>
                <w:color w:val="000000" w:themeColor="text1"/>
                <w:sz w:val="24"/>
                <w:lang w:val="en-US" w:eastAsia="zh-CN"/>
                <w14:textFill>
                  <w14:solidFill>
                    <w14:schemeClr w14:val="tx1"/>
                  </w14:solidFill>
                </w14:textFill>
              </w:rPr>
              <w:t>产生的</w:t>
            </w:r>
            <w:r>
              <w:rPr>
                <w:rFonts w:hint="eastAsia" w:ascii="Times New Roman" w:hAnsi="Times New Roman" w:eastAsia="宋体" w:cs="Times New Roman"/>
                <w:color w:val="000000" w:themeColor="text1"/>
                <w:sz w:val="24"/>
                <w:lang w:eastAsia="zh-CN"/>
                <w14:textFill>
                  <w14:solidFill>
                    <w14:schemeClr w14:val="tx1"/>
                  </w14:solidFill>
                </w14:textFill>
              </w:rPr>
              <w:t>生活污水。</w:t>
            </w:r>
          </w:p>
          <w:p w14:paraId="027772C6">
            <w:pPr>
              <w:snapToGrid w:val="0"/>
              <w:spacing w:line="360" w:lineRule="auto"/>
              <w:ind w:firstLine="480" w:firstLineChars="200"/>
              <w:jc w:val="left"/>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（3）施工期噪声主要为</w:t>
            </w:r>
            <w:r>
              <w:rPr>
                <w:rFonts w:hint="eastAsia" w:ascii="Times New Roman" w:hAnsi="Times New Roman" w:eastAsia="宋体" w:cs="Times New Roman"/>
                <w:color w:val="000000" w:themeColor="text1"/>
                <w:sz w:val="24"/>
                <w:lang w:val="en-US" w:eastAsia="zh-CN"/>
                <w14:textFill>
                  <w14:solidFill>
                    <w14:schemeClr w14:val="tx1"/>
                  </w14:solidFill>
                </w14:textFill>
              </w:rPr>
              <w:t>设备安装</w:t>
            </w:r>
            <w:r>
              <w:rPr>
                <w:rFonts w:hint="eastAsia" w:ascii="Times New Roman" w:hAnsi="Times New Roman" w:eastAsia="宋体" w:cs="Times New Roman"/>
                <w:color w:val="000000" w:themeColor="text1"/>
                <w:sz w:val="24"/>
                <w:lang w:eastAsia="zh-CN"/>
                <w14:textFill>
                  <w14:solidFill>
                    <w14:schemeClr w14:val="tx1"/>
                  </w14:solidFill>
                </w14:textFill>
              </w:rPr>
              <w:t>产生的机械噪声。</w:t>
            </w:r>
          </w:p>
          <w:p w14:paraId="1081D933">
            <w:pPr>
              <w:snapToGrid w:val="0"/>
              <w:spacing w:line="360" w:lineRule="auto"/>
              <w:ind w:firstLine="480" w:firstLineChars="200"/>
              <w:jc w:val="left"/>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（4）</w:t>
            </w:r>
            <w:r>
              <w:rPr>
                <w:rFonts w:hint="eastAsia" w:ascii="Times New Roman" w:hAnsi="Times New Roman" w:eastAsia="宋体" w:cs="Times New Roman"/>
                <w:color w:val="000000" w:themeColor="text1"/>
                <w:sz w:val="24"/>
                <w:lang w:val="en-US" w:eastAsia="zh-CN"/>
                <w14:textFill>
                  <w14:solidFill>
                    <w14:schemeClr w14:val="tx1"/>
                  </w14:solidFill>
                </w14:textFill>
              </w:rPr>
              <w:t>施工期产生的固体废物主要为建筑废料及生活垃圾。</w:t>
            </w:r>
          </w:p>
          <w:p w14:paraId="7308A523">
            <w:pPr>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二、运营期</w:t>
            </w:r>
          </w:p>
          <w:p w14:paraId="2DB41A57">
            <w:pPr>
              <w:adjustRightInd w:val="0"/>
              <w:snapToGrid w:val="0"/>
              <w:spacing w:line="360" w:lineRule="auto"/>
              <w:ind w:left="420" w:left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1、工艺流程</w:t>
            </w:r>
          </w:p>
          <w:p w14:paraId="7163415C">
            <w:pPr>
              <w:spacing w:line="360" w:lineRule="auto"/>
              <w:jc w:val="center"/>
              <w:rPr>
                <w:rFonts w:hint="default" w:ascii="Times New Roman" w:hAnsi="Times New Roman" w:eastAsia="宋体" w:cs="Times New Roman"/>
                <w:color w:val="000000" w:themeColor="text1"/>
                <w14:textFill>
                  <w14:solidFill>
                    <w14:schemeClr w14:val="tx1"/>
                  </w14:solidFill>
                </w14:textFill>
              </w:rPr>
            </w:pPr>
            <w:r>
              <w:drawing>
                <wp:inline distT="0" distB="0" distL="114300" distR="114300">
                  <wp:extent cx="6480175" cy="2375535"/>
                  <wp:effectExtent l="0" t="0" r="15875" b="5715"/>
                  <wp:docPr id="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
                          <pic:cNvPicPr>
                            <a:picLocks noChangeAspect="1"/>
                          </pic:cNvPicPr>
                        </pic:nvPicPr>
                        <pic:blipFill>
                          <a:blip r:embed="rId23"/>
                          <a:stretch>
                            <a:fillRect/>
                          </a:stretch>
                        </pic:blipFill>
                        <pic:spPr>
                          <a:xfrm>
                            <a:off x="0" y="0"/>
                            <a:ext cx="6480175" cy="2375535"/>
                          </a:xfrm>
                          <a:prstGeom prst="rect">
                            <a:avLst/>
                          </a:prstGeom>
                          <a:noFill/>
                          <a:ln>
                            <a:noFill/>
                          </a:ln>
                        </pic:spPr>
                      </pic:pic>
                    </a:graphicData>
                  </a:graphic>
                </wp:inline>
              </w:drawing>
            </w:r>
          </w:p>
          <w:p w14:paraId="07CF6AC0">
            <w:pPr>
              <w:spacing w:line="360" w:lineRule="auto"/>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图2-</w:t>
            </w:r>
            <w:r>
              <w:rPr>
                <w:rFonts w:hint="eastAsia" w:cs="Times New Roman"/>
                <w:b/>
                <w:color w:val="000000" w:themeColor="text1"/>
                <w:szCs w:val="21"/>
                <w:lang w:val="en-US" w:eastAsia="zh-CN"/>
                <w14:textFill>
                  <w14:solidFill>
                    <w14:schemeClr w14:val="tx1"/>
                  </w14:solidFill>
                </w14:textFill>
              </w:rPr>
              <w:t>3</w:t>
            </w:r>
            <w:r>
              <w:rPr>
                <w:rFonts w:hint="default" w:ascii="Times New Roman" w:hAnsi="Times New Roman" w:eastAsia="宋体" w:cs="Times New Roman"/>
                <w:b/>
                <w:color w:val="000000" w:themeColor="text1"/>
                <w:szCs w:val="21"/>
                <w14:textFill>
                  <w14:solidFill>
                    <w14:schemeClr w14:val="tx1"/>
                  </w14:solidFill>
                </w14:textFill>
              </w:rPr>
              <w:t>本项目工艺流程及产污环节图</w:t>
            </w:r>
          </w:p>
          <w:p w14:paraId="6FE10D6B">
            <w:pPr>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项目生产车间安置1条生产线，设备布置按照工艺流程走向布置，顺延物料走向，便于物料输送。</w:t>
            </w:r>
            <w:r>
              <w:rPr>
                <w:rFonts w:hint="eastAsia" w:cs="Times New Roman"/>
                <w:color w:val="000000" w:themeColor="text1"/>
                <w:sz w:val="24"/>
                <w:lang w:val="en-US" w:eastAsia="zh-CN"/>
                <w14:textFill>
                  <w14:solidFill>
                    <w14:schemeClr w14:val="tx1"/>
                  </w14:solidFill>
                </w14:textFill>
              </w:rPr>
              <w:t>生产工艺流程如下：</w:t>
            </w:r>
          </w:p>
          <w:p w14:paraId="4DDC909E">
            <w:pPr>
              <w:spacing w:line="360" w:lineRule="auto"/>
              <w:ind w:firstLine="480" w:firstLineChars="200"/>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（1）投料：项目采用气力密闭管道输送（储气罐供气）将聚乙烯蜡和费托</w:t>
            </w:r>
            <w:r>
              <w:rPr>
                <w:rFonts w:hint="eastAsia" w:ascii="Times New Roman" w:hAnsi="Times New Roman" w:eastAsia="宋体" w:cs="Times New Roman"/>
                <w:color w:val="000000" w:themeColor="text1"/>
                <w:sz w:val="24"/>
                <w:lang w:val="en-US" w:eastAsia="zh-CN"/>
                <w14:textFill>
                  <w14:solidFill>
                    <w14:schemeClr w14:val="tx1"/>
                  </w14:solidFill>
                </w14:textFill>
              </w:rPr>
              <w:t>蜡加入到加热罐内，项目使用的原材料均为</w:t>
            </w:r>
            <w:r>
              <w:rPr>
                <w:rFonts w:hint="eastAsia" w:cs="Times New Roman"/>
                <w:color w:val="000000" w:themeColor="text1"/>
                <w:sz w:val="24"/>
                <w:lang w:val="en-US" w:eastAsia="zh-CN"/>
                <w14:textFill>
                  <w14:solidFill>
                    <w14:schemeClr w14:val="tx1"/>
                  </w14:solidFill>
                </w14:textFill>
              </w:rPr>
              <w:t>片状</w:t>
            </w:r>
            <w:r>
              <w:rPr>
                <w:rFonts w:hint="eastAsia" w:ascii="Times New Roman" w:hAnsi="Times New Roman" w:eastAsia="宋体" w:cs="Times New Roman"/>
                <w:color w:val="000000" w:themeColor="text1"/>
                <w:sz w:val="24"/>
                <w:lang w:val="en-US" w:eastAsia="zh-CN"/>
                <w14:textFill>
                  <w14:solidFill>
                    <w14:schemeClr w14:val="tx1"/>
                  </w14:solidFill>
                </w14:textFill>
              </w:rPr>
              <w:t>，粒径较大，在3mm~5mm之间，投料过程无粉尘产生。</w:t>
            </w:r>
          </w:p>
          <w:p w14:paraId="17249BB1">
            <w:pPr>
              <w:spacing w:line="360" w:lineRule="auto"/>
              <w:ind w:firstLine="480" w:firstLineChars="200"/>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（2）加热熔融、搅拌混合：物料通过电加热导热油炉提供的热源间接加热，热熔温度控制在160℃左右，热熔成粘流状，加热过程同时进行搅拌，搅拌时间约0.5h，使固体的</w:t>
            </w:r>
            <w:r>
              <w:rPr>
                <w:rFonts w:hint="eastAsia" w:ascii="Times New Roman" w:hAnsi="Times New Roman" w:eastAsia="宋体" w:cs="Times New Roman"/>
                <w:color w:val="000000" w:themeColor="text1"/>
                <w:sz w:val="24"/>
                <w:lang w:val="en-US" w:eastAsia="zh-CN"/>
                <w14:textFill>
                  <w14:solidFill>
                    <w14:schemeClr w14:val="tx1"/>
                  </w14:solidFill>
                </w14:textFill>
              </w:rPr>
              <w:t>物料（费托蜡、</w:t>
            </w:r>
            <w:r>
              <w:rPr>
                <w:rFonts w:hint="eastAsia" w:cs="Times New Roman"/>
                <w:color w:val="000000" w:themeColor="text1"/>
                <w:sz w:val="24"/>
                <w:lang w:val="en-US" w:eastAsia="zh-CN"/>
                <w14:textFill>
                  <w14:solidFill>
                    <w14:schemeClr w14:val="tx1"/>
                  </w14:solidFill>
                </w14:textFill>
              </w:rPr>
              <w:t>聚乙烯蜡</w:t>
            </w:r>
            <w:r>
              <w:rPr>
                <w:rFonts w:hint="eastAsia" w:ascii="Times New Roman" w:hAnsi="Times New Roman" w:eastAsia="宋体" w:cs="Times New Roman"/>
                <w:color w:val="000000" w:themeColor="text1"/>
                <w:sz w:val="24"/>
                <w:lang w:val="en-US" w:eastAsia="zh-CN"/>
                <w14:textFill>
                  <w14:solidFill>
                    <w14:schemeClr w14:val="tx1"/>
                  </w14:solidFill>
                </w14:textFill>
              </w:rPr>
              <w:t>）变为熔融状态并充分搅拌融合。费托蜡裂解温度为300℃，聚乙烯蜡裂解温度</w:t>
            </w:r>
            <w:r>
              <w:rPr>
                <w:rFonts w:hint="default" w:ascii="Times New Roman" w:hAnsi="Times New Roman" w:eastAsia="宋体" w:cs="Times New Roman"/>
                <w:color w:val="000000" w:themeColor="text1"/>
                <w:sz w:val="24"/>
                <w:lang w:val="en-US" w:eastAsia="zh-CN"/>
                <w14:textFill>
                  <w14:solidFill>
                    <w14:schemeClr w14:val="tx1"/>
                  </w14:solidFill>
                </w14:textFill>
              </w:rPr>
              <w:t>250℃~450℃</w:t>
            </w:r>
            <w:r>
              <w:rPr>
                <w:rFonts w:hint="eastAsia" w:ascii="Times New Roman" w:hAnsi="Times New Roman" w:eastAsia="宋体" w:cs="Times New Roman"/>
                <w:color w:val="000000" w:themeColor="text1"/>
                <w:sz w:val="24"/>
                <w:lang w:val="en-US" w:eastAsia="zh-CN"/>
                <w14:textFill>
                  <w14:solidFill>
                    <w14:schemeClr w14:val="tx1"/>
                  </w14:solidFill>
                </w14:textFill>
              </w:rPr>
              <w:t>，分解温度</w:t>
            </w:r>
            <w:r>
              <w:rPr>
                <w:rFonts w:hint="default" w:ascii="Times New Roman" w:hAnsi="Times New Roman" w:eastAsia="宋体" w:cs="Times New Roman"/>
                <w:color w:val="000000" w:themeColor="text1"/>
                <w:sz w:val="24"/>
                <w:lang w:val="en-US" w:eastAsia="zh-CN"/>
                <w14:textFill>
                  <w14:solidFill>
                    <w14:schemeClr w14:val="tx1"/>
                  </w14:solidFill>
                </w14:textFill>
              </w:rPr>
              <w:t>470℃~550℃</w:t>
            </w:r>
            <w:r>
              <w:rPr>
                <w:rFonts w:hint="eastAsia" w:ascii="Times New Roman" w:hAnsi="Times New Roman" w:eastAsia="宋体" w:cs="Times New Roman"/>
                <w:color w:val="000000" w:themeColor="text1"/>
                <w:sz w:val="24"/>
                <w:lang w:val="en-US" w:eastAsia="zh-CN"/>
                <w14:textFill>
                  <w14:solidFill>
                    <w14:schemeClr w14:val="tx1"/>
                  </w14:solidFill>
                </w14:textFill>
              </w:rPr>
              <w:t>，项目</w:t>
            </w:r>
            <w:r>
              <w:rPr>
                <w:rFonts w:hint="eastAsia" w:cs="Times New Roman"/>
                <w:color w:val="000000" w:themeColor="text1"/>
                <w:sz w:val="24"/>
                <w:lang w:val="en-US" w:eastAsia="zh-CN"/>
                <w14:textFill>
                  <w14:solidFill>
                    <w14:schemeClr w14:val="tx1"/>
                  </w14:solidFill>
                </w14:textFill>
              </w:rPr>
              <w:t>热熔温度控制在160℃左右，低于</w:t>
            </w:r>
            <w:r>
              <w:rPr>
                <w:rFonts w:hint="eastAsia" w:ascii="Times New Roman" w:hAnsi="Times New Roman" w:eastAsia="宋体" w:cs="Times New Roman"/>
                <w:color w:val="000000" w:themeColor="text1"/>
                <w:sz w:val="24"/>
                <w:lang w:val="en-US" w:eastAsia="zh-CN"/>
                <w14:textFill>
                  <w14:solidFill>
                    <w14:schemeClr w14:val="tx1"/>
                  </w14:solidFill>
                </w14:textFill>
              </w:rPr>
              <w:t>费托蜡、聚乙烯蜡的裂解、</w:t>
            </w:r>
            <w:r>
              <w:rPr>
                <w:rFonts w:hint="eastAsia" w:cs="Times New Roman"/>
                <w:color w:val="000000" w:themeColor="text1"/>
                <w:sz w:val="24"/>
                <w:lang w:val="en-US" w:eastAsia="zh-CN"/>
                <w14:textFill>
                  <w14:solidFill>
                    <w14:schemeClr w14:val="tx1"/>
                  </w14:solidFill>
                </w14:textFill>
              </w:rPr>
              <w:t>分解温度，故熔融混合过程仅为物理变化，不涉及化学反应。</w:t>
            </w:r>
          </w:p>
          <w:p w14:paraId="78F6C039">
            <w:pPr>
              <w:spacing w:line="360" w:lineRule="auto"/>
              <w:ind w:firstLine="480" w:firstLineChars="200"/>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（3）制片：搅拌混合后的物料经密闭管道输送至压片机内，经压片机夹层冷却水间接冷却压片成型。</w:t>
            </w:r>
          </w:p>
          <w:p w14:paraId="08FE1DFF">
            <w:pPr>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（4）包装入库：产品装袋后，放入生产车间产品暂存区。</w:t>
            </w:r>
          </w:p>
          <w:p w14:paraId="0E482327">
            <w:pPr>
              <w:spacing w:line="360" w:lineRule="auto"/>
              <w:ind w:left="420" w:left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2、产污环节分析</w:t>
            </w:r>
          </w:p>
          <w:p w14:paraId="007935AF">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（1）废气</w:t>
            </w:r>
          </w:p>
          <w:p w14:paraId="1B23988B">
            <w:pPr>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项目加热熔融、搅拌混合、</w:t>
            </w:r>
            <w:r>
              <w:rPr>
                <w:rFonts w:hint="eastAsia" w:cs="Times New Roman"/>
                <w:color w:val="000000" w:themeColor="text1"/>
                <w:sz w:val="24"/>
                <w:lang w:val="en-US" w:eastAsia="zh-CN"/>
                <w14:textFill>
                  <w14:solidFill>
                    <w14:schemeClr w14:val="tx1"/>
                  </w14:solidFill>
                </w14:textFill>
              </w:rPr>
              <w:t>制片</w:t>
            </w:r>
            <w:r>
              <w:rPr>
                <w:rFonts w:hint="eastAsia" w:ascii="Times New Roman" w:hAnsi="Times New Roman" w:eastAsia="宋体" w:cs="Times New Roman"/>
                <w:color w:val="000000" w:themeColor="text1"/>
                <w:sz w:val="24"/>
                <w:lang w:val="en-US" w:eastAsia="zh-CN"/>
                <w14:textFill>
                  <w14:solidFill>
                    <w14:schemeClr w14:val="tx1"/>
                  </w14:solidFill>
                </w14:textFill>
              </w:rPr>
              <w:t>工序产生的有机废气</w:t>
            </w:r>
            <w:r>
              <w:rPr>
                <w:rFonts w:hint="eastAsia" w:cs="Times New Roman"/>
                <w:color w:val="000000" w:themeColor="text1"/>
                <w:sz w:val="24"/>
                <w:lang w:val="en-US" w:eastAsia="zh-CN"/>
                <w14:textFill>
                  <w14:solidFill>
                    <w14:schemeClr w14:val="tx1"/>
                  </w14:solidFill>
                </w14:textFill>
              </w:rPr>
              <w:t>，经过加热搅拌罐为密闭设备，设置集气管道收集，压片机设置集气罩收集、二级活性炭吸附处理后</w:t>
            </w:r>
            <w:r>
              <w:rPr>
                <w:rFonts w:hint="default" w:ascii="Times New Roman" w:hAnsi="Times New Roman" w:eastAsia="宋体" w:cs="Times New Roman"/>
                <w:color w:val="000000" w:themeColor="text1"/>
                <w:sz w:val="24"/>
                <w:lang w:val="en-US" w:eastAsia="zh-CN"/>
                <w14:textFill>
                  <w14:solidFill>
                    <w14:schemeClr w14:val="tx1"/>
                  </w14:solidFill>
                </w14:textFill>
              </w:rPr>
              <w:t>通过15m高的排气筒DA001排放</w:t>
            </w:r>
            <w:r>
              <w:rPr>
                <w:rFonts w:hint="eastAsia" w:cs="Times New Roman"/>
                <w:color w:val="000000" w:themeColor="text1"/>
                <w:sz w:val="24"/>
                <w:lang w:val="en-US" w:eastAsia="zh-CN"/>
                <w14:textFill>
                  <w14:solidFill>
                    <w14:schemeClr w14:val="tx1"/>
                  </w14:solidFill>
                </w14:textFill>
              </w:rPr>
              <w:t>。</w:t>
            </w:r>
          </w:p>
          <w:p w14:paraId="27C32258">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（2）废水</w:t>
            </w:r>
          </w:p>
          <w:p w14:paraId="323FED21">
            <w:pPr>
              <w:spacing w:line="360" w:lineRule="auto"/>
              <w:ind w:firstLine="480" w:firstLineChars="200"/>
              <w:rPr>
                <w:rFonts w:hint="eastAsia"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w:t>
            </w:r>
            <w:r>
              <w:rPr>
                <w:rFonts w:hint="eastAsia" w:cs="Times New Roman"/>
                <w:color w:val="000000" w:themeColor="text1"/>
                <w:sz w:val="24"/>
                <w:lang w:val="en-US" w:eastAsia="zh-CN"/>
                <w14:textFill>
                  <w14:solidFill>
                    <w14:schemeClr w14:val="tx1"/>
                  </w14:solidFill>
                </w14:textFill>
              </w:rPr>
              <w:t>冷却塔用水</w:t>
            </w:r>
            <w:r>
              <w:rPr>
                <w:rFonts w:hint="eastAsia" w:ascii="Times New Roman" w:hAnsi="Times New Roman" w:eastAsia="宋体" w:cs="Times New Roman"/>
                <w:bCs/>
                <w:color w:val="000000" w:themeColor="text1"/>
                <w:sz w:val="24"/>
                <w:lang w:val="en-US" w:eastAsia="zh-CN"/>
                <w14:textFill>
                  <w14:solidFill>
                    <w14:schemeClr w14:val="tx1"/>
                  </w14:solidFill>
                </w14:textFill>
              </w:rPr>
              <w:t>循环使用，</w:t>
            </w:r>
            <w:r>
              <w:rPr>
                <w:rFonts w:hint="eastAsia" w:cs="Times New Roman"/>
                <w:bCs/>
                <w:color w:val="000000" w:themeColor="text1"/>
                <w:sz w:val="24"/>
                <w:lang w:val="en-US" w:eastAsia="zh-CN"/>
                <w14:textFill>
                  <w14:solidFill>
                    <w14:schemeClr w14:val="tx1"/>
                  </w14:solidFill>
                </w14:textFill>
              </w:rPr>
              <w:t>定期补水，</w:t>
            </w:r>
            <w:r>
              <w:rPr>
                <w:rFonts w:hint="eastAsia" w:ascii="Times New Roman" w:hAnsi="Times New Roman" w:eastAsia="宋体" w:cs="Times New Roman"/>
                <w:bCs/>
                <w:color w:val="000000" w:themeColor="text1"/>
                <w:sz w:val="24"/>
                <w:lang w:val="en-US" w:eastAsia="zh-CN"/>
                <w14:textFill>
                  <w14:solidFill>
                    <w14:schemeClr w14:val="tx1"/>
                  </w14:solidFill>
                </w14:textFill>
              </w:rPr>
              <w:t>不外排</w:t>
            </w:r>
            <w:r>
              <w:rPr>
                <w:rFonts w:hint="eastAsia" w:cs="Times New Roman"/>
                <w:bCs/>
                <w:color w:val="000000" w:themeColor="text1"/>
                <w:sz w:val="24"/>
                <w:lang w:val="en-US"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生活污水经化粪池处理后委托环卫部门定期清运</w:t>
            </w:r>
            <w:r>
              <w:rPr>
                <w:rFonts w:hint="eastAsia" w:cs="Times New Roman"/>
                <w:color w:val="000000" w:themeColor="text1"/>
                <w:sz w:val="24"/>
                <w:lang w:eastAsia="zh-CN"/>
                <w14:textFill>
                  <w14:solidFill>
                    <w14:schemeClr w14:val="tx1"/>
                  </w14:solidFill>
                </w14:textFill>
              </w:rPr>
              <w:t>。</w:t>
            </w:r>
          </w:p>
          <w:p w14:paraId="04094936">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综上，本项目无废水外排</w:t>
            </w:r>
            <w:r>
              <w:rPr>
                <w:rFonts w:hint="default" w:ascii="Times New Roman" w:hAnsi="Times New Roman" w:eastAsia="宋体" w:cs="Times New Roman"/>
                <w:color w:val="000000" w:themeColor="text1"/>
                <w:sz w:val="24"/>
                <w14:textFill>
                  <w14:solidFill>
                    <w14:schemeClr w14:val="tx1"/>
                  </w14:solidFill>
                </w14:textFill>
              </w:rPr>
              <w:t>。</w:t>
            </w:r>
          </w:p>
          <w:p w14:paraId="734A5BC7">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（3）固废</w:t>
            </w:r>
          </w:p>
          <w:p w14:paraId="6AC98125">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固体废物主要包括废包装物、废润滑油</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废油桶、</w:t>
            </w:r>
            <w:r>
              <w:rPr>
                <w:rFonts w:hint="eastAsia" w:ascii="Times New Roman" w:hAnsi="Times New Roman" w:eastAsia="宋体" w:cs="Times New Roman"/>
                <w:color w:val="000000" w:themeColor="text1"/>
                <w:sz w:val="24"/>
                <w:lang w:val="en-US" w:eastAsia="zh-CN"/>
                <w14:textFill>
                  <w14:solidFill>
                    <w14:schemeClr w14:val="tx1"/>
                  </w14:solidFill>
                </w14:textFill>
              </w:rPr>
              <w:t>废活性炭</w:t>
            </w:r>
            <w:r>
              <w:rPr>
                <w:rFonts w:hint="default"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废导热油</w:t>
            </w: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职工生活垃圾。</w:t>
            </w:r>
          </w:p>
          <w:p w14:paraId="06AFE638">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废包装物外售综合</w:t>
            </w:r>
            <w:r>
              <w:rPr>
                <w:rFonts w:hint="default" w:ascii="Times New Roman" w:hAnsi="Times New Roman" w:eastAsia="宋体" w:cs="Times New Roman"/>
                <w:color w:val="000000" w:themeColor="text1"/>
                <w:sz w:val="24"/>
                <w:lang w:eastAsia="zh-CN"/>
                <w14:textFill>
                  <w14:solidFill>
                    <w14:schemeClr w14:val="tx1"/>
                  </w14:solidFill>
                </w14:textFill>
              </w:rPr>
              <w:t>利用；生活垃圾委托环卫部门清运</w:t>
            </w:r>
            <w:r>
              <w:rPr>
                <w:rFonts w:hint="eastAsia" w:ascii="Times New Roman" w:hAnsi="Times New Roman" w:eastAsia="宋体" w:cs="Times New Roman"/>
                <w:color w:val="000000" w:themeColor="text1"/>
                <w:sz w:val="24"/>
                <w:lang w:eastAsia="zh-CN"/>
                <w14:textFill>
                  <w14:solidFill>
                    <w14:schemeClr w14:val="tx1"/>
                  </w14:solidFill>
                </w14:textFill>
              </w:rPr>
              <w:t>；废润滑油、废油桶</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废活性炭、</w:t>
            </w:r>
            <w:r>
              <w:rPr>
                <w:rFonts w:hint="eastAsia" w:ascii="Times New Roman" w:hAnsi="Times New Roman" w:eastAsia="宋体" w:cs="Times New Roman"/>
                <w:color w:val="000000" w:themeColor="text1"/>
                <w:sz w:val="24"/>
                <w:lang w:eastAsia="zh-CN"/>
                <w14:textFill>
                  <w14:solidFill>
                    <w14:schemeClr w14:val="tx1"/>
                  </w14:solidFill>
                </w14:textFill>
              </w:rPr>
              <w:t>废导热油委托</w:t>
            </w:r>
            <w:r>
              <w:rPr>
                <w:rFonts w:hint="eastAsia" w:ascii="Times New Roman" w:hAnsi="Times New Roman" w:eastAsia="宋体" w:cs="Times New Roman"/>
                <w:color w:val="000000" w:themeColor="text1"/>
                <w:sz w:val="24"/>
                <w:lang w:val="en-US" w:eastAsia="zh-CN"/>
                <w14:textFill>
                  <w14:solidFill>
                    <w14:schemeClr w14:val="tx1"/>
                  </w14:solidFill>
                </w14:textFill>
              </w:rPr>
              <w:t>危废</w:t>
            </w:r>
            <w:r>
              <w:rPr>
                <w:rFonts w:hint="eastAsia" w:ascii="Times New Roman" w:hAnsi="Times New Roman" w:eastAsia="宋体" w:cs="Times New Roman"/>
                <w:color w:val="000000" w:themeColor="text1"/>
                <w:sz w:val="24"/>
                <w:lang w:eastAsia="zh-CN"/>
                <w14:textFill>
                  <w14:solidFill>
                    <w14:schemeClr w14:val="tx1"/>
                  </w14:solidFill>
                </w14:textFill>
              </w:rPr>
              <w:t>资质单位处置</w:t>
            </w:r>
            <w:r>
              <w:rPr>
                <w:rFonts w:hint="default" w:ascii="Times New Roman" w:hAnsi="Times New Roman" w:eastAsia="宋体" w:cs="Times New Roman"/>
                <w:color w:val="000000" w:themeColor="text1"/>
                <w:sz w:val="24"/>
                <w:lang w:eastAsia="zh-CN"/>
                <w14:textFill>
                  <w14:solidFill>
                    <w14:schemeClr w14:val="tx1"/>
                  </w14:solidFill>
                </w14:textFill>
              </w:rPr>
              <w:t>。</w:t>
            </w:r>
          </w:p>
          <w:p w14:paraId="251FAED0">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（4）噪声</w:t>
            </w:r>
          </w:p>
          <w:p w14:paraId="4B822B71">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本项目噪声主要来自</w:t>
            </w:r>
            <w:r>
              <w:rPr>
                <w:rFonts w:hint="eastAsia" w:ascii="Times New Roman" w:hAnsi="Times New Roman" w:eastAsia="宋体" w:cs="Times New Roman"/>
                <w:color w:val="000000" w:themeColor="text1"/>
                <w:sz w:val="24"/>
                <w:lang w:val="en-US" w:eastAsia="zh-CN"/>
                <w14:textFill>
                  <w14:solidFill>
                    <w14:schemeClr w14:val="tx1"/>
                  </w14:solidFill>
                </w14:textFill>
              </w:rPr>
              <w:t>热搅拌罐、压片机、冷却塔、空气压缩机、电加热导热油炉</w:t>
            </w:r>
            <w:r>
              <w:rPr>
                <w:rFonts w:hint="default" w:ascii="Times New Roman" w:hAnsi="Times New Roman" w:eastAsia="宋体" w:cs="Times New Roman"/>
                <w:color w:val="000000" w:themeColor="text1"/>
                <w:sz w:val="24"/>
                <w14:textFill>
                  <w14:solidFill>
                    <w14:schemeClr w14:val="tx1"/>
                  </w14:solidFill>
                </w14:textFill>
              </w:rPr>
              <w:t>等设备运行噪声，噪声强度约70～</w:t>
            </w:r>
            <w:r>
              <w:rPr>
                <w:rFonts w:hint="eastAsia" w:ascii="Times New Roman" w:hAnsi="Times New Roman" w:eastAsia="宋体" w:cs="Times New Roman"/>
                <w:color w:val="000000" w:themeColor="text1"/>
                <w:sz w:val="24"/>
                <w:lang w:val="en-US" w:eastAsia="zh-CN"/>
                <w14:textFill>
                  <w14:solidFill>
                    <w14:schemeClr w14:val="tx1"/>
                  </w14:solidFill>
                </w14:textFill>
              </w:rPr>
              <w:t>85</w:t>
            </w:r>
            <w:r>
              <w:rPr>
                <w:rFonts w:hint="default" w:ascii="Times New Roman" w:hAnsi="Times New Roman" w:eastAsia="宋体" w:cs="Times New Roman"/>
                <w:color w:val="000000" w:themeColor="text1"/>
                <w:sz w:val="24"/>
                <w14:textFill>
                  <w14:solidFill>
                    <w14:schemeClr w14:val="tx1"/>
                  </w14:solidFill>
                </w14:textFill>
              </w:rPr>
              <w:t>dB(A)。本项目通过选用低噪声设备，合理布置噪声源位置，安装减振垫，同时项目主要生产设备均位于厂房内，噪声通过厂房墙壁的隔声，可有效降低项目噪声影响。</w:t>
            </w:r>
          </w:p>
          <w:p w14:paraId="75887A99">
            <w:pPr>
              <w:ind w:firstLine="422" w:firstLineChars="20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表2-</w:t>
            </w:r>
            <w:r>
              <w:rPr>
                <w:rFonts w:hint="eastAsia" w:cs="Times New Roman"/>
                <w:b/>
                <w:bCs/>
                <w:color w:val="000000" w:themeColor="text1"/>
                <w:szCs w:val="21"/>
                <w:lang w:val="en-US" w:eastAsia="zh-CN"/>
                <w14:textFill>
                  <w14:solidFill>
                    <w14:schemeClr w14:val="tx1"/>
                  </w14:solidFill>
                </w14:textFill>
              </w:rPr>
              <w:t>7</w:t>
            </w:r>
            <w:r>
              <w:rPr>
                <w:rFonts w:hint="default" w:ascii="Times New Roman" w:hAnsi="Times New Roman" w:eastAsia="宋体" w:cs="Times New Roman"/>
                <w:b/>
                <w:bCs/>
                <w:color w:val="000000" w:themeColor="text1"/>
                <w:szCs w:val="21"/>
                <w14:textFill>
                  <w14:solidFill>
                    <w14:schemeClr w14:val="tx1"/>
                  </w14:solidFill>
                </w14:textFill>
              </w:rPr>
              <w:t>项目生产产污环节分析</w:t>
            </w:r>
          </w:p>
          <w:tbl>
            <w:tblPr>
              <w:tblStyle w:val="1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13"/>
              <w:gridCol w:w="867"/>
              <w:gridCol w:w="1846"/>
              <w:gridCol w:w="1337"/>
              <w:gridCol w:w="2010"/>
              <w:gridCol w:w="3443"/>
            </w:tblGrid>
            <w:tr w14:paraId="34617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349" w:type="pct"/>
                  <w:vAlign w:val="center"/>
                </w:tcPr>
                <w:p w14:paraId="2C68A21B">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类别</w:t>
                  </w:r>
                </w:p>
              </w:tc>
              <w:tc>
                <w:tcPr>
                  <w:tcW w:w="424" w:type="pct"/>
                  <w:vAlign w:val="center"/>
                </w:tcPr>
                <w:p w14:paraId="316F7AC9">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编号</w:t>
                  </w:r>
                </w:p>
              </w:tc>
              <w:tc>
                <w:tcPr>
                  <w:tcW w:w="903" w:type="pct"/>
                  <w:vAlign w:val="center"/>
                </w:tcPr>
                <w:p w14:paraId="41AB27B5">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名称</w:t>
                  </w:r>
                </w:p>
              </w:tc>
              <w:tc>
                <w:tcPr>
                  <w:tcW w:w="654" w:type="pct"/>
                  <w:vAlign w:val="center"/>
                </w:tcPr>
                <w:p w14:paraId="7ED9E9A6">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产生环节</w:t>
                  </w:r>
                </w:p>
              </w:tc>
              <w:tc>
                <w:tcPr>
                  <w:tcW w:w="983" w:type="pct"/>
                  <w:vAlign w:val="center"/>
                </w:tcPr>
                <w:p w14:paraId="288FDFD9">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污染物</w:t>
                  </w:r>
                </w:p>
              </w:tc>
              <w:tc>
                <w:tcPr>
                  <w:tcW w:w="1684" w:type="pct"/>
                  <w:vAlign w:val="center"/>
                </w:tcPr>
                <w:p w14:paraId="294E20EF">
                  <w:pPr>
                    <w:keepNext w:val="0"/>
                    <w:keepLines w:val="0"/>
                    <w:pageBreakBefore w:val="0"/>
                    <w:widowControl/>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措施及去向</w:t>
                  </w:r>
                </w:p>
              </w:tc>
            </w:tr>
            <w:tr w14:paraId="627BA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349" w:type="pct"/>
                  <w:vAlign w:val="center"/>
                </w:tcPr>
                <w:p w14:paraId="12CE11FF">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废水</w:t>
                  </w:r>
                </w:p>
              </w:tc>
              <w:tc>
                <w:tcPr>
                  <w:tcW w:w="424" w:type="pct"/>
                  <w:vAlign w:val="center"/>
                </w:tcPr>
                <w:p w14:paraId="5B66D842">
                  <w:pPr>
                    <w:adjustRightInd w:val="0"/>
                    <w:snapToGrid w:val="0"/>
                    <w:jc w:val="center"/>
                    <w:rPr>
                      <w:rStyle w:val="135"/>
                      <w:rFonts w:hint="default" w:ascii="Times New Roman" w:hAnsi="Times New Roman" w:cs="Times New Roman"/>
                      <w:color w:val="000000" w:themeColor="text1"/>
                      <w:sz w:val="21"/>
                      <w:szCs w:val="21"/>
                      <w:lang w:val="en-US" w:eastAsia="zh-CN"/>
                      <w14:textFill>
                        <w14:solidFill>
                          <w14:schemeClr w14:val="tx1"/>
                        </w14:solidFill>
                      </w14:textFill>
                    </w:rPr>
                  </w:pPr>
                  <w:r>
                    <w:rPr>
                      <w:rStyle w:val="135"/>
                      <w:rFonts w:hint="default" w:ascii="Times New Roman" w:hAnsi="Times New Roman" w:cs="Times New Roman"/>
                      <w:color w:val="000000" w:themeColor="text1"/>
                      <w:sz w:val="21"/>
                      <w:szCs w:val="21"/>
                      <w:lang w:val="en-US" w:eastAsia="zh-CN"/>
                      <w14:textFill>
                        <w14:solidFill>
                          <w14:schemeClr w14:val="tx1"/>
                        </w14:solidFill>
                      </w14:textFill>
                    </w:rPr>
                    <w:t>W1</w:t>
                  </w:r>
                </w:p>
              </w:tc>
              <w:tc>
                <w:tcPr>
                  <w:tcW w:w="903" w:type="pct"/>
                  <w:vAlign w:val="center"/>
                </w:tcPr>
                <w:p w14:paraId="74FB94EF">
                  <w:pPr>
                    <w:adjustRightInd w:val="0"/>
                    <w:snapToGrid w:val="0"/>
                    <w:jc w:val="center"/>
                    <w:rPr>
                      <w:rStyle w:val="135"/>
                      <w:rFonts w:hint="default" w:ascii="Times New Roman" w:hAnsi="Times New Roman" w:cs="Times New Roman"/>
                      <w:color w:val="000000" w:themeColor="text1"/>
                      <w:sz w:val="21"/>
                      <w:szCs w:val="21"/>
                      <w:lang w:val="en-US" w:eastAsia="zh-CN"/>
                      <w14:textFill>
                        <w14:solidFill>
                          <w14:schemeClr w14:val="tx1"/>
                        </w14:solidFill>
                      </w14:textFill>
                    </w:rPr>
                  </w:pPr>
                  <w:r>
                    <w:rPr>
                      <w:rStyle w:val="135"/>
                      <w:rFonts w:hint="default" w:ascii="Times New Roman" w:hAnsi="Times New Roman" w:cs="Times New Roman"/>
                      <w:color w:val="000000" w:themeColor="text1"/>
                      <w:sz w:val="21"/>
                      <w:szCs w:val="21"/>
                      <w:lang w:val="en-US" w:eastAsia="zh-CN"/>
                      <w14:textFill>
                        <w14:solidFill>
                          <w14:schemeClr w14:val="tx1"/>
                        </w14:solidFill>
                      </w14:textFill>
                    </w:rPr>
                    <w:t>生活污水</w:t>
                  </w:r>
                </w:p>
              </w:tc>
              <w:tc>
                <w:tcPr>
                  <w:tcW w:w="654" w:type="pct"/>
                  <w:vAlign w:val="center"/>
                </w:tcPr>
                <w:p w14:paraId="38A3F5FA">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default" w:ascii="Times New Roman" w:hAnsi="Times New Roman" w:eastAsia="宋体" w:cs="Times New Roman"/>
                      <w:color w:val="auto"/>
                      <w:sz w:val="21"/>
                      <w:szCs w:val="21"/>
                      <w:lang w:val="en-US" w:eastAsia="zh-CN"/>
                    </w:rPr>
                    <w:t>职工生活</w:t>
                  </w:r>
                </w:p>
              </w:tc>
              <w:tc>
                <w:tcPr>
                  <w:tcW w:w="983" w:type="pct"/>
                  <w:vAlign w:val="center"/>
                </w:tcPr>
                <w:p w14:paraId="6EA2657F">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default" w:ascii="Times New Roman" w:hAnsi="Times New Roman" w:eastAsia="宋体" w:cs="Times New Roman"/>
                      <w:color w:val="auto"/>
                      <w:sz w:val="21"/>
                      <w:szCs w:val="21"/>
                      <w:lang w:val="en-US" w:eastAsia="zh-CN"/>
                    </w:rPr>
                    <w:t>COD、氨氮</w:t>
                  </w:r>
                </w:p>
                <w:p w14:paraId="76A5CF4C">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default" w:ascii="Times New Roman" w:hAnsi="Times New Roman" w:eastAsia="宋体" w:cs="Times New Roman"/>
                      <w:color w:val="auto"/>
                      <w:sz w:val="21"/>
                      <w:szCs w:val="21"/>
                      <w:lang w:val="en-US" w:eastAsia="zh-CN"/>
                    </w:rPr>
                    <w:t>等</w:t>
                  </w:r>
                </w:p>
              </w:tc>
              <w:tc>
                <w:tcPr>
                  <w:tcW w:w="1684" w:type="pct"/>
                  <w:vAlign w:val="center"/>
                </w:tcPr>
                <w:p w14:paraId="7EE551BB">
                  <w:pPr>
                    <w:adjustRightInd w:val="0"/>
                    <w:snapToGrid w:val="0"/>
                    <w:jc w:val="center"/>
                    <w:rPr>
                      <w:rStyle w:val="135"/>
                      <w:rFonts w:hint="default" w:ascii="Times New Roman" w:hAnsi="Times New Roman" w:cs="Times New Roman"/>
                      <w:color w:val="000000" w:themeColor="text1"/>
                      <w:sz w:val="21"/>
                      <w:szCs w:val="21"/>
                      <w:lang w:val="en-US" w:eastAsia="zh-CN"/>
                      <w14:textFill>
                        <w14:solidFill>
                          <w14:schemeClr w14:val="tx1"/>
                        </w14:solidFill>
                      </w14:textFill>
                    </w:rPr>
                  </w:pPr>
                  <w:r>
                    <w:rPr>
                      <w:rStyle w:val="135"/>
                      <w:rFonts w:hint="default" w:ascii="Times New Roman" w:hAnsi="Times New Roman" w:cs="Times New Roman"/>
                      <w:color w:val="000000" w:themeColor="text1"/>
                      <w:sz w:val="21"/>
                      <w:szCs w:val="21"/>
                      <w:lang w:val="en-US" w:eastAsia="zh-CN"/>
                      <w14:textFill>
                        <w14:solidFill>
                          <w14:schemeClr w14:val="tx1"/>
                        </w14:solidFill>
                      </w14:textFill>
                    </w:rPr>
                    <w:t>化粪池预处理后委托环卫部门清运</w:t>
                  </w:r>
                </w:p>
              </w:tc>
            </w:tr>
            <w:tr w14:paraId="1637C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49" w:type="pct"/>
                  <w:vMerge w:val="restart"/>
                  <w:vAlign w:val="center"/>
                </w:tcPr>
                <w:p w14:paraId="4CBB920A">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废气</w:t>
                  </w:r>
                </w:p>
              </w:tc>
              <w:tc>
                <w:tcPr>
                  <w:tcW w:w="424" w:type="pct"/>
                  <w:vAlign w:val="center"/>
                </w:tcPr>
                <w:p w14:paraId="07A88B3E">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G1</w:t>
                  </w:r>
                </w:p>
              </w:tc>
              <w:tc>
                <w:tcPr>
                  <w:tcW w:w="903" w:type="pct"/>
                  <w:vAlign w:val="center"/>
                </w:tcPr>
                <w:p w14:paraId="3B9C45DE">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eastAsia" w:ascii="Times New Roman" w:hAnsi="Times New Roman" w:cs="Times New Roman"/>
                      <w:color w:val="auto"/>
                      <w:sz w:val="21"/>
                      <w:szCs w:val="21"/>
                      <w:lang w:val="en-US" w:eastAsia="zh-CN"/>
                    </w:rPr>
                    <w:t>加热熔融、搅拌混合废气</w:t>
                  </w:r>
                </w:p>
              </w:tc>
              <w:tc>
                <w:tcPr>
                  <w:tcW w:w="654" w:type="pct"/>
                  <w:vAlign w:val="center"/>
                </w:tcPr>
                <w:p w14:paraId="54E888BD">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eastAsia" w:ascii="Times New Roman" w:hAnsi="Times New Roman" w:eastAsia="宋体" w:cs="Times New Roman"/>
                      <w:color w:val="auto"/>
                      <w:sz w:val="21"/>
                      <w:szCs w:val="21"/>
                      <w:lang w:val="en-US" w:eastAsia="zh-CN"/>
                    </w:rPr>
                    <w:t>热搅拌罐</w:t>
                  </w:r>
                </w:p>
              </w:tc>
              <w:tc>
                <w:tcPr>
                  <w:tcW w:w="983" w:type="pct"/>
                  <w:vAlign w:val="center"/>
                </w:tcPr>
                <w:p w14:paraId="58850EBE">
                  <w:pPr>
                    <w:adjustRightInd w:val="0"/>
                    <w:snapToGrid w:val="0"/>
                    <w:jc w:val="center"/>
                    <w:rPr>
                      <w:rStyle w:val="135"/>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1684" w:type="pct"/>
                  <w:vMerge w:val="restart"/>
                  <w:shd w:val="clear" w:color="auto" w:fill="auto"/>
                  <w:vAlign w:val="center"/>
                </w:tcPr>
                <w:p w14:paraId="65DCE348">
                  <w:pPr>
                    <w:adjustRightInd w:val="0"/>
                    <w:snapToGrid w:val="0"/>
                    <w:jc w:val="center"/>
                    <w:rPr>
                      <w:rStyle w:val="135"/>
                      <w:rFonts w:hint="default" w:ascii="Times New Roman" w:hAnsi="Times New Roman" w:cs="Times New Roman"/>
                      <w:color w:val="000000" w:themeColor="text1"/>
                      <w:sz w:val="21"/>
                      <w:szCs w:val="21"/>
                      <w:lang w:val="en-US" w:eastAsia="zh-CN"/>
                      <w14:textFill>
                        <w14:solidFill>
                          <w14:schemeClr w14:val="tx1"/>
                        </w14:solidFill>
                      </w14:textFill>
                    </w:rPr>
                  </w:pPr>
                  <w:r>
                    <w:rPr>
                      <w:rStyle w:val="135"/>
                      <w:rFonts w:hint="eastAsia" w:ascii="Times New Roman" w:hAnsi="Times New Roman" w:cs="Times New Roman"/>
                      <w:color w:val="000000" w:themeColor="text1"/>
                      <w:sz w:val="21"/>
                      <w:szCs w:val="21"/>
                      <w:lang w:val="en-US" w:eastAsia="zh-CN"/>
                      <w14:textFill>
                        <w14:solidFill>
                          <w14:schemeClr w14:val="tx1"/>
                        </w14:solidFill>
                      </w14:textFill>
                    </w:rPr>
                    <w:t>项目加热熔融、搅拌混合、制片工序产生的有机废气，经过加热搅拌罐为密闭设备，设置集气管道收集，压片机设置集气罩收集、二级活性炭吸附处理后</w:t>
                  </w:r>
                  <w:r>
                    <w:rPr>
                      <w:rStyle w:val="135"/>
                      <w:rFonts w:hint="default" w:ascii="Times New Roman" w:hAnsi="Times New Roman" w:cs="Times New Roman"/>
                      <w:color w:val="000000" w:themeColor="text1"/>
                      <w:sz w:val="21"/>
                      <w:szCs w:val="21"/>
                      <w:lang w:val="en-US" w:eastAsia="zh-CN"/>
                      <w14:textFill>
                        <w14:solidFill>
                          <w14:schemeClr w14:val="tx1"/>
                        </w14:solidFill>
                      </w14:textFill>
                    </w:rPr>
                    <w:t>通过15m高的排气筒DA001排放</w:t>
                  </w:r>
                </w:p>
              </w:tc>
            </w:tr>
            <w:tr w14:paraId="75317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49" w:type="pct"/>
                  <w:vMerge w:val="continue"/>
                  <w:textDirection w:val="tbRlV"/>
                  <w:vAlign w:val="center"/>
                </w:tcPr>
                <w:p w14:paraId="54E068A4">
                  <w:pPr>
                    <w:adjustRightInd w:val="0"/>
                    <w:snapToGrid w:val="0"/>
                    <w:jc w:val="center"/>
                    <w:rPr>
                      <w:rStyle w:val="135"/>
                      <w:rFonts w:hint="default" w:ascii="Times New Roman" w:hAnsi="Times New Roman" w:cs="Times New Roman"/>
                      <w:color w:val="auto"/>
                      <w:sz w:val="21"/>
                      <w:szCs w:val="21"/>
                      <w:lang w:val="en-US" w:eastAsia="zh-CN"/>
                    </w:rPr>
                  </w:pPr>
                </w:p>
              </w:tc>
              <w:tc>
                <w:tcPr>
                  <w:tcW w:w="424" w:type="pct"/>
                  <w:vAlign w:val="center"/>
                </w:tcPr>
                <w:p w14:paraId="43DF4F44">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G2</w:t>
                  </w:r>
                </w:p>
              </w:tc>
              <w:tc>
                <w:tcPr>
                  <w:tcW w:w="903" w:type="pct"/>
                  <w:vAlign w:val="center"/>
                </w:tcPr>
                <w:p w14:paraId="269A63BB">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eastAsia" w:ascii="Times New Roman" w:hAnsi="Times New Roman" w:cs="Times New Roman"/>
                      <w:color w:val="auto"/>
                      <w:sz w:val="21"/>
                      <w:szCs w:val="21"/>
                      <w:lang w:val="en-US" w:eastAsia="zh-CN"/>
                    </w:rPr>
                    <w:t>制片废气</w:t>
                  </w:r>
                </w:p>
              </w:tc>
              <w:tc>
                <w:tcPr>
                  <w:tcW w:w="654" w:type="pct"/>
                  <w:vAlign w:val="center"/>
                </w:tcPr>
                <w:p w14:paraId="21944225">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eastAsia" w:ascii="Times New Roman" w:hAnsi="Times New Roman" w:eastAsia="宋体" w:cs="Times New Roman"/>
                      <w:color w:val="auto"/>
                      <w:sz w:val="21"/>
                      <w:szCs w:val="21"/>
                      <w:lang w:val="en-US" w:eastAsia="zh-CN"/>
                    </w:rPr>
                    <w:t>压片机</w:t>
                  </w:r>
                </w:p>
              </w:tc>
              <w:tc>
                <w:tcPr>
                  <w:tcW w:w="983" w:type="pct"/>
                  <w:vAlign w:val="center"/>
                </w:tcPr>
                <w:p w14:paraId="1CF324B2">
                  <w:pPr>
                    <w:adjustRightInd w:val="0"/>
                    <w:snapToGrid w:val="0"/>
                    <w:jc w:val="center"/>
                    <w:rPr>
                      <w:rStyle w:val="135"/>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1684" w:type="pct"/>
                  <w:vMerge w:val="continue"/>
                  <w:vAlign w:val="center"/>
                </w:tcPr>
                <w:p w14:paraId="23270AEC">
                  <w:pPr>
                    <w:adjustRightInd w:val="0"/>
                    <w:snapToGrid w:val="0"/>
                    <w:jc w:val="center"/>
                    <w:rPr>
                      <w:rStyle w:val="135"/>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7CA25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49" w:type="pct"/>
                  <w:vAlign w:val="center"/>
                </w:tcPr>
                <w:p w14:paraId="57B21B45">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一般固废</w:t>
                  </w:r>
                </w:p>
              </w:tc>
              <w:tc>
                <w:tcPr>
                  <w:tcW w:w="424" w:type="pct"/>
                  <w:vAlign w:val="center"/>
                </w:tcPr>
                <w:p w14:paraId="2385EE74">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S1</w:t>
                  </w:r>
                </w:p>
              </w:tc>
              <w:tc>
                <w:tcPr>
                  <w:tcW w:w="903" w:type="pct"/>
                  <w:vAlign w:val="center"/>
                </w:tcPr>
                <w:p w14:paraId="4BAC9C21">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废包装物</w:t>
                  </w:r>
                </w:p>
              </w:tc>
              <w:tc>
                <w:tcPr>
                  <w:tcW w:w="654" w:type="pct"/>
                  <w:vAlign w:val="center"/>
                </w:tcPr>
                <w:p w14:paraId="6025C506">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eastAsia" w:ascii="Times New Roman" w:hAnsi="Times New Roman" w:eastAsia="宋体" w:cs="Times New Roman"/>
                      <w:color w:val="auto"/>
                      <w:sz w:val="21"/>
                      <w:szCs w:val="21"/>
                      <w:lang w:val="en-US" w:eastAsia="zh-CN"/>
                    </w:rPr>
                    <w:t>原料</w:t>
                  </w:r>
                  <w:r>
                    <w:rPr>
                      <w:rStyle w:val="135"/>
                      <w:rFonts w:hint="default" w:ascii="Times New Roman" w:hAnsi="Times New Roman" w:eastAsia="宋体" w:cs="Times New Roman"/>
                      <w:color w:val="auto"/>
                      <w:sz w:val="21"/>
                      <w:szCs w:val="21"/>
                      <w:lang w:val="en-US" w:eastAsia="zh-CN"/>
                    </w:rPr>
                    <w:t>拆包</w:t>
                  </w:r>
                </w:p>
              </w:tc>
              <w:tc>
                <w:tcPr>
                  <w:tcW w:w="983" w:type="pct"/>
                  <w:vAlign w:val="center"/>
                </w:tcPr>
                <w:p w14:paraId="0922C07C">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default" w:ascii="Times New Roman" w:hAnsi="Times New Roman" w:eastAsia="宋体" w:cs="Times New Roman"/>
                      <w:color w:val="auto"/>
                      <w:sz w:val="21"/>
                      <w:szCs w:val="21"/>
                      <w:lang w:val="en-US" w:eastAsia="zh-CN"/>
                    </w:rPr>
                    <w:t>废包装物</w:t>
                  </w:r>
                </w:p>
              </w:tc>
              <w:tc>
                <w:tcPr>
                  <w:tcW w:w="1684" w:type="pct"/>
                  <w:vAlign w:val="center"/>
                </w:tcPr>
                <w:p w14:paraId="003C224B">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收集后外售综合利用</w:t>
                  </w:r>
                </w:p>
              </w:tc>
            </w:tr>
            <w:tr w14:paraId="0C2CD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49" w:type="pct"/>
                  <w:vMerge w:val="restart"/>
                  <w:vAlign w:val="center"/>
                </w:tcPr>
                <w:p w14:paraId="5BAB5F05">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危险废物</w:t>
                  </w:r>
                </w:p>
              </w:tc>
              <w:tc>
                <w:tcPr>
                  <w:tcW w:w="424" w:type="pct"/>
                  <w:shd w:val="clear" w:color="auto" w:fill="auto"/>
                  <w:vAlign w:val="center"/>
                </w:tcPr>
                <w:p w14:paraId="5E45B991">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S2</w:t>
                  </w:r>
                </w:p>
              </w:tc>
              <w:tc>
                <w:tcPr>
                  <w:tcW w:w="903" w:type="pct"/>
                  <w:shd w:val="clear" w:color="auto" w:fill="auto"/>
                  <w:vAlign w:val="center"/>
                </w:tcPr>
                <w:p w14:paraId="2A9C4C00">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废润滑油</w:t>
                  </w:r>
                </w:p>
              </w:tc>
              <w:tc>
                <w:tcPr>
                  <w:tcW w:w="654" w:type="pct"/>
                  <w:shd w:val="clear" w:color="auto" w:fill="auto"/>
                  <w:vAlign w:val="center"/>
                </w:tcPr>
                <w:p w14:paraId="189D8E5A">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default" w:ascii="Times New Roman" w:hAnsi="Times New Roman" w:eastAsia="宋体" w:cs="Times New Roman"/>
                      <w:color w:val="auto"/>
                      <w:sz w:val="21"/>
                      <w:szCs w:val="21"/>
                      <w:lang w:val="en-US" w:eastAsia="zh-CN"/>
                    </w:rPr>
                    <w:t>设备维护</w:t>
                  </w:r>
                </w:p>
              </w:tc>
              <w:tc>
                <w:tcPr>
                  <w:tcW w:w="983" w:type="pct"/>
                  <w:shd w:val="clear" w:color="auto" w:fill="auto"/>
                  <w:vAlign w:val="center"/>
                </w:tcPr>
                <w:p w14:paraId="229C492A">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default" w:ascii="Times New Roman" w:hAnsi="Times New Roman" w:eastAsia="宋体" w:cs="Times New Roman"/>
                      <w:color w:val="auto"/>
                      <w:sz w:val="21"/>
                      <w:szCs w:val="21"/>
                      <w:lang w:val="en-US" w:eastAsia="zh-CN"/>
                    </w:rPr>
                    <w:t>矿物油</w:t>
                  </w:r>
                </w:p>
              </w:tc>
              <w:tc>
                <w:tcPr>
                  <w:tcW w:w="1684" w:type="pct"/>
                  <w:shd w:val="clear" w:color="auto" w:fill="auto"/>
                  <w:vAlign w:val="center"/>
                </w:tcPr>
                <w:p w14:paraId="3B7A8BE3">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委托资质单位处置</w:t>
                  </w:r>
                </w:p>
              </w:tc>
            </w:tr>
            <w:tr w14:paraId="38C30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49" w:type="pct"/>
                  <w:vMerge w:val="continue"/>
                  <w:vAlign w:val="center"/>
                </w:tcPr>
                <w:p w14:paraId="6FB9C8EA">
                  <w:pPr>
                    <w:adjustRightInd w:val="0"/>
                    <w:snapToGrid w:val="0"/>
                    <w:jc w:val="center"/>
                    <w:rPr>
                      <w:rStyle w:val="135"/>
                      <w:rFonts w:hint="default" w:ascii="Times New Roman" w:hAnsi="Times New Roman" w:cs="Times New Roman"/>
                      <w:color w:val="auto"/>
                      <w:sz w:val="21"/>
                      <w:szCs w:val="21"/>
                      <w:lang w:val="en-US" w:eastAsia="zh-CN"/>
                    </w:rPr>
                  </w:pPr>
                </w:p>
              </w:tc>
              <w:tc>
                <w:tcPr>
                  <w:tcW w:w="424" w:type="pct"/>
                  <w:shd w:val="clear" w:color="auto" w:fill="auto"/>
                  <w:vAlign w:val="center"/>
                </w:tcPr>
                <w:p w14:paraId="308AB797">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S3</w:t>
                  </w:r>
                </w:p>
              </w:tc>
              <w:tc>
                <w:tcPr>
                  <w:tcW w:w="903" w:type="pct"/>
                  <w:shd w:val="clear" w:color="auto" w:fill="auto"/>
                  <w:vAlign w:val="center"/>
                </w:tcPr>
                <w:p w14:paraId="084A0528">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default" w:ascii="Times New Roman" w:hAnsi="Times New Roman" w:eastAsia="宋体" w:cs="Times New Roman"/>
                      <w:color w:val="auto"/>
                      <w:sz w:val="21"/>
                      <w:szCs w:val="21"/>
                      <w:lang w:val="en-US" w:eastAsia="zh-CN"/>
                    </w:rPr>
                    <w:t>废油桶</w:t>
                  </w:r>
                </w:p>
              </w:tc>
              <w:tc>
                <w:tcPr>
                  <w:tcW w:w="654" w:type="pct"/>
                  <w:shd w:val="clear" w:color="auto" w:fill="auto"/>
                  <w:vAlign w:val="center"/>
                </w:tcPr>
                <w:p w14:paraId="545B27B0">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default" w:ascii="Times New Roman" w:hAnsi="Times New Roman" w:eastAsia="宋体" w:cs="Times New Roman"/>
                      <w:color w:val="auto"/>
                      <w:sz w:val="21"/>
                      <w:szCs w:val="21"/>
                      <w:lang w:val="en-US" w:eastAsia="zh-CN"/>
                    </w:rPr>
                    <w:t>油类包装</w:t>
                  </w:r>
                </w:p>
              </w:tc>
              <w:tc>
                <w:tcPr>
                  <w:tcW w:w="983" w:type="pct"/>
                  <w:shd w:val="clear" w:color="auto" w:fill="auto"/>
                  <w:vAlign w:val="center"/>
                </w:tcPr>
                <w:p w14:paraId="142F18BB">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default" w:ascii="Times New Roman" w:hAnsi="Times New Roman" w:eastAsia="宋体" w:cs="Times New Roman"/>
                      <w:color w:val="auto"/>
                      <w:sz w:val="21"/>
                      <w:szCs w:val="21"/>
                      <w:lang w:val="en-US" w:eastAsia="zh-CN"/>
                    </w:rPr>
                    <w:t>矿物油</w:t>
                  </w:r>
                </w:p>
              </w:tc>
              <w:tc>
                <w:tcPr>
                  <w:tcW w:w="1684" w:type="pct"/>
                  <w:shd w:val="clear" w:color="auto" w:fill="auto"/>
                  <w:vAlign w:val="center"/>
                </w:tcPr>
                <w:p w14:paraId="537EC0A6">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default" w:ascii="Times New Roman" w:hAnsi="Times New Roman" w:eastAsia="宋体" w:cs="Times New Roman"/>
                      <w:color w:val="auto"/>
                      <w:sz w:val="21"/>
                      <w:szCs w:val="21"/>
                      <w:lang w:val="en-US" w:eastAsia="zh-CN"/>
                    </w:rPr>
                    <w:t>委托资质单位处置</w:t>
                  </w:r>
                </w:p>
              </w:tc>
            </w:tr>
            <w:tr w14:paraId="6C27A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49" w:type="pct"/>
                  <w:vMerge w:val="continue"/>
                  <w:vAlign w:val="center"/>
                </w:tcPr>
                <w:p w14:paraId="312885C5">
                  <w:pPr>
                    <w:adjustRightInd w:val="0"/>
                    <w:snapToGrid w:val="0"/>
                    <w:jc w:val="center"/>
                    <w:rPr>
                      <w:rStyle w:val="135"/>
                      <w:rFonts w:hint="default" w:ascii="Times New Roman" w:hAnsi="Times New Roman" w:cs="Times New Roman"/>
                      <w:color w:val="auto"/>
                      <w:sz w:val="21"/>
                      <w:szCs w:val="21"/>
                      <w:lang w:val="en-US" w:eastAsia="zh-CN"/>
                    </w:rPr>
                  </w:pPr>
                </w:p>
              </w:tc>
              <w:tc>
                <w:tcPr>
                  <w:tcW w:w="424" w:type="pct"/>
                  <w:shd w:val="clear" w:color="auto" w:fill="auto"/>
                  <w:vAlign w:val="center"/>
                </w:tcPr>
                <w:p w14:paraId="4CA51029">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eastAsia" w:cs="Times New Roman"/>
                      <w:color w:val="auto"/>
                      <w:sz w:val="21"/>
                      <w:szCs w:val="21"/>
                      <w:lang w:val="en-US" w:eastAsia="zh-CN"/>
                    </w:rPr>
                    <w:t>S4</w:t>
                  </w:r>
                </w:p>
              </w:tc>
              <w:tc>
                <w:tcPr>
                  <w:tcW w:w="903" w:type="pct"/>
                  <w:shd w:val="clear" w:color="auto" w:fill="auto"/>
                  <w:vAlign w:val="center"/>
                </w:tcPr>
                <w:p w14:paraId="791C10BB">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eastAsia" w:ascii="Times New Roman" w:hAnsi="Times New Roman" w:eastAsia="宋体" w:cs="Times New Roman"/>
                      <w:color w:val="auto"/>
                      <w:sz w:val="21"/>
                      <w:szCs w:val="21"/>
                      <w:lang w:val="en-US" w:eastAsia="zh-CN"/>
                    </w:rPr>
                    <w:t>废活性炭</w:t>
                  </w:r>
                </w:p>
              </w:tc>
              <w:tc>
                <w:tcPr>
                  <w:tcW w:w="654" w:type="pct"/>
                  <w:shd w:val="clear" w:color="auto" w:fill="auto"/>
                  <w:vAlign w:val="center"/>
                </w:tcPr>
                <w:p w14:paraId="01852847">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eastAsia" w:ascii="Times New Roman" w:hAnsi="Times New Roman" w:eastAsia="宋体" w:cs="Times New Roman"/>
                      <w:color w:val="auto"/>
                      <w:sz w:val="21"/>
                      <w:szCs w:val="21"/>
                      <w:lang w:val="en-US" w:eastAsia="zh-CN"/>
                    </w:rPr>
                    <w:t>环保设备</w:t>
                  </w:r>
                </w:p>
              </w:tc>
              <w:tc>
                <w:tcPr>
                  <w:tcW w:w="983" w:type="pct"/>
                  <w:shd w:val="clear" w:color="auto" w:fill="auto"/>
                  <w:vAlign w:val="center"/>
                </w:tcPr>
                <w:p w14:paraId="15DDCA4F">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eastAsia" w:ascii="Times New Roman" w:hAnsi="Times New Roman" w:eastAsia="宋体" w:cs="Times New Roman"/>
                      <w:color w:val="auto"/>
                      <w:sz w:val="21"/>
                      <w:szCs w:val="21"/>
                      <w:lang w:val="en-US" w:eastAsia="zh-CN"/>
                    </w:rPr>
                    <w:t>有机物</w:t>
                  </w:r>
                </w:p>
              </w:tc>
              <w:tc>
                <w:tcPr>
                  <w:tcW w:w="1684" w:type="pct"/>
                  <w:shd w:val="clear" w:color="auto" w:fill="auto"/>
                  <w:vAlign w:val="center"/>
                </w:tcPr>
                <w:p w14:paraId="629F4E9E">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default" w:ascii="Times New Roman" w:hAnsi="Times New Roman" w:eastAsia="宋体" w:cs="Times New Roman"/>
                      <w:color w:val="auto"/>
                      <w:sz w:val="21"/>
                      <w:szCs w:val="21"/>
                      <w:lang w:val="en-US" w:eastAsia="zh-CN"/>
                    </w:rPr>
                    <w:t>矿物油</w:t>
                  </w:r>
                </w:p>
              </w:tc>
            </w:tr>
            <w:tr w14:paraId="24214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49" w:type="pct"/>
                  <w:vMerge w:val="continue"/>
                  <w:vAlign w:val="center"/>
                </w:tcPr>
                <w:p w14:paraId="33878D6D">
                  <w:pPr>
                    <w:adjustRightInd w:val="0"/>
                    <w:snapToGrid w:val="0"/>
                    <w:jc w:val="center"/>
                    <w:rPr>
                      <w:rStyle w:val="135"/>
                      <w:rFonts w:hint="default" w:ascii="Times New Roman" w:hAnsi="Times New Roman" w:cs="Times New Roman"/>
                      <w:color w:val="auto"/>
                      <w:sz w:val="21"/>
                      <w:szCs w:val="21"/>
                      <w:lang w:val="en-US" w:eastAsia="zh-CN"/>
                    </w:rPr>
                  </w:pPr>
                </w:p>
              </w:tc>
              <w:tc>
                <w:tcPr>
                  <w:tcW w:w="424" w:type="pct"/>
                  <w:shd w:val="clear" w:color="auto" w:fill="auto"/>
                  <w:vAlign w:val="center"/>
                </w:tcPr>
                <w:p w14:paraId="0B32A50F">
                  <w:pPr>
                    <w:adjustRightInd w:val="0"/>
                    <w:snapToGrid w:val="0"/>
                    <w:jc w:val="center"/>
                    <w:rPr>
                      <w:rStyle w:val="135"/>
                      <w:rFonts w:hint="default" w:cs="Times New Roman"/>
                      <w:color w:val="auto"/>
                      <w:sz w:val="21"/>
                      <w:szCs w:val="21"/>
                      <w:lang w:val="en-US" w:eastAsia="zh-CN"/>
                    </w:rPr>
                  </w:pPr>
                  <w:r>
                    <w:rPr>
                      <w:rStyle w:val="135"/>
                      <w:rFonts w:hint="eastAsia" w:cs="Times New Roman"/>
                      <w:color w:val="auto"/>
                      <w:sz w:val="21"/>
                      <w:szCs w:val="21"/>
                      <w:lang w:val="en-US" w:eastAsia="zh-CN"/>
                    </w:rPr>
                    <w:t>S5</w:t>
                  </w:r>
                </w:p>
              </w:tc>
              <w:tc>
                <w:tcPr>
                  <w:tcW w:w="903" w:type="pct"/>
                  <w:shd w:val="clear" w:color="auto" w:fill="auto"/>
                  <w:vAlign w:val="center"/>
                </w:tcPr>
                <w:p w14:paraId="40D5B41F">
                  <w:pPr>
                    <w:adjustRightInd w:val="0"/>
                    <w:snapToGrid w:val="0"/>
                    <w:jc w:val="center"/>
                    <w:rPr>
                      <w:rStyle w:val="135"/>
                      <w:rFonts w:hint="eastAsia" w:ascii="Times New Roman" w:hAnsi="Times New Roman" w:eastAsia="宋体" w:cs="Times New Roman"/>
                      <w:color w:val="auto"/>
                      <w:sz w:val="21"/>
                      <w:szCs w:val="21"/>
                      <w:lang w:val="en-US" w:eastAsia="zh-CN"/>
                    </w:rPr>
                  </w:pPr>
                  <w:r>
                    <w:rPr>
                      <w:rStyle w:val="135"/>
                      <w:rFonts w:hint="eastAsia" w:ascii="Times New Roman" w:hAnsi="Times New Roman" w:eastAsia="宋体" w:cs="Times New Roman"/>
                      <w:color w:val="auto"/>
                      <w:sz w:val="21"/>
                      <w:szCs w:val="21"/>
                      <w:lang w:val="en-US" w:eastAsia="zh-CN"/>
                    </w:rPr>
                    <w:t>废导热油</w:t>
                  </w:r>
                </w:p>
              </w:tc>
              <w:tc>
                <w:tcPr>
                  <w:tcW w:w="654" w:type="pct"/>
                  <w:shd w:val="clear" w:color="auto" w:fill="auto"/>
                  <w:vAlign w:val="center"/>
                </w:tcPr>
                <w:p w14:paraId="34ED6513">
                  <w:pPr>
                    <w:adjustRightInd w:val="0"/>
                    <w:snapToGrid w:val="0"/>
                    <w:jc w:val="center"/>
                    <w:rPr>
                      <w:rStyle w:val="135"/>
                      <w:rFonts w:hint="eastAsia" w:ascii="Times New Roman" w:hAnsi="Times New Roman" w:eastAsia="宋体" w:cs="Times New Roman"/>
                      <w:color w:val="auto"/>
                      <w:sz w:val="21"/>
                      <w:szCs w:val="21"/>
                      <w:lang w:val="en-US" w:eastAsia="zh-CN"/>
                    </w:rPr>
                  </w:pPr>
                  <w:r>
                    <w:rPr>
                      <w:rStyle w:val="135"/>
                      <w:rFonts w:hint="eastAsia" w:ascii="Times New Roman" w:hAnsi="Times New Roman" w:eastAsia="宋体" w:cs="Times New Roman"/>
                      <w:color w:val="auto"/>
                      <w:sz w:val="21"/>
                      <w:szCs w:val="21"/>
                      <w:lang w:val="en-US" w:eastAsia="zh-CN"/>
                    </w:rPr>
                    <w:t>电加热导热油炉</w:t>
                  </w:r>
                </w:p>
              </w:tc>
              <w:tc>
                <w:tcPr>
                  <w:tcW w:w="983" w:type="pct"/>
                  <w:shd w:val="clear" w:color="auto" w:fill="auto"/>
                  <w:vAlign w:val="center"/>
                </w:tcPr>
                <w:p w14:paraId="744BC918">
                  <w:pPr>
                    <w:adjustRightInd w:val="0"/>
                    <w:snapToGrid w:val="0"/>
                    <w:jc w:val="center"/>
                    <w:rPr>
                      <w:rStyle w:val="135"/>
                      <w:rFonts w:hint="eastAsia" w:ascii="Times New Roman" w:hAnsi="Times New Roman" w:eastAsia="宋体" w:cs="Times New Roman"/>
                      <w:color w:val="auto"/>
                      <w:sz w:val="21"/>
                      <w:szCs w:val="21"/>
                      <w:lang w:val="en-US" w:eastAsia="zh-CN"/>
                    </w:rPr>
                  </w:pPr>
                  <w:r>
                    <w:rPr>
                      <w:rStyle w:val="135"/>
                      <w:rFonts w:hint="default" w:ascii="Times New Roman" w:hAnsi="Times New Roman" w:eastAsia="宋体" w:cs="Times New Roman"/>
                      <w:color w:val="auto"/>
                      <w:sz w:val="21"/>
                      <w:szCs w:val="21"/>
                      <w:lang w:val="en-US" w:eastAsia="zh-CN"/>
                    </w:rPr>
                    <w:t>矿物油</w:t>
                  </w:r>
                </w:p>
              </w:tc>
              <w:tc>
                <w:tcPr>
                  <w:tcW w:w="1684" w:type="pct"/>
                  <w:shd w:val="clear" w:color="auto" w:fill="auto"/>
                  <w:vAlign w:val="center"/>
                </w:tcPr>
                <w:p w14:paraId="53222A92">
                  <w:pPr>
                    <w:adjustRightInd w:val="0"/>
                    <w:snapToGrid w:val="0"/>
                    <w:jc w:val="center"/>
                    <w:rPr>
                      <w:rStyle w:val="135"/>
                      <w:rFonts w:hint="default" w:ascii="Times New Roman" w:hAnsi="Times New Roman" w:eastAsia="宋体" w:cs="Times New Roman"/>
                      <w:color w:val="auto"/>
                      <w:sz w:val="21"/>
                      <w:szCs w:val="21"/>
                      <w:lang w:val="en-US" w:eastAsia="zh-CN"/>
                    </w:rPr>
                  </w:pPr>
                  <w:r>
                    <w:rPr>
                      <w:rStyle w:val="135"/>
                      <w:rFonts w:hint="default" w:ascii="Times New Roman" w:hAnsi="Times New Roman" w:eastAsia="宋体" w:cs="Times New Roman"/>
                      <w:color w:val="auto"/>
                      <w:sz w:val="21"/>
                      <w:szCs w:val="21"/>
                      <w:lang w:val="en-US" w:eastAsia="zh-CN"/>
                    </w:rPr>
                    <w:t>矿物油</w:t>
                  </w:r>
                </w:p>
              </w:tc>
            </w:tr>
            <w:tr w14:paraId="6E53B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49" w:type="pct"/>
                  <w:shd w:val="clear" w:color="auto" w:fill="auto"/>
                  <w:vAlign w:val="center"/>
                </w:tcPr>
                <w:p w14:paraId="7FDA153D">
                  <w:pPr>
                    <w:adjustRightInd w:val="0"/>
                    <w:snapToGrid w:val="0"/>
                    <w:jc w:val="center"/>
                    <w:rPr>
                      <w:rStyle w:val="135"/>
                      <w:rFonts w:hint="default" w:ascii="Times New Roman" w:hAnsi="Times New Roman" w:cs="Times New Roman"/>
                      <w:color w:val="auto"/>
                      <w:sz w:val="21"/>
                      <w:szCs w:val="21"/>
                      <w:lang w:val="en-US" w:eastAsia="zh-CN"/>
                    </w:rPr>
                  </w:pPr>
                  <w:r>
                    <w:rPr>
                      <w:rStyle w:val="135"/>
                      <w:rFonts w:hint="default" w:ascii="Times New Roman" w:hAnsi="Times New Roman" w:cs="Times New Roman"/>
                      <w:color w:val="auto"/>
                      <w:sz w:val="21"/>
                      <w:szCs w:val="21"/>
                      <w:lang w:val="en-US" w:eastAsia="zh-CN"/>
                    </w:rPr>
                    <w:t>生活垃圾</w:t>
                  </w:r>
                </w:p>
              </w:tc>
              <w:tc>
                <w:tcPr>
                  <w:tcW w:w="424" w:type="pct"/>
                  <w:shd w:val="clear" w:color="auto" w:fill="auto"/>
                  <w:vAlign w:val="center"/>
                </w:tcPr>
                <w:p w14:paraId="54C69439">
                  <w:pPr>
                    <w:adjustRightInd w:val="0"/>
                    <w:snapToGrid w:val="0"/>
                    <w:jc w:val="center"/>
                    <w:rPr>
                      <w:rStyle w:val="135"/>
                      <w:rFonts w:hint="default" w:ascii="Times New Roman" w:hAnsi="Times New Roman" w:cs="Times New Roman"/>
                      <w:color w:val="auto"/>
                      <w:sz w:val="21"/>
                      <w:szCs w:val="21"/>
                      <w:lang w:val="en-US" w:eastAsia="en-US"/>
                    </w:rPr>
                  </w:pPr>
                  <w:r>
                    <w:rPr>
                      <w:rStyle w:val="135"/>
                      <w:rFonts w:hint="default" w:ascii="Times New Roman" w:hAnsi="Times New Roman" w:cs="Times New Roman"/>
                      <w:color w:val="auto"/>
                      <w:sz w:val="21"/>
                      <w:szCs w:val="21"/>
                      <w:lang w:val="en-US" w:eastAsia="zh-CN"/>
                    </w:rPr>
                    <w:t>S</w:t>
                  </w:r>
                  <w:r>
                    <w:rPr>
                      <w:rStyle w:val="135"/>
                      <w:rFonts w:hint="eastAsia" w:cs="Times New Roman"/>
                      <w:color w:val="auto"/>
                      <w:sz w:val="21"/>
                      <w:szCs w:val="21"/>
                      <w:lang w:val="en-US" w:eastAsia="zh-CN"/>
                    </w:rPr>
                    <w:t>5</w:t>
                  </w:r>
                </w:p>
              </w:tc>
              <w:tc>
                <w:tcPr>
                  <w:tcW w:w="903" w:type="pct"/>
                  <w:shd w:val="clear" w:color="auto" w:fill="auto"/>
                  <w:vAlign w:val="center"/>
                </w:tcPr>
                <w:p w14:paraId="4859BE15">
                  <w:pPr>
                    <w:adjustRightInd w:val="0"/>
                    <w:snapToGrid w:val="0"/>
                    <w:jc w:val="center"/>
                    <w:rPr>
                      <w:rStyle w:val="135"/>
                      <w:rFonts w:hint="default" w:ascii="Times New Roman" w:hAnsi="Times New Roman" w:cs="Times New Roman"/>
                      <w:color w:val="auto"/>
                      <w:sz w:val="21"/>
                      <w:szCs w:val="21"/>
                      <w:lang w:val="en-US" w:eastAsia="en-US"/>
                    </w:rPr>
                  </w:pPr>
                  <w:r>
                    <w:rPr>
                      <w:rStyle w:val="135"/>
                      <w:rFonts w:hint="default" w:ascii="Times New Roman" w:hAnsi="Times New Roman" w:cs="Times New Roman"/>
                      <w:color w:val="auto"/>
                      <w:sz w:val="21"/>
                      <w:szCs w:val="21"/>
                      <w:lang w:val="en-US" w:eastAsia="zh-CN"/>
                    </w:rPr>
                    <w:t>生活垃圾</w:t>
                  </w:r>
                </w:p>
              </w:tc>
              <w:tc>
                <w:tcPr>
                  <w:tcW w:w="654" w:type="pct"/>
                  <w:shd w:val="clear" w:color="auto" w:fill="auto"/>
                  <w:vAlign w:val="center"/>
                </w:tcPr>
                <w:p w14:paraId="07C7EFCF">
                  <w:pPr>
                    <w:adjustRightInd w:val="0"/>
                    <w:snapToGrid w:val="0"/>
                    <w:jc w:val="center"/>
                    <w:rPr>
                      <w:rStyle w:val="135"/>
                      <w:rFonts w:hint="default" w:ascii="Times New Roman" w:hAnsi="Times New Roman" w:eastAsia="宋体" w:cs="Times New Roman"/>
                      <w:color w:val="auto"/>
                      <w:sz w:val="21"/>
                      <w:szCs w:val="21"/>
                      <w:lang w:val="en-US" w:eastAsia="en-US"/>
                    </w:rPr>
                  </w:pPr>
                  <w:r>
                    <w:rPr>
                      <w:rStyle w:val="135"/>
                      <w:rFonts w:hint="default" w:ascii="Times New Roman" w:hAnsi="Times New Roman" w:eastAsia="宋体" w:cs="Times New Roman"/>
                      <w:color w:val="auto"/>
                      <w:sz w:val="21"/>
                      <w:szCs w:val="21"/>
                      <w:lang w:val="en-US" w:eastAsia="zh-CN"/>
                    </w:rPr>
                    <w:t>工人生活</w:t>
                  </w:r>
                </w:p>
              </w:tc>
              <w:tc>
                <w:tcPr>
                  <w:tcW w:w="983" w:type="pct"/>
                  <w:shd w:val="clear" w:color="auto" w:fill="auto"/>
                  <w:vAlign w:val="center"/>
                </w:tcPr>
                <w:p w14:paraId="5378D500">
                  <w:pPr>
                    <w:adjustRightInd w:val="0"/>
                    <w:snapToGrid w:val="0"/>
                    <w:jc w:val="center"/>
                    <w:rPr>
                      <w:rStyle w:val="135"/>
                      <w:rFonts w:hint="default" w:ascii="Times New Roman" w:hAnsi="Times New Roman" w:eastAsia="宋体" w:cs="Times New Roman"/>
                      <w:color w:val="auto"/>
                      <w:sz w:val="21"/>
                      <w:szCs w:val="21"/>
                      <w:lang w:val="en-US" w:eastAsia="en-US"/>
                    </w:rPr>
                  </w:pPr>
                  <w:r>
                    <w:rPr>
                      <w:rStyle w:val="135"/>
                      <w:rFonts w:hint="default" w:ascii="Times New Roman" w:hAnsi="Times New Roman" w:eastAsia="宋体" w:cs="Times New Roman"/>
                      <w:color w:val="auto"/>
                      <w:sz w:val="21"/>
                      <w:szCs w:val="21"/>
                      <w:lang w:val="en-US" w:eastAsia="zh-CN"/>
                    </w:rPr>
                    <w:t>生活垃圾</w:t>
                  </w:r>
                </w:p>
              </w:tc>
              <w:tc>
                <w:tcPr>
                  <w:tcW w:w="1684" w:type="pct"/>
                  <w:shd w:val="clear" w:color="auto" w:fill="auto"/>
                  <w:vAlign w:val="center"/>
                </w:tcPr>
                <w:p w14:paraId="25DE334B">
                  <w:pPr>
                    <w:adjustRightInd w:val="0"/>
                    <w:snapToGrid w:val="0"/>
                    <w:jc w:val="center"/>
                    <w:rPr>
                      <w:rStyle w:val="135"/>
                      <w:rFonts w:hint="default" w:ascii="Times New Roman" w:hAnsi="Times New Roman" w:cs="Times New Roman"/>
                      <w:color w:val="auto"/>
                      <w:sz w:val="21"/>
                      <w:szCs w:val="21"/>
                      <w:lang w:val="en-US" w:eastAsia="en-US"/>
                    </w:rPr>
                  </w:pPr>
                  <w:r>
                    <w:rPr>
                      <w:rStyle w:val="135"/>
                      <w:rFonts w:hint="default" w:ascii="Times New Roman" w:hAnsi="Times New Roman" w:cs="Times New Roman"/>
                      <w:color w:val="auto"/>
                      <w:sz w:val="21"/>
                      <w:szCs w:val="21"/>
                      <w:lang w:val="en-US" w:eastAsia="zh-CN"/>
                    </w:rPr>
                    <w:t>委托环卫部门清运</w:t>
                  </w:r>
                </w:p>
              </w:tc>
            </w:tr>
            <w:tr w14:paraId="172B7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49" w:type="pct"/>
                  <w:shd w:val="clear" w:color="auto" w:fill="auto"/>
                  <w:vAlign w:val="center"/>
                </w:tcPr>
                <w:p w14:paraId="531002BF">
                  <w:pPr>
                    <w:adjustRightInd w:val="0"/>
                    <w:snapToGrid w:val="0"/>
                    <w:jc w:val="center"/>
                    <w:rPr>
                      <w:rStyle w:val="135"/>
                      <w:rFonts w:hint="default" w:ascii="Times New Roman" w:hAnsi="Times New Roman" w:cs="Times New Roman"/>
                      <w:color w:val="auto"/>
                      <w:sz w:val="21"/>
                      <w:szCs w:val="21"/>
                      <w:lang w:val="en-US" w:eastAsia="en-US"/>
                    </w:rPr>
                  </w:pPr>
                  <w:r>
                    <w:rPr>
                      <w:rStyle w:val="135"/>
                      <w:rFonts w:hint="default" w:ascii="Times New Roman" w:hAnsi="Times New Roman" w:cs="Times New Roman"/>
                      <w:color w:val="auto"/>
                      <w:sz w:val="21"/>
                      <w:szCs w:val="21"/>
                      <w:lang w:val="en-US" w:eastAsia="zh-CN"/>
                    </w:rPr>
                    <w:t>噪声</w:t>
                  </w:r>
                </w:p>
              </w:tc>
              <w:tc>
                <w:tcPr>
                  <w:tcW w:w="424" w:type="pct"/>
                  <w:shd w:val="clear" w:color="auto" w:fill="auto"/>
                  <w:vAlign w:val="center"/>
                </w:tcPr>
                <w:p w14:paraId="4E894D6B">
                  <w:pPr>
                    <w:adjustRightInd w:val="0"/>
                    <w:snapToGrid w:val="0"/>
                    <w:jc w:val="center"/>
                    <w:rPr>
                      <w:rStyle w:val="135"/>
                      <w:rFonts w:hint="eastAsia" w:ascii="Times New Roman" w:hAnsi="Times New Roman" w:cs="Times New Roman"/>
                      <w:color w:val="auto"/>
                      <w:sz w:val="21"/>
                      <w:szCs w:val="21"/>
                      <w:lang w:val="en-US" w:eastAsia="zh-CN"/>
                    </w:rPr>
                  </w:pPr>
                  <w:r>
                    <w:rPr>
                      <w:rStyle w:val="135"/>
                      <w:rFonts w:hint="eastAsia" w:ascii="Times New Roman" w:hAnsi="Times New Roman" w:cs="Times New Roman"/>
                      <w:color w:val="auto"/>
                      <w:sz w:val="21"/>
                      <w:szCs w:val="21"/>
                      <w:lang w:val="en-US" w:eastAsia="zh-CN"/>
                    </w:rPr>
                    <w:t>/</w:t>
                  </w:r>
                </w:p>
              </w:tc>
              <w:tc>
                <w:tcPr>
                  <w:tcW w:w="903" w:type="pct"/>
                  <w:shd w:val="clear" w:color="auto" w:fill="auto"/>
                  <w:vAlign w:val="center"/>
                </w:tcPr>
                <w:p w14:paraId="0E2CAD65">
                  <w:pPr>
                    <w:adjustRightInd w:val="0"/>
                    <w:snapToGrid w:val="0"/>
                    <w:jc w:val="center"/>
                    <w:rPr>
                      <w:rStyle w:val="135"/>
                      <w:rFonts w:hint="eastAsia" w:ascii="Times New Roman" w:hAnsi="Times New Roman" w:cs="Times New Roman"/>
                      <w:color w:val="auto"/>
                      <w:sz w:val="21"/>
                      <w:szCs w:val="21"/>
                      <w:lang w:val="en-US" w:eastAsia="zh-CN"/>
                    </w:rPr>
                  </w:pPr>
                  <w:r>
                    <w:rPr>
                      <w:rStyle w:val="135"/>
                      <w:rFonts w:hint="eastAsia" w:ascii="Times New Roman" w:hAnsi="Times New Roman" w:cs="Times New Roman"/>
                      <w:color w:val="auto"/>
                      <w:sz w:val="21"/>
                      <w:szCs w:val="21"/>
                      <w:lang w:val="en-US" w:eastAsia="zh-CN"/>
                    </w:rPr>
                    <w:t>/</w:t>
                  </w:r>
                </w:p>
              </w:tc>
              <w:tc>
                <w:tcPr>
                  <w:tcW w:w="654" w:type="pct"/>
                  <w:shd w:val="clear" w:color="auto" w:fill="auto"/>
                  <w:vAlign w:val="center"/>
                </w:tcPr>
                <w:p w14:paraId="1CBCED51">
                  <w:pPr>
                    <w:adjustRightInd w:val="0"/>
                    <w:snapToGrid w:val="0"/>
                    <w:jc w:val="center"/>
                    <w:rPr>
                      <w:rStyle w:val="135"/>
                      <w:rFonts w:hint="default" w:ascii="Times New Roman" w:hAnsi="Times New Roman" w:cs="Times New Roman"/>
                      <w:color w:val="auto"/>
                      <w:sz w:val="21"/>
                      <w:szCs w:val="21"/>
                      <w:lang w:val="en-US" w:eastAsia="en-US"/>
                    </w:rPr>
                  </w:pPr>
                  <w:r>
                    <w:rPr>
                      <w:rStyle w:val="135"/>
                      <w:rFonts w:hint="eastAsia" w:cs="Times New Roman"/>
                      <w:color w:val="auto"/>
                      <w:sz w:val="21"/>
                      <w:szCs w:val="21"/>
                      <w:lang w:val="en-US" w:eastAsia="zh-CN"/>
                    </w:rPr>
                    <w:t>生产</w:t>
                  </w:r>
                  <w:r>
                    <w:rPr>
                      <w:rStyle w:val="135"/>
                      <w:rFonts w:hint="default" w:ascii="Times New Roman" w:hAnsi="Times New Roman" w:cs="Times New Roman"/>
                      <w:color w:val="auto"/>
                      <w:sz w:val="21"/>
                      <w:szCs w:val="21"/>
                      <w:lang w:val="en-US" w:eastAsia="zh-CN"/>
                    </w:rPr>
                    <w:t>车间设备运行</w:t>
                  </w:r>
                </w:p>
              </w:tc>
              <w:tc>
                <w:tcPr>
                  <w:tcW w:w="983" w:type="pct"/>
                  <w:shd w:val="clear" w:color="auto" w:fill="auto"/>
                  <w:vAlign w:val="center"/>
                </w:tcPr>
                <w:p w14:paraId="561ED093">
                  <w:pPr>
                    <w:adjustRightInd w:val="0"/>
                    <w:snapToGrid w:val="0"/>
                    <w:jc w:val="center"/>
                    <w:rPr>
                      <w:rStyle w:val="135"/>
                      <w:rFonts w:hint="default" w:ascii="Times New Roman" w:hAnsi="Times New Roman" w:cs="Times New Roman"/>
                      <w:color w:val="auto"/>
                      <w:sz w:val="21"/>
                      <w:szCs w:val="21"/>
                      <w:lang w:val="en-US" w:eastAsia="en-US"/>
                    </w:rPr>
                  </w:pPr>
                  <w:r>
                    <w:rPr>
                      <w:rStyle w:val="135"/>
                      <w:rFonts w:hint="default" w:ascii="Times New Roman" w:hAnsi="Times New Roman" w:cs="Times New Roman"/>
                      <w:color w:val="auto"/>
                      <w:sz w:val="21"/>
                      <w:szCs w:val="21"/>
                      <w:lang w:val="en-US" w:eastAsia="zh-CN"/>
                    </w:rPr>
                    <w:t>主要噪声源为</w:t>
                  </w:r>
                  <w:r>
                    <w:rPr>
                      <w:rStyle w:val="135"/>
                      <w:rFonts w:hint="eastAsia" w:ascii="Times New Roman" w:hAnsi="Times New Roman" w:cs="Times New Roman"/>
                      <w:color w:val="auto"/>
                      <w:sz w:val="21"/>
                      <w:szCs w:val="21"/>
                      <w:lang w:val="en-US" w:eastAsia="zh-CN"/>
                    </w:rPr>
                    <w:t>设备噪声</w:t>
                  </w:r>
                </w:p>
              </w:tc>
              <w:tc>
                <w:tcPr>
                  <w:tcW w:w="1684" w:type="pct"/>
                  <w:shd w:val="clear" w:color="auto" w:fill="auto"/>
                  <w:vAlign w:val="center"/>
                </w:tcPr>
                <w:p w14:paraId="429E4BFD">
                  <w:pPr>
                    <w:adjustRightInd w:val="0"/>
                    <w:snapToGrid w:val="0"/>
                    <w:jc w:val="center"/>
                    <w:rPr>
                      <w:rStyle w:val="135"/>
                      <w:rFonts w:hint="default" w:ascii="Times New Roman" w:hAnsi="Times New Roman" w:cs="Times New Roman"/>
                      <w:color w:val="auto"/>
                      <w:sz w:val="21"/>
                      <w:szCs w:val="21"/>
                      <w:lang w:val="en-US" w:eastAsia="en-US"/>
                    </w:rPr>
                  </w:pPr>
                  <w:r>
                    <w:rPr>
                      <w:rStyle w:val="135"/>
                      <w:rFonts w:hint="default" w:ascii="Times New Roman" w:hAnsi="Times New Roman" w:cs="Times New Roman"/>
                      <w:color w:val="auto"/>
                      <w:sz w:val="21"/>
                      <w:szCs w:val="21"/>
                      <w:lang w:val="en-US" w:eastAsia="zh-CN"/>
                    </w:rPr>
                    <w:t>安装设备减振垫、隔声门窗，达标排放</w:t>
                  </w:r>
                </w:p>
              </w:tc>
            </w:tr>
          </w:tbl>
          <w:p w14:paraId="0A401905">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p>
        </w:tc>
      </w:tr>
      <w:tr w14:paraId="0AC0F9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14" w:hRule="atLeast"/>
          <w:jc w:val="center"/>
        </w:trPr>
        <w:tc>
          <w:tcPr>
            <w:tcW w:w="324" w:type="pct"/>
            <w:vAlign w:val="center"/>
          </w:tcPr>
          <w:p w14:paraId="59332108">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与项目有关的原有环境污染问题</w:t>
            </w:r>
          </w:p>
        </w:tc>
        <w:tc>
          <w:tcPr>
            <w:tcW w:w="4675" w:type="pct"/>
            <w:vAlign w:val="center"/>
          </w:tcPr>
          <w:p w14:paraId="1987216D">
            <w:pPr>
              <w:pStyle w:val="37"/>
              <w:spacing w:after="0" w:line="360" w:lineRule="auto"/>
              <w:ind w:left="0" w:leftChars="0"/>
              <w:rPr>
                <w:rFonts w:hint="default" w:ascii="Times New Roman" w:hAnsi="Times New Roman" w:eastAsia="宋体" w:cs="Times New Roman"/>
                <w:color w:val="000000" w:themeColor="text1"/>
                <w:szCs w:val="18"/>
                <w14:textFill>
                  <w14:solidFill>
                    <w14:schemeClr w14:val="tx1"/>
                  </w14:solidFill>
                </w14:textFill>
              </w:rPr>
            </w:pPr>
          </w:p>
          <w:p w14:paraId="701A0D30">
            <w:pPr>
              <w:pStyle w:val="37"/>
              <w:spacing w:after="0" w:line="360" w:lineRule="auto"/>
              <w:ind w:left="0" w:leftChars="0"/>
              <w:rPr>
                <w:rFonts w:hint="default" w:ascii="Times New Roman" w:hAnsi="Times New Roman" w:eastAsia="宋体" w:cs="Times New Roman"/>
                <w:color w:val="000000" w:themeColor="text1"/>
                <w:szCs w:val="18"/>
                <w14:textFill>
                  <w14:solidFill>
                    <w14:schemeClr w14:val="tx1"/>
                  </w14:solidFill>
                </w14:textFill>
              </w:rPr>
            </w:pPr>
          </w:p>
          <w:p w14:paraId="3278EC4A">
            <w:pPr>
              <w:pStyle w:val="37"/>
              <w:spacing w:after="0" w:line="360" w:lineRule="auto"/>
              <w:ind w:left="0" w:leftChars="0"/>
              <w:rPr>
                <w:rFonts w:hint="default" w:ascii="Times New Roman" w:hAnsi="Times New Roman" w:eastAsia="宋体" w:cs="Times New Roman"/>
                <w:color w:val="000000" w:themeColor="text1"/>
                <w:szCs w:val="18"/>
                <w14:textFill>
                  <w14:solidFill>
                    <w14:schemeClr w14:val="tx1"/>
                  </w14:solidFill>
                </w14:textFill>
              </w:rPr>
            </w:pPr>
          </w:p>
          <w:p w14:paraId="640DA47A">
            <w:pPr>
              <w:pStyle w:val="37"/>
              <w:spacing w:after="0" w:line="360" w:lineRule="auto"/>
              <w:ind w:left="0" w:leftChars="0"/>
              <w:rPr>
                <w:rFonts w:hint="default" w:ascii="Times New Roman" w:hAnsi="Times New Roman" w:eastAsia="宋体" w:cs="Times New Roman"/>
                <w:color w:val="000000" w:themeColor="text1"/>
                <w:szCs w:val="18"/>
                <w14:textFill>
                  <w14:solidFill>
                    <w14:schemeClr w14:val="tx1"/>
                  </w14:solidFill>
                </w14:textFill>
              </w:rPr>
            </w:pPr>
          </w:p>
          <w:p w14:paraId="7A6BD51A">
            <w:pPr>
              <w:pStyle w:val="37"/>
              <w:spacing w:after="0" w:line="360" w:lineRule="auto"/>
              <w:ind w:left="0" w:leftChars="0"/>
              <w:rPr>
                <w:rFonts w:hint="default" w:ascii="Times New Roman" w:hAnsi="Times New Roman" w:eastAsia="宋体" w:cs="Times New Roman"/>
                <w:color w:val="000000" w:themeColor="text1"/>
                <w:szCs w:val="18"/>
                <w14:textFill>
                  <w14:solidFill>
                    <w14:schemeClr w14:val="tx1"/>
                  </w14:solidFill>
                </w14:textFill>
              </w:rPr>
            </w:pPr>
          </w:p>
          <w:p w14:paraId="15DB3F28">
            <w:pPr>
              <w:pStyle w:val="37"/>
              <w:spacing w:after="0" w:line="360" w:lineRule="auto"/>
              <w:ind w:left="0" w:leftChars="0" w:firstLine="48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本项目为新建项目，利用现有厂房，不存在与本项目有关的原有污染情况及主要环境问题。</w:t>
            </w:r>
          </w:p>
          <w:p w14:paraId="1712ACFD">
            <w:pPr>
              <w:pStyle w:val="37"/>
              <w:spacing w:after="0" w:line="360" w:lineRule="auto"/>
              <w:ind w:left="0" w:leftChars="0"/>
              <w:rPr>
                <w:rFonts w:hint="default" w:ascii="Times New Roman" w:hAnsi="Times New Roman" w:eastAsia="宋体" w:cs="Times New Roman"/>
                <w:color w:val="000000" w:themeColor="text1"/>
                <w:szCs w:val="18"/>
                <w14:textFill>
                  <w14:solidFill>
                    <w14:schemeClr w14:val="tx1"/>
                  </w14:solidFill>
                </w14:textFill>
              </w:rPr>
            </w:pPr>
          </w:p>
          <w:p w14:paraId="42831604">
            <w:pPr>
              <w:pStyle w:val="37"/>
              <w:spacing w:after="0" w:line="360" w:lineRule="auto"/>
              <w:ind w:left="0" w:leftChars="0"/>
              <w:rPr>
                <w:rFonts w:hint="default" w:ascii="Times New Roman" w:hAnsi="Times New Roman" w:eastAsia="宋体" w:cs="Times New Roman"/>
                <w:color w:val="000000" w:themeColor="text1"/>
                <w:szCs w:val="18"/>
                <w14:textFill>
                  <w14:solidFill>
                    <w14:schemeClr w14:val="tx1"/>
                  </w14:solidFill>
                </w14:textFill>
              </w:rPr>
            </w:pPr>
          </w:p>
          <w:p w14:paraId="39F06275">
            <w:pPr>
              <w:pStyle w:val="37"/>
              <w:spacing w:after="0" w:line="360" w:lineRule="auto"/>
              <w:ind w:left="0" w:leftChars="0" w:firstLine="0" w:firstLineChars="0"/>
              <w:rPr>
                <w:rFonts w:hint="default" w:ascii="Times New Roman" w:hAnsi="Times New Roman" w:eastAsia="宋体" w:cs="Times New Roman"/>
                <w:color w:val="000000" w:themeColor="text1"/>
                <w:szCs w:val="18"/>
                <w14:textFill>
                  <w14:solidFill>
                    <w14:schemeClr w14:val="tx1"/>
                  </w14:solidFill>
                </w14:textFill>
              </w:rPr>
            </w:pPr>
          </w:p>
          <w:p w14:paraId="55FDF586">
            <w:pPr>
              <w:pStyle w:val="18"/>
              <w:adjustRightInd w:val="0"/>
              <w:snapToGrid w:val="0"/>
              <w:spacing w:line="360" w:lineRule="auto"/>
              <w:rPr>
                <w:rFonts w:hint="default" w:ascii="Times New Roman" w:hAnsi="Times New Roman" w:eastAsia="宋体" w:cs="Times New Roman"/>
                <w:color w:val="000000" w:themeColor="text1"/>
                <w:kern w:val="0"/>
                <w:szCs w:val="21"/>
                <w14:textFill>
                  <w14:solidFill>
                    <w14:schemeClr w14:val="tx1"/>
                  </w14:solidFill>
                </w14:textFill>
              </w:rPr>
            </w:pPr>
          </w:p>
        </w:tc>
      </w:tr>
    </w:tbl>
    <w:p w14:paraId="282D01EB">
      <w:pPr>
        <w:pStyle w:val="33"/>
        <w:jc w:val="center"/>
        <w:outlineLvl w:val="0"/>
        <w:rPr>
          <w:rFonts w:hint="default" w:ascii="Times New Roman" w:hAnsi="Times New Roman" w:eastAsia="宋体" w:cs="Times New Roman"/>
          <w:snapToGrid w:val="0"/>
          <w:color w:val="000000" w:themeColor="text1"/>
          <w:sz w:val="30"/>
          <w:szCs w:val="30"/>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br w:type="page"/>
      </w:r>
      <w:r>
        <w:rPr>
          <w:rFonts w:hint="default" w:ascii="Times New Roman" w:hAnsi="Times New Roman" w:eastAsia="宋体" w:cs="Times New Roman"/>
          <w:snapToGrid w:val="0"/>
          <w:color w:val="000000" w:themeColor="text1"/>
          <w:sz w:val="30"/>
          <w:szCs w:val="30"/>
          <w14:textFill>
            <w14:solidFill>
              <w14:schemeClr w14:val="tx1"/>
            </w14:solidFill>
          </w14:textFill>
        </w:rPr>
        <w:t>三、区域环境质量现状、环境保护目标及评价标准</w:t>
      </w:r>
    </w:p>
    <w:tbl>
      <w:tblPr>
        <w:tblStyle w:val="38"/>
        <w:tblW w:w="526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22"/>
        <w:gridCol w:w="8916"/>
      </w:tblGrid>
      <w:tr w14:paraId="69A44B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326" w:type="pct"/>
            <w:vAlign w:val="center"/>
          </w:tcPr>
          <w:p w14:paraId="61AF66DE">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区域环境质量现状</w:t>
            </w:r>
          </w:p>
        </w:tc>
        <w:tc>
          <w:tcPr>
            <w:tcW w:w="4673" w:type="pct"/>
            <w:vAlign w:val="center"/>
          </w:tcPr>
          <w:p w14:paraId="210A2BF7">
            <w:pPr>
              <w:adjustRightInd w:val="0"/>
              <w:snapToGrid w:val="0"/>
              <w:spacing w:line="360" w:lineRule="auto"/>
              <w:ind w:firstLine="482"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1、大气环境</w:t>
            </w:r>
          </w:p>
          <w:p w14:paraId="1E4569FD">
            <w:pPr>
              <w:adjustRightInd w:val="0"/>
              <w:snapToGrid w:val="0"/>
              <w:spacing w:line="360" w:lineRule="auto"/>
              <w:ind w:firstLine="480" w:firstLineChars="200"/>
              <w:rPr>
                <w:rFonts w:hint="default" w:ascii="Times New Roman" w:hAnsi="Times New Roman" w:eastAsia="宋体" w:cs="Times New Roman"/>
                <w:color w:val="000000" w:themeColor="text1"/>
                <w:sz w:val="24"/>
                <w:lang w:val="zh-CN"/>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根据《2024年12月份及全年环境空气质量情况通报》（2025年1月27日），2024年，全市良好天数238天（国控），同比增加19天。重污染天数4天，同比减少4天。其中，二氧化硫（SO</w:t>
            </w:r>
            <w:r>
              <w:rPr>
                <w:rFonts w:hint="default" w:ascii="Times New Roman" w:hAnsi="Times New Roman" w:eastAsia="宋体" w:cs="Times New Roman"/>
                <w:bCs/>
                <w:color w:val="000000" w:themeColor="text1"/>
                <w:sz w:val="24"/>
                <w:vertAlign w:val="subscript"/>
                <w14:textFill>
                  <w14:solidFill>
                    <w14:schemeClr w14:val="tx1"/>
                  </w14:solidFill>
                </w14:textFill>
              </w:rPr>
              <w:t>2</w:t>
            </w:r>
            <w:r>
              <w:rPr>
                <w:rFonts w:hint="default" w:ascii="Times New Roman" w:hAnsi="Times New Roman" w:eastAsia="宋体" w:cs="Times New Roman"/>
                <w:bCs/>
                <w:color w:val="000000" w:themeColor="text1"/>
                <w:sz w:val="24"/>
                <w14:textFill>
                  <w14:solidFill>
                    <w14:schemeClr w14:val="tx1"/>
                  </w14:solidFill>
                </w14:textFill>
              </w:rPr>
              <w:t>）13微克/立方米，同比恶化8.3%；二氧化氮（NO</w:t>
            </w:r>
            <w:r>
              <w:rPr>
                <w:rFonts w:hint="default" w:ascii="Times New Roman" w:hAnsi="Times New Roman" w:eastAsia="宋体" w:cs="Times New Roman"/>
                <w:bCs/>
                <w:color w:val="000000" w:themeColor="text1"/>
                <w:sz w:val="24"/>
                <w:vertAlign w:val="subscript"/>
                <w14:textFill>
                  <w14:solidFill>
                    <w14:schemeClr w14:val="tx1"/>
                  </w14:solidFill>
                </w14:textFill>
              </w:rPr>
              <w:t>2</w:t>
            </w:r>
            <w:r>
              <w:rPr>
                <w:rFonts w:hint="default" w:ascii="Times New Roman" w:hAnsi="Times New Roman" w:eastAsia="宋体" w:cs="Times New Roman"/>
                <w:bCs/>
                <w:color w:val="000000" w:themeColor="text1"/>
                <w:sz w:val="24"/>
                <w14:textFill>
                  <w14:solidFill>
                    <w14:schemeClr w14:val="tx1"/>
                  </w14:solidFill>
                </w14:textFill>
              </w:rPr>
              <w:t>）33微克/立方米，同比改善2.9%；可吸入颗粒物（PM</w:t>
            </w:r>
            <w:r>
              <w:rPr>
                <w:rFonts w:hint="default" w:ascii="Times New Roman" w:hAnsi="Times New Roman" w:eastAsia="宋体" w:cs="Times New Roman"/>
                <w:bCs/>
                <w:color w:val="000000" w:themeColor="text1"/>
                <w:sz w:val="24"/>
                <w:vertAlign w:val="subscript"/>
                <w14:textFill>
                  <w14:solidFill>
                    <w14:schemeClr w14:val="tx1"/>
                  </w14:solidFill>
                </w14:textFill>
              </w:rPr>
              <w:t>10</w:t>
            </w:r>
            <w:r>
              <w:rPr>
                <w:rFonts w:hint="default" w:ascii="Times New Roman" w:hAnsi="Times New Roman" w:eastAsia="宋体" w:cs="Times New Roman"/>
                <w:bCs/>
                <w:color w:val="000000" w:themeColor="text1"/>
                <w:sz w:val="24"/>
                <w14:textFill>
                  <w14:solidFill>
                    <w14:schemeClr w14:val="tx1"/>
                  </w14:solidFill>
                </w14:textFill>
              </w:rPr>
              <w:t>）69微克/立方米，同比改善8.0%；细颗粒物（PM</w:t>
            </w:r>
            <w:r>
              <w:rPr>
                <w:rFonts w:hint="default" w:ascii="Times New Roman" w:hAnsi="Times New Roman" w:eastAsia="宋体" w:cs="Times New Roman"/>
                <w:bCs/>
                <w:color w:val="000000" w:themeColor="text1"/>
                <w:sz w:val="24"/>
                <w:vertAlign w:val="subscript"/>
                <w14:textFill>
                  <w14:solidFill>
                    <w14:schemeClr w14:val="tx1"/>
                  </w14:solidFill>
                </w14:textFill>
              </w:rPr>
              <w:t>2.5</w:t>
            </w:r>
            <w:r>
              <w:rPr>
                <w:rFonts w:hint="default" w:ascii="Times New Roman" w:hAnsi="Times New Roman" w:eastAsia="宋体" w:cs="Times New Roman"/>
                <w:bCs/>
                <w:color w:val="000000" w:themeColor="text1"/>
                <w:sz w:val="24"/>
                <w14:textFill>
                  <w14:solidFill>
                    <w14:schemeClr w14:val="tx1"/>
                  </w14:solidFill>
                </w14:textFill>
              </w:rPr>
              <w:t>）40微克/立方米，同比改善2.4%；一氧化碳（CO）1.2毫克/立方米，同比恶化9.1%；臭氧（O</w:t>
            </w:r>
            <w:r>
              <w:rPr>
                <w:rFonts w:hint="default" w:ascii="Times New Roman" w:hAnsi="Times New Roman" w:eastAsia="宋体" w:cs="Times New Roman"/>
                <w:bCs/>
                <w:color w:val="000000" w:themeColor="text1"/>
                <w:sz w:val="24"/>
                <w:vertAlign w:val="subscript"/>
                <w14:textFill>
                  <w14:solidFill>
                    <w14:schemeClr w14:val="tx1"/>
                  </w14:solidFill>
                </w14:textFill>
              </w:rPr>
              <w:t>3</w:t>
            </w:r>
            <w:r>
              <w:rPr>
                <w:rFonts w:hint="default" w:ascii="Times New Roman" w:hAnsi="Times New Roman" w:eastAsia="宋体" w:cs="Times New Roman"/>
                <w:bCs/>
                <w:color w:val="000000" w:themeColor="text1"/>
                <w:sz w:val="24"/>
                <w14:textFill>
                  <w14:solidFill>
                    <w14:schemeClr w14:val="tx1"/>
                  </w14:solidFill>
                </w14:textFill>
              </w:rPr>
              <w:t>）194克/立方米，同比改善2.0%。全市综合指数为4.68，同比改善2.7%。2024年张店区环境空气质量数据如下</w:t>
            </w:r>
            <w:r>
              <w:rPr>
                <w:rFonts w:hint="default" w:ascii="Times New Roman" w:hAnsi="Times New Roman" w:eastAsia="宋体" w:cs="Times New Roman"/>
                <w:color w:val="000000" w:themeColor="text1"/>
                <w:sz w:val="24"/>
                <w:lang w:val="zh-CN"/>
                <w14:textFill>
                  <w14:solidFill>
                    <w14:schemeClr w14:val="tx1"/>
                  </w14:solidFill>
                </w14:textFill>
              </w:rPr>
              <w:t>。</w:t>
            </w:r>
          </w:p>
          <w:p w14:paraId="67FFDEC8">
            <w:pPr>
              <w:adjustRightInd w:val="0"/>
              <w:snapToGrid w:val="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表3-1环境空气质量状况一览表（μg/m</w:t>
            </w:r>
            <w:r>
              <w:rPr>
                <w:rFonts w:hint="default" w:ascii="Times New Roman" w:hAnsi="Times New Roman" w:eastAsia="宋体" w:cs="Times New Roman"/>
                <w:b/>
                <w:bCs/>
                <w:color w:val="000000" w:themeColor="text1"/>
                <w:vertAlign w:val="superscript"/>
                <w14:textFill>
                  <w14:solidFill>
                    <w14:schemeClr w14:val="tx1"/>
                  </w14:solidFill>
                </w14:textFill>
              </w:rPr>
              <w:t>3</w:t>
            </w:r>
            <w:r>
              <w:rPr>
                <w:rFonts w:hint="default" w:ascii="Times New Roman" w:hAnsi="Times New Roman" w:eastAsia="宋体" w:cs="Times New Roman"/>
                <w:b/>
                <w:bCs/>
                <w:color w:val="000000" w:themeColor="text1"/>
                <w14:textFill>
                  <w14:solidFill>
                    <w14:schemeClr w14:val="tx1"/>
                  </w14:solidFill>
                </w14:textFill>
              </w:rPr>
              <w:t>）</w:t>
            </w:r>
          </w:p>
          <w:tbl>
            <w:tblPr>
              <w:tblStyle w:val="38"/>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79"/>
              <w:gridCol w:w="2984"/>
              <w:gridCol w:w="1195"/>
              <w:gridCol w:w="1106"/>
              <w:gridCol w:w="954"/>
              <w:gridCol w:w="1047"/>
            </w:tblGrid>
            <w:tr w14:paraId="582982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795" w:type="pct"/>
                  <w:tcBorders>
                    <w:tl2br w:val="nil"/>
                    <w:tr2bl w:val="nil"/>
                  </w:tcBorders>
                  <w:vAlign w:val="center"/>
                </w:tcPr>
                <w:p w14:paraId="5E12909F">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污染物</w:t>
                  </w:r>
                </w:p>
              </w:tc>
              <w:tc>
                <w:tcPr>
                  <w:tcW w:w="1721" w:type="pct"/>
                  <w:tcBorders>
                    <w:tl2br w:val="nil"/>
                    <w:tr2bl w:val="nil"/>
                  </w:tcBorders>
                  <w:vAlign w:val="center"/>
                </w:tcPr>
                <w:p w14:paraId="0943082B">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年评价指标</w:t>
                  </w:r>
                </w:p>
              </w:tc>
              <w:tc>
                <w:tcPr>
                  <w:tcW w:w="689" w:type="pct"/>
                  <w:tcBorders>
                    <w:tl2br w:val="nil"/>
                    <w:tr2bl w:val="nil"/>
                  </w:tcBorders>
                  <w:vAlign w:val="center"/>
                </w:tcPr>
                <w:p w14:paraId="6B9D1C61">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现状浓度</w:t>
                  </w:r>
                </w:p>
              </w:tc>
              <w:tc>
                <w:tcPr>
                  <w:tcW w:w="638" w:type="pct"/>
                  <w:tcBorders>
                    <w:tl2br w:val="nil"/>
                    <w:tr2bl w:val="nil"/>
                  </w:tcBorders>
                  <w:vAlign w:val="center"/>
                </w:tcPr>
                <w:p w14:paraId="0556AF60">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评价标准</w:t>
                  </w:r>
                </w:p>
              </w:tc>
              <w:tc>
                <w:tcPr>
                  <w:tcW w:w="550" w:type="pct"/>
                  <w:tcBorders>
                    <w:tl2br w:val="nil"/>
                    <w:tr2bl w:val="nil"/>
                  </w:tcBorders>
                  <w:vAlign w:val="center"/>
                </w:tcPr>
                <w:p w14:paraId="6992AC58">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占标率</w:t>
                  </w:r>
                </w:p>
              </w:tc>
              <w:tc>
                <w:tcPr>
                  <w:tcW w:w="604" w:type="pct"/>
                  <w:tcBorders>
                    <w:tl2br w:val="nil"/>
                    <w:tr2bl w:val="nil"/>
                  </w:tcBorders>
                  <w:vAlign w:val="center"/>
                </w:tcPr>
                <w:p w14:paraId="3AEAAE32">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达标情况</w:t>
                  </w:r>
                </w:p>
              </w:tc>
            </w:tr>
            <w:tr w14:paraId="3DFE68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795" w:type="pct"/>
                  <w:tcBorders>
                    <w:tl2br w:val="nil"/>
                    <w:tr2bl w:val="nil"/>
                  </w:tcBorders>
                  <w:vAlign w:val="center"/>
                </w:tcPr>
                <w:p w14:paraId="4B736278">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SO</w:t>
                  </w:r>
                  <w:r>
                    <w:rPr>
                      <w:rFonts w:hint="default" w:ascii="Times New Roman" w:hAnsi="Times New Roman" w:eastAsia="宋体" w:cs="Times New Roman"/>
                      <w:color w:val="000000" w:themeColor="text1"/>
                      <w:szCs w:val="21"/>
                      <w:vertAlign w:val="subscript"/>
                      <w14:textFill>
                        <w14:solidFill>
                          <w14:schemeClr w14:val="tx1"/>
                        </w14:solidFill>
                      </w14:textFill>
                    </w:rPr>
                    <w:t>2</w:t>
                  </w:r>
                </w:p>
              </w:tc>
              <w:tc>
                <w:tcPr>
                  <w:tcW w:w="1721" w:type="pct"/>
                  <w:tcBorders>
                    <w:tl2br w:val="nil"/>
                    <w:tr2bl w:val="nil"/>
                  </w:tcBorders>
                  <w:vAlign w:val="center"/>
                </w:tcPr>
                <w:p w14:paraId="24956DF0">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年平均质量标准</w:t>
                  </w:r>
                </w:p>
              </w:tc>
              <w:tc>
                <w:tcPr>
                  <w:tcW w:w="689" w:type="pct"/>
                  <w:tcBorders>
                    <w:tl2br w:val="nil"/>
                    <w:tr2bl w:val="nil"/>
                  </w:tcBorders>
                  <w:shd w:val="clear" w:color="auto" w:fill="auto"/>
                  <w:vAlign w:val="center"/>
                </w:tcPr>
                <w:p w14:paraId="13A74996">
                  <w:pPr>
                    <w:widowControl/>
                    <w:spacing w:line="240" w:lineRule="atLeas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12</w:t>
                  </w:r>
                </w:p>
              </w:tc>
              <w:tc>
                <w:tcPr>
                  <w:tcW w:w="638" w:type="pct"/>
                  <w:tcBorders>
                    <w:tl2br w:val="nil"/>
                    <w:tr2bl w:val="nil"/>
                  </w:tcBorders>
                  <w:vAlign w:val="center"/>
                </w:tcPr>
                <w:p w14:paraId="13BEB837">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60</w:t>
                  </w:r>
                </w:p>
              </w:tc>
              <w:tc>
                <w:tcPr>
                  <w:tcW w:w="550" w:type="pct"/>
                  <w:tcBorders>
                    <w:tl2br w:val="nil"/>
                    <w:tr2bl w:val="nil"/>
                  </w:tcBorders>
                  <w:vAlign w:val="center"/>
                </w:tcPr>
                <w:p w14:paraId="16ADDCB7">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20.0%</w:t>
                  </w:r>
                </w:p>
              </w:tc>
              <w:tc>
                <w:tcPr>
                  <w:tcW w:w="604" w:type="pct"/>
                  <w:tcBorders>
                    <w:tl2br w:val="nil"/>
                    <w:tr2bl w:val="nil"/>
                  </w:tcBorders>
                  <w:vAlign w:val="center"/>
                </w:tcPr>
                <w:p w14:paraId="26F91DF1">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达标</w:t>
                  </w:r>
                </w:p>
              </w:tc>
            </w:tr>
            <w:tr w14:paraId="3D0670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795" w:type="pct"/>
                  <w:tcBorders>
                    <w:tl2br w:val="nil"/>
                    <w:tr2bl w:val="nil"/>
                  </w:tcBorders>
                  <w:vAlign w:val="center"/>
                </w:tcPr>
                <w:p w14:paraId="640116FF">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NO</w:t>
                  </w:r>
                  <w:r>
                    <w:rPr>
                      <w:rFonts w:hint="default" w:ascii="Times New Roman" w:hAnsi="Times New Roman" w:eastAsia="宋体" w:cs="Times New Roman"/>
                      <w:color w:val="000000" w:themeColor="text1"/>
                      <w:szCs w:val="21"/>
                      <w:vertAlign w:val="subscript"/>
                      <w14:textFill>
                        <w14:solidFill>
                          <w14:schemeClr w14:val="tx1"/>
                        </w14:solidFill>
                      </w14:textFill>
                    </w:rPr>
                    <w:t>2</w:t>
                  </w:r>
                </w:p>
              </w:tc>
              <w:tc>
                <w:tcPr>
                  <w:tcW w:w="1721" w:type="pct"/>
                  <w:tcBorders>
                    <w:tl2br w:val="nil"/>
                    <w:tr2bl w:val="nil"/>
                  </w:tcBorders>
                  <w:vAlign w:val="center"/>
                </w:tcPr>
                <w:p w14:paraId="18DC100D">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年平均质量标准</w:t>
                  </w:r>
                </w:p>
              </w:tc>
              <w:tc>
                <w:tcPr>
                  <w:tcW w:w="689" w:type="pct"/>
                  <w:tcBorders>
                    <w:tl2br w:val="nil"/>
                    <w:tr2bl w:val="nil"/>
                  </w:tcBorders>
                  <w:shd w:val="clear" w:color="auto" w:fill="auto"/>
                  <w:vAlign w:val="center"/>
                </w:tcPr>
                <w:p w14:paraId="4D608D47">
                  <w:pPr>
                    <w:widowControl/>
                    <w:spacing w:line="240" w:lineRule="atLeas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32</w:t>
                  </w:r>
                </w:p>
              </w:tc>
              <w:tc>
                <w:tcPr>
                  <w:tcW w:w="638" w:type="pct"/>
                  <w:tcBorders>
                    <w:tl2br w:val="nil"/>
                    <w:tr2bl w:val="nil"/>
                  </w:tcBorders>
                  <w:vAlign w:val="center"/>
                </w:tcPr>
                <w:p w14:paraId="0C18AC5F">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60</w:t>
                  </w:r>
                </w:p>
              </w:tc>
              <w:tc>
                <w:tcPr>
                  <w:tcW w:w="550" w:type="pct"/>
                  <w:tcBorders>
                    <w:tl2br w:val="nil"/>
                    <w:tr2bl w:val="nil"/>
                  </w:tcBorders>
                  <w:vAlign w:val="center"/>
                </w:tcPr>
                <w:p w14:paraId="2999683E">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53.3%</w:t>
                  </w:r>
                </w:p>
              </w:tc>
              <w:tc>
                <w:tcPr>
                  <w:tcW w:w="604" w:type="pct"/>
                  <w:tcBorders>
                    <w:tl2br w:val="nil"/>
                    <w:tr2bl w:val="nil"/>
                  </w:tcBorders>
                  <w:vAlign w:val="center"/>
                </w:tcPr>
                <w:p w14:paraId="7D40E10B">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达标</w:t>
                  </w:r>
                </w:p>
              </w:tc>
            </w:tr>
            <w:tr w14:paraId="06EC17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795" w:type="pct"/>
                  <w:tcBorders>
                    <w:tl2br w:val="nil"/>
                    <w:tr2bl w:val="nil"/>
                  </w:tcBorders>
                  <w:vAlign w:val="center"/>
                </w:tcPr>
                <w:p w14:paraId="3B29557B">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PM</w:t>
                  </w:r>
                  <w:r>
                    <w:rPr>
                      <w:rFonts w:hint="default" w:ascii="Times New Roman" w:hAnsi="Times New Roman" w:eastAsia="宋体" w:cs="Times New Roman"/>
                      <w:color w:val="000000" w:themeColor="text1"/>
                      <w:szCs w:val="21"/>
                      <w:vertAlign w:val="subscript"/>
                      <w14:textFill>
                        <w14:solidFill>
                          <w14:schemeClr w14:val="tx1"/>
                        </w14:solidFill>
                      </w14:textFill>
                    </w:rPr>
                    <w:t>10</w:t>
                  </w:r>
                </w:p>
              </w:tc>
              <w:tc>
                <w:tcPr>
                  <w:tcW w:w="1721" w:type="pct"/>
                  <w:tcBorders>
                    <w:tl2br w:val="nil"/>
                    <w:tr2bl w:val="nil"/>
                  </w:tcBorders>
                  <w:vAlign w:val="center"/>
                </w:tcPr>
                <w:p w14:paraId="3BC112AC">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年平均质量标准</w:t>
                  </w:r>
                </w:p>
              </w:tc>
              <w:tc>
                <w:tcPr>
                  <w:tcW w:w="689" w:type="pct"/>
                  <w:tcBorders>
                    <w:tl2br w:val="nil"/>
                    <w:tr2bl w:val="nil"/>
                  </w:tcBorders>
                  <w:shd w:val="clear" w:color="auto" w:fill="auto"/>
                  <w:vAlign w:val="center"/>
                </w:tcPr>
                <w:p w14:paraId="78F612CB">
                  <w:pPr>
                    <w:widowControl/>
                    <w:spacing w:line="240" w:lineRule="atLeas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68</w:t>
                  </w:r>
                </w:p>
              </w:tc>
              <w:tc>
                <w:tcPr>
                  <w:tcW w:w="638" w:type="pct"/>
                  <w:tcBorders>
                    <w:tl2br w:val="nil"/>
                    <w:tr2bl w:val="nil"/>
                  </w:tcBorders>
                  <w:vAlign w:val="center"/>
                </w:tcPr>
                <w:p w14:paraId="133BEC70">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70</w:t>
                  </w:r>
                </w:p>
              </w:tc>
              <w:tc>
                <w:tcPr>
                  <w:tcW w:w="550" w:type="pct"/>
                  <w:tcBorders>
                    <w:tl2br w:val="nil"/>
                    <w:tr2bl w:val="nil"/>
                  </w:tcBorders>
                  <w:vAlign w:val="center"/>
                </w:tcPr>
                <w:p w14:paraId="7CEA2D5F">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97.1%</w:t>
                  </w:r>
                </w:p>
              </w:tc>
              <w:tc>
                <w:tcPr>
                  <w:tcW w:w="604" w:type="pct"/>
                  <w:tcBorders>
                    <w:tl2br w:val="nil"/>
                    <w:tr2bl w:val="nil"/>
                  </w:tcBorders>
                  <w:vAlign w:val="center"/>
                </w:tcPr>
                <w:p w14:paraId="3EDB878E">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达标</w:t>
                  </w:r>
                </w:p>
              </w:tc>
            </w:tr>
            <w:tr w14:paraId="0B9F06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795" w:type="pct"/>
                  <w:tcBorders>
                    <w:tl2br w:val="nil"/>
                    <w:tr2bl w:val="nil"/>
                  </w:tcBorders>
                  <w:vAlign w:val="center"/>
                </w:tcPr>
                <w:p w14:paraId="2A57C6F7">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PM</w:t>
                  </w:r>
                  <w:r>
                    <w:rPr>
                      <w:rFonts w:hint="default" w:ascii="Times New Roman" w:hAnsi="Times New Roman" w:eastAsia="宋体" w:cs="Times New Roman"/>
                      <w:color w:val="000000" w:themeColor="text1"/>
                      <w:szCs w:val="21"/>
                      <w:vertAlign w:val="subscript"/>
                      <w14:textFill>
                        <w14:solidFill>
                          <w14:schemeClr w14:val="tx1"/>
                        </w14:solidFill>
                      </w14:textFill>
                    </w:rPr>
                    <w:t>2.5</w:t>
                  </w:r>
                </w:p>
              </w:tc>
              <w:tc>
                <w:tcPr>
                  <w:tcW w:w="1721" w:type="pct"/>
                  <w:tcBorders>
                    <w:tl2br w:val="nil"/>
                    <w:tr2bl w:val="nil"/>
                  </w:tcBorders>
                  <w:vAlign w:val="center"/>
                </w:tcPr>
                <w:p w14:paraId="0478BDA3">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年平均质量标准</w:t>
                  </w:r>
                </w:p>
              </w:tc>
              <w:tc>
                <w:tcPr>
                  <w:tcW w:w="689" w:type="pct"/>
                  <w:tcBorders>
                    <w:tl2br w:val="nil"/>
                    <w:tr2bl w:val="nil"/>
                  </w:tcBorders>
                  <w:shd w:val="clear" w:color="auto" w:fill="auto"/>
                  <w:vAlign w:val="center"/>
                </w:tcPr>
                <w:p w14:paraId="270FC9C4">
                  <w:pPr>
                    <w:widowControl/>
                    <w:spacing w:line="240" w:lineRule="atLeas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40</w:t>
                  </w:r>
                </w:p>
              </w:tc>
              <w:tc>
                <w:tcPr>
                  <w:tcW w:w="638" w:type="pct"/>
                  <w:tcBorders>
                    <w:tl2br w:val="nil"/>
                    <w:tr2bl w:val="nil"/>
                  </w:tcBorders>
                  <w:vAlign w:val="center"/>
                </w:tcPr>
                <w:p w14:paraId="23BC3CD8">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35</w:t>
                  </w:r>
                </w:p>
              </w:tc>
              <w:tc>
                <w:tcPr>
                  <w:tcW w:w="550" w:type="pct"/>
                  <w:tcBorders>
                    <w:tl2br w:val="nil"/>
                    <w:tr2bl w:val="nil"/>
                  </w:tcBorders>
                  <w:vAlign w:val="center"/>
                </w:tcPr>
                <w:p w14:paraId="0776FFBE">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114.3%</w:t>
                  </w:r>
                </w:p>
              </w:tc>
              <w:tc>
                <w:tcPr>
                  <w:tcW w:w="604" w:type="pct"/>
                  <w:tcBorders>
                    <w:tl2br w:val="nil"/>
                    <w:tr2bl w:val="nil"/>
                  </w:tcBorders>
                  <w:vAlign w:val="center"/>
                </w:tcPr>
                <w:p w14:paraId="7B3DC442">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不达标</w:t>
                  </w:r>
                </w:p>
              </w:tc>
            </w:tr>
            <w:tr w14:paraId="01542C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795" w:type="pct"/>
                  <w:tcBorders>
                    <w:tl2br w:val="nil"/>
                    <w:tr2bl w:val="nil"/>
                  </w:tcBorders>
                  <w:vAlign w:val="center"/>
                </w:tcPr>
                <w:p w14:paraId="6ECBECC6">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CO</w:t>
                  </w:r>
                </w:p>
              </w:tc>
              <w:tc>
                <w:tcPr>
                  <w:tcW w:w="1721" w:type="pct"/>
                  <w:tcBorders>
                    <w:tl2br w:val="nil"/>
                    <w:tr2bl w:val="nil"/>
                  </w:tcBorders>
                  <w:vAlign w:val="center"/>
                </w:tcPr>
                <w:p w14:paraId="20474AB0">
                  <w:pPr>
                    <w:adjustRightInd w:val="0"/>
                    <w:snapToGrid w:val="0"/>
                    <w:jc w:val="center"/>
                    <w:textAlignment w:val="bottom"/>
                    <w:rPr>
                      <w:rFonts w:hint="default" w:ascii="Times New Roman" w:hAnsi="Times New Roman" w:eastAsia="宋体" w:cs="Times New Roman"/>
                      <w:bCs/>
                      <w:color w:val="000000" w:themeColor="text1"/>
                      <w:kern w:val="21"/>
                      <w:szCs w:val="21"/>
                      <w14:textFill>
                        <w14:solidFill>
                          <w14:schemeClr w14:val="tx1"/>
                        </w14:solidFill>
                      </w14:textFill>
                    </w:rPr>
                  </w:pPr>
                  <w:r>
                    <w:rPr>
                      <w:rFonts w:hint="default" w:ascii="Times New Roman" w:hAnsi="Times New Roman" w:eastAsia="宋体" w:cs="Times New Roman"/>
                      <w:bCs/>
                      <w:color w:val="000000" w:themeColor="text1"/>
                      <w:kern w:val="21"/>
                      <w:szCs w:val="21"/>
                      <w14:textFill>
                        <w14:solidFill>
                          <w14:schemeClr w14:val="tx1"/>
                        </w14:solidFill>
                      </w14:textFill>
                    </w:rPr>
                    <w:t>日均值第95百分位浓度值</w:t>
                  </w:r>
                </w:p>
              </w:tc>
              <w:tc>
                <w:tcPr>
                  <w:tcW w:w="689" w:type="pct"/>
                  <w:tcBorders>
                    <w:tl2br w:val="nil"/>
                    <w:tr2bl w:val="nil"/>
                  </w:tcBorders>
                  <w:shd w:val="clear" w:color="auto" w:fill="auto"/>
                  <w:vAlign w:val="center"/>
                </w:tcPr>
                <w:p w14:paraId="6A0904FF">
                  <w:pPr>
                    <w:widowControl/>
                    <w:spacing w:line="240" w:lineRule="atLeas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1100</w:t>
                  </w:r>
                </w:p>
              </w:tc>
              <w:tc>
                <w:tcPr>
                  <w:tcW w:w="638" w:type="pct"/>
                  <w:tcBorders>
                    <w:tl2br w:val="nil"/>
                    <w:tr2bl w:val="nil"/>
                  </w:tcBorders>
                  <w:vAlign w:val="center"/>
                </w:tcPr>
                <w:p w14:paraId="77119A47">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4000</w:t>
                  </w:r>
                </w:p>
              </w:tc>
              <w:tc>
                <w:tcPr>
                  <w:tcW w:w="550" w:type="pct"/>
                  <w:tcBorders>
                    <w:tl2br w:val="nil"/>
                    <w:tr2bl w:val="nil"/>
                  </w:tcBorders>
                  <w:vAlign w:val="center"/>
                </w:tcPr>
                <w:p w14:paraId="7958885B">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27.5%</w:t>
                  </w:r>
                </w:p>
              </w:tc>
              <w:tc>
                <w:tcPr>
                  <w:tcW w:w="604" w:type="pct"/>
                  <w:tcBorders>
                    <w:tl2br w:val="nil"/>
                    <w:tr2bl w:val="nil"/>
                  </w:tcBorders>
                  <w:vAlign w:val="center"/>
                </w:tcPr>
                <w:p w14:paraId="547400EB">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达标</w:t>
                  </w:r>
                </w:p>
              </w:tc>
            </w:tr>
            <w:tr w14:paraId="5C9B09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795" w:type="pct"/>
                  <w:tcBorders>
                    <w:tl2br w:val="nil"/>
                    <w:tr2bl w:val="nil"/>
                  </w:tcBorders>
                  <w:vAlign w:val="center"/>
                </w:tcPr>
                <w:p w14:paraId="154CA671">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O</w:t>
                  </w:r>
                  <w:r>
                    <w:rPr>
                      <w:rFonts w:hint="default" w:ascii="Times New Roman" w:hAnsi="Times New Roman" w:eastAsia="宋体" w:cs="Times New Roman"/>
                      <w:color w:val="000000" w:themeColor="text1"/>
                      <w:szCs w:val="21"/>
                      <w:vertAlign w:val="subscript"/>
                      <w14:textFill>
                        <w14:solidFill>
                          <w14:schemeClr w14:val="tx1"/>
                        </w14:solidFill>
                      </w14:textFill>
                    </w:rPr>
                    <w:t>3</w:t>
                  </w:r>
                </w:p>
              </w:tc>
              <w:tc>
                <w:tcPr>
                  <w:tcW w:w="1721" w:type="pct"/>
                  <w:tcBorders>
                    <w:tl2br w:val="nil"/>
                    <w:tr2bl w:val="nil"/>
                  </w:tcBorders>
                  <w:vAlign w:val="center"/>
                </w:tcPr>
                <w:p w14:paraId="3899F9D2">
                  <w:pPr>
                    <w:adjustRightInd w:val="0"/>
                    <w:snapToGrid w:val="0"/>
                    <w:jc w:val="center"/>
                    <w:textAlignment w:val="bottom"/>
                    <w:rPr>
                      <w:rFonts w:hint="default" w:ascii="Times New Roman" w:hAnsi="Times New Roman" w:eastAsia="宋体" w:cs="Times New Roman"/>
                      <w:bCs/>
                      <w:color w:val="000000" w:themeColor="text1"/>
                      <w:kern w:val="21"/>
                      <w:szCs w:val="21"/>
                      <w14:textFill>
                        <w14:solidFill>
                          <w14:schemeClr w14:val="tx1"/>
                        </w14:solidFill>
                      </w14:textFill>
                    </w:rPr>
                  </w:pPr>
                  <w:r>
                    <w:rPr>
                      <w:rFonts w:hint="default" w:ascii="Times New Roman" w:hAnsi="Times New Roman" w:eastAsia="宋体" w:cs="Times New Roman"/>
                      <w:bCs/>
                      <w:color w:val="000000" w:themeColor="text1"/>
                      <w:kern w:val="21"/>
                      <w:szCs w:val="21"/>
                      <w14:textFill>
                        <w14:solidFill>
                          <w14:schemeClr w14:val="tx1"/>
                        </w14:solidFill>
                      </w14:textFill>
                    </w:rPr>
                    <w:t>日最大8小时均值的第90百分位浓度值</w:t>
                  </w:r>
                </w:p>
              </w:tc>
              <w:tc>
                <w:tcPr>
                  <w:tcW w:w="689" w:type="pct"/>
                  <w:tcBorders>
                    <w:tl2br w:val="nil"/>
                    <w:tr2bl w:val="nil"/>
                  </w:tcBorders>
                  <w:shd w:val="clear" w:color="auto" w:fill="auto"/>
                  <w:vAlign w:val="center"/>
                </w:tcPr>
                <w:p w14:paraId="0611B82F">
                  <w:pPr>
                    <w:widowControl/>
                    <w:spacing w:line="240" w:lineRule="atLeas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197</w:t>
                  </w:r>
                </w:p>
              </w:tc>
              <w:tc>
                <w:tcPr>
                  <w:tcW w:w="638" w:type="pct"/>
                  <w:tcBorders>
                    <w:tl2br w:val="nil"/>
                    <w:tr2bl w:val="nil"/>
                  </w:tcBorders>
                  <w:vAlign w:val="center"/>
                </w:tcPr>
                <w:p w14:paraId="70D3986C">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160</w:t>
                  </w:r>
                </w:p>
              </w:tc>
              <w:tc>
                <w:tcPr>
                  <w:tcW w:w="550" w:type="pct"/>
                  <w:tcBorders>
                    <w:tl2br w:val="nil"/>
                    <w:tr2bl w:val="nil"/>
                  </w:tcBorders>
                  <w:vAlign w:val="center"/>
                </w:tcPr>
                <w:p w14:paraId="008B4DAA">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123.1%</w:t>
                  </w:r>
                </w:p>
              </w:tc>
              <w:tc>
                <w:tcPr>
                  <w:tcW w:w="604" w:type="pct"/>
                  <w:tcBorders>
                    <w:tl2br w:val="nil"/>
                    <w:tr2bl w:val="nil"/>
                  </w:tcBorders>
                  <w:vAlign w:val="center"/>
                </w:tcPr>
                <w:p w14:paraId="7B2F31EB">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不达标</w:t>
                  </w:r>
                </w:p>
              </w:tc>
            </w:tr>
          </w:tbl>
          <w:p w14:paraId="42C07077">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根据上表可知，项目所在区域PM</w:t>
            </w:r>
            <w:r>
              <w:rPr>
                <w:rFonts w:hint="default" w:ascii="Times New Roman" w:hAnsi="Times New Roman" w:eastAsia="宋体" w:cs="Times New Roman"/>
                <w:color w:val="000000" w:themeColor="text1"/>
                <w:sz w:val="24"/>
                <w:vertAlign w:val="subscript"/>
                <w14:textFill>
                  <w14:solidFill>
                    <w14:schemeClr w14:val="tx1"/>
                  </w14:solidFill>
                </w14:textFill>
              </w:rPr>
              <w:t>10</w:t>
            </w:r>
            <w:r>
              <w:rPr>
                <w:rFonts w:hint="default" w:ascii="Times New Roman" w:hAnsi="Times New Roman" w:eastAsia="宋体" w:cs="Times New Roman"/>
                <w:color w:val="000000" w:themeColor="text1"/>
                <w:sz w:val="24"/>
                <w14:textFill>
                  <w14:solidFill>
                    <w14:schemeClr w14:val="tx1"/>
                  </w14:solidFill>
                </w14:textFill>
              </w:rPr>
              <w:t>、CO、SO</w:t>
            </w:r>
            <w:r>
              <w:rPr>
                <w:rFonts w:hint="default" w:ascii="Times New Roman" w:hAnsi="Times New Roman" w:eastAsia="宋体" w:cs="Times New Roman"/>
                <w:color w:val="000000" w:themeColor="text1"/>
                <w:sz w:val="24"/>
                <w:vertAlign w:val="subscript"/>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、NO</w:t>
            </w:r>
            <w:r>
              <w:rPr>
                <w:rFonts w:hint="default" w:ascii="Times New Roman" w:hAnsi="Times New Roman" w:eastAsia="宋体" w:cs="Times New Roman"/>
                <w:color w:val="000000" w:themeColor="text1"/>
                <w:sz w:val="24"/>
                <w:vertAlign w:val="subscript"/>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均满足《环境空气质量标准》（GB3095-2012）及其修改单二级标准要求，PM</w:t>
            </w:r>
            <w:r>
              <w:rPr>
                <w:rFonts w:hint="default" w:ascii="Times New Roman" w:hAnsi="Times New Roman" w:eastAsia="宋体" w:cs="Times New Roman"/>
                <w:color w:val="000000" w:themeColor="text1"/>
                <w:sz w:val="24"/>
                <w:vertAlign w:val="subscript"/>
                <w14:textFill>
                  <w14:solidFill>
                    <w14:schemeClr w14:val="tx1"/>
                  </w14:solidFill>
                </w14:textFill>
              </w:rPr>
              <w:t>2.5</w:t>
            </w:r>
            <w:r>
              <w:rPr>
                <w:rFonts w:hint="default" w:ascii="Times New Roman" w:hAnsi="Times New Roman" w:eastAsia="宋体" w:cs="Times New Roman"/>
                <w:color w:val="000000" w:themeColor="text1"/>
                <w:sz w:val="24"/>
                <w14:textFill>
                  <w14:solidFill>
                    <w14:schemeClr w14:val="tx1"/>
                  </w14:solidFill>
                </w14:textFill>
              </w:rPr>
              <w:t>、O</w:t>
            </w:r>
            <w:r>
              <w:rPr>
                <w:rFonts w:hint="default" w:ascii="Times New Roman" w:hAnsi="Times New Roman" w:eastAsia="宋体" w:cs="Times New Roman"/>
                <w:color w:val="000000" w:themeColor="text1"/>
                <w:sz w:val="24"/>
                <w:vertAlign w:val="subscript"/>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浓度超过《环境空气质量标准》（GB3095-2012）及其修改单二级标准要求。因此，本项目所在区域为不达标区。</w:t>
            </w:r>
          </w:p>
          <w:p w14:paraId="6BA7667C">
            <w:pPr>
              <w:adjustRightInd w:val="0"/>
              <w:snapToGrid w:val="0"/>
              <w:spacing w:line="360" w:lineRule="auto"/>
              <w:ind w:firstLine="480" w:firstLineChars="200"/>
              <w:rPr>
                <w:rFonts w:hint="default" w:ascii="Times New Roman" w:hAnsi="Times New Roman" w:eastAsia="宋体" w:cs="Times New Roman"/>
                <w:color w:val="000000" w:themeColor="text1"/>
                <w:szCs w:val="21"/>
                <w:lang w:val="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根据《淄博市“十四五”生态环境保护规划》要求，实施六大减排，改善环境空气质量。以持续降低PM</w:t>
            </w:r>
            <w:r>
              <w:rPr>
                <w:rFonts w:hint="default" w:ascii="Times New Roman" w:hAnsi="Times New Roman" w:eastAsia="宋体" w:cs="Times New Roman"/>
                <w:color w:val="000000" w:themeColor="text1"/>
                <w:sz w:val="24"/>
                <w:vertAlign w:val="subscript"/>
                <w14:textFill>
                  <w14:solidFill>
                    <w14:schemeClr w14:val="tx1"/>
                  </w14:solidFill>
                </w14:textFill>
              </w:rPr>
              <w:t>2.5</w:t>
            </w:r>
            <w:r>
              <w:rPr>
                <w:rFonts w:hint="default" w:ascii="Times New Roman" w:hAnsi="Times New Roman" w:eastAsia="宋体" w:cs="Times New Roman"/>
                <w:color w:val="000000" w:themeColor="text1"/>
                <w:sz w:val="24"/>
                <w14:textFill>
                  <w14:solidFill>
                    <w14:schemeClr w14:val="tx1"/>
                  </w14:solidFill>
                </w14:textFill>
              </w:rPr>
              <w:t>浓度，不断提高空气质量优良天数比例，逐步消除重污染天气为目标任务，实施产业结构升级、清洁能源替代、运输结构优化、扬尘精细管控、非甲烷总烃深度治理、氮氧化物深度治理“六大减排工程”，全面推进重点行业、重点领域的全流程污染治理，逐步破解大气复合污染问题，甩掉环境空气质量排名倒数的帽子。</w:t>
            </w:r>
          </w:p>
          <w:p w14:paraId="10139A69">
            <w:pPr>
              <w:adjustRightInd w:val="0"/>
              <w:snapToGrid w:val="0"/>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2、地表水</w:t>
            </w:r>
          </w:p>
          <w:p w14:paraId="5E5BF06F">
            <w:pPr>
              <w:snapToGrid w:val="0"/>
              <w:spacing w:line="360" w:lineRule="auto"/>
              <w:ind w:firstLine="480" w:firstLineChars="200"/>
              <w:rPr>
                <w:rFonts w:hint="default" w:ascii="Times New Roman" w:hAnsi="Times New Roman" w:eastAsia="宋体" w:cs="Times New Roman"/>
                <w:color w:val="000000" w:themeColor="text1"/>
                <w:sz w:val="24"/>
                <w:lang w:val="zh-CN"/>
                <w14:textFill>
                  <w14:solidFill>
                    <w14:schemeClr w14:val="tx1"/>
                  </w14:solidFill>
                </w14:textFill>
              </w:rPr>
            </w:pPr>
            <w:r>
              <w:rPr>
                <w:rFonts w:hint="default" w:ascii="Times New Roman" w:hAnsi="Times New Roman" w:eastAsia="宋体" w:cs="Times New Roman"/>
                <w:color w:val="000000" w:themeColor="text1"/>
                <w:sz w:val="24"/>
                <w:lang w:val="zh-CN"/>
                <w14:textFill>
                  <w14:solidFill>
                    <w14:schemeClr w14:val="tx1"/>
                  </w14:solidFill>
                </w14:textFill>
              </w:rPr>
              <w:t>项目周围最近地表水为涝淄河，本次评价收集了202</w:t>
            </w:r>
            <w:r>
              <w:rPr>
                <w:rFonts w:hint="eastAsia" w:cs="Times New Roman"/>
                <w:color w:val="000000" w:themeColor="text1"/>
                <w:sz w:val="24"/>
                <w:lang w:val="en-US" w:eastAsia="zh-CN"/>
                <w14:textFill>
                  <w14:solidFill>
                    <w14:schemeClr w14:val="tx1"/>
                  </w14:solidFill>
                </w14:textFill>
              </w:rPr>
              <w:t>4</w:t>
            </w:r>
            <w:r>
              <w:rPr>
                <w:rFonts w:hint="default" w:ascii="Times New Roman" w:hAnsi="Times New Roman" w:eastAsia="宋体" w:cs="Times New Roman"/>
                <w:color w:val="000000" w:themeColor="text1"/>
                <w:sz w:val="24"/>
                <w:lang w:val="zh-CN"/>
                <w14:textFill>
                  <w14:solidFill>
                    <w14:schemeClr w14:val="tx1"/>
                  </w14:solidFill>
                </w14:textFill>
              </w:rPr>
              <w:t>年</w:t>
            </w:r>
            <w:r>
              <w:rPr>
                <w:rFonts w:hint="eastAsia" w:cs="Times New Roman"/>
                <w:color w:val="000000" w:themeColor="text1"/>
                <w:sz w:val="24"/>
                <w:lang w:val="en-US" w:eastAsia="zh-CN"/>
                <w14:textFill>
                  <w14:solidFill>
                    <w14:schemeClr w14:val="tx1"/>
                  </w14:solidFill>
                </w14:textFill>
              </w:rPr>
              <w:t>8月-2025年6</w:t>
            </w:r>
            <w:r>
              <w:rPr>
                <w:rFonts w:hint="default" w:ascii="Times New Roman" w:hAnsi="Times New Roman" w:eastAsia="宋体" w:cs="Times New Roman"/>
                <w:color w:val="000000" w:themeColor="text1"/>
                <w:sz w:val="24"/>
                <w:lang w:val="zh-CN"/>
                <w14:textFill>
                  <w14:solidFill>
                    <w14:schemeClr w14:val="tx1"/>
                  </w14:solidFill>
                </w14:textFill>
              </w:rPr>
              <w:t>月涝淄河张钢北例行监测断面平均监测数据，见下表。</w:t>
            </w:r>
          </w:p>
          <w:p w14:paraId="6F40CC20">
            <w:pPr>
              <w:snapToGrid w:val="0"/>
              <w:spacing w:line="240" w:lineRule="auto"/>
              <w:ind w:firstLine="422" w:firstLineChars="200"/>
              <w:jc w:val="center"/>
              <w:rPr>
                <w:rFonts w:hint="default" w:ascii="Times New Roman" w:hAnsi="Times New Roman" w:eastAsia="宋体" w:cs="Times New Roman"/>
                <w:b/>
                <w:bCs/>
                <w:color w:val="000000" w:themeColor="text1"/>
                <w:sz w:val="21"/>
                <w:szCs w:val="21"/>
                <w:lang w:val="zh-CN"/>
                <w14:textFill>
                  <w14:solidFill>
                    <w14:schemeClr w14:val="tx1"/>
                  </w14:solidFill>
                </w14:textFill>
              </w:rPr>
            </w:pPr>
            <w:r>
              <w:rPr>
                <w:rFonts w:hint="default" w:ascii="Times New Roman" w:hAnsi="Times New Roman" w:eastAsia="宋体" w:cs="Times New Roman"/>
                <w:b/>
                <w:bCs/>
                <w:color w:val="000000" w:themeColor="text1"/>
                <w:sz w:val="21"/>
                <w:szCs w:val="21"/>
                <w:lang w:val="zh-CN"/>
                <w14:textFill>
                  <w14:solidFill>
                    <w14:schemeClr w14:val="tx1"/>
                  </w14:solidFill>
                </w14:textFill>
              </w:rPr>
              <w:t>表3-</w:t>
            </w:r>
            <w:r>
              <w:rPr>
                <w:rFonts w:hint="default" w:ascii="Times New Roman" w:hAnsi="Times New Roman" w:eastAsia="宋体" w:cs="Times New Roman"/>
                <w:b/>
                <w:bCs/>
                <w:color w:val="000000" w:themeColor="text1"/>
                <w:sz w:val="21"/>
                <w:szCs w:val="21"/>
                <w:lang w:val="zh-CN" w:eastAsia="zh-CN"/>
                <w14:textFill>
                  <w14:solidFill>
                    <w14:schemeClr w14:val="tx1"/>
                  </w14:solidFill>
                </w14:textFill>
              </w:rPr>
              <w:t>2</w:t>
            </w:r>
            <w:r>
              <w:rPr>
                <w:rFonts w:hint="default" w:ascii="Times New Roman" w:hAnsi="Times New Roman" w:eastAsia="宋体" w:cs="Times New Roman"/>
                <w:b/>
                <w:bCs/>
                <w:color w:val="000000" w:themeColor="text1"/>
                <w:sz w:val="21"/>
                <w:szCs w:val="21"/>
                <w:lang w:val="zh-CN"/>
                <w14:textFill>
                  <w14:solidFill>
                    <w14:schemeClr w14:val="tx1"/>
                  </w14:solidFill>
                </w14:textFill>
              </w:rPr>
              <w:t xml:space="preserve">  涝淄河张钢北断面例行监测数据一览表</w:t>
            </w:r>
          </w:p>
          <w:tbl>
            <w:tblPr>
              <w:tblStyle w:val="38"/>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002"/>
              <w:gridCol w:w="2814"/>
              <w:gridCol w:w="2851"/>
            </w:tblGrid>
            <w:tr w14:paraId="288B7D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single" w:color="000000" w:sz="4" w:space="0"/>
                  </w:tcBorders>
                  <w:noWrap w:val="0"/>
                  <w:vAlign w:val="center"/>
                </w:tcPr>
                <w:p w14:paraId="137AAAB5">
                  <w:pPr>
                    <w:jc w:val="center"/>
                    <w:rPr>
                      <w:rFonts w:hint="default" w:ascii="Times New Roman" w:hAnsi="Times New Roman" w:eastAsia="宋体" w:cs="Times New Roman"/>
                      <w:b/>
                      <w:bCs/>
                      <w:color w:val="000000" w:themeColor="text1"/>
                      <w:szCs w:val="21"/>
                      <w:lang w:val="zh-CN"/>
                      <w14:textFill>
                        <w14:solidFill>
                          <w14:schemeClr w14:val="tx1"/>
                        </w14:solidFill>
                      </w14:textFill>
                    </w:rPr>
                  </w:pPr>
                  <w:r>
                    <w:rPr>
                      <w:rFonts w:hint="eastAsia" w:ascii="Times New Roman" w:hAnsi="Times New Roman" w:eastAsia="宋体" w:cs="Times New Roman"/>
                      <w:b/>
                      <w:bCs/>
                      <w:color w:val="000000" w:themeColor="text1"/>
                      <w:szCs w:val="21"/>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Cs w:val="21"/>
                      <w:lang w:val="zh-CN"/>
                      <w14:textFill>
                        <w14:solidFill>
                          <w14:schemeClr w14:val="tx1"/>
                        </w14:solidFill>
                      </w14:textFill>
                    </w:rPr>
                    <w:t>污染物</w:t>
                  </w:r>
                </w:p>
                <w:p w14:paraId="68E2D4CB">
                  <w:pPr>
                    <w:ind w:firstLine="211" w:firstLineChars="100"/>
                    <w:jc w:val="both"/>
                    <w:rPr>
                      <w:rFonts w:hint="default" w:ascii="Times New Roman" w:hAnsi="Times New Roman" w:eastAsia="宋体" w:cs="Times New Roman"/>
                      <w:b/>
                      <w:bCs/>
                      <w:color w:val="000000" w:themeColor="text1"/>
                      <w:szCs w:val="21"/>
                      <w:lang w:val="zh-CN"/>
                      <w14:textFill>
                        <w14:solidFill>
                          <w14:schemeClr w14:val="tx1"/>
                        </w14:solidFill>
                      </w14:textFill>
                    </w:rPr>
                  </w:pPr>
                  <w:r>
                    <w:rPr>
                      <w:rFonts w:hint="default" w:ascii="Times New Roman" w:hAnsi="Times New Roman" w:eastAsia="宋体" w:cs="Times New Roman"/>
                      <w:b/>
                      <w:bCs/>
                      <w:color w:val="000000" w:themeColor="text1"/>
                      <w:szCs w:val="21"/>
                      <w:lang w:val="zh-CN"/>
                      <w14:textFill>
                        <w14:solidFill>
                          <w14:schemeClr w14:val="tx1"/>
                        </w14:solidFill>
                      </w14:textFill>
                    </w:rPr>
                    <w:t>时间</w:t>
                  </w:r>
                </w:p>
              </w:tc>
              <w:tc>
                <w:tcPr>
                  <w:tcW w:w="1623" w:type="pct"/>
                  <w:noWrap w:val="0"/>
                  <w:vAlign w:val="center"/>
                </w:tcPr>
                <w:p w14:paraId="74B4679A">
                  <w:pPr>
                    <w:jc w:val="center"/>
                    <w:rPr>
                      <w:rFonts w:hint="default" w:ascii="Times New Roman" w:hAnsi="Times New Roman" w:eastAsia="宋体" w:cs="Times New Roman"/>
                      <w:b/>
                      <w:bCs/>
                      <w:color w:val="000000" w:themeColor="text1"/>
                      <w:szCs w:val="21"/>
                      <w:lang w:val="zh-CN"/>
                      <w14:textFill>
                        <w14:solidFill>
                          <w14:schemeClr w14:val="tx1"/>
                        </w14:solidFill>
                      </w14:textFill>
                    </w:rPr>
                  </w:pPr>
                  <w:r>
                    <w:rPr>
                      <w:rFonts w:hint="default" w:ascii="Times New Roman" w:hAnsi="Times New Roman" w:eastAsia="宋体" w:cs="Times New Roman"/>
                      <w:b/>
                      <w:bCs/>
                      <w:color w:val="000000" w:themeColor="text1"/>
                      <w:szCs w:val="21"/>
                      <w:lang w:val="zh-CN"/>
                      <w14:textFill>
                        <w14:solidFill>
                          <w14:schemeClr w14:val="tx1"/>
                        </w14:solidFill>
                      </w14:textFill>
                    </w:rPr>
                    <w:t>COD（mg/L）</w:t>
                  </w:r>
                </w:p>
              </w:tc>
              <w:tc>
                <w:tcPr>
                  <w:tcW w:w="1644" w:type="pct"/>
                  <w:noWrap w:val="0"/>
                  <w:vAlign w:val="center"/>
                </w:tcPr>
                <w:p w14:paraId="24CC7BA5">
                  <w:pPr>
                    <w:jc w:val="center"/>
                    <w:rPr>
                      <w:rFonts w:hint="default" w:ascii="Times New Roman" w:hAnsi="Times New Roman" w:eastAsia="宋体" w:cs="Times New Roman"/>
                      <w:b/>
                      <w:bCs/>
                      <w:color w:val="000000" w:themeColor="text1"/>
                      <w:szCs w:val="21"/>
                      <w:lang w:val="zh-CN"/>
                      <w14:textFill>
                        <w14:solidFill>
                          <w14:schemeClr w14:val="tx1"/>
                        </w14:solidFill>
                      </w14:textFill>
                    </w:rPr>
                  </w:pPr>
                  <w:r>
                    <w:rPr>
                      <w:rFonts w:hint="default" w:ascii="Times New Roman" w:hAnsi="Times New Roman" w:eastAsia="宋体" w:cs="Times New Roman"/>
                      <w:b/>
                      <w:bCs/>
                      <w:color w:val="000000" w:themeColor="text1"/>
                      <w:szCs w:val="21"/>
                      <w:lang w:val="zh-CN"/>
                      <w14:textFill>
                        <w14:solidFill>
                          <w14:schemeClr w14:val="tx1"/>
                        </w14:solidFill>
                      </w14:textFill>
                    </w:rPr>
                    <w:t>氨氮（mg/L）</w:t>
                  </w:r>
                </w:p>
              </w:tc>
            </w:tr>
            <w:tr w14:paraId="409FF4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nil"/>
                    <w:tr2bl w:val="nil"/>
                  </w:tcBorders>
                  <w:noWrap w:val="0"/>
                  <w:vAlign w:val="center"/>
                </w:tcPr>
                <w:p w14:paraId="25FED186">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2024.8</w:t>
                  </w:r>
                </w:p>
              </w:tc>
              <w:tc>
                <w:tcPr>
                  <w:tcW w:w="1623" w:type="pct"/>
                  <w:tcBorders>
                    <w:tl2br w:val="nil"/>
                    <w:tr2bl w:val="nil"/>
                  </w:tcBorders>
                  <w:noWrap w:val="0"/>
                  <w:vAlign w:val="center"/>
                </w:tcPr>
                <w:p w14:paraId="3752DE80">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15.365</w:t>
                  </w:r>
                </w:p>
              </w:tc>
              <w:tc>
                <w:tcPr>
                  <w:tcW w:w="1644" w:type="pct"/>
                  <w:tcBorders>
                    <w:tl2br w:val="nil"/>
                    <w:tr2bl w:val="nil"/>
                  </w:tcBorders>
                  <w:noWrap w:val="0"/>
                  <w:vAlign w:val="center"/>
                </w:tcPr>
                <w:p w14:paraId="704A29D5">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1.229</w:t>
                  </w:r>
                </w:p>
              </w:tc>
            </w:tr>
            <w:tr w14:paraId="717314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nil"/>
                    <w:tr2bl w:val="nil"/>
                  </w:tcBorders>
                  <w:noWrap w:val="0"/>
                  <w:vAlign w:val="center"/>
                </w:tcPr>
                <w:p w14:paraId="46A185D4">
                  <w:pPr>
                    <w:jc w:val="center"/>
                    <w:rPr>
                      <w:rFonts w:hint="default" w:ascii="Times New Roman" w:hAnsi="Times New Roman" w:eastAsia="宋体" w:cs="Times New Roman"/>
                      <w:color w:val="000000" w:themeColor="text1"/>
                      <w:szCs w:val="21"/>
                      <w:lang w:val="en-US"/>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2024.9</w:t>
                  </w:r>
                </w:p>
              </w:tc>
              <w:tc>
                <w:tcPr>
                  <w:tcW w:w="1623" w:type="pct"/>
                  <w:tcBorders>
                    <w:tl2br w:val="nil"/>
                    <w:tr2bl w:val="nil"/>
                  </w:tcBorders>
                  <w:noWrap w:val="0"/>
                  <w:vAlign w:val="center"/>
                </w:tcPr>
                <w:p w14:paraId="544165DC">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10.462</w:t>
                  </w:r>
                </w:p>
              </w:tc>
              <w:tc>
                <w:tcPr>
                  <w:tcW w:w="1644" w:type="pct"/>
                  <w:tcBorders>
                    <w:tl2br w:val="nil"/>
                    <w:tr2bl w:val="nil"/>
                  </w:tcBorders>
                  <w:noWrap w:val="0"/>
                  <w:vAlign w:val="center"/>
                </w:tcPr>
                <w:p w14:paraId="6F9021AB">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0.421</w:t>
                  </w:r>
                </w:p>
              </w:tc>
            </w:tr>
            <w:tr w14:paraId="18A23C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nil"/>
                    <w:tr2bl w:val="nil"/>
                  </w:tcBorders>
                  <w:noWrap w:val="0"/>
                  <w:vAlign w:val="center"/>
                </w:tcPr>
                <w:p w14:paraId="2408E296">
                  <w:pPr>
                    <w:jc w:val="center"/>
                    <w:rPr>
                      <w:rFonts w:hint="default" w:ascii="Times New Roman" w:hAnsi="Times New Roman" w:eastAsia="宋体" w:cs="Times New Roman"/>
                      <w:color w:val="000000" w:themeColor="text1"/>
                      <w:szCs w:val="21"/>
                      <w:lang w:val="en-US"/>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2024.10</w:t>
                  </w:r>
                </w:p>
              </w:tc>
              <w:tc>
                <w:tcPr>
                  <w:tcW w:w="1623" w:type="pct"/>
                  <w:tcBorders>
                    <w:tl2br w:val="nil"/>
                    <w:tr2bl w:val="nil"/>
                  </w:tcBorders>
                  <w:noWrap w:val="0"/>
                  <w:vAlign w:val="center"/>
                </w:tcPr>
                <w:p w14:paraId="51FE317E">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16.837</w:t>
                  </w:r>
                </w:p>
              </w:tc>
              <w:tc>
                <w:tcPr>
                  <w:tcW w:w="1644" w:type="pct"/>
                  <w:tcBorders>
                    <w:tl2br w:val="nil"/>
                    <w:tr2bl w:val="nil"/>
                  </w:tcBorders>
                  <w:noWrap w:val="0"/>
                  <w:vAlign w:val="center"/>
                </w:tcPr>
                <w:p w14:paraId="4E24C084">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0.888</w:t>
                  </w:r>
                </w:p>
              </w:tc>
            </w:tr>
            <w:tr w14:paraId="0BBF19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nil"/>
                    <w:tr2bl w:val="nil"/>
                  </w:tcBorders>
                  <w:noWrap w:val="0"/>
                  <w:vAlign w:val="center"/>
                </w:tcPr>
                <w:p w14:paraId="5ADDD686">
                  <w:pPr>
                    <w:jc w:val="center"/>
                    <w:rPr>
                      <w:rFonts w:hint="default" w:ascii="Times New Roman" w:hAnsi="Times New Roman" w:eastAsia="宋体" w:cs="Times New Roman"/>
                      <w:color w:val="000000" w:themeColor="text1"/>
                      <w:szCs w:val="21"/>
                      <w:lang w:val="en-US"/>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2024.11</w:t>
                  </w:r>
                </w:p>
              </w:tc>
              <w:tc>
                <w:tcPr>
                  <w:tcW w:w="1623" w:type="pct"/>
                  <w:tcBorders>
                    <w:tl2br w:val="nil"/>
                    <w:tr2bl w:val="nil"/>
                  </w:tcBorders>
                  <w:noWrap w:val="0"/>
                  <w:vAlign w:val="center"/>
                </w:tcPr>
                <w:p w14:paraId="5E85738F">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27.829</w:t>
                  </w:r>
                </w:p>
              </w:tc>
              <w:tc>
                <w:tcPr>
                  <w:tcW w:w="1644" w:type="pct"/>
                  <w:tcBorders>
                    <w:tl2br w:val="nil"/>
                    <w:tr2bl w:val="nil"/>
                  </w:tcBorders>
                  <w:noWrap w:val="0"/>
                  <w:vAlign w:val="center"/>
                </w:tcPr>
                <w:p w14:paraId="5620D24A">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1.009</w:t>
                  </w:r>
                </w:p>
              </w:tc>
            </w:tr>
            <w:tr w14:paraId="356AA3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nil"/>
                    <w:tr2bl w:val="nil"/>
                  </w:tcBorders>
                  <w:noWrap w:val="0"/>
                  <w:vAlign w:val="center"/>
                </w:tcPr>
                <w:p w14:paraId="55B90459">
                  <w:pPr>
                    <w:jc w:val="center"/>
                    <w:rPr>
                      <w:rFonts w:hint="default" w:ascii="Times New Roman" w:hAnsi="Times New Roman" w:eastAsia="宋体" w:cs="Times New Roman"/>
                      <w:color w:val="000000" w:themeColor="text1"/>
                      <w:szCs w:val="21"/>
                      <w:lang w:val="en-US"/>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2024.12</w:t>
                  </w:r>
                </w:p>
              </w:tc>
              <w:tc>
                <w:tcPr>
                  <w:tcW w:w="1623" w:type="pct"/>
                  <w:tcBorders>
                    <w:tl2br w:val="nil"/>
                    <w:tr2bl w:val="nil"/>
                  </w:tcBorders>
                  <w:noWrap w:val="0"/>
                  <w:vAlign w:val="center"/>
                </w:tcPr>
                <w:p w14:paraId="0D420041">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14.23</w:t>
                  </w:r>
                </w:p>
              </w:tc>
              <w:tc>
                <w:tcPr>
                  <w:tcW w:w="1644" w:type="pct"/>
                  <w:tcBorders>
                    <w:tl2br w:val="nil"/>
                    <w:tr2bl w:val="nil"/>
                  </w:tcBorders>
                  <w:noWrap w:val="0"/>
                  <w:vAlign w:val="center"/>
                </w:tcPr>
                <w:p w14:paraId="7C741B23">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1.89</w:t>
                  </w:r>
                </w:p>
              </w:tc>
            </w:tr>
            <w:tr w14:paraId="7295BE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nil"/>
                    <w:tr2bl w:val="nil"/>
                  </w:tcBorders>
                  <w:noWrap w:val="0"/>
                  <w:vAlign w:val="center"/>
                </w:tcPr>
                <w:p w14:paraId="189C85D7">
                  <w:pPr>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zh-CN"/>
                      <w14:textFill>
                        <w14:solidFill>
                          <w14:schemeClr w14:val="tx1"/>
                        </w14:solidFill>
                      </w14:textFill>
                    </w:rPr>
                    <w:t>202</w:t>
                  </w:r>
                  <w:r>
                    <w:rPr>
                      <w:rFonts w:hint="eastAsia" w:ascii="Times New Roman" w:hAnsi="Times New Roman" w:eastAsia="宋体" w:cs="Times New Roman"/>
                      <w:color w:val="000000" w:themeColor="text1"/>
                      <w:szCs w:val="21"/>
                      <w:lang w:val="en-US" w:eastAsia="zh-CN"/>
                      <w14:textFill>
                        <w14:solidFill>
                          <w14:schemeClr w14:val="tx1"/>
                        </w14:solidFill>
                      </w14:textFill>
                    </w:rPr>
                    <w:t>5</w:t>
                  </w:r>
                  <w:r>
                    <w:rPr>
                      <w:rFonts w:hint="default" w:ascii="Times New Roman" w:hAnsi="Times New Roman" w:eastAsia="宋体" w:cs="Times New Roman"/>
                      <w:color w:val="000000" w:themeColor="text1"/>
                      <w:szCs w:val="21"/>
                      <w:lang w:val="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w:t>
                  </w:r>
                </w:p>
              </w:tc>
              <w:tc>
                <w:tcPr>
                  <w:tcW w:w="1623" w:type="pct"/>
                  <w:tcBorders>
                    <w:tl2br w:val="nil"/>
                    <w:tr2bl w:val="nil"/>
                  </w:tcBorders>
                  <w:noWrap w:val="0"/>
                  <w:vAlign w:val="center"/>
                </w:tcPr>
                <w:p w14:paraId="29998873">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9.214</w:t>
                  </w:r>
                </w:p>
              </w:tc>
              <w:tc>
                <w:tcPr>
                  <w:tcW w:w="1644" w:type="pct"/>
                  <w:tcBorders>
                    <w:tl2br w:val="nil"/>
                    <w:tr2bl w:val="nil"/>
                  </w:tcBorders>
                  <w:noWrap w:val="0"/>
                  <w:vAlign w:val="center"/>
                </w:tcPr>
                <w:p w14:paraId="4DBDF403">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0.688</w:t>
                  </w:r>
                </w:p>
              </w:tc>
            </w:tr>
            <w:tr w14:paraId="1B88CE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nil"/>
                    <w:tr2bl w:val="nil"/>
                  </w:tcBorders>
                  <w:noWrap w:val="0"/>
                  <w:vAlign w:val="center"/>
                </w:tcPr>
                <w:p w14:paraId="2E17D1D0">
                  <w:pPr>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zh-CN"/>
                      <w14:textFill>
                        <w14:solidFill>
                          <w14:schemeClr w14:val="tx1"/>
                        </w14:solidFill>
                      </w14:textFill>
                    </w:rPr>
                    <w:t>202</w:t>
                  </w:r>
                  <w:r>
                    <w:rPr>
                      <w:rFonts w:hint="eastAsia" w:ascii="Times New Roman" w:hAnsi="Times New Roman" w:eastAsia="宋体" w:cs="Times New Roman"/>
                      <w:color w:val="000000" w:themeColor="text1"/>
                      <w:szCs w:val="21"/>
                      <w:lang w:val="en-US" w:eastAsia="zh-CN"/>
                      <w14:textFill>
                        <w14:solidFill>
                          <w14:schemeClr w14:val="tx1"/>
                        </w14:solidFill>
                      </w14:textFill>
                    </w:rPr>
                    <w:t>5</w:t>
                  </w:r>
                  <w:r>
                    <w:rPr>
                      <w:rFonts w:hint="default" w:ascii="Times New Roman" w:hAnsi="Times New Roman" w:eastAsia="宋体" w:cs="Times New Roman"/>
                      <w:color w:val="000000" w:themeColor="text1"/>
                      <w:szCs w:val="21"/>
                      <w:lang w:val="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2</w:t>
                  </w:r>
                </w:p>
              </w:tc>
              <w:tc>
                <w:tcPr>
                  <w:tcW w:w="1623" w:type="pct"/>
                  <w:tcBorders>
                    <w:tl2br w:val="nil"/>
                    <w:tr2bl w:val="nil"/>
                  </w:tcBorders>
                  <w:noWrap w:val="0"/>
                  <w:vAlign w:val="center"/>
                </w:tcPr>
                <w:p w14:paraId="5BFCCB3C">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11.028</w:t>
                  </w:r>
                </w:p>
              </w:tc>
              <w:tc>
                <w:tcPr>
                  <w:tcW w:w="1644" w:type="pct"/>
                  <w:tcBorders>
                    <w:tl2br w:val="nil"/>
                    <w:tr2bl w:val="nil"/>
                  </w:tcBorders>
                  <w:noWrap w:val="0"/>
                  <w:vAlign w:val="center"/>
                </w:tcPr>
                <w:p w14:paraId="4E953DDF">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0.613</w:t>
                  </w:r>
                </w:p>
              </w:tc>
            </w:tr>
            <w:tr w14:paraId="7FB264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nil"/>
                    <w:tr2bl w:val="nil"/>
                  </w:tcBorders>
                  <w:noWrap w:val="0"/>
                  <w:vAlign w:val="center"/>
                </w:tcPr>
                <w:p w14:paraId="2735CA86">
                  <w:pPr>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zh-CN"/>
                      <w14:textFill>
                        <w14:solidFill>
                          <w14:schemeClr w14:val="tx1"/>
                        </w14:solidFill>
                      </w14:textFill>
                    </w:rPr>
                    <w:t>202</w:t>
                  </w:r>
                  <w:r>
                    <w:rPr>
                      <w:rFonts w:hint="eastAsia" w:ascii="Times New Roman" w:hAnsi="Times New Roman" w:eastAsia="宋体" w:cs="Times New Roman"/>
                      <w:color w:val="000000" w:themeColor="text1"/>
                      <w:szCs w:val="21"/>
                      <w:lang w:val="en-US" w:eastAsia="zh-CN"/>
                      <w14:textFill>
                        <w14:solidFill>
                          <w14:schemeClr w14:val="tx1"/>
                        </w14:solidFill>
                      </w14:textFill>
                    </w:rPr>
                    <w:t>5</w:t>
                  </w:r>
                  <w:r>
                    <w:rPr>
                      <w:rFonts w:hint="default" w:ascii="Times New Roman" w:hAnsi="Times New Roman" w:eastAsia="宋体" w:cs="Times New Roman"/>
                      <w:color w:val="000000" w:themeColor="text1"/>
                      <w:szCs w:val="21"/>
                      <w:lang w:val="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3</w:t>
                  </w:r>
                </w:p>
              </w:tc>
              <w:tc>
                <w:tcPr>
                  <w:tcW w:w="1623" w:type="pct"/>
                  <w:tcBorders>
                    <w:tl2br w:val="nil"/>
                    <w:tr2bl w:val="nil"/>
                  </w:tcBorders>
                  <w:noWrap w:val="0"/>
                  <w:vAlign w:val="center"/>
                </w:tcPr>
                <w:p w14:paraId="35D7A8A8">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22.298</w:t>
                  </w:r>
                </w:p>
              </w:tc>
              <w:tc>
                <w:tcPr>
                  <w:tcW w:w="1644" w:type="pct"/>
                  <w:tcBorders>
                    <w:tl2br w:val="nil"/>
                    <w:tr2bl w:val="nil"/>
                  </w:tcBorders>
                  <w:noWrap w:val="0"/>
                  <w:vAlign w:val="center"/>
                </w:tcPr>
                <w:p w14:paraId="08C7D6BB">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1.368</w:t>
                  </w:r>
                </w:p>
              </w:tc>
            </w:tr>
            <w:tr w14:paraId="48F0C7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nil"/>
                    <w:tr2bl w:val="nil"/>
                  </w:tcBorders>
                  <w:noWrap w:val="0"/>
                  <w:vAlign w:val="center"/>
                </w:tcPr>
                <w:p w14:paraId="6921BEA3">
                  <w:pPr>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zh-CN"/>
                      <w14:textFill>
                        <w14:solidFill>
                          <w14:schemeClr w14:val="tx1"/>
                        </w14:solidFill>
                      </w14:textFill>
                    </w:rPr>
                    <w:t>202</w:t>
                  </w:r>
                  <w:r>
                    <w:rPr>
                      <w:rFonts w:hint="eastAsia" w:ascii="Times New Roman" w:hAnsi="Times New Roman" w:eastAsia="宋体" w:cs="Times New Roman"/>
                      <w:color w:val="000000" w:themeColor="text1"/>
                      <w:szCs w:val="21"/>
                      <w:lang w:val="en-US" w:eastAsia="zh-CN"/>
                      <w14:textFill>
                        <w14:solidFill>
                          <w14:schemeClr w14:val="tx1"/>
                        </w14:solidFill>
                      </w14:textFill>
                    </w:rPr>
                    <w:t>5</w:t>
                  </w:r>
                  <w:r>
                    <w:rPr>
                      <w:rFonts w:hint="default" w:ascii="Times New Roman" w:hAnsi="Times New Roman" w:eastAsia="宋体" w:cs="Times New Roman"/>
                      <w:color w:val="000000" w:themeColor="text1"/>
                      <w:szCs w:val="21"/>
                      <w:lang w:val="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4</w:t>
                  </w:r>
                </w:p>
              </w:tc>
              <w:tc>
                <w:tcPr>
                  <w:tcW w:w="1623" w:type="pct"/>
                  <w:tcBorders>
                    <w:tl2br w:val="nil"/>
                    <w:tr2bl w:val="nil"/>
                  </w:tcBorders>
                  <w:noWrap w:val="0"/>
                  <w:vAlign w:val="center"/>
                </w:tcPr>
                <w:p w14:paraId="1E4EB46D">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16.709</w:t>
                  </w:r>
                </w:p>
              </w:tc>
              <w:tc>
                <w:tcPr>
                  <w:tcW w:w="1644" w:type="pct"/>
                  <w:tcBorders>
                    <w:tl2br w:val="nil"/>
                    <w:tr2bl w:val="nil"/>
                  </w:tcBorders>
                  <w:noWrap w:val="0"/>
                  <w:vAlign w:val="center"/>
                </w:tcPr>
                <w:p w14:paraId="28B887BE">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0.658</w:t>
                  </w:r>
                </w:p>
              </w:tc>
            </w:tr>
            <w:tr w14:paraId="73BEE9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nil"/>
                    <w:tr2bl w:val="nil"/>
                  </w:tcBorders>
                  <w:noWrap w:val="0"/>
                  <w:vAlign w:val="center"/>
                </w:tcPr>
                <w:p w14:paraId="6CFC3A3B">
                  <w:pPr>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zh-CN"/>
                      <w14:textFill>
                        <w14:solidFill>
                          <w14:schemeClr w14:val="tx1"/>
                        </w14:solidFill>
                      </w14:textFill>
                    </w:rPr>
                    <w:t>202</w:t>
                  </w:r>
                  <w:r>
                    <w:rPr>
                      <w:rFonts w:hint="eastAsia" w:ascii="Times New Roman" w:hAnsi="Times New Roman" w:eastAsia="宋体" w:cs="Times New Roman"/>
                      <w:color w:val="000000" w:themeColor="text1"/>
                      <w:szCs w:val="21"/>
                      <w:lang w:val="en-US" w:eastAsia="zh-CN"/>
                      <w14:textFill>
                        <w14:solidFill>
                          <w14:schemeClr w14:val="tx1"/>
                        </w14:solidFill>
                      </w14:textFill>
                    </w:rPr>
                    <w:t>5</w:t>
                  </w:r>
                  <w:r>
                    <w:rPr>
                      <w:rFonts w:hint="default" w:ascii="Times New Roman" w:hAnsi="Times New Roman" w:eastAsia="宋体" w:cs="Times New Roman"/>
                      <w:color w:val="000000" w:themeColor="text1"/>
                      <w:szCs w:val="21"/>
                      <w:lang w:val="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5</w:t>
                  </w:r>
                </w:p>
              </w:tc>
              <w:tc>
                <w:tcPr>
                  <w:tcW w:w="1623" w:type="pct"/>
                  <w:tcBorders>
                    <w:tl2br w:val="nil"/>
                    <w:tr2bl w:val="nil"/>
                  </w:tcBorders>
                  <w:noWrap w:val="0"/>
                  <w:vAlign w:val="center"/>
                </w:tcPr>
                <w:p w14:paraId="6829E189">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20.685</w:t>
                  </w:r>
                </w:p>
              </w:tc>
              <w:tc>
                <w:tcPr>
                  <w:tcW w:w="1644" w:type="pct"/>
                  <w:tcBorders>
                    <w:tl2br w:val="nil"/>
                    <w:tr2bl w:val="nil"/>
                  </w:tcBorders>
                  <w:noWrap w:val="0"/>
                  <w:vAlign w:val="center"/>
                </w:tcPr>
                <w:p w14:paraId="28FAF516">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0.916</w:t>
                  </w:r>
                </w:p>
              </w:tc>
            </w:tr>
            <w:tr w14:paraId="18BB2E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nil"/>
                    <w:tr2bl w:val="nil"/>
                  </w:tcBorders>
                  <w:noWrap w:val="0"/>
                  <w:vAlign w:val="center"/>
                </w:tcPr>
                <w:p w14:paraId="2806D1E7">
                  <w:pPr>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zh-CN"/>
                      <w14:textFill>
                        <w14:solidFill>
                          <w14:schemeClr w14:val="tx1"/>
                        </w14:solidFill>
                      </w14:textFill>
                    </w:rPr>
                    <w:t>202</w:t>
                  </w:r>
                  <w:r>
                    <w:rPr>
                      <w:rFonts w:hint="eastAsia" w:ascii="Times New Roman" w:hAnsi="Times New Roman" w:eastAsia="宋体" w:cs="Times New Roman"/>
                      <w:color w:val="000000" w:themeColor="text1"/>
                      <w:szCs w:val="21"/>
                      <w:lang w:val="en-US" w:eastAsia="zh-CN"/>
                      <w14:textFill>
                        <w14:solidFill>
                          <w14:schemeClr w14:val="tx1"/>
                        </w14:solidFill>
                      </w14:textFill>
                    </w:rPr>
                    <w:t>5</w:t>
                  </w:r>
                  <w:r>
                    <w:rPr>
                      <w:rFonts w:hint="default" w:ascii="Times New Roman" w:hAnsi="Times New Roman" w:eastAsia="宋体" w:cs="Times New Roman"/>
                      <w:color w:val="000000" w:themeColor="text1"/>
                      <w:szCs w:val="21"/>
                      <w:lang w:val="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6</w:t>
                  </w:r>
                </w:p>
              </w:tc>
              <w:tc>
                <w:tcPr>
                  <w:tcW w:w="1623" w:type="pct"/>
                  <w:tcBorders>
                    <w:tl2br w:val="nil"/>
                    <w:tr2bl w:val="nil"/>
                  </w:tcBorders>
                  <w:noWrap w:val="0"/>
                  <w:vAlign w:val="center"/>
                </w:tcPr>
                <w:p w14:paraId="3124DA38">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21.839</w:t>
                  </w:r>
                </w:p>
              </w:tc>
              <w:tc>
                <w:tcPr>
                  <w:tcW w:w="1644" w:type="pct"/>
                  <w:tcBorders>
                    <w:tl2br w:val="nil"/>
                    <w:tr2bl w:val="nil"/>
                  </w:tcBorders>
                  <w:noWrap w:val="0"/>
                  <w:vAlign w:val="center"/>
                </w:tcPr>
                <w:p w14:paraId="776D1D69">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1.033</w:t>
                  </w:r>
                </w:p>
              </w:tc>
            </w:tr>
            <w:tr w14:paraId="07C8F0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nil"/>
                    <w:tr2bl w:val="nil"/>
                  </w:tcBorders>
                  <w:noWrap w:val="0"/>
                  <w:vAlign w:val="center"/>
                </w:tcPr>
                <w:p w14:paraId="23B98CBB">
                  <w:pPr>
                    <w:jc w:val="center"/>
                    <w:rPr>
                      <w:rFonts w:hint="default" w:ascii="Times New Roman" w:hAnsi="Times New Roman" w:eastAsia="宋体" w:cs="Times New Roman"/>
                      <w:color w:val="000000" w:themeColor="text1"/>
                      <w:szCs w:val="21"/>
                      <w:lang w:val="zh-CN"/>
                      <w14:textFill>
                        <w14:solidFill>
                          <w14:schemeClr w14:val="tx1"/>
                        </w14:solidFill>
                      </w14:textFill>
                    </w:rPr>
                  </w:pPr>
                  <w:r>
                    <w:rPr>
                      <w:rFonts w:hint="default" w:ascii="Times New Roman" w:hAnsi="Times New Roman" w:eastAsia="宋体" w:cs="Times New Roman"/>
                      <w:color w:val="000000" w:themeColor="text1"/>
                      <w:szCs w:val="21"/>
                      <w:lang w:val="zh-CN"/>
                      <w14:textFill>
                        <w14:solidFill>
                          <w14:schemeClr w14:val="tx1"/>
                        </w14:solidFill>
                      </w14:textFill>
                    </w:rPr>
                    <w:t>标准值</w:t>
                  </w:r>
                </w:p>
              </w:tc>
              <w:tc>
                <w:tcPr>
                  <w:tcW w:w="1623" w:type="pct"/>
                  <w:tcBorders>
                    <w:tl2br w:val="nil"/>
                    <w:tr2bl w:val="nil"/>
                  </w:tcBorders>
                  <w:noWrap w:val="0"/>
                  <w:vAlign w:val="center"/>
                </w:tcPr>
                <w:p w14:paraId="0C5E6786">
                  <w:pPr>
                    <w:jc w:val="center"/>
                    <w:rPr>
                      <w:rFonts w:hint="default" w:ascii="Times New Roman" w:hAnsi="Times New Roman" w:eastAsia="宋体" w:cs="Times New Roman"/>
                      <w:color w:val="000000" w:themeColor="text1"/>
                      <w:szCs w:val="21"/>
                      <w:lang w:val="zh-CN"/>
                      <w14:textFill>
                        <w14:solidFill>
                          <w14:schemeClr w14:val="tx1"/>
                        </w14:solidFill>
                      </w14:textFill>
                    </w:rPr>
                  </w:pPr>
                  <w:r>
                    <w:rPr>
                      <w:rFonts w:hint="default" w:ascii="Times New Roman" w:hAnsi="Times New Roman" w:eastAsia="宋体" w:cs="Times New Roman"/>
                      <w:color w:val="000000" w:themeColor="text1"/>
                      <w:szCs w:val="21"/>
                      <w:lang w:val="zh-CN"/>
                      <w14:textFill>
                        <w14:solidFill>
                          <w14:schemeClr w14:val="tx1"/>
                        </w14:solidFill>
                      </w14:textFill>
                    </w:rPr>
                    <w:t>≤40</w:t>
                  </w:r>
                </w:p>
              </w:tc>
              <w:tc>
                <w:tcPr>
                  <w:tcW w:w="1644" w:type="pct"/>
                  <w:tcBorders>
                    <w:tl2br w:val="nil"/>
                    <w:tr2bl w:val="nil"/>
                  </w:tcBorders>
                  <w:noWrap w:val="0"/>
                  <w:vAlign w:val="center"/>
                </w:tcPr>
                <w:p w14:paraId="22003595">
                  <w:pPr>
                    <w:jc w:val="center"/>
                    <w:rPr>
                      <w:rFonts w:hint="default" w:ascii="Times New Roman" w:hAnsi="Times New Roman" w:eastAsia="宋体" w:cs="Times New Roman"/>
                      <w:color w:val="000000" w:themeColor="text1"/>
                      <w:szCs w:val="21"/>
                      <w:lang w:val="zh-CN"/>
                      <w14:textFill>
                        <w14:solidFill>
                          <w14:schemeClr w14:val="tx1"/>
                        </w14:solidFill>
                      </w14:textFill>
                    </w:rPr>
                  </w:pPr>
                  <w:r>
                    <w:rPr>
                      <w:rFonts w:hint="default" w:ascii="Times New Roman" w:hAnsi="Times New Roman" w:eastAsia="宋体" w:cs="Times New Roman"/>
                      <w:color w:val="000000" w:themeColor="text1"/>
                      <w:szCs w:val="21"/>
                      <w:lang w:val="zh-CN"/>
                      <w14:textFill>
                        <w14:solidFill>
                          <w14:schemeClr w14:val="tx1"/>
                        </w14:solidFill>
                      </w14:textFill>
                    </w:rPr>
                    <w:t>≤2</w:t>
                  </w:r>
                </w:p>
              </w:tc>
            </w:tr>
            <w:tr w14:paraId="53E09C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731" w:type="pct"/>
                  <w:tcBorders>
                    <w:tl2br w:val="nil"/>
                    <w:tr2bl w:val="nil"/>
                  </w:tcBorders>
                  <w:noWrap w:val="0"/>
                  <w:vAlign w:val="center"/>
                </w:tcPr>
                <w:p w14:paraId="642BC519">
                  <w:pPr>
                    <w:jc w:val="center"/>
                    <w:rPr>
                      <w:rFonts w:hint="default" w:ascii="Times New Roman" w:hAnsi="Times New Roman" w:eastAsia="宋体" w:cs="Times New Roman"/>
                      <w:color w:val="000000" w:themeColor="text1"/>
                      <w:szCs w:val="21"/>
                      <w:lang w:val="zh-CN"/>
                      <w14:textFill>
                        <w14:solidFill>
                          <w14:schemeClr w14:val="tx1"/>
                        </w14:solidFill>
                      </w14:textFill>
                    </w:rPr>
                  </w:pPr>
                  <w:r>
                    <w:rPr>
                      <w:rFonts w:hint="default" w:ascii="Times New Roman" w:hAnsi="Times New Roman" w:eastAsia="宋体" w:cs="Times New Roman"/>
                      <w:color w:val="000000" w:themeColor="text1"/>
                      <w:szCs w:val="21"/>
                      <w:lang w:val="zh-CN"/>
                      <w14:textFill>
                        <w14:solidFill>
                          <w14:schemeClr w14:val="tx1"/>
                        </w14:solidFill>
                      </w14:textFill>
                    </w:rPr>
                    <w:t>达标情况</w:t>
                  </w:r>
                </w:p>
              </w:tc>
              <w:tc>
                <w:tcPr>
                  <w:tcW w:w="1623" w:type="pct"/>
                  <w:tcBorders>
                    <w:tl2br w:val="nil"/>
                    <w:tr2bl w:val="nil"/>
                  </w:tcBorders>
                  <w:noWrap w:val="0"/>
                  <w:vAlign w:val="center"/>
                </w:tcPr>
                <w:p w14:paraId="05EE77D4">
                  <w:pPr>
                    <w:jc w:val="center"/>
                    <w:rPr>
                      <w:rFonts w:hint="default" w:ascii="Times New Roman" w:hAnsi="Times New Roman" w:eastAsia="宋体" w:cs="Times New Roman"/>
                      <w:color w:val="000000" w:themeColor="text1"/>
                      <w:szCs w:val="21"/>
                      <w:lang w:val="zh-CN"/>
                      <w14:textFill>
                        <w14:solidFill>
                          <w14:schemeClr w14:val="tx1"/>
                        </w14:solidFill>
                      </w14:textFill>
                    </w:rPr>
                  </w:pPr>
                  <w:r>
                    <w:rPr>
                      <w:rFonts w:hint="default" w:ascii="Times New Roman" w:hAnsi="Times New Roman" w:eastAsia="宋体" w:cs="Times New Roman"/>
                      <w:color w:val="000000" w:themeColor="text1"/>
                      <w:szCs w:val="21"/>
                      <w:lang w:val="zh-CN"/>
                      <w14:textFill>
                        <w14:solidFill>
                          <w14:schemeClr w14:val="tx1"/>
                        </w14:solidFill>
                      </w14:textFill>
                    </w:rPr>
                    <w:t>达标</w:t>
                  </w:r>
                </w:p>
              </w:tc>
              <w:tc>
                <w:tcPr>
                  <w:tcW w:w="1644" w:type="pct"/>
                  <w:tcBorders>
                    <w:tl2br w:val="nil"/>
                    <w:tr2bl w:val="nil"/>
                  </w:tcBorders>
                  <w:noWrap w:val="0"/>
                  <w:vAlign w:val="center"/>
                </w:tcPr>
                <w:p w14:paraId="0259EB83">
                  <w:pPr>
                    <w:jc w:val="center"/>
                    <w:rPr>
                      <w:rFonts w:hint="default" w:ascii="Times New Roman" w:hAnsi="Times New Roman" w:eastAsia="宋体" w:cs="Times New Roman"/>
                      <w:color w:val="000000" w:themeColor="text1"/>
                      <w:szCs w:val="21"/>
                      <w:lang w:val="zh-CN"/>
                      <w14:textFill>
                        <w14:solidFill>
                          <w14:schemeClr w14:val="tx1"/>
                        </w14:solidFill>
                      </w14:textFill>
                    </w:rPr>
                  </w:pPr>
                  <w:r>
                    <w:rPr>
                      <w:rFonts w:hint="default" w:ascii="Times New Roman" w:hAnsi="Times New Roman" w:eastAsia="宋体" w:cs="Times New Roman"/>
                      <w:color w:val="000000" w:themeColor="text1"/>
                      <w:szCs w:val="21"/>
                      <w:lang w:val="zh-CN"/>
                      <w14:textFill>
                        <w14:solidFill>
                          <w14:schemeClr w14:val="tx1"/>
                        </w14:solidFill>
                      </w14:textFill>
                    </w:rPr>
                    <w:t>达标</w:t>
                  </w:r>
                </w:p>
              </w:tc>
            </w:tr>
          </w:tbl>
          <w:p w14:paraId="4C35BD25">
            <w:pPr>
              <w:snapToGrid w:val="0"/>
              <w:spacing w:line="360" w:lineRule="auto"/>
              <w:ind w:firstLine="480" w:firstLineChars="200"/>
              <w:rPr>
                <w:rFonts w:hint="default" w:ascii="Times New Roman" w:hAnsi="Times New Roman" w:eastAsia="宋体" w:cs="Times New Roman"/>
                <w:color w:val="000000" w:themeColor="text1"/>
                <w:sz w:val="24"/>
                <w:lang w:val="zh-CN"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根据上表，</w:t>
            </w:r>
            <w:r>
              <w:rPr>
                <w:rFonts w:hint="default" w:ascii="Times New Roman" w:hAnsi="Times New Roman" w:eastAsia="宋体" w:cs="Times New Roman"/>
                <w:color w:val="000000" w:themeColor="text1"/>
                <w:sz w:val="24"/>
                <w:lang w:val="zh-CN"/>
                <w14:textFill>
                  <w14:solidFill>
                    <w14:schemeClr w14:val="tx1"/>
                  </w14:solidFill>
                </w14:textFill>
              </w:rPr>
              <w:t>涝淄河张钢北例行监测断面化学需氧量、氨氮满足《地表水环境质量标准》（GB3838-2002）Ⅴ类标准要求。</w:t>
            </w:r>
          </w:p>
          <w:p w14:paraId="2D140AE6">
            <w:pPr>
              <w:adjustRightInd w:val="0"/>
              <w:snapToGrid w:val="0"/>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3、声环境</w:t>
            </w:r>
          </w:p>
          <w:p w14:paraId="74F2DDD0">
            <w:pPr>
              <w:snapToGrid w:val="0"/>
              <w:spacing w:line="360" w:lineRule="auto"/>
              <w:ind w:firstLine="480" w:firstLineChars="200"/>
              <w:rPr>
                <w:rFonts w:hint="default" w:ascii="Times New Roman" w:hAnsi="Times New Roman" w:eastAsia="宋体" w:cs="Times New Roman"/>
                <w:color w:val="000000" w:themeColor="text1"/>
                <w:sz w:val="24"/>
                <w:lang w:val="zh-CN"/>
                <w14:textFill>
                  <w14:solidFill>
                    <w14:schemeClr w14:val="tx1"/>
                  </w14:solidFill>
                </w14:textFill>
              </w:rPr>
            </w:pPr>
            <w:r>
              <w:rPr>
                <w:rFonts w:hint="default" w:ascii="Times New Roman" w:hAnsi="Times New Roman" w:eastAsia="宋体" w:cs="Times New Roman"/>
                <w:color w:val="000000" w:themeColor="text1"/>
                <w:sz w:val="24"/>
                <w:lang w:val="zh-CN"/>
                <w14:textFill>
                  <w14:solidFill>
                    <w14:schemeClr w14:val="tx1"/>
                  </w14:solidFill>
                </w14:textFill>
              </w:rPr>
              <w:t>本项目厂界周边50m范围内无声环境保护目标，据现场调查，项目所在地的环境噪声能够满足《声环境质量标准》（GB3096-2008）</w:t>
            </w:r>
            <w:r>
              <w:rPr>
                <w:rFonts w:hint="default" w:ascii="Times New Roman" w:hAnsi="Times New Roman" w:eastAsia="宋体" w:cs="Times New Roman"/>
                <w:color w:val="000000" w:themeColor="text1"/>
                <w:sz w:val="24"/>
                <w14:textFill>
                  <w14:solidFill>
                    <w14:schemeClr w14:val="tx1"/>
                  </w14:solidFill>
                </w14:textFill>
              </w:rPr>
              <w:t>3</w:t>
            </w:r>
            <w:r>
              <w:rPr>
                <w:rFonts w:hint="default" w:ascii="Times New Roman" w:hAnsi="Times New Roman" w:eastAsia="宋体" w:cs="Times New Roman"/>
                <w:color w:val="000000" w:themeColor="text1"/>
                <w:sz w:val="24"/>
                <w:lang w:val="zh-CN"/>
                <w14:textFill>
                  <w14:solidFill>
                    <w14:schemeClr w14:val="tx1"/>
                  </w14:solidFill>
                </w14:textFill>
              </w:rPr>
              <w:t>类标准的限值要求。</w:t>
            </w:r>
          </w:p>
          <w:p w14:paraId="2434609C">
            <w:pPr>
              <w:adjustRightInd w:val="0"/>
              <w:snapToGrid w:val="0"/>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4、生态环境</w:t>
            </w:r>
          </w:p>
          <w:p w14:paraId="086B17D1">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本项目位于</w:t>
            </w:r>
            <w:r>
              <w:rPr>
                <w:rFonts w:hint="eastAsia" w:cs="Times New Roman"/>
                <w:color w:val="000000" w:themeColor="text1"/>
                <w:sz w:val="24"/>
                <w:lang w:eastAsia="zh-CN"/>
                <w14:textFill>
                  <w14:solidFill>
                    <w14:schemeClr w14:val="tx1"/>
                  </w14:solidFill>
                </w14:textFill>
              </w:rPr>
              <w:t>山东省淄博市张店区湖田街道办事处南焦宋村南首</w:t>
            </w:r>
            <w:r>
              <w:rPr>
                <w:rFonts w:hint="default" w:ascii="Times New Roman" w:hAnsi="Times New Roman" w:eastAsia="宋体" w:cs="Times New Roman"/>
                <w:color w:val="000000" w:themeColor="text1"/>
                <w:sz w:val="24"/>
                <w14:textFill>
                  <w14:solidFill>
                    <w14:schemeClr w14:val="tx1"/>
                  </w14:solidFill>
                </w14:textFill>
              </w:rPr>
              <w:t>，不新增占地，且用地范围内无生态环境保护目标，无需进行生态现状调查。</w:t>
            </w:r>
          </w:p>
          <w:p w14:paraId="0F7D69EC">
            <w:pPr>
              <w:adjustRightInd w:val="0"/>
              <w:snapToGrid w:val="0"/>
              <w:spacing w:line="360" w:lineRule="auto"/>
              <w:ind w:firstLine="482" w:firstLineChars="200"/>
              <w:jc w:val="left"/>
              <w:rPr>
                <w:rFonts w:hint="default" w:ascii="Times New Roman" w:hAnsi="Times New Roman" w:eastAsia="宋体" w:cs="Times New Roman"/>
                <w:b/>
                <w:bCs/>
                <w:color w:val="000000" w:themeColor="text1"/>
                <w:kern w:val="0"/>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5、</w:t>
            </w:r>
            <w:r>
              <w:rPr>
                <w:rFonts w:hint="default" w:ascii="Times New Roman" w:hAnsi="Times New Roman" w:eastAsia="宋体" w:cs="Times New Roman"/>
                <w:b/>
                <w:bCs/>
                <w:color w:val="000000" w:themeColor="text1"/>
                <w:kern w:val="0"/>
                <w:sz w:val="24"/>
                <w14:textFill>
                  <w14:solidFill>
                    <w14:schemeClr w14:val="tx1"/>
                  </w14:solidFill>
                </w14:textFill>
              </w:rPr>
              <w:t>电磁辐射</w:t>
            </w:r>
          </w:p>
          <w:p w14:paraId="595530AA">
            <w:pPr>
              <w:adjustRightInd w:val="0"/>
              <w:snapToGrid w:val="0"/>
              <w:spacing w:line="360" w:lineRule="auto"/>
              <w:ind w:firstLine="480" w:firstLineChars="200"/>
              <w:jc w:val="left"/>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本项目不属于广播电台、差转台、电视塔台、卫星地球上行站、雷达等电磁辐射类项目，本评价不再开展电磁环境影响分析。</w:t>
            </w:r>
          </w:p>
          <w:p w14:paraId="3438D0DC">
            <w:pPr>
              <w:adjustRightInd w:val="0"/>
              <w:snapToGrid w:val="0"/>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6、地下水、土壤环境</w:t>
            </w:r>
          </w:p>
          <w:p w14:paraId="02B15F5E">
            <w:pPr>
              <w:pStyle w:val="37"/>
              <w:spacing w:after="0" w:line="360" w:lineRule="auto"/>
              <w:ind w:left="0" w:leftChars="0" w:firstLine="48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kern w:val="44"/>
                <w:sz w:val="24"/>
                <w14:textFill>
                  <w14:solidFill>
                    <w14:schemeClr w14:val="tx1"/>
                  </w14:solidFill>
                </w14:textFill>
              </w:rPr>
              <w:t>根据指南要求，地下水、土壤环境原则上不开展环境质量现状调查，本项目严格落实分区防渗的前提下，对地下水、土壤的环境污染影响较小，本项目不再开展环境质量现状调查。</w:t>
            </w:r>
          </w:p>
        </w:tc>
      </w:tr>
      <w:tr w14:paraId="50DF4C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6" w:type="pct"/>
            <w:vAlign w:val="center"/>
          </w:tcPr>
          <w:p w14:paraId="5EF7097B">
            <w:pPr>
              <w:widowControl/>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lang w:bidi="ar"/>
                <w14:textFill>
                  <w14:solidFill>
                    <w14:schemeClr w14:val="tx1"/>
                  </w14:solidFill>
                </w14:textFill>
              </w:rPr>
              <w:t>环境保护目标</w:t>
            </w:r>
          </w:p>
        </w:tc>
        <w:tc>
          <w:tcPr>
            <w:tcW w:w="4673" w:type="pct"/>
            <w:vAlign w:val="center"/>
          </w:tcPr>
          <w:p w14:paraId="46338CEC">
            <w:pPr>
              <w:pStyle w:val="37"/>
              <w:spacing w:after="0" w:line="360" w:lineRule="auto"/>
              <w:ind w:left="0" w:leftChars="0" w:firstLine="480"/>
              <w:rPr>
                <w:rFonts w:hint="default" w:ascii="Times New Roman" w:hAnsi="Times New Roman" w:eastAsia="宋体" w:cs="Times New Roman"/>
                <w:bCs/>
                <w:color w:val="000000" w:themeColor="text1"/>
                <w:kern w:val="44"/>
                <w:sz w:val="24"/>
                <w14:textFill>
                  <w14:solidFill>
                    <w14:schemeClr w14:val="tx1"/>
                  </w14:solidFill>
                </w14:textFill>
              </w:rPr>
            </w:pPr>
            <w:r>
              <w:rPr>
                <w:rFonts w:hint="default" w:ascii="Times New Roman" w:hAnsi="Times New Roman" w:eastAsia="宋体" w:cs="Times New Roman"/>
                <w:bCs/>
                <w:color w:val="000000" w:themeColor="text1"/>
                <w:kern w:val="44"/>
                <w:sz w:val="24"/>
                <w14:textFill>
                  <w14:solidFill>
                    <w14:schemeClr w14:val="tx1"/>
                  </w14:solidFill>
                </w14:textFill>
              </w:rPr>
              <w:t>本项目所在区域内无自然保护区、保护文物及风景名胜区等特殊环境敏感目标。主要环境保护目标见表3-</w:t>
            </w:r>
            <w:r>
              <w:rPr>
                <w:rFonts w:hint="eastAsia" w:cs="Times New Roman"/>
                <w:bCs/>
                <w:color w:val="000000" w:themeColor="text1"/>
                <w:kern w:val="44"/>
                <w:sz w:val="24"/>
                <w:lang w:val="en-US" w:eastAsia="zh-CN"/>
                <w14:textFill>
                  <w14:solidFill>
                    <w14:schemeClr w14:val="tx1"/>
                  </w14:solidFill>
                </w14:textFill>
              </w:rPr>
              <w:t>3</w:t>
            </w:r>
            <w:r>
              <w:rPr>
                <w:rFonts w:hint="default" w:ascii="Times New Roman" w:hAnsi="Times New Roman" w:eastAsia="宋体" w:cs="Times New Roman"/>
                <w:bCs/>
                <w:color w:val="000000" w:themeColor="text1"/>
                <w:kern w:val="44"/>
                <w:sz w:val="24"/>
                <w14:textFill>
                  <w14:solidFill>
                    <w14:schemeClr w14:val="tx1"/>
                  </w14:solidFill>
                </w14:textFill>
              </w:rPr>
              <w:t>，附图2。</w:t>
            </w:r>
          </w:p>
          <w:p w14:paraId="42B22063">
            <w:pPr>
              <w:adjustRightInd w:val="0"/>
              <w:snapToGrid w:val="0"/>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表3-</w:t>
            </w:r>
            <w:r>
              <w:rPr>
                <w:rFonts w:hint="eastAsia" w:cs="Times New Roman"/>
                <w:b/>
                <w:bCs/>
                <w:color w:val="000000" w:themeColor="text1"/>
                <w:lang w:val="en-US" w:eastAsia="zh-CN"/>
                <w14:textFill>
                  <w14:solidFill>
                    <w14:schemeClr w14:val="tx1"/>
                  </w14:solidFill>
                </w14:textFill>
              </w:rPr>
              <w:t>3</w:t>
            </w:r>
            <w:r>
              <w:rPr>
                <w:rFonts w:hint="default" w:ascii="Times New Roman" w:hAnsi="Times New Roman" w:eastAsia="宋体" w:cs="Times New Roman"/>
                <w:b/>
                <w:bCs/>
                <w:color w:val="000000" w:themeColor="text1"/>
                <w14:textFill>
                  <w14:solidFill>
                    <w14:schemeClr w14:val="tx1"/>
                  </w14:solidFill>
                </w14:textFill>
              </w:rPr>
              <w:t>主要环境保护目标及级别一览表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1351"/>
              <w:gridCol w:w="996"/>
              <w:gridCol w:w="1195"/>
              <w:gridCol w:w="1166"/>
              <w:gridCol w:w="2837"/>
            </w:tblGrid>
            <w:tr w14:paraId="1B1B7B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vAlign w:val="center"/>
                </w:tcPr>
                <w:p w14:paraId="469149F6">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环境要素</w:t>
                  </w:r>
                </w:p>
              </w:tc>
              <w:tc>
                <w:tcPr>
                  <w:tcW w:w="779" w:type="pct"/>
                  <w:vAlign w:val="center"/>
                </w:tcPr>
                <w:p w14:paraId="4ECF2D98">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名称</w:t>
                  </w:r>
                </w:p>
              </w:tc>
              <w:tc>
                <w:tcPr>
                  <w:tcW w:w="573" w:type="pct"/>
                  <w:vAlign w:val="center"/>
                </w:tcPr>
                <w:p w14:paraId="7D150824">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环境功能区</w:t>
                  </w:r>
                </w:p>
              </w:tc>
              <w:tc>
                <w:tcPr>
                  <w:tcW w:w="689" w:type="pct"/>
                  <w:vAlign w:val="center"/>
                </w:tcPr>
                <w:p w14:paraId="2AE64ACF">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相对厂址方位</w:t>
                  </w:r>
                </w:p>
              </w:tc>
              <w:tc>
                <w:tcPr>
                  <w:tcW w:w="671" w:type="pct"/>
                  <w:vAlign w:val="center"/>
                </w:tcPr>
                <w:p w14:paraId="5FD0B93E">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相对厂界距离（m）</w:t>
                  </w:r>
                </w:p>
              </w:tc>
              <w:tc>
                <w:tcPr>
                  <w:tcW w:w="1635" w:type="pct"/>
                  <w:vAlign w:val="center"/>
                </w:tcPr>
                <w:p w14:paraId="655F7BC1">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保护级别</w:t>
                  </w:r>
                </w:p>
              </w:tc>
            </w:tr>
            <w:tr w14:paraId="65D1F2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vAlign w:val="center"/>
                </w:tcPr>
                <w:p w14:paraId="084E3BB6">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环境空气</w:t>
                  </w:r>
                </w:p>
              </w:tc>
              <w:tc>
                <w:tcPr>
                  <w:tcW w:w="2714" w:type="pct"/>
                  <w:gridSpan w:val="4"/>
                  <w:vAlign w:val="center"/>
                </w:tcPr>
                <w:p w14:paraId="3C556F7D">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项目厂界外500米范围内无自然保护区、风景名胜区、居住区、文化区和农村地区中人群较集中的区域等大气环境保护目标</w:t>
                  </w:r>
                </w:p>
              </w:tc>
              <w:tc>
                <w:tcPr>
                  <w:tcW w:w="1635" w:type="pct"/>
                  <w:vAlign w:val="center"/>
                </w:tcPr>
                <w:p w14:paraId="34A2D4FE">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《环境空气质量标准》（GB3095-2012）及修改单中的二级标准</w:t>
                  </w:r>
                </w:p>
              </w:tc>
            </w:tr>
            <w:tr w14:paraId="45DACE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vAlign w:val="center"/>
                </w:tcPr>
                <w:p w14:paraId="4243D939">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声环境</w:t>
                  </w:r>
                </w:p>
              </w:tc>
              <w:tc>
                <w:tcPr>
                  <w:tcW w:w="2714" w:type="pct"/>
                  <w:gridSpan w:val="4"/>
                  <w:shd w:val="clear" w:color="auto" w:fill="auto"/>
                  <w:vAlign w:val="center"/>
                </w:tcPr>
                <w:p w14:paraId="3FF140BD">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项目厂界外50m范围内无声环境保护目标</w:t>
                  </w:r>
                </w:p>
              </w:tc>
              <w:tc>
                <w:tcPr>
                  <w:tcW w:w="1635" w:type="pct"/>
                  <w:vAlign w:val="center"/>
                </w:tcPr>
                <w:p w14:paraId="254D751E">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《声环境质量标准》</w:t>
                  </w:r>
                </w:p>
                <w:p w14:paraId="2792CD4D">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（GB3096-2008）3类标准</w:t>
                  </w:r>
                </w:p>
              </w:tc>
            </w:tr>
            <w:tr w14:paraId="681BDC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649" w:type="pct"/>
                  <w:vAlign w:val="center"/>
                </w:tcPr>
                <w:p w14:paraId="763C616A">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地表水</w:t>
                  </w:r>
                </w:p>
              </w:tc>
              <w:tc>
                <w:tcPr>
                  <w:tcW w:w="1353" w:type="pct"/>
                  <w:gridSpan w:val="2"/>
                  <w:vAlign w:val="center"/>
                </w:tcPr>
                <w:p w14:paraId="057222A3">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涝淄河</w:t>
                  </w:r>
                </w:p>
              </w:tc>
              <w:tc>
                <w:tcPr>
                  <w:tcW w:w="689" w:type="pct"/>
                  <w:vAlign w:val="center"/>
                </w:tcPr>
                <w:p w14:paraId="06A775E6">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w:t>
                  </w:r>
                </w:p>
              </w:tc>
              <w:tc>
                <w:tcPr>
                  <w:tcW w:w="671" w:type="pct"/>
                  <w:vAlign w:val="center"/>
                </w:tcPr>
                <w:p w14:paraId="6162B23F">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4500</w:t>
                  </w:r>
                </w:p>
              </w:tc>
              <w:tc>
                <w:tcPr>
                  <w:tcW w:w="1635" w:type="pct"/>
                  <w:vAlign w:val="center"/>
                </w:tcPr>
                <w:p w14:paraId="225D15D9">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《地表水环境质量标准》（GB3838-2002）V类标准</w:t>
                  </w:r>
                </w:p>
              </w:tc>
            </w:tr>
            <w:tr w14:paraId="021EA1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vAlign w:val="center"/>
                </w:tcPr>
                <w:p w14:paraId="0FD6D897">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地下水</w:t>
                  </w:r>
                </w:p>
              </w:tc>
              <w:tc>
                <w:tcPr>
                  <w:tcW w:w="2714" w:type="pct"/>
                  <w:gridSpan w:val="4"/>
                  <w:vAlign w:val="center"/>
                </w:tcPr>
                <w:p w14:paraId="403FCCDB">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项目周边500m范围内无饮用水源地和热水、矿泉水、温泉等特殊地下水资源</w:t>
                  </w:r>
                </w:p>
              </w:tc>
              <w:tc>
                <w:tcPr>
                  <w:tcW w:w="1635" w:type="pct"/>
                  <w:vAlign w:val="center"/>
                </w:tcPr>
                <w:p w14:paraId="6AA2C9A5">
                  <w:pPr>
                    <w:jc w:val="center"/>
                    <w:rPr>
                      <w:rFonts w:hint="default" w:ascii="Times New Roman" w:hAnsi="Times New Roman" w:eastAsia="宋体" w:cs="Times New Roman"/>
                      <w:color w:val="000000" w:themeColor="text1"/>
                      <w:spacing w:val="-6"/>
                      <w:szCs w:val="21"/>
                      <w14:textFill>
                        <w14:solidFill>
                          <w14:schemeClr w14:val="tx1"/>
                        </w14:solidFill>
                      </w14:textFill>
                    </w:rPr>
                  </w:pPr>
                  <w:r>
                    <w:rPr>
                      <w:rFonts w:hint="default" w:ascii="Times New Roman" w:hAnsi="Times New Roman" w:eastAsia="宋体" w:cs="Times New Roman"/>
                      <w:color w:val="000000" w:themeColor="text1"/>
                      <w:spacing w:val="-6"/>
                      <w:szCs w:val="21"/>
                      <w14:textFill>
                        <w14:solidFill>
                          <w14:schemeClr w14:val="tx1"/>
                        </w14:solidFill>
                      </w14:textFill>
                    </w:rPr>
                    <w:t>《地下水质量标准》（GB/T14848-2017）Ⅲ类区</w:t>
                  </w:r>
                </w:p>
              </w:tc>
            </w:tr>
            <w:tr w14:paraId="240C77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649" w:type="pct"/>
                  <w:vAlign w:val="center"/>
                </w:tcPr>
                <w:p w14:paraId="6C33D2AD">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生态环境</w:t>
                  </w:r>
                </w:p>
              </w:tc>
              <w:tc>
                <w:tcPr>
                  <w:tcW w:w="4350" w:type="pct"/>
                  <w:gridSpan w:val="5"/>
                  <w:vAlign w:val="center"/>
                </w:tcPr>
                <w:p w14:paraId="1B2636AE">
                  <w:pPr>
                    <w:tabs>
                      <w:tab w:val="left" w:pos="1680"/>
                    </w:tabs>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项目区用地范围内不含有生态保护目标</w:t>
                  </w:r>
                </w:p>
              </w:tc>
            </w:tr>
          </w:tbl>
          <w:p w14:paraId="0D42A5CC">
            <w:pPr>
              <w:rPr>
                <w:rFonts w:hint="default" w:ascii="Times New Roman" w:hAnsi="Times New Roman" w:eastAsia="宋体" w:cs="Times New Roman"/>
                <w:color w:val="000000" w:themeColor="text1"/>
                <w14:textFill>
                  <w14:solidFill>
                    <w14:schemeClr w14:val="tx1"/>
                  </w14:solidFill>
                </w14:textFill>
              </w:rPr>
            </w:pPr>
          </w:p>
        </w:tc>
      </w:tr>
      <w:tr w14:paraId="56AB8F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6" w:type="pct"/>
            <w:vAlign w:val="center"/>
          </w:tcPr>
          <w:p w14:paraId="2179C4EC">
            <w:pPr>
              <w:widowControl/>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 w:val="24"/>
                <w:lang w:bidi="ar"/>
                <w14:textFill>
                  <w14:solidFill>
                    <w14:schemeClr w14:val="tx1"/>
                  </w14:solidFill>
                </w14:textFill>
              </w:rPr>
              <w:t>污染物排放控制标准</w:t>
            </w:r>
          </w:p>
        </w:tc>
        <w:tc>
          <w:tcPr>
            <w:tcW w:w="4673" w:type="pct"/>
            <w:vAlign w:val="center"/>
          </w:tcPr>
          <w:p w14:paraId="57844728">
            <w:pPr>
              <w:adjustRightInd w:val="0"/>
              <w:snapToGrid w:val="0"/>
              <w:spacing w:line="360" w:lineRule="auto"/>
              <w:ind w:firstLine="482" w:firstLineChars="200"/>
              <w:jc w:val="left"/>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1、废气</w:t>
            </w:r>
          </w:p>
          <w:p w14:paraId="2293CEB7">
            <w:pPr>
              <w:widowControl/>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本项目加热熔融、搅拌混合、冷却成型工序中产生的大气污染物主要为</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，排放执行</w:t>
            </w:r>
            <w:r>
              <w:rPr>
                <w:rFonts w:hint="default" w:ascii="Times New Roman" w:hAnsi="Times New Roman" w:eastAsia="宋体" w:cs="Times New Roman"/>
                <w:color w:val="000000" w:themeColor="text1"/>
                <w:sz w:val="24"/>
                <w:lang w:val="en-US" w:eastAsia="zh-CN"/>
                <w14:textFill>
                  <w14:solidFill>
                    <w14:schemeClr w14:val="tx1"/>
                  </w14:solidFill>
                </w14:textFill>
              </w:rPr>
              <w:t>《挥发性有机物排放标准 第6部分：有机化工行业》（DB37/2801.6-2018）表1中其他行业Ⅱ时段排放限值</w:t>
            </w:r>
            <w:r>
              <w:rPr>
                <w:rFonts w:hint="eastAsia" w:ascii="Times New Roman" w:hAnsi="Times New Roman" w:eastAsia="宋体" w:cs="Times New Roman"/>
                <w:color w:val="000000" w:themeColor="text1"/>
                <w:sz w:val="24"/>
                <w:lang w:val="en-US" w:eastAsia="zh-CN"/>
                <w14:textFill>
                  <w14:solidFill>
                    <w14:schemeClr w14:val="tx1"/>
                  </w14:solidFill>
                </w14:textFill>
              </w:rPr>
              <w:t>要求；</w:t>
            </w:r>
          </w:p>
          <w:p w14:paraId="0C9ADB43">
            <w:pPr>
              <w:widowControl/>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本项目厂界无组织排放的</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执行</w:t>
            </w:r>
            <w:r>
              <w:rPr>
                <w:rFonts w:hint="default" w:ascii="Times New Roman" w:hAnsi="Times New Roman" w:eastAsia="宋体" w:cs="Times New Roman"/>
                <w:color w:val="000000" w:themeColor="text1"/>
                <w:sz w:val="24"/>
                <w:lang w:val="en-US" w:eastAsia="zh-CN"/>
                <w14:textFill>
                  <w14:solidFill>
                    <w14:schemeClr w14:val="tx1"/>
                  </w14:solidFill>
                </w14:textFill>
              </w:rPr>
              <w:t>《挥发性有机物排放标准 第6部分：有机化工行业》（DB37/2801.6-2018）表3厂界监控点浓度限值</w:t>
            </w:r>
            <w:r>
              <w:rPr>
                <w:rFonts w:hint="eastAsia" w:ascii="Times New Roman" w:hAnsi="Times New Roman" w:eastAsia="宋体" w:cs="Times New Roman"/>
                <w:color w:val="000000" w:themeColor="text1"/>
                <w:sz w:val="24"/>
                <w:lang w:val="en-US" w:eastAsia="zh-CN"/>
                <w14:textFill>
                  <w14:solidFill>
                    <w14:schemeClr w14:val="tx1"/>
                  </w14:solidFill>
                </w14:textFill>
              </w:rPr>
              <w:t>要求。</w:t>
            </w:r>
          </w:p>
          <w:p w14:paraId="4B16EAED">
            <w:pPr>
              <w:jc w:val="center"/>
              <w:rPr>
                <w:rFonts w:hint="eastAsia" w:ascii="Times New Roman" w:hAnsi="Times New Roman" w:eastAsia="宋体" w:cs="Times New Roman"/>
                <w:b/>
                <w:color w:val="000000" w:themeColor="text1"/>
                <w:lang w:eastAsia="zh-CN"/>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表3-</w:t>
            </w:r>
            <w:r>
              <w:rPr>
                <w:rFonts w:hint="eastAsia" w:cs="Times New Roman"/>
                <w:b/>
                <w:color w:val="000000" w:themeColor="text1"/>
                <w:lang w:val="en-US" w:eastAsia="zh-CN"/>
                <w14:textFill>
                  <w14:solidFill>
                    <w14:schemeClr w14:val="tx1"/>
                  </w14:solidFill>
                </w14:textFill>
              </w:rPr>
              <w:t xml:space="preserve">4 </w:t>
            </w:r>
            <w:r>
              <w:rPr>
                <w:rFonts w:hint="default" w:ascii="Times New Roman" w:hAnsi="Times New Roman" w:eastAsia="宋体" w:cs="Times New Roman"/>
                <w:b/>
                <w:color w:val="000000" w:themeColor="text1"/>
                <w14:textFill>
                  <w14:solidFill>
                    <w14:schemeClr w14:val="tx1"/>
                  </w14:solidFill>
                </w14:textFill>
              </w:rPr>
              <w:t>大气污染物排放标准</w:t>
            </w:r>
            <w:r>
              <w:rPr>
                <w:rFonts w:hint="eastAsia" w:cs="Times New Roman"/>
                <w:b/>
                <w:color w:val="000000" w:themeColor="text1"/>
                <w:lang w:eastAsia="zh-CN"/>
                <w14:textFill>
                  <w14:solidFill>
                    <w14:schemeClr w14:val="tx1"/>
                  </w14:solidFill>
                </w14:textFill>
              </w:rPr>
              <w:t>（</w:t>
            </w:r>
            <w:r>
              <w:rPr>
                <w:rFonts w:hint="eastAsia" w:cs="Times New Roman"/>
                <w:b/>
                <w:color w:val="000000" w:themeColor="text1"/>
                <w:lang w:val="en-US" w:eastAsia="zh-CN"/>
                <w14:textFill>
                  <w14:solidFill>
                    <w14:schemeClr w14:val="tx1"/>
                  </w14:solidFill>
                </w14:textFill>
              </w:rPr>
              <w:t>有组织</w:t>
            </w:r>
            <w:r>
              <w:rPr>
                <w:rFonts w:hint="eastAsia" w:cs="Times New Roman"/>
                <w:b/>
                <w:color w:val="000000" w:themeColor="text1"/>
                <w:lang w:eastAsia="zh-CN"/>
                <w14:textFill>
                  <w14:solidFill>
                    <w14:schemeClr w14:val="tx1"/>
                  </w14:solidFill>
                </w14:textFill>
              </w:rPr>
              <w:t>）</w:t>
            </w:r>
          </w:p>
          <w:tbl>
            <w:tblPr>
              <w:tblStyle w:val="3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81"/>
              <w:gridCol w:w="1136"/>
              <w:gridCol w:w="1285"/>
              <w:gridCol w:w="1320"/>
              <w:gridCol w:w="1321"/>
              <w:gridCol w:w="2624"/>
            </w:tblGrid>
            <w:tr w14:paraId="25D532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566" w:type="pct"/>
                  <w:tcBorders>
                    <w:tl2br w:val="nil"/>
                    <w:tr2bl w:val="nil"/>
                  </w:tcBorders>
                  <w:vAlign w:val="center"/>
                </w:tcPr>
                <w:p w14:paraId="493F6961">
                  <w:pPr>
                    <w:jc w:val="center"/>
                    <w:rPr>
                      <w:rFonts w:hint="eastAsia" w:ascii="Times New Roman" w:hAnsi="Times New Roman" w:eastAsia="宋体" w:cs="Times New Roman"/>
                      <w:b/>
                      <w:color w:val="000000" w:themeColor="text1"/>
                      <w:szCs w:val="21"/>
                      <w:lang w:eastAsia="zh-CN"/>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污染</w:t>
                  </w:r>
                  <w:r>
                    <w:rPr>
                      <w:rFonts w:hint="eastAsia" w:cs="Times New Roman"/>
                      <w:b/>
                      <w:color w:val="000000" w:themeColor="text1"/>
                      <w:szCs w:val="21"/>
                      <w:lang w:val="en-US" w:eastAsia="zh-CN"/>
                      <w14:textFill>
                        <w14:solidFill>
                          <w14:schemeClr w14:val="tx1"/>
                        </w14:solidFill>
                      </w14:textFill>
                    </w:rPr>
                    <w:t>源</w:t>
                  </w:r>
                </w:p>
              </w:tc>
              <w:tc>
                <w:tcPr>
                  <w:tcW w:w="655" w:type="pct"/>
                  <w:tcBorders>
                    <w:tl2br w:val="nil"/>
                    <w:tr2bl w:val="nil"/>
                  </w:tcBorders>
                  <w:vAlign w:val="center"/>
                </w:tcPr>
                <w:p w14:paraId="4FF5D187">
                  <w:pPr>
                    <w:jc w:val="center"/>
                    <w:rPr>
                      <w:rFonts w:hint="eastAsia" w:ascii="Times New Roman" w:hAnsi="Times New Roman" w:eastAsia="宋体" w:cs="Times New Roman"/>
                      <w:b/>
                      <w:color w:val="000000" w:themeColor="text1"/>
                      <w:szCs w:val="21"/>
                      <w:lang w:val="en-US" w:eastAsia="zh-CN"/>
                      <w14:textFill>
                        <w14:solidFill>
                          <w14:schemeClr w14:val="tx1"/>
                        </w14:solidFill>
                      </w14:textFill>
                    </w:rPr>
                  </w:pPr>
                  <w:r>
                    <w:rPr>
                      <w:rFonts w:hint="eastAsia" w:cs="Times New Roman"/>
                      <w:b/>
                      <w:color w:val="000000" w:themeColor="text1"/>
                      <w:szCs w:val="21"/>
                      <w:lang w:val="en-US" w:eastAsia="zh-CN"/>
                      <w14:textFill>
                        <w14:solidFill>
                          <w14:schemeClr w14:val="tx1"/>
                        </w14:solidFill>
                      </w14:textFill>
                    </w:rPr>
                    <w:t>污染物</w:t>
                  </w:r>
                </w:p>
              </w:tc>
              <w:tc>
                <w:tcPr>
                  <w:tcW w:w="741" w:type="pct"/>
                  <w:tcBorders>
                    <w:tl2br w:val="nil"/>
                    <w:tr2bl w:val="nil"/>
                  </w:tcBorders>
                  <w:vAlign w:val="center"/>
                </w:tcPr>
                <w:p w14:paraId="600C8ECE">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eastAsia" w:ascii="Times New Roman" w:hAnsi="Times New Roman" w:eastAsia="宋体" w:cs="Times New Roman"/>
                      <w:b/>
                      <w:color w:val="000000" w:themeColor="text1"/>
                      <w:szCs w:val="21"/>
                      <w:lang w:val="en-US" w:eastAsia="zh-CN"/>
                      <w14:textFill>
                        <w14:solidFill>
                          <w14:schemeClr w14:val="tx1"/>
                        </w14:solidFill>
                      </w14:textFill>
                    </w:rPr>
                    <w:t>最高允许排放浓度（</w:t>
                  </w:r>
                  <w:r>
                    <w:rPr>
                      <w:rFonts w:hint="default" w:ascii="Times New Roman" w:hAnsi="Times New Roman" w:eastAsia="宋体" w:cs="Times New Roman"/>
                      <w:b/>
                      <w:color w:val="000000" w:themeColor="text1"/>
                      <w:szCs w:val="21"/>
                      <w:lang w:val="en-US" w:eastAsia="zh-CN"/>
                      <w14:textFill>
                        <w14:solidFill>
                          <w14:schemeClr w14:val="tx1"/>
                        </w14:solidFill>
                      </w14:textFill>
                    </w:rPr>
                    <w:t>mg/m</w:t>
                  </w:r>
                  <w:r>
                    <w:rPr>
                      <w:rFonts w:hint="default" w:ascii="Times New Roman" w:hAnsi="Times New Roman" w:eastAsia="宋体" w:cs="Times New Roman"/>
                      <w:b/>
                      <w:color w:val="000000" w:themeColor="text1"/>
                      <w:szCs w:val="21"/>
                      <w:vertAlign w:val="superscript"/>
                      <w:lang w:val="en-US" w:eastAsia="zh-CN"/>
                      <w14:textFill>
                        <w14:solidFill>
                          <w14:schemeClr w14:val="tx1"/>
                        </w14:solidFill>
                      </w14:textFill>
                    </w:rPr>
                    <w:t>3</w:t>
                  </w:r>
                  <w:r>
                    <w:rPr>
                      <w:rFonts w:hint="eastAsia" w:ascii="Times New Roman" w:hAnsi="Times New Roman" w:eastAsia="宋体" w:cs="Times New Roman"/>
                      <w:b/>
                      <w:color w:val="000000" w:themeColor="text1"/>
                      <w:szCs w:val="21"/>
                      <w:lang w:val="en-US" w:eastAsia="zh-CN"/>
                      <w14:textFill>
                        <w14:solidFill>
                          <w14:schemeClr w14:val="tx1"/>
                        </w14:solidFill>
                      </w14:textFill>
                    </w:rPr>
                    <w:t>）</w:t>
                  </w:r>
                </w:p>
              </w:tc>
              <w:tc>
                <w:tcPr>
                  <w:tcW w:w="761" w:type="pct"/>
                  <w:tcBorders>
                    <w:tl2br w:val="nil"/>
                    <w:tr2bl w:val="nil"/>
                  </w:tcBorders>
                  <w:vAlign w:val="center"/>
                </w:tcPr>
                <w:p w14:paraId="0E475386">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eastAsia" w:ascii="Times New Roman" w:hAnsi="Times New Roman" w:eastAsia="宋体" w:cs="Times New Roman"/>
                      <w:b/>
                      <w:color w:val="000000" w:themeColor="text1"/>
                      <w:szCs w:val="21"/>
                      <w:lang w:val="en-US" w:eastAsia="zh-CN"/>
                      <w14:textFill>
                        <w14:solidFill>
                          <w14:schemeClr w14:val="tx1"/>
                        </w14:solidFill>
                      </w14:textFill>
                    </w:rPr>
                    <w:t>最高允许排放速率（</w:t>
                  </w:r>
                  <w:r>
                    <w:rPr>
                      <w:rFonts w:hint="default" w:ascii="Times New Roman" w:hAnsi="Times New Roman" w:eastAsia="宋体" w:cs="Times New Roman"/>
                      <w:b/>
                      <w:color w:val="000000" w:themeColor="text1"/>
                      <w:szCs w:val="21"/>
                      <w:lang w:val="en-US" w:eastAsia="zh-CN"/>
                      <w14:textFill>
                        <w14:solidFill>
                          <w14:schemeClr w14:val="tx1"/>
                        </w14:solidFill>
                      </w14:textFill>
                    </w:rPr>
                    <w:t>kg/h</w:t>
                  </w:r>
                  <w:r>
                    <w:rPr>
                      <w:rFonts w:hint="eastAsia" w:ascii="Times New Roman" w:hAnsi="Times New Roman" w:eastAsia="宋体" w:cs="Times New Roman"/>
                      <w:b/>
                      <w:color w:val="000000" w:themeColor="text1"/>
                      <w:szCs w:val="21"/>
                      <w:lang w:val="en-US" w:eastAsia="zh-CN"/>
                      <w14:textFill>
                        <w14:solidFill>
                          <w14:schemeClr w14:val="tx1"/>
                        </w14:solidFill>
                      </w14:textFill>
                    </w:rPr>
                    <w:t>）</w:t>
                  </w:r>
                </w:p>
              </w:tc>
              <w:tc>
                <w:tcPr>
                  <w:tcW w:w="762" w:type="pct"/>
                  <w:tcBorders>
                    <w:tl2br w:val="nil"/>
                    <w:tr2bl w:val="nil"/>
                  </w:tcBorders>
                  <w:vAlign w:val="center"/>
                </w:tcPr>
                <w:p w14:paraId="1FCA5511">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eastAsia" w:ascii="Times New Roman" w:hAnsi="Times New Roman" w:eastAsia="宋体" w:cs="Times New Roman"/>
                      <w:b/>
                      <w:color w:val="000000" w:themeColor="text1"/>
                      <w:szCs w:val="21"/>
                      <w:lang w:val="en-US" w:eastAsia="zh-CN"/>
                      <w14:textFill>
                        <w14:solidFill>
                          <w14:schemeClr w14:val="tx1"/>
                        </w14:solidFill>
                      </w14:textFill>
                    </w:rPr>
                    <w:t>排气筒高度（</w:t>
                  </w:r>
                  <w:r>
                    <w:rPr>
                      <w:rFonts w:hint="default" w:ascii="Times New Roman" w:hAnsi="Times New Roman" w:eastAsia="宋体" w:cs="Times New Roman"/>
                      <w:b/>
                      <w:color w:val="000000" w:themeColor="text1"/>
                      <w:szCs w:val="21"/>
                      <w:lang w:val="en-US" w:eastAsia="zh-CN"/>
                      <w14:textFill>
                        <w14:solidFill>
                          <w14:schemeClr w14:val="tx1"/>
                        </w14:solidFill>
                      </w14:textFill>
                    </w:rPr>
                    <w:t>m</w:t>
                  </w:r>
                  <w:r>
                    <w:rPr>
                      <w:rFonts w:hint="eastAsia" w:ascii="Times New Roman" w:hAnsi="Times New Roman" w:eastAsia="宋体" w:cs="Times New Roman"/>
                      <w:b/>
                      <w:color w:val="000000" w:themeColor="text1"/>
                      <w:szCs w:val="21"/>
                      <w:lang w:val="en-US" w:eastAsia="zh-CN"/>
                      <w14:textFill>
                        <w14:solidFill>
                          <w14:schemeClr w14:val="tx1"/>
                        </w14:solidFill>
                      </w14:textFill>
                    </w:rPr>
                    <w:t>）</w:t>
                  </w:r>
                </w:p>
              </w:tc>
              <w:tc>
                <w:tcPr>
                  <w:tcW w:w="1513" w:type="pct"/>
                  <w:tcBorders>
                    <w:tl2br w:val="nil"/>
                    <w:tr2bl w:val="nil"/>
                  </w:tcBorders>
                  <w:vAlign w:val="center"/>
                </w:tcPr>
                <w:p w14:paraId="39BD14D6">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eastAsia" w:ascii="Times New Roman" w:hAnsi="Times New Roman" w:eastAsia="宋体" w:cs="Times New Roman"/>
                      <w:b/>
                      <w:color w:val="000000" w:themeColor="text1"/>
                      <w:szCs w:val="21"/>
                      <w:lang w:val="en-US" w:eastAsia="zh-CN"/>
                      <w14:textFill>
                        <w14:solidFill>
                          <w14:schemeClr w14:val="tx1"/>
                        </w14:solidFill>
                      </w14:textFill>
                    </w:rPr>
                    <w:t>执行标准</w:t>
                  </w:r>
                </w:p>
              </w:tc>
            </w:tr>
            <w:tr w14:paraId="685EC0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54" w:hRule="atLeast"/>
                <w:jc w:val="center"/>
              </w:trPr>
              <w:tc>
                <w:tcPr>
                  <w:tcW w:w="566" w:type="pct"/>
                  <w:tcBorders>
                    <w:tl2br w:val="nil"/>
                    <w:tr2bl w:val="nil"/>
                  </w:tcBorders>
                  <w:vAlign w:val="center"/>
                </w:tcPr>
                <w:p w14:paraId="679E2E95">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排气筒DA001</w:t>
                  </w:r>
                </w:p>
              </w:tc>
              <w:tc>
                <w:tcPr>
                  <w:tcW w:w="655" w:type="pct"/>
                  <w:tcBorders>
                    <w:tl2br w:val="nil"/>
                    <w:tr2bl w:val="nil"/>
                  </w:tcBorders>
                  <w:vAlign w:val="center"/>
                </w:tcPr>
                <w:p w14:paraId="79B6C06A">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741" w:type="pct"/>
                  <w:tcBorders>
                    <w:tl2br w:val="nil"/>
                    <w:tr2bl w:val="nil"/>
                  </w:tcBorders>
                  <w:vAlign w:val="center"/>
                </w:tcPr>
                <w:p w14:paraId="2A4A33A8">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60</w:t>
                  </w:r>
                </w:p>
              </w:tc>
              <w:tc>
                <w:tcPr>
                  <w:tcW w:w="761" w:type="pct"/>
                  <w:tcBorders>
                    <w:tl2br w:val="nil"/>
                    <w:tr2bl w:val="nil"/>
                  </w:tcBorders>
                  <w:vAlign w:val="center"/>
                </w:tcPr>
                <w:p w14:paraId="655C5B6D">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3.0</w:t>
                  </w:r>
                </w:p>
              </w:tc>
              <w:tc>
                <w:tcPr>
                  <w:tcW w:w="762" w:type="pct"/>
                  <w:tcBorders>
                    <w:tl2br w:val="nil"/>
                    <w:tr2bl w:val="nil"/>
                  </w:tcBorders>
                  <w:vAlign w:val="center"/>
                </w:tcPr>
                <w:p w14:paraId="7BAC7D3C">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15</w:t>
                  </w:r>
                </w:p>
              </w:tc>
              <w:tc>
                <w:tcPr>
                  <w:tcW w:w="1513" w:type="pct"/>
                  <w:tcBorders>
                    <w:tl2br w:val="nil"/>
                    <w:tr2bl w:val="nil"/>
                  </w:tcBorders>
                  <w:vAlign w:val="center"/>
                </w:tcPr>
                <w:p w14:paraId="234D5265">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《挥发性有机物排放标准 第6部分：有机化工行业》（DB37/2801.6-2018）表1中其他行业Ⅱ时段排放限值</w:t>
                  </w:r>
                </w:p>
              </w:tc>
            </w:tr>
          </w:tbl>
          <w:p w14:paraId="3A9517E3">
            <w:pPr>
              <w:jc w:val="center"/>
              <w:rPr>
                <w:rFonts w:hint="eastAsia" w:ascii="Times New Roman" w:hAnsi="Times New Roman" w:eastAsia="宋体" w:cs="Times New Roman"/>
                <w:b/>
                <w:color w:val="000000" w:themeColor="text1"/>
                <w:lang w:eastAsia="zh-CN"/>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表3-</w:t>
            </w:r>
            <w:r>
              <w:rPr>
                <w:rFonts w:hint="eastAsia" w:cs="Times New Roman"/>
                <w:b/>
                <w:color w:val="000000" w:themeColor="text1"/>
                <w:lang w:val="en-US" w:eastAsia="zh-CN"/>
                <w14:textFill>
                  <w14:solidFill>
                    <w14:schemeClr w14:val="tx1"/>
                  </w14:solidFill>
                </w14:textFill>
              </w:rPr>
              <w:t xml:space="preserve">5 </w:t>
            </w:r>
            <w:r>
              <w:rPr>
                <w:rFonts w:hint="default" w:ascii="Times New Roman" w:hAnsi="Times New Roman" w:eastAsia="宋体" w:cs="Times New Roman"/>
                <w:b/>
                <w:color w:val="000000" w:themeColor="text1"/>
                <w14:textFill>
                  <w14:solidFill>
                    <w14:schemeClr w14:val="tx1"/>
                  </w14:solidFill>
                </w14:textFill>
              </w:rPr>
              <w:t>大气污染物排放标准</w:t>
            </w:r>
            <w:r>
              <w:rPr>
                <w:rFonts w:hint="eastAsia" w:cs="Times New Roman"/>
                <w:b/>
                <w:color w:val="000000" w:themeColor="text1"/>
                <w:lang w:eastAsia="zh-CN"/>
                <w14:textFill>
                  <w14:solidFill>
                    <w14:schemeClr w14:val="tx1"/>
                  </w14:solidFill>
                </w14:textFill>
              </w:rPr>
              <w:t>（</w:t>
            </w:r>
            <w:r>
              <w:rPr>
                <w:rFonts w:hint="eastAsia" w:cs="Times New Roman"/>
                <w:b/>
                <w:color w:val="000000" w:themeColor="text1"/>
                <w:lang w:val="en-US" w:eastAsia="zh-CN"/>
                <w14:textFill>
                  <w14:solidFill>
                    <w14:schemeClr w14:val="tx1"/>
                  </w14:solidFill>
                </w14:textFill>
              </w:rPr>
              <w:t>无组织</w:t>
            </w:r>
            <w:r>
              <w:rPr>
                <w:rFonts w:hint="eastAsia" w:cs="Times New Roman"/>
                <w:b/>
                <w:color w:val="000000" w:themeColor="text1"/>
                <w:lang w:eastAsia="zh-CN"/>
                <w14:textFill>
                  <w14:solidFill>
                    <w14:schemeClr w14:val="tx1"/>
                  </w14:solidFill>
                </w14:textFill>
              </w:rPr>
              <w:t>）</w:t>
            </w:r>
          </w:p>
          <w:tbl>
            <w:tblPr>
              <w:tblStyle w:val="38"/>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469"/>
              <w:gridCol w:w="2535"/>
              <w:gridCol w:w="4664"/>
            </w:tblGrid>
            <w:tr w14:paraId="4E9EC8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8" w:hRule="atLeast"/>
                <w:jc w:val="center"/>
              </w:trPr>
              <w:tc>
                <w:tcPr>
                  <w:tcW w:w="847" w:type="pct"/>
                  <w:vMerge w:val="restart"/>
                  <w:tcBorders>
                    <w:tl2br w:val="nil"/>
                    <w:tr2bl w:val="nil"/>
                  </w:tcBorders>
                  <w:noWrap w:val="0"/>
                  <w:vAlign w:val="center"/>
                </w:tcPr>
                <w:p w14:paraId="67E4D880">
                  <w:pPr>
                    <w:widowControl/>
                    <w:tabs>
                      <w:tab w:val="left" w:pos="5420"/>
                    </w:tabs>
                    <w:adjustRightInd w:val="0"/>
                    <w:snapToGrid w:val="0"/>
                    <w:spacing w:line="240" w:lineRule="auto"/>
                    <w:ind w:left="0" w:leftChars="0" w:right="0" w:rightChars="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1462" w:type="pct"/>
                  <w:vMerge w:val="restart"/>
                  <w:tcBorders>
                    <w:tl2br w:val="nil"/>
                    <w:tr2bl w:val="nil"/>
                  </w:tcBorders>
                  <w:noWrap w:val="0"/>
                  <w:vAlign w:val="center"/>
                </w:tcPr>
                <w:p w14:paraId="64AFC870">
                  <w:pPr>
                    <w:widowControl/>
                    <w:tabs>
                      <w:tab w:val="left" w:pos="5420"/>
                    </w:tabs>
                    <w:adjustRightInd w:val="0"/>
                    <w:snapToGrid w:val="0"/>
                    <w:spacing w:line="240" w:lineRule="auto"/>
                    <w:ind w:left="0" w:leftChars="0" w:right="0" w:rightChars="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厂界监控点浓度</w:t>
                  </w:r>
                </w:p>
                <w:p w14:paraId="1C56248E">
                  <w:pPr>
                    <w:widowControl/>
                    <w:tabs>
                      <w:tab w:val="left" w:pos="5420"/>
                    </w:tabs>
                    <w:adjustRightInd w:val="0"/>
                    <w:snapToGrid w:val="0"/>
                    <w:spacing w:line="240" w:lineRule="auto"/>
                    <w:ind w:left="0" w:leftChars="0" w:right="0" w:rightChars="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2690" w:type="pct"/>
                  <w:vMerge w:val="restart"/>
                  <w:tcBorders>
                    <w:tl2br w:val="nil"/>
                    <w:tr2bl w:val="nil"/>
                  </w:tcBorders>
                  <w:noWrap w:val="0"/>
                  <w:vAlign w:val="center"/>
                </w:tcPr>
                <w:p w14:paraId="135B05E2">
                  <w:pPr>
                    <w:widowControl/>
                    <w:tabs>
                      <w:tab w:val="left" w:pos="5420"/>
                    </w:tabs>
                    <w:adjustRightInd w:val="0"/>
                    <w:snapToGrid w:val="0"/>
                    <w:spacing w:line="240" w:lineRule="auto"/>
                    <w:ind w:left="0" w:leftChars="0" w:right="0" w:rightChars="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标准来源</w:t>
                  </w:r>
                </w:p>
              </w:tc>
            </w:tr>
            <w:tr w14:paraId="45DDB7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89" w:hRule="atLeast"/>
                <w:jc w:val="center"/>
              </w:trPr>
              <w:tc>
                <w:tcPr>
                  <w:tcW w:w="847" w:type="pct"/>
                  <w:vMerge w:val="continue"/>
                  <w:tcBorders>
                    <w:tl2br w:val="nil"/>
                    <w:tr2bl w:val="nil"/>
                  </w:tcBorders>
                  <w:noWrap w:val="0"/>
                  <w:vAlign w:val="center"/>
                </w:tcPr>
                <w:p w14:paraId="73F19E2B">
                  <w:pPr>
                    <w:widowControl/>
                    <w:tabs>
                      <w:tab w:val="left" w:pos="5420"/>
                    </w:tabs>
                    <w:adjustRightInd w:val="0"/>
                    <w:snapToGrid w:val="0"/>
                    <w:spacing w:line="240" w:lineRule="auto"/>
                    <w:ind w:left="0" w:leftChars="0" w:right="0" w:rightChars="0" w:firstLine="0" w:firstLineChars="0"/>
                    <w:jc w:val="center"/>
                    <w:rPr>
                      <w:rFonts w:hint="default" w:ascii="Times New Roman" w:hAnsi="Times New Roman" w:cs="Times New Roman"/>
                      <w:b/>
                      <w:bCs/>
                      <w:color w:val="auto"/>
                      <w:sz w:val="21"/>
                      <w:szCs w:val="21"/>
                      <w:highlight w:val="none"/>
                    </w:rPr>
                  </w:pPr>
                </w:p>
              </w:tc>
              <w:tc>
                <w:tcPr>
                  <w:tcW w:w="1462" w:type="pct"/>
                  <w:vMerge w:val="continue"/>
                  <w:tcBorders>
                    <w:tl2br w:val="nil"/>
                    <w:tr2bl w:val="nil"/>
                  </w:tcBorders>
                  <w:noWrap w:val="0"/>
                  <w:vAlign w:val="center"/>
                </w:tcPr>
                <w:p w14:paraId="4F459094">
                  <w:pPr>
                    <w:widowControl/>
                    <w:tabs>
                      <w:tab w:val="left" w:pos="5420"/>
                    </w:tabs>
                    <w:adjustRightInd w:val="0"/>
                    <w:snapToGrid w:val="0"/>
                    <w:spacing w:line="240" w:lineRule="auto"/>
                    <w:ind w:left="0" w:leftChars="0" w:right="0" w:rightChars="0" w:firstLine="0" w:firstLineChars="0"/>
                    <w:jc w:val="center"/>
                    <w:rPr>
                      <w:rFonts w:hint="default" w:ascii="Times New Roman" w:hAnsi="Times New Roman" w:cs="Times New Roman"/>
                      <w:b/>
                      <w:bCs/>
                      <w:color w:val="auto"/>
                      <w:sz w:val="21"/>
                      <w:szCs w:val="21"/>
                      <w:highlight w:val="none"/>
                    </w:rPr>
                  </w:pPr>
                </w:p>
              </w:tc>
              <w:tc>
                <w:tcPr>
                  <w:tcW w:w="2690" w:type="pct"/>
                  <w:vMerge w:val="continue"/>
                  <w:tcBorders>
                    <w:tl2br w:val="nil"/>
                    <w:tr2bl w:val="nil"/>
                  </w:tcBorders>
                  <w:noWrap w:val="0"/>
                  <w:vAlign w:val="center"/>
                </w:tcPr>
                <w:p w14:paraId="409E0762">
                  <w:pPr>
                    <w:widowControl/>
                    <w:tabs>
                      <w:tab w:val="left" w:pos="5420"/>
                    </w:tabs>
                    <w:adjustRightInd w:val="0"/>
                    <w:snapToGrid w:val="0"/>
                    <w:spacing w:line="240" w:lineRule="auto"/>
                    <w:ind w:left="0" w:leftChars="0" w:right="0" w:rightChars="0" w:firstLine="0" w:firstLineChars="0"/>
                    <w:jc w:val="center"/>
                    <w:rPr>
                      <w:rFonts w:hint="default" w:ascii="Times New Roman" w:hAnsi="Times New Roman" w:cs="Times New Roman"/>
                      <w:b/>
                      <w:bCs/>
                      <w:color w:val="auto"/>
                      <w:sz w:val="21"/>
                      <w:szCs w:val="21"/>
                      <w:highlight w:val="none"/>
                    </w:rPr>
                  </w:pPr>
                </w:p>
              </w:tc>
            </w:tr>
            <w:tr w14:paraId="30B6CD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395" w:hRule="atLeast"/>
                <w:jc w:val="center"/>
              </w:trPr>
              <w:tc>
                <w:tcPr>
                  <w:tcW w:w="847" w:type="pct"/>
                  <w:vMerge w:val="restart"/>
                  <w:tcBorders>
                    <w:tl2br w:val="nil"/>
                    <w:tr2bl w:val="nil"/>
                  </w:tcBorders>
                  <w:noWrap w:val="0"/>
                  <w:vAlign w:val="center"/>
                </w:tcPr>
                <w:p w14:paraId="0B5E9089">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1462" w:type="pct"/>
                  <w:vMerge w:val="restart"/>
                  <w:tcBorders>
                    <w:tl2br w:val="nil"/>
                    <w:tr2bl w:val="nil"/>
                  </w:tcBorders>
                  <w:noWrap w:val="0"/>
                  <w:vAlign w:val="center"/>
                </w:tcPr>
                <w:p w14:paraId="562B0380">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2.0</w:t>
                  </w:r>
                </w:p>
              </w:tc>
              <w:tc>
                <w:tcPr>
                  <w:tcW w:w="2690" w:type="pct"/>
                  <w:vMerge w:val="restart"/>
                  <w:tcBorders>
                    <w:tl2br w:val="nil"/>
                    <w:tr2bl w:val="nil"/>
                  </w:tcBorders>
                  <w:noWrap w:val="0"/>
                  <w:vAlign w:val="center"/>
                </w:tcPr>
                <w:p w14:paraId="02919A2F">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《挥发性有机物排放标准第6部分：有机化工行业》（DB37/2801.6-2018）表3</w:t>
                  </w:r>
                </w:p>
              </w:tc>
            </w:tr>
            <w:tr w14:paraId="37A009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620" w:hRule="atLeast"/>
                <w:jc w:val="center"/>
              </w:trPr>
              <w:tc>
                <w:tcPr>
                  <w:tcW w:w="847" w:type="pct"/>
                  <w:vMerge w:val="continue"/>
                  <w:tcBorders>
                    <w:tl2br w:val="nil"/>
                    <w:tr2bl w:val="nil"/>
                  </w:tcBorders>
                  <w:noWrap w:val="0"/>
                  <w:vAlign w:val="center"/>
                </w:tcPr>
                <w:p w14:paraId="04F42D4B">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p>
              </w:tc>
              <w:tc>
                <w:tcPr>
                  <w:tcW w:w="1462" w:type="pct"/>
                  <w:vMerge w:val="continue"/>
                  <w:tcBorders>
                    <w:tl2br w:val="nil"/>
                    <w:tr2bl w:val="nil"/>
                  </w:tcBorders>
                  <w:noWrap w:val="0"/>
                  <w:vAlign w:val="center"/>
                </w:tcPr>
                <w:p w14:paraId="7AB3F764">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p>
              </w:tc>
              <w:tc>
                <w:tcPr>
                  <w:tcW w:w="2690" w:type="pct"/>
                  <w:vMerge w:val="continue"/>
                  <w:tcBorders>
                    <w:tl2br w:val="nil"/>
                    <w:tr2bl w:val="nil"/>
                  </w:tcBorders>
                  <w:noWrap w:val="0"/>
                  <w:vAlign w:val="center"/>
                </w:tcPr>
                <w:p w14:paraId="7BFBDD75">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p>
              </w:tc>
            </w:tr>
          </w:tbl>
          <w:p w14:paraId="13D5B106">
            <w:pPr>
              <w:spacing w:line="360" w:lineRule="auto"/>
              <w:ind w:firstLine="482"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2、废水</w:t>
            </w:r>
          </w:p>
          <w:p w14:paraId="040F7367">
            <w:pPr>
              <w:widowControl/>
              <w:spacing w:line="360" w:lineRule="auto"/>
              <w:ind w:firstLine="480" w:firstLineChars="200"/>
              <w:jc w:val="left"/>
              <w:rPr>
                <w:rFonts w:hint="default" w:ascii="Times New Roman" w:hAnsi="Times New Roman" w:eastAsia="宋体" w:cs="Times New Roman"/>
                <w:color w:val="000000" w:themeColor="text1"/>
                <w:sz w:val="24"/>
                <w:lang w:val="zh-CN"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w:t>
            </w:r>
            <w:r>
              <w:rPr>
                <w:rFonts w:hint="eastAsia" w:cs="Times New Roman"/>
                <w:color w:val="000000" w:themeColor="text1"/>
                <w:sz w:val="24"/>
                <w:lang w:val="en-US" w:eastAsia="zh-CN"/>
                <w14:textFill>
                  <w14:solidFill>
                    <w14:schemeClr w14:val="tx1"/>
                  </w14:solidFill>
                </w14:textFill>
              </w:rPr>
              <w:t>冷却塔用水</w:t>
            </w:r>
            <w:r>
              <w:rPr>
                <w:rFonts w:hint="eastAsia" w:ascii="Times New Roman" w:hAnsi="Times New Roman" w:eastAsia="宋体" w:cs="Times New Roman"/>
                <w:bCs/>
                <w:color w:val="000000" w:themeColor="text1"/>
                <w:sz w:val="24"/>
                <w:lang w:val="en-US" w:eastAsia="zh-CN"/>
                <w14:textFill>
                  <w14:solidFill>
                    <w14:schemeClr w14:val="tx1"/>
                  </w14:solidFill>
                </w14:textFill>
              </w:rPr>
              <w:t>循环使用，</w:t>
            </w:r>
            <w:r>
              <w:rPr>
                <w:rFonts w:hint="eastAsia" w:cs="Times New Roman"/>
                <w:bCs/>
                <w:color w:val="000000" w:themeColor="text1"/>
                <w:sz w:val="24"/>
                <w:lang w:val="en-US" w:eastAsia="zh-CN"/>
                <w14:textFill>
                  <w14:solidFill>
                    <w14:schemeClr w14:val="tx1"/>
                  </w14:solidFill>
                </w14:textFill>
              </w:rPr>
              <w:t>定期补水，</w:t>
            </w:r>
            <w:r>
              <w:rPr>
                <w:rFonts w:hint="eastAsia" w:ascii="Times New Roman" w:hAnsi="Times New Roman" w:eastAsia="宋体" w:cs="Times New Roman"/>
                <w:bCs/>
                <w:color w:val="000000" w:themeColor="text1"/>
                <w:sz w:val="24"/>
                <w:lang w:val="en-US" w:eastAsia="zh-CN"/>
                <w14:textFill>
                  <w14:solidFill>
                    <w14:schemeClr w14:val="tx1"/>
                  </w14:solidFill>
                </w14:textFill>
              </w:rPr>
              <w:t>不外排</w:t>
            </w:r>
            <w:r>
              <w:rPr>
                <w:rFonts w:hint="eastAsia" w:cs="Times New Roman"/>
                <w:bCs/>
                <w:color w:val="000000" w:themeColor="text1"/>
                <w:sz w:val="24"/>
                <w:lang w:val="en-US"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生活污水经化粪池处理后委托环卫部门定期清运</w:t>
            </w:r>
            <w:r>
              <w:rPr>
                <w:rFonts w:hint="default" w:ascii="Times New Roman" w:hAnsi="Times New Roman" w:eastAsia="宋体" w:cs="Times New Roman"/>
                <w:color w:val="000000" w:themeColor="text1"/>
                <w:sz w:val="24"/>
                <w:lang w:val="zh-CN" w:eastAsia="zh-CN"/>
                <w14:textFill>
                  <w14:solidFill>
                    <w14:schemeClr w14:val="tx1"/>
                  </w14:solidFill>
                </w14:textFill>
              </w:rPr>
              <w:t>。</w:t>
            </w:r>
          </w:p>
          <w:p w14:paraId="07F4F8F1">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val="zh-CN" w:eastAsia="zh-CN"/>
                <w14:textFill>
                  <w14:solidFill>
                    <w14:schemeClr w14:val="tx1"/>
                  </w14:solidFill>
                </w14:textFill>
              </w:rPr>
              <w:t>综上，本项目无废水外排</w:t>
            </w:r>
            <w:r>
              <w:rPr>
                <w:rFonts w:hint="default" w:ascii="Times New Roman" w:hAnsi="Times New Roman" w:eastAsia="宋体" w:cs="Times New Roman"/>
                <w:color w:val="000000" w:themeColor="text1"/>
                <w:sz w:val="24"/>
                <w14:textFill>
                  <w14:solidFill>
                    <w14:schemeClr w14:val="tx1"/>
                  </w14:solidFill>
                </w14:textFill>
              </w:rPr>
              <w:t>。</w:t>
            </w:r>
          </w:p>
          <w:p w14:paraId="5BFEFB84">
            <w:pPr>
              <w:pStyle w:val="37"/>
              <w:ind w:left="0" w:leftChars="0" w:firstLine="482"/>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3、噪声</w:t>
            </w:r>
          </w:p>
          <w:p w14:paraId="6003CB4D">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营运期噪声执行《工业企业厂界环境噪声排放标准》（GB12348-2008）3类标准（昼间65dB(A)，夜间</w:t>
            </w:r>
            <w:r>
              <w:rPr>
                <w:rFonts w:hint="eastAsia" w:cs="Times New Roman"/>
                <w:color w:val="000000" w:themeColor="text1"/>
                <w:sz w:val="24"/>
                <w:lang w:val="en-US" w:eastAsia="zh-CN"/>
                <w14:textFill>
                  <w14:solidFill>
                    <w14:schemeClr w14:val="tx1"/>
                  </w14:solidFill>
                </w14:textFill>
              </w:rPr>
              <w:t>55dB(A)</w:t>
            </w:r>
            <w:r>
              <w:rPr>
                <w:rFonts w:hint="default" w:ascii="Times New Roman" w:hAnsi="Times New Roman" w:eastAsia="宋体" w:cs="Times New Roman"/>
                <w:color w:val="000000" w:themeColor="text1"/>
                <w:sz w:val="24"/>
                <w14:textFill>
                  <w14:solidFill>
                    <w14:schemeClr w14:val="tx1"/>
                  </w14:solidFill>
                </w14:textFill>
              </w:rPr>
              <w:t>）。</w:t>
            </w:r>
          </w:p>
          <w:p w14:paraId="0C9B3EEA">
            <w:pPr>
              <w:pStyle w:val="37"/>
              <w:ind w:left="0" w:leftChars="0" w:firstLine="482"/>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4、固体废物</w:t>
            </w:r>
          </w:p>
          <w:p w14:paraId="3AC946BD">
            <w:pPr>
              <w:widowControl/>
              <w:spacing w:line="360" w:lineRule="auto"/>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一般固体废物暂存应符合《中华人民共和国固体废物污染环境防治法》相关要求，采取防扬散、防流失、防渗漏或者其他防止污染环境的措施，不得擅自倾倒、堆放、丢弃、遗撒，一般工业固体废物管理过程中还执行《一般工业固体废物管理台账制定指南（试行）》（公告2021年第82号）要求；危险废物执行《危险废物贮存污染控制标准》（GB18597-2023）。</w:t>
            </w:r>
          </w:p>
        </w:tc>
      </w:tr>
      <w:tr w14:paraId="64725A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6" w:type="pct"/>
            <w:vAlign w:val="center"/>
          </w:tcPr>
          <w:p w14:paraId="0EA0E5B4">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总量控制标准</w:t>
            </w:r>
          </w:p>
        </w:tc>
        <w:tc>
          <w:tcPr>
            <w:tcW w:w="4673" w:type="pct"/>
            <w:vAlign w:val="center"/>
          </w:tcPr>
          <w:p w14:paraId="4D98E5E2">
            <w:pPr>
              <w:widowControl/>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山东省生态环境厅《山东省建设项目主要大气污染物排放总量替代指标核算及管理办法的通知》（鲁环发[2019]132号）以及淄博市生态环境局《关于统筹使用”十四五”主要大气污染物总量指标的通知》（淄环函[2021]55号），上一年度环境空气质量年平均浓度不达标的城市，相关污染物应按照建设项目所需替代的污染物排放总量指标的2倍进行削减替代（燃煤发电机组大气污染物排放浓度达到超低排放标准的进行等量替代）。上一年度细颗粒物年平均浓度超标的设区的市，实行二氧化硫、氮氧化物、烟粉尘、挥发性有机物四项污染物排放总量指标2倍削减替代。本项目所在区2024年颗粒物年平均浓度超标，本项目需实行挥发性有机物污染物排放总量指标2倍削减替代。</w:t>
            </w:r>
          </w:p>
          <w:p w14:paraId="7DB7F17B">
            <w:pPr>
              <w:widowControl/>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1、大气污染物总量</w:t>
            </w:r>
          </w:p>
          <w:p w14:paraId="14B7E87C">
            <w:pPr>
              <w:widowControl/>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根据工程分析，项目运营过程中</w:t>
            </w:r>
            <w:r>
              <w:rPr>
                <w:rFonts w:hint="eastAsia" w:ascii="Times New Roman" w:hAnsi="Times New Roman" w:eastAsia="宋体" w:cs="Times New Roman"/>
                <w:color w:val="000000" w:themeColor="text1"/>
                <w:sz w:val="24"/>
                <w:lang w:val="en-US" w:eastAsia="zh-CN"/>
                <w14:textFill>
                  <w14:solidFill>
                    <w14:schemeClr w14:val="tx1"/>
                  </w14:solidFill>
                </w14:textFill>
              </w:rPr>
              <w:t>有机废气排放总量为0.1696</w:t>
            </w:r>
            <w:r>
              <w:rPr>
                <w:rFonts w:hint="default" w:ascii="Times New Roman" w:hAnsi="Times New Roman" w:eastAsia="宋体" w:cs="Times New Roman"/>
                <w:color w:val="000000" w:themeColor="text1"/>
                <w:sz w:val="24"/>
                <w:lang w:val="en-US" w:eastAsia="zh-CN"/>
                <w14:textFill>
                  <w14:solidFill>
                    <w14:schemeClr w14:val="tx1"/>
                  </w14:solidFill>
                </w14:textFill>
              </w:rPr>
              <w:t>t/a</w:t>
            </w:r>
            <w:r>
              <w:rPr>
                <w:rFonts w:hint="eastAsia" w:ascii="Times New Roman" w:hAnsi="Times New Roman" w:eastAsia="宋体" w:cs="Times New Roman"/>
                <w:color w:val="000000" w:themeColor="text1"/>
                <w:sz w:val="24"/>
                <w:lang w:val="en-US" w:eastAsia="zh-CN"/>
                <w14:textFill>
                  <w14:solidFill>
                    <w14:schemeClr w14:val="tx1"/>
                  </w14:solidFill>
                </w14:textFill>
              </w:rPr>
              <w:t>（以</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为表征因子），其中有组织排放量为0.154</w:t>
            </w:r>
            <w:r>
              <w:rPr>
                <w:rFonts w:hint="default" w:ascii="Times New Roman" w:hAnsi="Times New Roman" w:eastAsia="宋体" w:cs="Times New Roman"/>
                <w:color w:val="000000" w:themeColor="text1"/>
                <w:sz w:val="24"/>
                <w:lang w:val="en-US" w:eastAsia="zh-CN"/>
                <w14:textFill>
                  <w14:solidFill>
                    <w14:schemeClr w14:val="tx1"/>
                  </w14:solidFill>
                </w14:textFill>
              </w:rPr>
              <w:t>t/a</w:t>
            </w:r>
            <w:r>
              <w:rPr>
                <w:rFonts w:hint="eastAsia" w:ascii="Times New Roman" w:hAnsi="Times New Roman" w:eastAsia="宋体" w:cs="Times New Roman"/>
                <w:color w:val="000000" w:themeColor="text1"/>
                <w:sz w:val="24"/>
                <w:lang w:val="en-US" w:eastAsia="zh-CN"/>
                <w14:textFill>
                  <w14:solidFill>
                    <w14:schemeClr w14:val="tx1"/>
                  </w14:solidFill>
                </w14:textFill>
              </w:rPr>
              <w:t>，无组织排放量为0.0156</w:t>
            </w:r>
            <w:r>
              <w:rPr>
                <w:rFonts w:hint="default" w:ascii="Times New Roman" w:hAnsi="Times New Roman" w:eastAsia="宋体" w:cs="Times New Roman"/>
                <w:color w:val="000000" w:themeColor="text1"/>
                <w:sz w:val="24"/>
                <w:lang w:val="en-US" w:eastAsia="zh-CN"/>
                <w14:textFill>
                  <w14:solidFill>
                    <w14:schemeClr w14:val="tx1"/>
                  </w14:solidFill>
                </w14:textFill>
              </w:rPr>
              <w:t>t/a。</w:t>
            </w:r>
          </w:p>
          <w:p w14:paraId="6E5E86A1">
            <w:pPr>
              <w:pStyle w:val="37"/>
              <w:spacing w:after="0" w:line="360" w:lineRule="auto"/>
              <w:ind w:left="0" w:leftChars="0" w:firstLine="480"/>
              <w:rPr>
                <w:rFonts w:hint="default" w:ascii="Times New Roman" w:hAnsi="Times New Roman" w:eastAsia="宋体" w:cs="Times New Roman"/>
                <w:color w:val="000000" w:themeColor="text1"/>
                <w:kern w:val="0"/>
                <w:sz w:val="24"/>
                <w:lang w:bidi="ar"/>
                <w14:textFill>
                  <w14:solidFill>
                    <w14:schemeClr w14:val="tx1"/>
                  </w14:solidFill>
                </w14:textFill>
              </w:rPr>
            </w:pPr>
            <w:r>
              <w:rPr>
                <w:rFonts w:hint="default" w:ascii="Times New Roman" w:hAnsi="Times New Roman" w:eastAsia="宋体" w:cs="Times New Roman"/>
                <w:color w:val="000000" w:themeColor="text1"/>
                <w:kern w:val="0"/>
                <w:sz w:val="24"/>
                <w:lang w:bidi="ar"/>
                <w14:textFill>
                  <w14:solidFill>
                    <w14:schemeClr w14:val="tx1"/>
                  </w14:solidFill>
                </w14:textFill>
              </w:rPr>
              <w:t>2、水污染物总量</w:t>
            </w:r>
          </w:p>
          <w:p w14:paraId="5B7454CE">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val="zh-CN"/>
                <w14:textFill>
                  <w14:solidFill>
                    <w14:schemeClr w14:val="tx1"/>
                  </w14:solidFill>
                </w14:textFill>
              </w:rPr>
              <w:t>本</w:t>
            </w:r>
            <w:r>
              <w:rPr>
                <w:rFonts w:hint="default" w:ascii="Times New Roman" w:hAnsi="Times New Roman" w:eastAsia="宋体" w:cs="Times New Roman"/>
                <w:bCs/>
                <w:color w:val="000000" w:themeColor="text1"/>
                <w:sz w:val="24"/>
                <w14:textFill>
                  <w14:solidFill>
                    <w14:schemeClr w14:val="tx1"/>
                  </w14:solidFill>
                </w14:textFill>
              </w:rPr>
              <w:t>项目生产过程无废水外排；</w:t>
            </w:r>
            <w:r>
              <w:rPr>
                <w:rFonts w:hint="default" w:ascii="Times New Roman" w:hAnsi="Times New Roman" w:eastAsia="宋体" w:cs="Times New Roman"/>
                <w:color w:val="000000" w:themeColor="text1"/>
                <w:sz w:val="24"/>
                <w14:textFill>
                  <w14:solidFill>
                    <w14:schemeClr w14:val="tx1"/>
                  </w14:solidFill>
                </w14:textFill>
              </w:rPr>
              <w:t>废水主要为职工生活污水，生活污水经化粪池处理后委托环卫部门定期清运；无外排废水，无需申请总量。</w:t>
            </w:r>
          </w:p>
        </w:tc>
      </w:tr>
    </w:tbl>
    <w:p w14:paraId="120D2332">
      <w:pPr>
        <w:pStyle w:val="33"/>
        <w:adjustRightInd w:val="0"/>
        <w:snapToGrid w:val="0"/>
        <w:spacing w:before="0" w:beforeAutospacing="0" w:after="0" w:afterAutospacing="0" w:line="14" w:lineRule="auto"/>
        <w:jc w:val="center"/>
        <w:outlineLvl w:val="0"/>
        <w:rPr>
          <w:rFonts w:hint="default" w:ascii="Times New Roman" w:hAnsi="Times New Roman" w:eastAsia="宋体" w:cs="Times New Roman"/>
          <w:snapToGrid w:val="0"/>
          <w:color w:val="000000" w:themeColor="text1"/>
          <w:kern w:val="2"/>
          <w:sz w:val="36"/>
          <w:szCs w:val="36"/>
          <w14:textFill>
            <w14:solidFill>
              <w14:schemeClr w14:val="tx1"/>
            </w14:solidFill>
          </w14:textFill>
        </w:rPr>
      </w:pPr>
    </w:p>
    <w:p w14:paraId="1D0BFD2C">
      <w:pPr>
        <w:pStyle w:val="33"/>
        <w:jc w:val="center"/>
        <w:outlineLvl w:val="0"/>
        <w:rPr>
          <w:rFonts w:hint="default" w:ascii="Times New Roman" w:hAnsi="Times New Roman" w:eastAsia="宋体" w:cs="Times New Roman"/>
          <w:snapToGrid w:val="0"/>
          <w:color w:val="000000" w:themeColor="text1"/>
          <w:sz w:val="30"/>
          <w:szCs w:val="30"/>
          <w14:textFill>
            <w14:solidFill>
              <w14:schemeClr w14:val="tx1"/>
            </w14:solidFill>
          </w14:textFill>
        </w:rPr>
      </w:pPr>
      <w:r>
        <w:rPr>
          <w:rFonts w:hint="default" w:ascii="Times New Roman" w:hAnsi="Times New Roman" w:eastAsia="宋体" w:cs="Times New Roman"/>
          <w:snapToGrid w:val="0"/>
          <w:color w:val="000000" w:themeColor="text1"/>
          <w:kern w:val="2"/>
          <w:sz w:val="36"/>
          <w:szCs w:val="36"/>
          <w14:textFill>
            <w14:solidFill>
              <w14:schemeClr w14:val="tx1"/>
            </w14:solidFill>
          </w14:textFill>
        </w:rPr>
        <w:br w:type="page"/>
      </w:r>
      <w:r>
        <w:rPr>
          <w:rFonts w:hint="default" w:ascii="Times New Roman" w:hAnsi="Times New Roman" w:eastAsia="宋体" w:cs="Times New Roman"/>
          <w:snapToGrid w:val="0"/>
          <w:color w:val="000000" w:themeColor="text1"/>
          <w:sz w:val="30"/>
          <w:szCs w:val="30"/>
          <w14:textFill>
            <w14:solidFill>
              <w14:schemeClr w14:val="tx1"/>
            </w14:solidFill>
          </w14:textFill>
        </w:rPr>
        <w:t>四、主要环境影响和保护措施</w:t>
      </w:r>
    </w:p>
    <w:tbl>
      <w:tblPr>
        <w:tblStyle w:val="38"/>
        <w:tblW w:w="545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33"/>
        <w:gridCol w:w="9162"/>
      </w:tblGrid>
      <w:tr w14:paraId="2C02BE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06" w:hRule="atLeast"/>
          <w:jc w:val="center"/>
        </w:trPr>
        <w:tc>
          <w:tcPr>
            <w:tcW w:w="323" w:type="pct"/>
            <w:tcMar>
              <w:left w:w="28" w:type="dxa"/>
              <w:right w:w="28" w:type="dxa"/>
            </w:tcMar>
            <w:vAlign w:val="center"/>
          </w:tcPr>
          <w:p w14:paraId="6FFC49D0">
            <w:pPr>
              <w:pStyle w:val="33"/>
              <w:adjustRightInd w:val="0"/>
              <w:snapToGrid w:val="0"/>
              <w:spacing w:before="0" w:beforeAutospacing="0" w:after="0" w:afterAutospacing="0"/>
              <w:jc w:val="center"/>
              <w:rPr>
                <w:rFonts w:hint="default" w:ascii="Times New Roman" w:hAnsi="Times New Roman" w:eastAsia="宋体" w:cs="Times New Roman"/>
                <w:bCs/>
                <w:color w:val="000000" w:themeColor="text1"/>
                <w:kern w:val="2"/>
                <w:sz w:val="21"/>
                <w:szCs w:val="21"/>
                <w14:textFill>
                  <w14:solidFill>
                    <w14:schemeClr w14:val="tx1"/>
                  </w14:solidFill>
                </w14:textFill>
              </w:rPr>
            </w:pPr>
            <w:bookmarkStart w:id="3" w:name="_Hlk49796138"/>
            <w:r>
              <w:rPr>
                <w:rFonts w:hint="default" w:ascii="Times New Roman" w:hAnsi="Times New Roman" w:eastAsia="宋体" w:cs="Times New Roman"/>
                <w:bCs/>
                <w:color w:val="000000" w:themeColor="text1"/>
                <w:kern w:val="2"/>
                <w14:textFill>
                  <w14:solidFill>
                    <w14:schemeClr w14:val="tx1"/>
                  </w14:solidFill>
                </w14:textFill>
              </w:rPr>
              <w:t>施工期生态环境影响分析</w:t>
            </w:r>
            <w:bookmarkEnd w:id="3"/>
          </w:p>
        </w:tc>
        <w:tc>
          <w:tcPr>
            <w:tcW w:w="4676" w:type="pct"/>
            <w:vAlign w:val="center"/>
          </w:tcPr>
          <w:p w14:paraId="3CA89FAF">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项目租赁现有</w:t>
            </w:r>
            <w:r>
              <w:rPr>
                <w:rFonts w:hint="eastAsia" w:cs="Times New Roman"/>
                <w:color w:val="000000" w:themeColor="text1"/>
                <w:sz w:val="24"/>
                <w:lang w:val="en-US" w:eastAsia="zh-CN"/>
                <w14:textFill>
                  <w14:solidFill>
                    <w14:schemeClr w14:val="tx1"/>
                  </w14:solidFill>
                </w14:textFill>
              </w:rPr>
              <w:t>闲置</w:t>
            </w:r>
            <w:r>
              <w:rPr>
                <w:rFonts w:hint="default" w:ascii="Times New Roman" w:hAnsi="Times New Roman" w:eastAsia="宋体" w:cs="Times New Roman"/>
                <w:color w:val="000000" w:themeColor="text1"/>
                <w:sz w:val="24"/>
                <w14:textFill>
                  <w14:solidFill>
                    <w14:schemeClr w14:val="tx1"/>
                  </w14:solidFill>
                </w14:textFill>
              </w:rPr>
              <w:t>厂房进行生产，</w:t>
            </w:r>
            <w:r>
              <w:rPr>
                <w:rFonts w:hint="eastAsia" w:ascii="Times New Roman" w:hAnsi="Times New Roman" w:eastAsia="宋体" w:cs="Times New Roman"/>
                <w:color w:val="000000" w:themeColor="text1"/>
                <w:sz w:val="24"/>
                <w:lang w:val="en-US" w:eastAsia="zh-CN"/>
                <w14:textFill>
                  <w14:solidFill>
                    <w14:schemeClr w14:val="tx1"/>
                  </w14:solidFill>
                </w14:textFill>
              </w:rPr>
              <w:t>不</w:t>
            </w:r>
            <w:r>
              <w:rPr>
                <w:rFonts w:hint="default" w:ascii="Times New Roman" w:hAnsi="Times New Roman" w:eastAsia="宋体" w:cs="Times New Roman"/>
                <w:color w:val="000000" w:themeColor="text1"/>
                <w:sz w:val="24"/>
                <w:lang w:val="en-US" w:eastAsia="zh-CN"/>
                <w14:textFill>
                  <w14:solidFill>
                    <w14:schemeClr w14:val="tx1"/>
                  </w14:solidFill>
                </w14:textFill>
              </w:rPr>
              <w:t>涉及现有车间内部设备的拆除工作</w:t>
            </w:r>
            <w:r>
              <w:rPr>
                <w:rFonts w:hint="eastAsia" w:ascii="Times New Roman" w:hAnsi="Times New Roman" w:eastAsia="宋体" w:cs="Times New Roman"/>
                <w:color w:val="000000" w:themeColor="text1"/>
                <w:sz w:val="24"/>
                <w:lang w:val="en-US"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施工期主要为设施</w:t>
            </w:r>
            <w:r>
              <w:rPr>
                <w:rFonts w:hint="eastAsia" w:ascii="Times New Roman" w:hAnsi="Times New Roman" w:eastAsia="宋体" w:cs="Times New Roman"/>
                <w:color w:val="000000" w:themeColor="text1"/>
                <w:sz w:val="24"/>
                <w:lang w:val="en-US" w:eastAsia="zh-CN"/>
                <w14:textFill>
                  <w14:solidFill>
                    <w14:schemeClr w14:val="tx1"/>
                  </w14:solidFill>
                </w14:textFill>
              </w:rPr>
              <w:t>设备</w:t>
            </w:r>
            <w:r>
              <w:rPr>
                <w:rFonts w:hint="default" w:ascii="Times New Roman" w:hAnsi="Times New Roman" w:eastAsia="宋体" w:cs="Times New Roman"/>
                <w:color w:val="000000" w:themeColor="text1"/>
                <w:sz w:val="24"/>
                <w14:textFill>
                  <w14:solidFill>
                    <w14:schemeClr w14:val="tx1"/>
                  </w14:solidFill>
                </w14:textFill>
              </w:rPr>
              <w:t>的安装，在配套设备的安装过程中会有</w:t>
            </w:r>
            <w:r>
              <w:rPr>
                <w:rFonts w:hint="eastAsia" w:ascii="Times New Roman" w:hAnsi="Times New Roman" w:eastAsia="宋体" w:cs="Times New Roman"/>
                <w:color w:val="000000" w:themeColor="text1"/>
                <w:sz w:val="24"/>
                <w:lang w:val="en-US" w:eastAsia="zh-CN"/>
                <w14:textFill>
                  <w14:solidFill>
                    <w14:schemeClr w14:val="tx1"/>
                  </w14:solidFill>
                </w14:textFill>
              </w:rPr>
              <w:t>废气、废水、固废、</w:t>
            </w:r>
            <w:r>
              <w:rPr>
                <w:rFonts w:hint="default" w:ascii="Times New Roman" w:hAnsi="Times New Roman" w:eastAsia="宋体" w:cs="Times New Roman"/>
                <w:color w:val="000000" w:themeColor="text1"/>
                <w:sz w:val="24"/>
                <w14:textFill>
                  <w14:solidFill>
                    <w14:schemeClr w14:val="tx1"/>
                  </w14:solidFill>
                </w14:textFill>
              </w:rPr>
              <w:t>噪声产生，设备安装完成，噪声影响可随之消失，对环境影响较小。</w:t>
            </w:r>
          </w:p>
          <w:p w14:paraId="7299D20F">
            <w:pPr>
              <w:adjustRightInd w:val="0"/>
              <w:snapToGrid w:val="0"/>
              <w:spacing w:line="360" w:lineRule="auto"/>
              <w:ind w:firstLine="482" w:firstLineChars="200"/>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1、施工扬尘防治措施</w:t>
            </w:r>
          </w:p>
          <w:p w14:paraId="41E95452">
            <w:pPr>
              <w:adjustRightInd w:val="0"/>
              <w:snapToGrid w:val="0"/>
              <w:spacing w:line="360" w:lineRule="auto"/>
              <w:ind w:firstLine="480" w:firstLineChars="200"/>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项目租赁现有厂房进行生产，施工期主要为设施设备的安装，施工现场进行地面墙面钻孔打眼、设备焊接安装环节会有少量粉尘产生。</w:t>
            </w:r>
          </w:p>
          <w:p w14:paraId="692C17D9">
            <w:pPr>
              <w:adjustRightInd w:val="0"/>
              <w:snapToGrid w:val="0"/>
              <w:spacing w:line="360" w:lineRule="auto"/>
              <w:ind w:firstLine="480" w:firstLineChars="200"/>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项目涉及地面墙面钻孔打眼等产尘作业时，拟采用湿式作业，作业过程采用喷淋装置或雾炮洒水压尘，产生的积尘及时清理，保持路面湿润、清洁。涉及焊接作业时，应配备焊烟净化器，对产生的焊接烟尘进行收集处理。施工场地周边设置高度为2.5米的封闭式硬质围挡。施工现场建筑垃圾、生活垃圾分类、集中堆放，垃圾日产日清。</w:t>
            </w:r>
          </w:p>
          <w:p w14:paraId="37337515">
            <w:pPr>
              <w:adjustRightInd w:val="0"/>
              <w:snapToGrid w:val="0"/>
              <w:spacing w:line="360" w:lineRule="auto"/>
              <w:ind w:firstLine="480" w:firstLineChars="200"/>
              <w:rPr>
                <w:rFonts w:hint="default" w:cs="Times New Roman"/>
                <w:color w:val="000000" w:themeColor="text1"/>
                <w:sz w:val="24"/>
                <w:lang w:val="en-US" w:eastAsia="zh-CN"/>
                <w14:textFill>
                  <w14:solidFill>
                    <w14:schemeClr w14:val="tx1"/>
                  </w14:solidFill>
                </w14:textFill>
              </w:rPr>
            </w:pPr>
            <w:r>
              <w:rPr>
                <w:rFonts w:hint="default" w:cs="Times New Roman"/>
                <w:color w:val="000000" w:themeColor="text1"/>
                <w:sz w:val="24"/>
                <w:lang w:val="en-US" w:eastAsia="zh-CN"/>
                <w14:textFill>
                  <w14:solidFill>
                    <w14:schemeClr w14:val="tx1"/>
                  </w14:solidFill>
                </w14:textFill>
              </w:rPr>
              <w:t>建筑工地现场制定扬尘污染防治方案，落实责任人，建立完善检查考核制度；施工现场门口按要求设置扬尘防治管理公示牌。将扬尘防治措施的各项要求纳入工人教育培训、岗前交底及工作奖惩，提高一线作业人员扬尘防治自觉性。</w:t>
            </w:r>
          </w:p>
          <w:p w14:paraId="78E95F2D">
            <w:pPr>
              <w:adjustRightInd w:val="0"/>
              <w:snapToGrid w:val="0"/>
              <w:spacing w:line="360" w:lineRule="auto"/>
              <w:ind w:firstLine="480" w:firstLineChars="200"/>
              <w:rPr>
                <w:rFonts w:hint="default" w:cs="Times New Roman"/>
                <w:color w:val="000000" w:themeColor="text1"/>
                <w:sz w:val="24"/>
                <w:lang w:val="en-US" w:eastAsia="zh-CN"/>
                <w14:textFill>
                  <w14:solidFill>
                    <w14:schemeClr w14:val="tx1"/>
                  </w14:solidFill>
                </w14:textFill>
              </w:rPr>
            </w:pPr>
            <w:r>
              <w:rPr>
                <w:rFonts w:hint="default" w:cs="Times New Roman"/>
                <w:color w:val="000000" w:themeColor="text1"/>
                <w:sz w:val="24"/>
                <w:lang w:val="en-US" w:eastAsia="zh-CN"/>
                <w14:textFill>
                  <w14:solidFill>
                    <w14:schemeClr w14:val="tx1"/>
                  </w14:solidFill>
                </w14:textFill>
              </w:rPr>
              <w:t>采取上述措施后，</w:t>
            </w:r>
            <w:r>
              <w:rPr>
                <w:rFonts w:hint="eastAsia" w:cs="Times New Roman"/>
                <w:color w:val="000000" w:themeColor="text1"/>
                <w:sz w:val="24"/>
                <w:lang w:val="en-US" w:eastAsia="zh-CN"/>
                <w14:textFill>
                  <w14:solidFill>
                    <w14:schemeClr w14:val="tx1"/>
                  </w14:solidFill>
                </w14:textFill>
              </w:rPr>
              <w:t>粉尘</w:t>
            </w:r>
            <w:r>
              <w:rPr>
                <w:rFonts w:hint="default" w:cs="Times New Roman"/>
                <w:color w:val="000000" w:themeColor="text1"/>
                <w:sz w:val="24"/>
                <w:lang w:val="en-US" w:eastAsia="zh-CN"/>
                <w14:textFill>
                  <w14:solidFill>
                    <w14:schemeClr w14:val="tx1"/>
                  </w14:solidFill>
                </w14:textFill>
              </w:rPr>
              <w:t>影响和污染程度会明显减轻。施工期影响虽然很难避免但是影响会随施工期结束而结束。</w:t>
            </w:r>
          </w:p>
          <w:p w14:paraId="7F23D4A6">
            <w:pPr>
              <w:adjustRightInd w:val="0"/>
              <w:snapToGrid w:val="0"/>
              <w:spacing w:line="360" w:lineRule="auto"/>
              <w:ind w:firstLine="482" w:firstLineChars="200"/>
              <w:rPr>
                <w:rFonts w:hint="eastAsia" w:cs="Times New Roman"/>
                <w:b/>
                <w:bCs/>
                <w:color w:val="000000" w:themeColor="text1"/>
                <w:sz w:val="24"/>
                <w:lang w:val="en-US" w:eastAsia="zh-CN"/>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2、施工期废水防治措施</w:t>
            </w:r>
          </w:p>
          <w:p w14:paraId="53324AFD">
            <w:pPr>
              <w:adjustRightInd w:val="0"/>
              <w:snapToGrid w:val="0"/>
              <w:spacing w:line="360" w:lineRule="auto"/>
              <w:ind w:firstLine="480" w:firstLineChars="200"/>
              <w:rPr>
                <w:rFonts w:hint="default"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施工期废水主要包括施工废水和施工工人生活污水。项目施工人员生活污水暂存化粪池，定期清理外运。项目施工期作业以设备安装为主，施工用水主要为施工现场洒水降尘用水，全部蒸发损耗，施工作业过程无废水产生外排。</w:t>
            </w:r>
          </w:p>
          <w:p w14:paraId="06E91ACD">
            <w:pPr>
              <w:adjustRightInd w:val="0"/>
              <w:snapToGrid w:val="0"/>
              <w:spacing w:line="360" w:lineRule="auto"/>
              <w:ind w:firstLine="482" w:firstLineChars="200"/>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3、噪声防治措施</w:t>
            </w:r>
          </w:p>
          <w:p w14:paraId="3252F250">
            <w:pPr>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建筑施工期的噪声源主要为</w:t>
            </w:r>
            <w:r>
              <w:rPr>
                <w:rFonts w:hint="eastAsia" w:cs="Times New Roman"/>
                <w:color w:val="000000" w:themeColor="text1"/>
                <w:sz w:val="24"/>
                <w:lang w:val="en-US" w:eastAsia="zh-CN"/>
                <w14:textFill>
                  <w14:solidFill>
                    <w14:schemeClr w14:val="tx1"/>
                  </w14:solidFill>
                </w14:textFill>
              </w:rPr>
              <w:t>设备安装过程的</w:t>
            </w:r>
            <w:r>
              <w:rPr>
                <w:rFonts w:hint="default" w:ascii="Times New Roman" w:hAnsi="Times New Roman" w:eastAsia="宋体" w:cs="Times New Roman"/>
                <w:color w:val="000000" w:themeColor="text1"/>
                <w:sz w:val="24"/>
                <w:lang w:val="en-US" w:eastAsia="zh-CN"/>
                <w14:textFill>
                  <w14:solidFill>
                    <w14:schemeClr w14:val="tx1"/>
                  </w14:solidFill>
                </w14:textFill>
              </w:rPr>
              <w:t>机械</w:t>
            </w:r>
            <w:r>
              <w:rPr>
                <w:rFonts w:hint="eastAsia" w:cs="Times New Roman"/>
                <w:color w:val="000000" w:themeColor="text1"/>
                <w:sz w:val="24"/>
                <w:lang w:val="en-US" w:eastAsia="zh-CN"/>
                <w14:textFill>
                  <w14:solidFill>
                    <w14:schemeClr w14:val="tx1"/>
                  </w14:solidFill>
                </w14:textFill>
              </w:rPr>
              <w:t>噪声</w:t>
            </w:r>
            <w:r>
              <w:rPr>
                <w:rFonts w:hint="default" w:ascii="Times New Roman" w:hAnsi="Times New Roman" w:eastAsia="宋体" w:cs="Times New Roman"/>
                <w:color w:val="000000" w:themeColor="text1"/>
                <w:sz w:val="24"/>
                <w:lang w:val="en-US" w:eastAsia="zh-CN"/>
                <w14:textFill>
                  <w14:solidFill>
                    <w14:schemeClr w14:val="tx1"/>
                  </w14:solidFill>
                </w14:textFill>
              </w:rPr>
              <w:t>，其特点是间歇或阵发性的，并具备流动性、噪声较高（5m处噪声值在80~90dB(A)）的特征。</w:t>
            </w:r>
          </w:p>
          <w:p w14:paraId="6133C37D">
            <w:pPr>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本次环评要求项目建设单位采取以下施工噪声控制措施：</w:t>
            </w:r>
          </w:p>
          <w:p w14:paraId="563C4051">
            <w:pPr>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选用低噪声的</w:t>
            </w:r>
            <w:r>
              <w:rPr>
                <w:rFonts w:hint="eastAsia" w:cs="Times New Roman"/>
                <w:color w:val="000000" w:themeColor="text1"/>
                <w:sz w:val="24"/>
                <w:lang w:val="en-US" w:eastAsia="zh-CN"/>
                <w14:textFill>
                  <w14:solidFill>
                    <w14:schemeClr w14:val="tx1"/>
                  </w14:solidFill>
                </w14:textFill>
              </w:rPr>
              <w:t>设备</w:t>
            </w:r>
            <w:r>
              <w:rPr>
                <w:rFonts w:hint="default" w:ascii="Times New Roman" w:hAnsi="Times New Roman" w:eastAsia="宋体" w:cs="Times New Roman"/>
                <w:color w:val="000000" w:themeColor="text1"/>
                <w:sz w:val="24"/>
                <w:lang w:val="en-US" w:eastAsia="zh-CN"/>
                <w14:textFill>
                  <w14:solidFill>
                    <w14:schemeClr w14:val="tx1"/>
                  </w14:solidFill>
                </w14:textFill>
              </w:rPr>
              <w:t>和先进的工艺</w:t>
            </w:r>
            <w:r>
              <w:rPr>
                <w:rFonts w:hint="eastAsia" w:cs="Times New Roman"/>
                <w:color w:val="000000" w:themeColor="text1"/>
                <w:sz w:val="24"/>
                <w:lang w:val="en-US"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除抢修、抢险作业和因特殊要求必须连续作业外，禁止夜间进行产生环境噪声污染的建筑施工作业，因特殊需要必须连续作业的必须有有关主管部门的证明，并且必须公告附近居民。</w:t>
            </w:r>
          </w:p>
          <w:p w14:paraId="5BB84F0D">
            <w:pPr>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①首先从声源上控制：建设单位在与施工单位签订合同时，应要求其使用的主要机械设备为低噪声机械设备。同时在施工过程中施工单位应设专人对设备进行定期保养和维护，并负责对现场工作人员进行培训，严格按操作规范使用各类机械。</w:t>
            </w:r>
          </w:p>
          <w:p w14:paraId="5BBFA8B7">
            <w:pPr>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②合理安排施工时间，制定科学的施工计划，应尽可能避免大量的高噪声设备同时施工，避开周围环境对噪声的敏感时间，严禁夜间（22：00~6：00）</w:t>
            </w:r>
            <w:r>
              <w:rPr>
                <w:rFonts w:hint="eastAsia" w:cs="Times New Roman"/>
                <w:color w:val="000000" w:themeColor="text1"/>
                <w:sz w:val="24"/>
                <w:lang w:val="en-US" w:eastAsia="zh-CN"/>
                <w14:textFill>
                  <w14:solidFill>
                    <w14:schemeClr w14:val="tx1"/>
                  </w14:solidFill>
                </w14:textFill>
              </w:rPr>
              <w:t>进行高噪声作业</w:t>
            </w:r>
            <w:r>
              <w:rPr>
                <w:rFonts w:hint="default" w:ascii="Times New Roman" w:hAnsi="Times New Roman" w:eastAsia="宋体" w:cs="Times New Roman"/>
                <w:color w:val="000000" w:themeColor="text1"/>
                <w:sz w:val="24"/>
                <w:lang w:val="en-US" w:eastAsia="zh-CN"/>
                <w14:textFill>
                  <w14:solidFill>
                    <w14:schemeClr w14:val="tx1"/>
                  </w14:solidFill>
                </w14:textFill>
              </w:rPr>
              <w:t>，影响居民休息。</w:t>
            </w:r>
          </w:p>
          <w:p w14:paraId="44A5D2F0">
            <w:pPr>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③采用声屏障措施：在施工场地周围有敏感点的地方设立临时声频障，对建筑物的外部也应采用围挡，以减轻设备噪声对周围环境的影响。</w:t>
            </w:r>
          </w:p>
          <w:p w14:paraId="47F9C5DB">
            <w:pPr>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④建设管理部门应加强对施工场地的噪声管理，施工企业也应对施工噪声进行自律，文明施工，避免因施工噪声产生纠纷。</w:t>
            </w:r>
          </w:p>
          <w:p w14:paraId="2DF87939">
            <w:pPr>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严格执行以上噪声控制措施后预测本项目施工噪声可以符合《建筑施工场界环境噪声排放标准》（GB12523-2011）的要求。</w:t>
            </w:r>
          </w:p>
          <w:p w14:paraId="7FFC8851">
            <w:pPr>
              <w:adjustRightInd w:val="0"/>
              <w:snapToGrid w:val="0"/>
              <w:spacing w:line="360" w:lineRule="auto"/>
              <w:ind w:firstLine="482" w:firstLineChars="200"/>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4</w:t>
            </w:r>
            <w:r>
              <w:rPr>
                <w:rFonts w:hint="eastAsia" w:cs="Times New Roman"/>
                <w:b/>
                <w:bCs/>
                <w:color w:val="000000" w:themeColor="text1"/>
                <w:sz w:val="24"/>
                <w:lang w:val="en-US" w:eastAsia="zh-CN"/>
                <w14:textFill>
                  <w14:solidFill>
                    <w14:schemeClr w14:val="tx1"/>
                  </w14:solidFill>
                </w14:textFill>
              </w:rPr>
              <w:t>、</w:t>
            </w:r>
            <w:r>
              <w:rPr>
                <w:rFonts w:hint="default" w:ascii="Times New Roman" w:hAnsi="Times New Roman" w:eastAsia="宋体" w:cs="Times New Roman"/>
                <w:b/>
                <w:bCs/>
                <w:color w:val="000000" w:themeColor="text1"/>
                <w:sz w:val="24"/>
                <w:lang w:val="en-US" w:eastAsia="zh-CN"/>
                <w14:textFill>
                  <w14:solidFill>
                    <w14:schemeClr w14:val="tx1"/>
                  </w14:solidFill>
                </w14:textFill>
              </w:rPr>
              <w:t>固体废弃物防治措施</w:t>
            </w:r>
          </w:p>
          <w:p w14:paraId="6714A182">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施工期固废主要为施工</w:t>
            </w:r>
            <w:r>
              <w:rPr>
                <w:rFonts w:hint="eastAsia" w:cs="Times New Roman"/>
                <w:color w:val="000000" w:themeColor="text1"/>
                <w:sz w:val="24"/>
                <w:lang w:val="en-US" w:eastAsia="zh-CN"/>
                <w14:textFill>
                  <w14:solidFill>
                    <w14:schemeClr w14:val="tx1"/>
                  </w14:solidFill>
                </w14:textFill>
              </w:rPr>
              <w:t>过程</w:t>
            </w:r>
            <w:r>
              <w:rPr>
                <w:rFonts w:hint="default" w:ascii="Times New Roman" w:hAnsi="Times New Roman" w:eastAsia="宋体" w:cs="Times New Roman"/>
                <w:color w:val="000000" w:themeColor="text1"/>
                <w:sz w:val="24"/>
                <w:lang w:val="en-US" w:eastAsia="zh-CN"/>
                <w14:textFill>
                  <w14:solidFill>
                    <w14:schemeClr w14:val="tx1"/>
                  </w14:solidFill>
                </w14:textFill>
              </w:rPr>
              <w:t>产生的建筑废料</w:t>
            </w:r>
            <w:r>
              <w:rPr>
                <w:rFonts w:hint="eastAsia" w:cs="Times New Roman"/>
                <w:color w:val="000000" w:themeColor="text1"/>
                <w:sz w:val="24"/>
                <w:lang w:val="en-US" w:eastAsia="zh-CN"/>
                <w14:textFill>
                  <w14:solidFill>
                    <w14:schemeClr w14:val="tx1"/>
                  </w14:solidFill>
                </w14:textFill>
              </w:rPr>
              <w:t>、安装设备产生的废包装、下脚料</w:t>
            </w:r>
            <w:r>
              <w:rPr>
                <w:rFonts w:hint="default" w:ascii="Times New Roman" w:hAnsi="Times New Roman" w:eastAsia="宋体" w:cs="Times New Roman"/>
                <w:color w:val="000000" w:themeColor="text1"/>
                <w:sz w:val="24"/>
                <w:lang w:val="en-US" w:eastAsia="zh-CN"/>
                <w14:textFill>
                  <w14:solidFill>
                    <w14:schemeClr w14:val="tx1"/>
                  </w14:solidFill>
                </w14:textFill>
              </w:rPr>
              <w:t>及工人生活垃圾。</w:t>
            </w:r>
            <w:r>
              <w:rPr>
                <w:rFonts w:hint="eastAsia" w:cs="Times New Roman"/>
                <w:color w:val="000000" w:themeColor="text1"/>
                <w:sz w:val="24"/>
                <w:lang w:val="en-US" w:eastAsia="zh-CN"/>
                <w14:textFill>
                  <w14:solidFill>
                    <w14:schemeClr w14:val="tx1"/>
                  </w14:solidFill>
                </w14:textFill>
              </w:rPr>
              <w:t>施工</w:t>
            </w:r>
            <w:r>
              <w:rPr>
                <w:rFonts w:hint="default" w:ascii="Times New Roman" w:hAnsi="Times New Roman" w:eastAsia="宋体" w:cs="Times New Roman"/>
                <w:color w:val="000000" w:themeColor="text1"/>
                <w:sz w:val="24"/>
                <w:lang w:val="en-US" w:eastAsia="zh-CN"/>
                <w14:textFill>
                  <w14:solidFill>
                    <w14:schemeClr w14:val="tx1"/>
                  </w14:solidFill>
                </w14:textFill>
              </w:rPr>
              <w:t>过程产生钢筋、木块、</w:t>
            </w:r>
            <w:r>
              <w:rPr>
                <w:rFonts w:hint="eastAsia" w:cs="Times New Roman"/>
                <w:color w:val="000000" w:themeColor="text1"/>
                <w:sz w:val="24"/>
                <w:lang w:val="en-US" w:eastAsia="zh-CN"/>
                <w14:textFill>
                  <w14:solidFill>
                    <w14:schemeClr w14:val="tx1"/>
                  </w14:solidFill>
                </w14:textFill>
              </w:rPr>
              <w:t>废包装、下脚料</w:t>
            </w:r>
            <w:r>
              <w:rPr>
                <w:rFonts w:hint="default" w:ascii="Times New Roman" w:hAnsi="Times New Roman" w:eastAsia="宋体" w:cs="Times New Roman"/>
                <w:color w:val="000000" w:themeColor="text1"/>
                <w:sz w:val="24"/>
                <w:lang w:val="en-US" w:eastAsia="zh-CN"/>
                <w14:textFill>
                  <w14:solidFill>
                    <w14:schemeClr w14:val="tx1"/>
                  </w14:solidFill>
                </w14:textFill>
              </w:rPr>
              <w:t>等可以外卖进行处置，建筑垃圾如混凝土块、废砖块外运至指定的建筑垃圾堆放场。工人生活垃圾产生量约</w:t>
            </w:r>
            <w:r>
              <w:rPr>
                <w:rFonts w:hint="eastAsia" w:cs="Times New Roman"/>
                <w:color w:val="000000" w:themeColor="text1"/>
                <w:sz w:val="24"/>
                <w:lang w:val="en-US" w:eastAsia="zh-CN"/>
                <w14:textFill>
                  <w14:solidFill>
                    <w14:schemeClr w14:val="tx1"/>
                  </w14:solidFill>
                </w14:textFill>
              </w:rPr>
              <w:t>2</w:t>
            </w:r>
            <w:r>
              <w:rPr>
                <w:rFonts w:hint="default" w:ascii="Times New Roman" w:hAnsi="Times New Roman" w:eastAsia="宋体" w:cs="Times New Roman"/>
                <w:color w:val="000000" w:themeColor="text1"/>
                <w:sz w:val="24"/>
                <w:lang w:val="en-US" w:eastAsia="zh-CN"/>
                <w14:textFill>
                  <w14:solidFill>
                    <w14:schemeClr w14:val="tx1"/>
                  </w14:solidFill>
                </w14:textFill>
              </w:rPr>
              <w:t>t，集中收集后定期清运，及时送往垃圾卫生填埋场进行卫生填埋以免影响环境卫生。施工期固废能够全部处理，不直接对外排放，对周围环境质量影响较小。</w:t>
            </w:r>
          </w:p>
        </w:tc>
      </w:tr>
      <w:tr w14:paraId="7DFC50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323" w:type="pct"/>
            <w:tcMar>
              <w:left w:w="28" w:type="dxa"/>
              <w:right w:w="28" w:type="dxa"/>
            </w:tcMar>
            <w:vAlign w:val="center"/>
          </w:tcPr>
          <w:p w14:paraId="00509B91">
            <w:pPr>
              <w:pStyle w:val="33"/>
              <w:adjustRightInd w:val="0"/>
              <w:snapToGrid w:val="0"/>
              <w:spacing w:before="0" w:beforeAutospacing="0" w:after="0" w:afterAutospacing="0"/>
              <w:jc w:val="center"/>
              <w:rPr>
                <w:rFonts w:hint="default" w:ascii="Times New Roman" w:hAnsi="Times New Roman" w:eastAsia="宋体" w:cs="Times New Roman"/>
                <w:bCs/>
                <w:color w:val="000000" w:themeColor="text1"/>
                <w:kern w:val="2"/>
                <w:sz w:val="21"/>
                <w:szCs w:val="21"/>
                <w14:textFill>
                  <w14:solidFill>
                    <w14:schemeClr w14:val="tx1"/>
                  </w14:solidFill>
                </w14:textFill>
              </w:rPr>
            </w:pPr>
            <w:r>
              <w:rPr>
                <w:rFonts w:hint="default" w:ascii="Times New Roman" w:hAnsi="Times New Roman" w:eastAsia="宋体" w:cs="Times New Roman"/>
                <w:bCs/>
                <w:color w:val="000000" w:themeColor="text1"/>
                <w:kern w:val="2"/>
                <w14:textFill>
                  <w14:solidFill>
                    <w14:schemeClr w14:val="tx1"/>
                  </w14:solidFill>
                </w14:textFill>
              </w:rPr>
              <w:t>运营期生态环境影响分析</w:t>
            </w:r>
          </w:p>
        </w:tc>
        <w:tc>
          <w:tcPr>
            <w:tcW w:w="4676" w:type="pct"/>
            <w:vAlign w:val="center"/>
          </w:tcPr>
          <w:p w14:paraId="2F6CCB17">
            <w:pPr>
              <w:spacing w:before="120" w:beforeLines="50" w:line="360" w:lineRule="auto"/>
              <w:ind w:firstLine="472" w:firstLineChars="196"/>
              <w:contextualSpacing/>
              <w:rPr>
                <w:rFonts w:hint="default" w:ascii="Times New Roman" w:hAnsi="Times New Roman" w:eastAsia="宋体" w:cs="Times New Roman"/>
                <w:b/>
                <w:color w:val="000000" w:themeColor="text1"/>
                <w:kern w:val="0"/>
                <w:sz w:val="24"/>
                <w14:textFill>
                  <w14:solidFill>
                    <w14:schemeClr w14:val="tx1"/>
                  </w14:solidFill>
                </w14:textFill>
              </w:rPr>
            </w:pPr>
            <w:r>
              <w:rPr>
                <w:rFonts w:hint="default" w:ascii="Times New Roman" w:hAnsi="Times New Roman" w:eastAsia="宋体" w:cs="Times New Roman"/>
                <w:b/>
                <w:color w:val="000000" w:themeColor="text1"/>
                <w:kern w:val="0"/>
                <w:sz w:val="24"/>
                <w14:textFill>
                  <w14:solidFill>
                    <w14:schemeClr w14:val="tx1"/>
                  </w14:solidFill>
                </w14:textFill>
              </w:rPr>
              <w:t>1、废气</w:t>
            </w:r>
          </w:p>
          <w:p w14:paraId="1032E62F">
            <w:pPr>
              <w:spacing w:line="360" w:lineRule="auto"/>
              <w:ind w:firstLine="480" w:firstLineChars="200"/>
              <w:rPr>
                <w:rFonts w:hint="eastAsia" w:ascii="Times New Roman" w:hAnsi="Times New Roman" w:eastAsia="宋体" w:cs="Times New Roman"/>
                <w:color w:val="000000" w:themeColor="text1"/>
                <w:sz w:val="24"/>
                <w:lang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项目加热熔融、搅拌混合、</w:t>
            </w:r>
            <w:r>
              <w:rPr>
                <w:rFonts w:hint="eastAsia" w:cs="Times New Roman"/>
                <w:color w:val="000000" w:themeColor="text1"/>
                <w:sz w:val="24"/>
                <w:lang w:val="en-US" w:eastAsia="zh-CN"/>
                <w14:textFill>
                  <w14:solidFill>
                    <w14:schemeClr w14:val="tx1"/>
                  </w14:solidFill>
                </w14:textFill>
              </w:rPr>
              <w:t>制片</w:t>
            </w:r>
            <w:r>
              <w:rPr>
                <w:rFonts w:hint="eastAsia" w:ascii="Times New Roman" w:hAnsi="Times New Roman" w:eastAsia="宋体" w:cs="Times New Roman"/>
                <w:color w:val="000000" w:themeColor="text1"/>
                <w:sz w:val="24"/>
                <w:lang w:val="en-US" w:eastAsia="zh-CN"/>
                <w14:textFill>
                  <w14:solidFill>
                    <w14:schemeClr w14:val="tx1"/>
                  </w14:solidFill>
                </w14:textFill>
              </w:rPr>
              <w:t>工序产生的有机废气</w:t>
            </w:r>
            <w:r>
              <w:rPr>
                <w:rFonts w:hint="eastAsia" w:cs="Times New Roman"/>
                <w:color w:val="000000" w:themeColor="text1"/>
                <w:sz w:val="24"/>
                <w:lang w:val="en-US" w:eastAsia="zh-CN"/>
                <w14:textFill>
                  <w14:solidFill>
                    <w14:schemeClr w14:val="tx1"/>
                  </w14:solidFill>
                </w14:textFill>
              </w:rPr>
              <w:t>，经过加热搅拌罐为密闭设备，设置集气管道收集，压片机设置集气罩收集、二级活性炭吸附处理后</w:t>
            </w:r>
            <w:r>
              <w:rPr>
                <w:rFonts w:hint="default" w:ascii="Times New Roman" w:hAnsi="Times New Roman" w:eastAsia="宋体" w:cs="Times New Roman"/>
                <w:color w:val="000000" w:themeColor="text1"/>
                <w:sz w:val="24"/>
                <w:lang w:val="en-US" w:eastAsia="zh-CN"/>
                <w14:textFill>
                  <w14:solidFill>
                    <w14:schemeClr w14:val="tx1"/>
                  </w14:solidFill>
                </w14:textFill>
              </w:rPr>
              <w:t>通过15m高的排气筒DA001排放</w:t>
            </w:r>
            <w:r>
              <w:rPr>
                <w:rFonts w:hint="eastAsia" w:cs="Times New Roman"/>
                <w:color w:val="000000" w:themeColor="text1"/>
                <w:sz w:val="24"/>
                <w:lang w:eastAsia="zh-CN"/>
                <w14:textFill>
                  <w14:solidFill>
                    <w14:schemeClr w14:val="tx1"/>
                  </w14:solidFill>
                </w14:textFill>
              </w:rPr>
              <w:t>。</w:t>
            </w:r>
          </w:p>
          <w:p w14:paraId="48ECBC1B">
            <w:pPr>
              <w:spacing w:line="360" w:lineRule="auto"/>
              <w:rPr>
                <w:rFonts w:hint="default" w:ascii="Times New Roman" w:hAnsi="Times New Roman" w:eastAsia="宋体" w:cs="Times New Roman"/>
                <w:color w:val="000000" w:themeColor="text1"/>
                <w:sz w:val="24"/>
                <w14:textFill>
                  <w14:solidFill>
                    <w14:schemeClr w14:val="tx1"/>
                  </w14:solidFill>
                </w14:textFill>
              </w:rPr>
            </w:pPr>
            <w:r>
              <w:drawing>
                <wp:inline distT="0" distB="0" distL="114300" distR="114300">
                  <wp:extent cx="5674995" cy="1454785"/>
                  <wp:effectExtent l="0" t="0" r="1905" b="12065"/>
                  <wp:docPr id="1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
                          <pic:cNvPicPr>
                            <a:picLocks noChangeAspect="1"/>
                          </pic:cNvPicPr>
                        </pic:nvPicPr>
                        <pic:blipFill>
                          <a:blip r:embed="rId24"/>
                          <a:stretch>
                            <a:fillRect/>
                          </a:stretch>
                        </pic:blipFill>
                        <pic:spPr>
                          <a:xfrm>
                            <a:off x="0" y="0"/>
                            <a:ext cx="5674995" cy="1454785"/>
                          </a:xfrm>
                          <a:prstGeom prst="rect">
                            <a:avLst/>
                          </a:prstGeom>
                          <a:noFill/>
                          <a:ln>
                            <a:noFill/>
                          </a:ln>
                        </pic:spPr>
                      </pic:pic>
                    </a:graphicData>
                  </a:graphic>
                </wp:inline>
              </w:drawing>
            </w:r>
          </w:p>
          <w:p w14:paraId="3854CF76">
            <w:pPr>
              <w:spacing w:line="360" w:lineRule="auto"/>
              <w:ind w:firstLine="482" w:firstLineChars="200"/>
              <w:jc w:val="center"/>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图4-1废气收集处理示意图</w:t>
            </w:r>
          </w:p>
          <w:p w14:paraId="7BB7FAC9">
            <w:pPr>
              <w:widowControl/>
              <w:spacing w:line="360" w:lineRule="auto"/>
              <w:ind w:firstLine="482" w:firstLineChars="200"/>
              <w:jc w:val="left"/>
              <w:rPr>
                <w:rFonts w:hint="default" w:ascii="Times New Roman" w:hAnsi="Times New Roman" w:eastAsia="宋体" w:cs="Times New Roman"/>
                <w:b/>
                <w:bCs/>
                <w:color w:val="000000" w:themeColor="text1"/>
                <w:kern w:val="0"/>
                <w:sz w:val="24"/>
                <w:lang w:bidi="ar"/>
                <w14:textFill>
                  <w14:solidFill>
                    <w14:schemeClr w14:val="tx1"/>
                  </w14:solidFill>
                </w14:textFill>
              </w:rPr>
            </w:pPr>
            <w:r>
              <w:rPr>
                <w:rFonts w:hint="default" w:ascii="Times New Roman" w:hAnsi="Times New Roman" w:eastAsia="宋体" w:cs="Times New Roman"/>
                <w:b/>
                <w:bCs/>
                <w:color w:val="000000" w:themeColor="text1"/>
                <w:kern w:val="0"/>
                <w:sz w:val="24"/>
                <w:lang w:bidi="ar"/>
                <w14:textFill>
                  <w14:solidFill>
                    <w14:schemeClr w14:val="tx1"/>
                  </w14:solidFill>
                </w14:textFill>
              </w:rPr>
              <w:t>1.1有组织废气</w:t>
            </w:r>
          </w:p>
          <w:p w14:paraId="5C1CD98B">
            <w:pPr>
              <w:widowControl/>
              <w:spacing w:line="360" w:lineRule="auto"/>
              <w:ind w:firstLine="482" w:firstLineChars="200"/>
              <w:jc w:val="left"/>
              <w:rPr>
                <w:rFonts w:hint="default" w:ascii="Times New Roman" w:hAnsi="Times New Roman" w:eastAsia="宋体" w:cs="Times New Roman"/>
                <w:b/>
                <w:bCs/>
                <w:color w:val="000000" w:themeColor="text1"/>
                <w:kern w:val="0"/>
                <w:sz w:val="24"/>
                <w:lang w:bidi="ar"/>
                <w14:textFill>
                  <w14:solidFill>
                    <w14:schemeClr w14:val="tx1"/>
                  </w14:solidFill>
                </w14:textFill>
              </w:rPr>
            </w:pPr>
            <w:r>
              <w:rPr>
                <w:rFonts w:hint="default" w:ascii="Times New Roman" w:hAnsi="Times New Roman" w:eastAsia="宋体" w:cs="Times New Roman"/>
                <w:b/>
                <w:bCs/>
                <w:color w:val="000000" w:themeColor="text1"/>
                <w:kern w:val="0"/>
                <w:sz w:val="24"/>
                <w:lang w:bidi="ar"/>
                <w14:textFill>
                  <w14:solidFill>
                    <w14:schemeClr w14:val="tx1"/>
                  </w14:solidFill>
                </w14:textFill>
              </w:rPr>
              <w:t>1、源强核算说明</w:t>
            </w:r>
          </w:p>
          <w:p w14:paraId="30220CEF">
            <w:pPr>
              <w:spacing w:line="360" w:lineRule="auto"/>
              <w:ind w:firstLine="480" w:firstLineChars="200"/>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项目在生产车间设置一条生产线，</w:t>
            </w:r>
            <w:r>
              <w:rPr>
                <w:rFonts w:hint="eastAsia" w:ascii="Times New Roman" w:hAnsi="Times New Roman" w:eastAsia="宋体" w:cs="Times New Roman"/>
                <w:color w:val="000000" w:themeColor="text1"/>
                <w:sz w:val="24"/>
                <w:lang w:val="en-US" w:eastAsia="zh-CN"/>
                <w14:textFill>
                  <w14:solidFill>
                    <w14:schemeClr w14:val="tx1"/>
                  </w14:solidFill>
                </w14:textFill>
              </w:rPr>
              <w:t>加热熔融、搅拌混合、</w:t>
            </w:r>
            <w:r>
              <w:rPr>
                <w:rFonts w:hint="eastAsia" w:cs="Times New Roman"/>
                <w:color w:val="000000" w:themeColor="text1"/>
                <w:sz w:val="24"/>
                <w:lang w:val="en-US" w:eastAsia="zh-CN"/>
                <w14:textFill>
                  <w14:solidFill>
                    <w14:schemeClr w14:val="tx1"/>
                  </w14:solidFill>
                </w14:textFill>
              </w:rPr>
              <w:t>制片</w:t>
            </w:r>
            <w:r>
              <w:rPr>
                <w:rFonts w:hint="eastAsia" w:ascii="Times New Roman" w:hAnsi="Times New Roman" w:eastAsia="宋体" w:cs="Times New Roman"/>
                <w:color w:val="000000" w:themeColor="text1"/>
                <w:sz w:val="24"/>
                <w:lang w:val="en-US" w:eastAsia="zh-CN"/>
                <w14:textFill>
                  <w14:solidFill>
                    <w14:schemeClr w14:val="tx1"/>
                  </w14:solidFill>
                </w14:textFill>
              </w:rPr>
              <w:t>工序产生的有机废气</w:t>
            </w:r>
            <w:r>
              <w:rPr>
                <w:rFonts w:hint="eastAsia" w:cs="Times New Roman"/>
                <w:color w:val="000000" w:themeColor="text1"/>
                <w:sz w:val="24"/>
                <w:lang w:val="en-US" w:eastAsia="zh-CN"/>
                <w14:textFill>
                  <w14:solidFill>
                    <w14:schemeClr w14:val="tx1"/>
                  </w14:solidFill>
                </w14:textFill>
              </w:rPr>
              <w:t>，经过加热搅拌罐为密闭设备，设置集气管道收集，压片机设置集气罩收集、二级活性炭吸附处理后</w:t>
            </w:r>
            <w:r>
              <w:rPr>
                <w:rFonts w:hint="default" w:ascii="Times New Roman" w:hAnsi="Times New Roman" w:eastAsia="宋体" w:cs="Times New Roman"/>
                <w:color w:val="000000" w:themeColor="text1"/>
                <w:sz w:val="24"/>
                <w:lang w:val="en-US" w:eastAsia="zh-CN"/>
                <w14:textFill>
                  <w14:solidFill>
                    <w14:schemeClr w14:val="tx1"/>
                  </w14:solidFill>
                </w14:textFill>
              </w:rPr>
              <w:t>通过15m高的排气筒DA001排放</w:t>
            </w:r>
            <w:r>
              <w:rPr>
                <w:rFonts w:hint="eastAsia" w:cs="Times New Roman"/>
                <w:color w:val="000000" w:themeColor="text1"/>
                <w:sz w:val="24"/>
                <w:lang w:val="en-US" w:eastAsia="zh-CN"/>
                <w14:textFill>
                  <w14:solidFill>
                    <w14:schemeClr w14:val="tx1"/>
                  </w14:solidFill>
                </w14:textFill>
              </w:rPr>
              <w:t>。</w:t>
            </w:r>
          </w:p>
          <w:p w14:paraId="22D2FB05">
            <w:pPr>
              <w:spacing w:line="240" w:lineRule="auto"/>
              <w:jc w:val="cente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表4-1  废气源强核算依据</w:t>
            </w:r>
          </w:p>
          <w:tbl>
            <w:tblPr>
              <w:tblStyle w:val="38"/>
              <w:tblW w:w="89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1382"/>
              <w:gridCol w:w="1763"/>
              <w:gridCol w:w="3561"/>
            </w:tblGrid>
            <w:tr w14:paraId="44E49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2198" w:type="dxa"/>
                  <w:tcBorders>
                    <w:top w:val="single" w:color="auto" w:sz="4" w:space="0"/>
                  </w:tcBorders>
                  <w:noWrap w:val="0"/>
                  <w:vAlign w:val="center"/>
                </w:tcPr>
                <w:p w14:paraId="2D978A78">
                  <w:pPr>
                    <w:jc w:val="cente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废气</w:t>
                  </w:r>
                </w:p>
              </w:tc>
              <w:tc>
                <w:tcPr>
                  <w:tcW w:w="1382" w:type="dxa"/>
                  <w:tcBorders>
                    <w:top w:val="single" w:color="auto" w:sz="4" w:space="0"/>
                  </w:tcBorders>
                  <w:noWrap w:val="0"/>
                  <w:vAlign w:val="center"/>
                </w:tcPr>
                <w:p w14:paraId="15AB1264">
                  <w:pPr>
                    <w:jc w:val="cente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污染因子</w:t>
                  </w:r>
                </w:p>
              </w:tc>
              <w:tc>
                <w:tcPr>
                  <w:tcW w:w="1763" w:type="dxa"/>
                  <w:tcBorders>
                    <w:top w:val="single" w:color="auto" w:sz="4" w:space="0"/>
                  </w:tcBorders>
                  <w:noWrap w:val="0"/>
                  <w:vAlign w:val="center"/>
                </w:tcPr>
                <w:p w14:paraId="32F45205">
                  <w:pPr>
                    <w:jc w:val="cente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源强系数</w:t>
                  </w:r>
                </w:p>
              </w:tc>
              <w:tc>
                <w:tcPr>
                  <w:tcW w:w="3561" w:type="dxa"/>
                  <w:tcBorders>
                    <w:top w:val="single" w:color="auto" w:sz="4" w:space="0"/>
                  </w:tcBorders>
                  <w:noWrap w:val="0"/>
                  <w:vAlign w:val="center"/>
                </w:tcPr>
                <w:p w14:paraId="78CA5DBC">
                  <w:pPr>
                    <w:jc w:val="cente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源强计算依据</w:t>
                  </w:r>
                </w:p>
              </w:tc>
            </w:tr>
            <w:tr w14:paraId="4215B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3" w:hRule="atLeast"/>
                <w:jc w:val="center"/>
              </w:trPr>
              <w:tc>
                <w:tcPr>
                  <w:tcW w:w="2198" w:type="dxa"/>
                  <w:tcBorders>
                    <w:top w:val="single" w:color="auto" w:sz="4" w:space="0"/>
                  </w:tcBorders>
                  <w:noWrap w:val="0"/>
                  <w:vAlign w:val="center"/>
                </w:tcPr>
                <w:p w14:paraId="7B8B6FFE">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加热熔融、搅拌混合废气、制片废气</w:t>
                  </w:r>
                </w:p>
              </w:tc>
              <w:tc>
                <w:tcPr>
                  <w:tcW w:w="1382" w:type="dxa"/>
                  <w:tcBorders>
                    <w:top w:val="single" w:color="auto" w:sz="4" w:space="0"/>
                  </w:tcBorders>
                  <w:noWrap w:val="0"/>
                  <w:vAlign w:val="center"/>
                </w:tcPr>
                <w:p w14:paraId="5E27CDA3">
                  <w:pPr>
                    <w:jc w:val="center"/>
                    <w:rPr>
                      <w:rFonts w:hint="eastAsia"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1763" w:type="dxa"/>
                  <w:tcBorders>
                    <w:top w:val="single" w:color="auto" w:sz="4" w:space="0"/>
                  </w:tcBorders>
                  <w:noWrap w:val="0"/>
                  <w:vAlign w:val="center"/>
                </w:tcPr>
                <w:p w14:paraId="5D9B4758">
                  <w:pPr>
                    <w:jc w:val="center"/>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0.78千克/吨-产品</w:t>
                  </w:r>
                </w:p>
              </w:tc>
              <w:tc>
                <w:tcPr>
                  <w:tcW w:w="3561" w:type="dxa"/>
                  <w:tcBorders>
                    <w:top w:val="single" w:color="auto" w:sz="4" w:space="0"/>
                  </w:tcBorders>
                  <w:noWrap w:val="0"/>
                  <w:vAlign w:val="center"/>
                </w:tcPr>
                <w:p w14:paraId="13C20E14">
                  <w:pPr>
                    <w:jc w:val="center"/>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《排</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放源统计调查产排污核算方法和系数手册》（公告</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2021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年第</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24</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号）</w:t>
                  </w:r>
                  <w:r>
                    <w:rPr>
                      <w:rFonts w:hint="eastAsia" w:cs="Times New Roman"/>
                      <w:color w:val="000000" w:themeColor="text1"/>
                      <w:sz w:val="21"/>
                      <w:szCs w:val="21"/>
                      <w:lang w:val="en-US" w:eastAsia="zh-CN"/>
                      <w14:textFill>
                        <w14:solidFill>
                          <w14:schemeClr w14:val="tx1"/>
                        </w14:solidFill>
                      </w14:textFill>
                    </w:rPr>
                    <w:t>“2661 化学试剂和助剂制造行业系数手册（续表9）</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”的挥发性有机物产污系数为</w:t>
                  </w:r>
                  <w:r>
                    <w:rPr>
                      <w:rFonts w:hint="eastAsia" w:cs="Times New Roman"/>
                      <w:color w:val="000000" w:themeColor="text1"/>
                      <w:sz w:val="21"/>
                      <w:szCs w:val="21"/>
                      <w:lang w:val="en-US" w:eastAsia="zh-CN"/>
                      <w14:textFill>
                        <w14:solidFill>
                          <w14:schemeClr w14:val="tx1"/>
                        </w14:solidFill>
                      </w14:textFill>
                    </w:rPr>
                    <w:t>0.78千克/吨-产品</w:t>
                  </w:r>
                </w:p>
              </w:tc>
            </w:tr>
          </w:tbl>
          <w:p w14:paraId="680BD69D">
            <w:pPr>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1）有组织废气</w:t>
            </w:r>
          </w:p>
          <w:p w14:paraId="79E38937">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①</w:t>
            </w:r>
            <w:r>
              <w:rPr>
                <w:rFonts w:hint="eastAsia" w:ascii="Times New Roman" w:hAnsi="Times New Roman" w:eastAsia="宋体" w:cs="Times New Roman"/>
                <w:color w:val="000000" w:themeColor="text1"/>
                <w:sz w:val="24"/>
                <w:lang w:val="en-US" w:eastAsia="zh-CN"/>
                <w14:textFill>
                  <w14:solidFill>
                    <w14:schemeClr w14:val="tx1"/>
                  </w14:solidFill>
                </w14:textFill>
              </w:rPr>
              <w:t>加热熔融、搅拌混合</w:t>
            </w:r>
            <w:r>
              <w:rPr>
                <w:rFonts w:hint="eastAsia" w:cs="Times New Roman"/>
                <w:color w:val="000000" w:themeColor="text1"/>
                <w:sz w:val="24"/>
                <w:lang w:val="en-US" w:eastAsia="zh-CN"/>
                <w14:textFill>
                  <w14:solidFill>
                    <w14:schemeClr w14:val="tx1"/>
                  </w14:solidFill>
                </w14:textFill>
              </w:rPr>
              <w:t>、制片工序</w:t>
            </w:r>
            <w:r>
              <w:rPr>
                <w:rFonts w:hint="eastAsia" w:ascii="Times New Roman" w:hAnsi="Times New Roman" w:eastAsia="宋体" w:cs="Times New Roman"/>
                <w:color w:val="000000" w:themeColor="text1"/>
                <w:sz w:val="24"/>
                <w:lang w:val="en-US" w:eastAsia="zh-CN"/>
                <w14:textFill>
                  <w14:solidFill>
                    <w14:schemeClr w14:val="tx1"/>
                  </w14:solidFill>
                </w14:textFill>
              </w:rPr>
              <w:t>废气</w:t>
            </w:r>
          </w:p>
          <w:p w14:paraId="2290A369">
            <w:pPr>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根据工程分析可知，项目聚乙烯蜡生产过程加热熔融、搅拌混合过程物料（</w:t>
            </w:r>
            <w:r>
              <w:rPr>
                <w:rFonts w:hint="eastAsia" w:cs="Times New Roman"/>
                <w:color w:val="000000" w:themeColor="text1"/>
                <w:sz w:val="24"/>
                <w:lang w:val="en-US" w:eastAsia="zh-CN"/>
                <w14:textFill>
                  <w14:solidFill>
                    <w14:schemeClr w14:val="tx1"/>
                  </w14:solidFill>
                </w14:textFill>
              </w:rPr>
              <w:t>聚乙烯蜡</w:t>
            </w:r>
            <w:r>
              <w:rPr>
                <w:rFonts w:hint="eastAsia" w:ascii="Times New Roman" w:hAnsi="Times New Roman" w:eastAsia="宋体" w:cs="Times New Roman"/>
                <w:color w:val="000000" w:themeColor="text1"/>
                <w:sz w:val="24"/>
                <w:lang w:val="en-US" w:eastAsia="zh-CN"/>
                <w14:textFill>
                  <w14:solidFill>
                    <w14:schemeClr w14:val="tx1"/>
                  </w14:solidFill>
                </w14:textFill>
              </w:rPr>
              <w:t>、费托蜡）在</w:t>
            </w:r>
            <w:r>
              <w:rPr>
                <w:rFonts w:hint="default" w:ascii="Times New Roman" w:hAnsi="Times New Roman" w:eastAsia="宋体" w:cs="Times New Roman"/>
                <w:color w:val="000000" w:themeColor="text1"/>
                <w:sz w:val="24"/>
                <w:lang w:val="en-US" w:eastAsia="zh-CN"/>
                <w14:textFill>
                  <w14:solidFill>
                    <w14:schemeClr w14:val="tx1"/>
                  </w14:solidFill>
                </w14:textFill>
              </w:rPr>
              <w:t>160℃</w:t>
            </w:r>
            <w:r>
              <w:rPr>
                <w:rFonts w:hint="eastAsia" w:ascii="Times New Roman" w:hAnsi="Times New Roman" w:eastAsia="宋体" w:cs="Times New Roman"/>
                <w:color w:val="000000" w:themeColor="text1"/>
                <w:sz w:val="24"/>
                <w:lang w:val="en-US" w:eastAsia="zh-CN"/>
                <w14:textFill>
                  <w14:solidFill>
                    <w14:schemeClr w14:val="tx1"/>
                  </w14:solidFill>
                </w14:textFill>
              </w:rPr>
              <w:t>温度下少量单体挥发会产生有机废气，以</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表征，费托蜡裂解温度为300℃，聚乙烯蜡裂解温度</w:t>
            </w:r>
            <w:r>
              <w:rPr>
                <w:rFonts w:hint="default" w:ascii="Times New Roman" w:hAnsi="Times New Roman" w:eastAsia="宋体" w:cs="Times New Roman"/>
                <w:color w:val="000000" w:themeColor="text1"/>
                <w:sz w:val="24"/>
                <w:lang w:val="en-US" w:eastAsia="zh-CN"/>
                <w14:textFill>
                  <w14:solidFill>
                    <w14:schemeClr w14:val="tx1"/>
                  </w14:solidFill>
                </w14:textFill>
              </w:rPr>
              <w:t>250℃~450℃</w:t>
            </w:r>
            <w:r>
              <w:rPr>
                <w:rFonts w:hint="eastAsia" w:ascii="Times New Roman" w:hAnsi="Times New Roman" w:eastAsia="宋体" w:cs="Times New Roman"/>
                <w:color w:val="000000" w:themeColor="text1"/>
                <w:sz w:val="24"/>
                <w:lang w:val="en-US" w:eastAsia="zh-CN"/>
                <w14:textFill>
                  <w14:solidFill>
                    <w14:schemeClr w14:val="tx1"/>
                  </w14:solidFill>
                </w14:textFill>
              </w:rPr>
              <w:t>，分解温度</w:t>
            </w:r>
            <w:r>
              <w:rPr>
                <w:rFonts w:hint="default" w:ascii="Times New Roman" w:hAnsi="Times New Roman" w:eastAsia="宋体" w:cs="Times New Roman"/>
                <w:color w:val="000000" w:themeColor="text1"/>
                <w:sz w:val="24"/>
                <w:lang w:val="en-US" w:eastAsia="zh-CN"/>
                <w14:textFill>
                  <w14:solidFill>
                    <w14:schemeClr w14:val="tx1"/>
                  </w14:solidFill>
                </w14:textFill>
              </w:rPr>
              <w:t>470℃~550℃</w:t>
            </w:r>
            <w:r>
              <w:rPr>
                <w:rFonts w:hint="eastAsia" w:ascii="Times New Roman" w:hAnsi="Times New Roman" w:eastAsia="宋体" w:cs="Times New Roman"/>
                <w:color w:val="000000" w:themeColor="text1"/>
                <w:sz w:val="24"/>
                <w:lang w:val="en-US" w:eastAsia="zh-CN"/>
                <w14:textFill>
                  <w14:solidFill>
                    <w14:schemeClr w14:val="tx1"/>
                  </w14:solidFill>
                </w14:textFill>
              </w:rPr>
              <w:t>，项目</w:t>
            </w:r>
            <w:r>
              <w:rPr>
                <w:rFonts w:hint="eastAsia" w:cs="Times New Roman"/>
                <w:color w:val="000000" w:themeColor="text1"/>
                <w:sz w:val="24"/>
                <w:lang w:val="en-US" w:eastAsia="zh-CN"/>
                <w14:textFill>
                  <w14:solidFill>
                    <w14:schemeClr w14:val="tx1"/>
                  </w14:solidFill>
                </w14:textFill>
              </w:rPr>
              <w:t>热熔温度控制在160℃左右，低于</w:t>
            </w:r>
            <w:r>
              <w:rPr>
                <w:rFonts w:hint="eastAsia" w:ascii="Times New Roman" w:hAnsi="Times New Roman" w:eastAsia="宋体" w:cs="Times New Roman"/>
                <w:color w:val="000000" w:themeColor="text1"/>
                <w:sz w:val="24"/>
                <w:lang w:val="en-US" w:eastAsia="zh-CN"/>
                <w14:textFill>
                  <w14:solidFill>
                    <w14:schemeClr w14:val="tx1"/>
                  </w14:solidFill>
                </w14:textFill>
              </w:rPr>
              <w:t>费托蜡、聚乙烯蜡的裂解、</w:t>
            </w:r>
            <w:r>
              <w:rPr>
                <w:rFonts w:hint="eastAsia" w:cs="Times New Roman"/>
                <w:color w:val="000000" w:themeColor="text1"/>
                <w:sz w:val="24"/>
                <w:lang w:val="en-US" w:eastAsia="zh-CN"/>
                <w14:textFill>
                  <w14:solidFill>
                    <w14:schemeClr w14:val="tx1"/>
                  </w14:solidFill>
                </w14:textFill>
              </w:rPr>
              <w:t>分解温度，故熔融混合过程仅为物理变化，不涉及化学反应</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7EBD6AA4">
            <w:pPr>
              <w:spacing w:line="360" w:lineRule="auto"/>
              <w:ind w:firstLine="480" w:firstLineChars="200"/>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原料</w:t>
            </w:r>
            <w:r>
              <w:rPr>
                <w:rFonts w:hint="eastAsia" w:ascii="Times New Roman" w:hAnsi="Times New Roman" w:eastAsia="宋体" w:cs="Times New Roman"/>
                <w:color w:val="000000" w:themeColor="text1"/>
                <w:sz w:val="24"/>
                <w:lang w:val="en-US" w:eastAsia="zh-CN"/>
                <w14:textFill>
                  <w14:solidFill>
                    <w14:schemeClr w14:val="tx1"/>
                  </w14:solidFill>
                </w14:textFill>
              </w:rPr>
              <w:t>加热熔融有机废气产生量参考《排放源统计调查产排污核算方法和系数手册》（公告</w:t>
            </w:r>
            <w:r>
              <w:rPr>
                <w:rFonts w:hint="default" w:ascii="Times New Roman" w:hAnsi="Times New Roman" w:eastAsia="宋体" w:cs="Times New Roman"/>
                <w:color w:val="000000" w:themeColor="text1"/>
                <w:sz w:val="24"/>
                <w:lang w:val="en-US" w:eastAsia="zh-CN"/>
                <w14:textFill>
                  <w14:solidFill>
                    <w14:schemeClr w14:val="tx1"/>
                  </w14:solidFill>
                </w14:textFill>
              </w:rPr>
              <w:t>2021</w:t>
            </w:r>
            <w:r>
              <w:rPr>
                <w:rFonts w:hint="eastAsia" w:ascii="Times New Roman" w:hAnsi="Times New Roman" w:eastAsia="宋体" w:cs="Times New Roman"/>
                <w:color w:val="000000" w:themeColor="text1"/>
                <w:sz w:val="24"/>
                <w:lang w:val="en-US" w:eastAsia="zh-CN"/>
                <w14:textFill>
                  <w14:solidFill>
                    <w14:schemeClr w14:val="tx1"/>
                  </w14:solidFill>
                </w14:textFill>
              </w:rPr>
              <w:t>年第</w:t>
            </w:r>
            <w:r>
              <w:rPr>
                <w:rFonts w:hint="default" w:ascii="Times New Roman" w:hAnsi="Times New Roman" w:eastAsia="宋体" w:cs="Times New Roman"/>
                <w:color w:val="000000" w:themeColor="text1"/>
                <w:sz w:val="24"/>
                <w:lang w:val="en-US" w:eastAsia="zh-CN"/>
                <w14:textFill>
                  <w14:solidFill>
                    <w14:schemeClr w14:val="tx1"/>
                  </w14:solidFill>
                </w14:textFill>
              </w:rPr>
              <w:t>24</w:t>
            </w:r>
            <w:r>
              <w:rPr>
                <w:rFonts w:hint="eastAsia" w:ascii="Times New Roman" w:hAnsi="Times New Roman" w:eastAsia="宋体" w:cs="Times New Roman"/>
                <w:color w:val="000000" w:themeColor="text1"/>
                <w:sz w:val="24"/>
                <w:lang w:val="en-US" w:eastAsia="zh-CN"/>
                <w14:textFill>
                  <w14:solidFill>
                    <w14:schemeClr w14:val="tx1"/>
                  </w14:solidFill>
                </w14:textFill>
              </w:rPr>
              <w:t>号）</w:t>
            </w:r>
            <w:r>
              <w:rPr>
                <w:rFonts w:hint="eastAsia" w:cs="Times New Roman"/>
                <w:color w:val="000000" w:themeColor="text1"/>
                <w:sz w:val="24"/>
                <w:lang w:val="en-US" w:eastAsia="zh-CN"/>
                <w14:textFill>
                  <w14:solidFill>
                    <w14:schemeClr w14:val="tx1"/>
                  </w14:solidFill>
                </w14:textFill>
              </w:rPr>
              <w:t>2661 化学试剂和助剂制造行业系数手册（续表9）</w:t>
            </w:r>
            <w:r>
              <w:rPr>
                <w:rFonts w:hint="eastAsia" w:ascii="Times New Roman" w:hAnsi="Times New Roman" w:eastAsia="宋体" w:cs="Times New Roman"/>
                <w:color w:val="000000" w:themeColor="text1"/>
                <w:sz w:val="24"/>
                <w:lang w:val="en-US" w:eastAsia="zh-CN"/>
                <w14:textFill>
                  <w14:solidFill>
                    <w14:schemeClr w14:val="tx1"/>
                  </w14:solidFill>
                </w14:textFill>
              </w:rPr>
              <w:t>”的挥发性有机物产污系数为0.78千克</w:t>
            </w:r>
            <w:r>
              <w:rPr>
                <w:rFonts w:hint="default" w:ascii="Times New Roman" w:hAnsi="Times New Roman" w:eastAsia="宋体" w:cs="Times New Roman"/>
                <w:color w:val="000000" w:themeColor="text1"/>
                <w:sz w:val="24"/>
                <w:lang w:val="en-US"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吨</w:t>
            </w:r>
            <w:r>
              <w:rPr>
                <w:rFonts w:hint="default" w:ascii="Times New Roman" w:hAnsi="Times New Roman" w:eastAsia="宋体" w:cs="Times New Roman"/>
                <w:color w:val="000000" w:themeColor="text1"/>
                <w:sz w:val="24"/>
                <w:lang w:val="en-US"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产品。</w:t>
            </w:r>
          </w:p>
          <w:p w14:paraId="63C6144F">
            <w:pPr>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项目主要原料是费托蜡和</w:t>
            </w:r>
            <w:r>
              <w:rPr>
                <w:rFonts w:hint="eastAsia" w:cs="Times New Roman"/>
                <w:color w:val="000000" w:themeColor="text1"/>
                <w:sz w:val="24"/>
                <w:lang w:val="en-US" w:eastAsia="zh-CN"/>
                <w14:textFill>
                  <w14:solidFill>
                    <w14:schemeClr w14:val="tx1"/>
                  </w14:solidFill>
                </w14:textFill>
              </w:rPr>
              <w:t>聚乙烯蜡</w:t>
            </w:r>
            <w:r>
              <w:rPr>
                <w:rFonts w:hint="default" w:ascii="Times New Roman" w:hAnsi="Times New Roman" w:eastAsia="宋体" w:cs="Times New Roman"/>
                <w:color w:val="000000" w:themeColor="text1"/>
                <w:sz w:val="24"/>
                <w:lang w:val="en-US"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使用量均为</w:t>
            </w:r>
            <w:r>
              <w:rPr>
                <w:rFonts w:hint="eastAsia" w:cs="Times New Roman"/>
                <w:color w:val="000000" w:themeColor="text1"/>
                <w:sz w:val="24"/>
                <w:lang w:val="en-US" w:eastAsia="zh-CN"/>
                <w14:textFill>
                  <w14:solidFill>
                    <w14:schemeClr w14:val="tx1"/>
                  </w14:solidFill>
                </w14:textFill>
              </w:rPr>
              <w:t>1000.78</w:t>
            </w:r>
            <w:r>
              <w:rPr>
                <w:rFonts w:hint="eastAsia" w:ascii="Times New Roman" w:hAnsi="Times New Roman" w:eastAsia="宋体" w:cs="Times New Roman"/>
                <w:color w:val="000000" w:themeColor="text1"/>
                <w:sz w:val="24"/>
                <w:lang w:val="en-US" w:eastAsia="zh-CN"/>
                <w14:textFill>
                  <w14:solidFill>
                    <w14:schemeClr w14:val="tx1"/>
                  </w14:solidFill>
                </w14:textFill>
              </w:rPr>
              <w:t>t/a，产品为聚乙烯蜡2000t/a；则聚乙烯蜡生产过程</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产生量约为</w:t>
            </w:r>
            <w:r>
              <w:rPr>
                <w:rFonts w:hint="eastAsia" w:cs="Times New Roman"/>
                <w:color w:val="000000" w:themeColor="text1"/>
                <w:sz w:val="24"/>
                <w:lang w:val="en-US" w:eastAsia="zh-CN"/>
                <w14:textFill>
                  <w14:solidFill>
                    <w14:schemeClr w14:val="tx1"/>
                  </w14:solidFill>
                </w14:textFill>
              </w:rPr>
              <w:t>1.56</w:t>
            </w:r>
            <w:r>
              <w:rPr>
                <w:rFonts w:hint="default" w:ascii="Times New Roman" w:hAnsi="Times New Roman" w:eastAsia="宋体" w:cs="Times New Roman"/>
                <w:color w:val="000000" w:themeColor="text1"/>
                <w:sz w:val="24"/>
                <w:lang w:val="en-US" w:eastAsia="zh-CN"/>
                <w14:textFill>
                  <w14:solidFill>
                    <w14:schemeClr w14:val="tx1"/>
                  </w14:solidFill>
                </w14:textFill>
              </w:rPr>
              <w:t>t/a</w:t>
            </w:r>
            <w:r>
              <w:rPr>
                <w:rFonts w:hint="eastAsia" w:ascii="Times New Roman" w:hAnsi="Times New Roman" w:eastAsia="宋体" w:cs="Times New Roman"/>
                <w:color w:val="000000" w:themeColor="text1"/>
                <w:sz w:val="24"/>
                <w:lang w:val="en-US" w:eastAsia="zh-CN"/>
                <w14:textFill>
                  <w14:solidFill>
                    <w14:schemeClr w14:val="tx1"/>
                  </w14:solidFill>
                </w14:textFill>
              </w:rPr>
              <w:t>，分别在加热熔融、搅拌混合、制片工序产生；考虑到物料熔融状态加工时长主要集中在加热熔融、搅拌混合</w:t>
            </w:r>
            <w:r>
              <w:rPr>
                <w:rFonts w:hint="eastAsia" w:cs="Times New Roman"/>
                <w:color w:val="000000" w:themeColor="text1"/>
                <w:sz w:val="24"/>
                <w:lang w:val="en-US" w:eastAsia="zh-CN"/>
                <w14:textFill>
                  <w14:solidFill>
                    <w14:schemeClr w14:val="tx1"/>
                  </w14:solidFill>
                </w14:textFill>
              </w:rPr>
              <w:t>工序</w:t>
            </w:r>
            <w:r>
              <w:rPr>
                <w:rFonts w:hint="eastAsia" w:ascii="Times New Roman" w:hAnsi="Times New Roman" w:eastAsia="宋体" w:cs="Times New Roman"/>
                <w:color w:val="000000" w:themeColor="text1"/>
                <w:sz w:val="24"/>
                <w:lang w:val="en-US"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制片工序</w:t>
            </w:r>
            <w:r>
              <w:rPr>
                <w:rFonts w:hint="eastAsia" w:ascii="Times New Roman" w:hAnsi="Times New Roman" w:eastAsia="宋体" w:cs="Times New Roman"/>
                <w:color w:val="000000" w:themeColor="text1"/>
                <w:sz w:val="24"/>
                <w:lang w:val="en-US" w:eastAsia="zh-CN"/>
                <w14:textFill>
                  <w14:solidFill>
                    <w14:schemeClr w14:val="tx1"/>
                  </w14:solidFill>
                </w14:textFill>
              </w:rPr>
              <w:t>主要为冷却成型，故加热熔融、搅拌混合</w:t>
            </w:r>
            <w:r>
              <w:rPr>
                <w:rFonts w:hint="eastAsia" w:cs="Times New Roman"/>
                <w:color w:val="000000" w:themeColor="text1"/>
                <w:sz w:val="24"/>
                <w:lang w:val="en-US" w:eastAsia="zh-CN"/>
                <w14:textFill>
                  <w14:solidFill>
                    <w14:schemeClr w14:val="tx1"/>
                  </w14:solidFill>
                </w14:textFill>
              </w:rPr>
              <w:t>工序</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产生量占比取</w:t>
            </w:r>
            <w:r>
              <w:rPr>
                <w:rFonts w:hint="default" w:ascii="Times New Roman" w:hAnsi="Times New Roman" w:eastAsia="宋体" w:cs="Times New Roman"/>
                <w:color w:val="000000" w:themeColor="text1"/>
                <w:sz w:val="24"/>
                <w:lang w:val="en-US" w:eastAsia="zh-CN"/>
                <w14:textFill>
                  <w14:solidFill>
                    <w14:schemeClr w14:val="tx1"/>
                  </w14:solidFill>
                </w14:textFill>
              </w:rPr>
              <w:t>90%</w:t>
            </w:r>
            <w:r>
              <w:rPr>
                <w:rFonts w:hint="eastAsia" w:ascii="Times New Roman" w:hAnsi="Times New Roman" w:eastAsia="宋体" w:cs="Times New Roman"/>
                <w:color w:val="000000" w:themeColor="text1"/>
                <w:sz w:val="24"/>
                <w:lang w:val="en-US"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制片工序</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产生量占比取</w:t>
            </w:r>
            <w:r>
              <w:rPr>
                <w:rFonts w:hint="default" w:ascii="Times New Roman" w:hAnsi="Times New Roman" w:eastAsia="宋体" w:cs="Times New Roman"/>
                <w:color w:val="000000" w:themeColor="text1"/>
                <w:sz w:val="24"/>
                <w:lang w:val="en-US" w:eastAsia="zh-CN"/>
                <w14:textFill>
                  <w14:solidFill>
                    <w14:schemeClr w14:val="tx1"/>
                  </w14:solidFill>
                </w14:textFill>
              </w:rPr>
              <w:t>10%</w:t>
            </w:r>
            <w:r>
              <w:rPr>
                <w:rFonts w:hint="eastAsia" w:ascii="Times New Roman" w:hAnsi="Times New Roman" w:eastAsia="宋体" w:cs="Times New Roman"/>
                <w:color w:val="000000" w:themeColor="text1"/>
                <w:sz w:val="24"/>
                <w:lang w:val="en-US" w:eastAsia="zh-CN"/>
                <w14:textFill>
                  <w14:solidFill>
                    <w14:schemeClr w14:val="tx1"/>
                  </w14:solidFill>
                </w14:textFill>
              </w:rPr>
              <w:t>，即加热熔融、搅拌混合工序</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产生量为</w:t>
            </w:r>
            <w:r>
              <w:rPr>
                <w:rFonts w:hint="eastAsia" w:cs="Times New Roman"/>
                <w:color w:val="000000" w:themeColor="text1"/>
                <w:sz w:val="24"/>
                <w:lang w:val="en-US" w:eastAsia="zh-CN"/>
                <w14:textFill>
                  <w14:solidFill>
                    <w14:schemeClr w14:val="tx1"/>
                  </w14:solidFill>
                </w14:textFill>
              </w:rPr>
              <w:t>1.404t</w:t>
            </w:r>
            <w:r>
              <w:rPr>
                <w:rFonts w:hint="default" w:ascii="Times New Roman" w:hAnsi="Times New Roman" w:eastAsia="宋体" w:cs="Times New Roman"/>
                <w:color w:val="000000" w:themeColor="text1"/>
                <w:sz w:val="24"/>
                <w:lang w:val="en-US" w:eastAsia="zh-CN"/>
                <w14:textFill>
                  <w14:solidFill>
                    <w14:schemeClr w14:val="tx1"/>
                  </w14:solidFill>
                </w14:textFill>
              </w:rPr>
              <w:t>/a</w:t>
            </w:r>
            <w:r>
              <w:rPr>
                <w:rFonts w:hint="eastAsia" w:ascii="Times New Roman" w:hAnsi="Times New Roman" w:eastAsia="宋体" w:cs="Times New Roman"/>
                <w:color w:val="000000" w:themeColor="text1"/>
                <w:sz w:val="24"/>
                <w:lang w:val="en-US"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制片</w:t>
            </w:r>
            <w:r>
              <w:rPr>
                <w:rFonts w:hint="eastAsia" w:ascii="Times New Roman" w:hAnsi="Times New Roman" w:eastAsia="宋体" w:cs="Times New Roman"/>
                <w:color w:val="000000" w:themeColor="text1"/>
                <w:sz w:val="24"/>
                <w:lang w:val="en-US" w:eastAsia="zh-CN"/>
                <w14:textFill>
                  <w14:solidFill>
                    <w14:schemeClr w14:val="tx1"/>
                  </w14:solidFill>
                </w14:textFill>
              </w:rPr>
              <w:t>工序</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产生量为</w:t>
            </w:r>
            <w:r>
              <w:rPr>
                <w:rFonts w:hint="eastAsia" w:cs="Times New Roman"/>
                <w:color w:val="000000" w:themeColor="text1"/>
                <w:sz w:val="24"/>
                <w:lang w:val="en-US" w:eastAsia="zh-CN"/>
                <w14:textFill>
                  <w14:solidFill>
                    <w14:schemeClr w14:val="tx1"/>
                  </w14:solidFill>
                </w14:textFill>
              </w:rPr>
              <w:t>0.156</w:t>
            </w:r>
            <w:r>
              <w:rPr>
                <w:rFonts w:hint="default" w:ascii="Times New Roman" w:hAnsi="Times New Roman" w:eastAsia="宋体" w:cs="Times New Roman"/>
                <w:color w:val="000000" w:themeColor="text1"/>
                <w:sz w:val="24"/>
                <w:lang w:val="en-US" w:eastAsia="zh-CN"/>
                <w14:textFill>
                  <w14:solidFill>
                    <w14:schemeClr w14:val="tx1"/>
                  </w14:solidFill>
                </w14:textFill>
              </w:rPr>
              <w:t>t/a。</w:t>
            </w:r>
          </w:p>
          <w:p w14:paraId="7E44320C">
            <w:pPr>
              <w:spacing w:line="360" w:lineRule="auto"/>
              <w:ind w:firstLine="480" w:firstLineChars="200"/>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本项目</w:t>
            </w:r>
            <w:r>
              <w:rPr>
                <w:rFonts w:hint="eastAsia" w:ascii="Times New Roman" w:hAnsi="Times New Roman" w:eastAsia="宋体" w:cs="Times New Roman"/>
                <w:color w:val="000000" w:themeColor="text1"/>
                <w:sz w:val="24"/>
                <w:lang w:val="en-US" w:eastAsia="zh-CN"/>
                <w14:textFill>
                  <w14:solidFill>
                    <w14:schemeClr w14:val="tx1"/>
                  </w14:solidFill>
                </w14:textFill>
              </w:rPr>
              <w:t>每天工作16小时，年工作</w:t>
            </w:r>
            <w:r>
              <w:rPr>
                <w:rFonts w:hint="default" w:ascii="Times New Roman" w:hAnsi="Times New Roman" w:eastAsia="宋体" w:cs="Times New Roman"/>
                <w:color w:val="000000" w:themeColor="text1"/>
                <w:sz w:val="24"/>
                <w:lang w:val="en-US" w:eastAsia="zh-CN"/>
                <w14:textFill>
                  <w14:solidFill>
                    <w14:schemeClr w14:val="tx1"/>
                  </w14:solidFill>
                </w14:textFill>
              </w:rPr>
              <w:t>300</w:t>
            </w:r>
            <w:r>
              <w:rPr>
                <w:rFonts w:hint="eastAsia" w:ascii="Times New Roman" w:hAnsi="Times New Roman" w:eastAsia="宋体" w:cs="Times New Roman"/>
                <w:color w:val="000000" w:themeColor="text1"/>
                <w:sz w:val="24"/>
                <w:lang w:val="en-US" w:eastAsia="zh-CN"/>
                <w14:textFill>
                  <w14:solidFill>
                    <w14:schemeClr w14:val="tx1"/>
                  </w14:solidFill>
                </w14:textFill>
              </w:rPr>
              <w:t>天，二级活性炭对有机废气的处理效率取90%，加热搅拌罐废气收集效率为100%，压片机废气收集效率为90%，则</w:t>
            </w:r>
            <w:r>
              <w:rPr>
                <w:rFonts w:hint="eastAsia" w:cs="Times New Roman"/>
                <w:color w:val="000000" w:themeColor="text1"/>
                <w:sz w:val="24"/>
                <w:lang w:val="en-US" w:eastAsia="zh-CN"/>
                <w14:textFill>
                  <w14:solidFill>
                    <w14:schemeClr w14:val="tx1"/>
                  </w14:solidFill>
                </w14:textFill>
              </w:rPr>
              <w:t>本项目</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cs="Times New Roman"/>
                <w:color w:val="000000" w:themeColor="text1"/>
                <w:sz w:val="24"/>
                <w:lang w:val="en-US" w:eastAsia="zh-CN"/>
                <w14:textFill>
                  <w14:solidFill>
                    <w14:schemeClr w14:val="tx1"/>
                  </w14:solidFill>
                </w14:textFill>
              </w:rPr>
              <w:t>有组织产生量为1.54t/a，产生</w:t>
            </w:r>
            <w:r>
              <w:rPr>
                <w:rFonts w:hint="eastAsia" w:ascii="Times New Roman" w:hAnsi="Times New Roman" w:eastAsia="宋体" w:cs="Times New Roman"/>
                <w:color w:val="000000" w:themeColor="text1"/>
                <w:sz w:val="24"/>
                <w:lang w:val="en-US" w:eastAsia="zh-CN"/>
                <w14:textFill>
                  <w14:solidFill>
                    <w14:schemeClr w14:val="tx1"/>
                  </w14:solidFill>
                </w14:textFill>
              </w:rPr>
              <w:t>速率为</w:t>
            </w:r>
            <w:r>
              <w:rPr>
                <w:rFonts w:hint="eastAsia" w:cs="Times New Roman"/>
                <w:color w:val="000000" w:themeColor="text1"/>
                <w:sz w:val="24"/>
                <w:lang w:val="en-US" w:eastAsia="zh-CN"/>
                <w14:textFill>
                  <w14:solidFill>
                    <w14:schemeClr w14:val="tx1"/>
                  </w14:solidFill>
                </w14:textFill>
              </w:rPr>
              <w:t>0.32</w:t>
            </w:r>
            <w:r>
              <w:rPr>
                <w:rFonts w:hint="default" w:ascii="Times New Roman" w:hAnsi="Times New Roman" w:eastAsia="宋体" w:cs="Times New Roman"/>
                <w:color w:val="000000" w:themeColor="text1"/>
                <w:sz w:val="24"/>
                <w:lang w:val="en-US" w:eastAsia="zh-CN"/>
                <w14:textFill>
                  <w14:solidFill>
                    <w14:schemeClr w14:val="tx1"/>
                  </w14:solidFill>
                </w14:textFill>
              </w:rPr>
              <w:t>kg/h</w:t>
            </w:r>
            <w:r>
              <w:rPr>
                <w:rFonts w:hint="eastAsia" w:ascii="Times New Roman" w:hAnsi="Times New Roman" w:eastAsia="宋体" w:cs="Times New Roman"/>
                <w:color w:val="000000" w:themeColor="text1"/>
                <w:sz w:val="24"/>
                <w:lang w:val="en-US" w:eastAsia="zh-CN"/>
                <w14:textFill>
                  <w14:solidFill>
                    <w14:schemeClr w14:val="tx1"/>
                  </w14:solidFill>
                </w14:textFill>
              </w:rPr>
              <w:t>，产生浓度为</w:t>
            </w:r>
            <w:r>
              <w:rPr>
                <w:rFonts w:hint="eastAsia" w:cs="Times New Roman"/>
                <w:color w:val="000000" w:themeColor="text1"/>
                <w:sz w:val="24"/>
                <w:lang w:val="en-US" w:eastAsia="zh-CN"/>
                <w14:textFill>
                  <w14:solidFill>
                    <w14:schemeClr w14:val="tx1"/>
                  </w14:solidFill>
                </w14:textFill>
              </w:rPr>
              <w:t>26.7</w:t>
            </w:r>
            <w:r>
              <w:rPr>
                <w:rFonts w:hint="default" w:ascii="Times New Roman" w:hAnsi="Times New Roman" w:eastAsia="宋体" w:cs="Times New Roman"/>
                <w:color w:val="000000" w:themeColor="text1"/>
                <w:sz w:val="24"/>
                <w:lang w:val="en-US" w:eastAsia="zh-CN"/>
                <w14:textFill>
                  <w14:solidFill>
                    <w14:schemeClr w14:val="tx1"/>
                  </w14:solidFill>
                </w14:textFill>
              </w:rPr>
              <w:t>mg/m</w:t>
            </w:r>
            <w:r>
              <w:rPr>
                <w:rFonts w:hint="default" w:ascii="Times New Roman" w:hAnsi="Times New Roman" w:eastAsia="宋体" w:cs="Times New Roman"/>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lang w:val="en-US" w:eastAsia="zh-CN"/>
                <w14:textFill>
                  <w14:solidFill>
                    <w14:schemeClr w14:val="tx1"/>
                  </w14:solidFill>
                </w14:textFill>
              </w:rPr>
              <w:t>；</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有组织排放量为0.</w:t>
            </w:r>
            <w:r>
              <w:rPr>
                <w:rFonts w:hint="eastAsia" w:cs="Times New Roman"/>
                <w:color w:val="000000" w:themeColor="text1"/>
                <w:sz w:val="24"/>
                <w:lang w:val="en-US" w:eastAsia="zh-CN"/>
                <w14:textFill>
                  <w14:solidFill>
                    <w14:schemeClr w14:val="tx1"/>
                  </w14:solidFill>
                </w14:textFill>
              </w:rPr>
              <w:t>154</w:t>
            </w:r>
            <w:r>
              <w:rPr>
                <w:rFonts w:hint="eastAsia" w:ascii="Times New Roman" w:hAnsi="Times New Roman" w:eastAsia="宋体" w:cs="Times New Roman"/>
                <w:color w:val="000000" w:themeColor="text1"/>
                <w:sz w:val="24"/>
                <w:lang w:val="en-US" w:eastAsia="zh-CN"/>
                <w14:textFill>
                  <w14:solidFill>
                    <w14:schemeClr w14:val="tx1"/>
                  </w14:solidFill>
                </w14:textFill>
              </w:rPr>
              <w:t>t/a，排放速率为</w:t>
            </w:r>
            <w:r>
              <w:rPr>
                <w:rFonts w:hint="eastAsia" w:cs="Times New Roman"/>
                <w:color w:val="000000" w:themeColor="text1"/>
                <w:sz w:val="24"/>
                <w:lang w:val="en-US" w:eastAsia="zh-CN"/>
                <w14:textFill>
                  <w14:solidFill>
                    <w14:schemeClr w14:val="tx1"/>
                  </w14:solidFill>
                </w14:textFill>
              </w:rPr>
              <w:t>0.032</w:t>
            </w:r>
            <w:r>
              <w:rPr>
                <w:rFonts w:hint="default" w:ascii="Times New Roman" w:hAnsi="Times New Roman" w:eastAsia="宋体" w:cs="Times New Roman"/>
                <w:color w:val="000000" w:themeColor="text1"/>
                <w:sz w:val="24"/>
                <w:lang w:val="en-US" w:eastAsia="zh-CN"/>
                <w14:textFill>
                  <w14:solidFill>
                    <w14:schemeClr w14:val="tx1"/>
                  </w14:solidFill>
                </w14:textFill>
              </w:rPr>
              <w:t>kg/h</w:t>
            </w:r>
            <w:r>
              <w:rPr>
                <w:rFonts w:hint="eastAsia" w:ascii="Times New Roman" w:hAnsi="Times New Roman" w:eastAsia="宋体" w:cs="Times New Roman"/>
                <w:color w:val="000000" w:themeColor="text1"/>
                <w:sz w:val="24"/>
                <w:lang w:val="en-US" w:eastAsia="zh-CN"/>
                <w14:textFill>
                  <w14:solidFill>
                    <w14:schemeClr w14:val="tx1"/>
                  </w14:solidFill>
                </w14:textFill>
              </w:rPr>
              <w:t>，排放浓度为</w:t>
            </w:r>
            <w:r>
              <w:rPr>
                <w:rFonts w:hint="eastAsia" w:cs="Times New Roman"/>
                <w:color w:val="000000" w:themeColor="text1"/>
                <w:sz w:val="24"/>
                <w:lang w:val="en-US" w:eastAsia="zh-CN"/>
                <w14:textFill>
                  <w14:solidFill>
                    <w14:schemeClr w14:val="tx1"/>
                  </w14:solidFill>
                </w14:textFill>
              </w:rPr>
              <w:t>2.67</w:t>
            </w:r>
            <w:r>
              <w:rPr>
                <w:rFonts w:hint="default" w:ascii="Times New Roman" w:hAnsi="Times New Roman" w:eastAsia="宋体" w:cs="Times New Roman"/>
                <w:color w:val="000000" w:themeColor="text1"/>
                <w:sz w:val="24"/>
                <w:lang w:val="en-US" w:eastAsia="zh-CN"/>
                <w14:textFill>
                  <w14:solidFill>
                    <w14:schemeClr w14:val="tx1"/>
                  </w14:solidFill>
                </w14:textFill>
              </w:rPr>
              <w:t>mg/m</w:t>
            </w:r>
            <w:r>
              <w:rPr>
                <w:rFonts w:hint="default" w:ascii="Times New Roman" w:hAnsi="Times New Roman" w:eastAsia="宋体" w:cs="Times New Roman"/>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70409B7F">
            <w:pPr>
              <w:spacing w:line="360" w:lineRule="auto"/>
              <w:ind w:firstLine="480" w:firstLineChars="200"/>
              <w:rPr>
                <w:rFonts w:hint="eastAsia"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本项目加热搅拌罐（加热熔融、搅拌混合工序）生产过程为完全密闭，但考虑高温工作状态下气压升高需要排气，项目拟在加热搅拌罐设置密闭管道进行排气并对其废气进行收集（收集效率取</w:t>
            </w:r>
            <w:r>
              <w:rPr>
                <w:rFonts w:hint="default" w:ascii="Times New Roman" w:hAnsi="Times New Roman" w:eastAsia="宋体" w:cs="Times New Roman"/>
                <w:color w:val="000000" w:themeColor="text1"/>
                <w:sz w:val="24"/>
                <w:lang w:val="en-US" w:eastAsia="zh-CN"/>
                <w14:textFill>
                  <w14:solidFill>
                    <w14:schemeClr w14:val="tx1"/>
                  </w14:solidFill>
                </w14:textFill>
              </w:rPr>
              <w:t>100%</w:t>
            </w:r>
            <w:r>
              <w:rPr>
                <w:rFonts w:hint="eastAsia" w:ascii="Times New Roman" w:hAnsi="Times New Roman" w:eastAsia="宋体" w:cs="Times New Roman"/>
                <w:color w:val="000000" w:themeColor="text1"/>
                <w:sz w:val="24"/>
                <w:lang w:val="en-US" w:eastAsia="zh-CN"/>
                <w14:textFill>
                  <w14:solidFill>
                    <w14:schemeClr w14:val="tx1"/>
                  </w14:solidFill>
                </w14:textFill>
              </w:rPr>
              <w:t>）；压片机上方设置1个集气罩，集气罩四周加装耐高温软帘，形成三侧以上围挡，同时制片时关闭门窗，对</w:t>
            </w:r>
            <w:r>
              <w:rPr>
                <w:rFonts w:hint="eastAsia" w:cs="Times New Roman"/>
                <w:color w:val="000000" w:themeColor="text1"/>
                <w:sz w:val="24"/>
                <w:lang w:val="en-US" w:eastAsia="zh-CN"/>
                <w14:textFill>
                  <w14:solidFill>
                    <w14:schemeClr w14:val="tx1"/>
                  </w14:solidFill>
                </w14:textFill>
              </w:rPr>
              <w:t>制片</w:t>
            </w:r>
            <w:r>
              <w:rPr>
                <w:rFonts w:hint="eastAsia" w:ascii="Times New Roman" w:hAnsi="Times New Roman" w:eastAsia="宋体" w:cs="Times New Roman"/>
                <w:color w:val="000000" w:themeColor="text1"/>
                <w:sz w:val="24"/>
                <w:lang w:val="en-US" w:eastAsia="zh-CN"/>
                <w14:textFill>
                  <w14:solidFill>
                    <w14:schemeClr w14:val="tx1"/>
                  </w14:solidFill>
                </w14:textFill>
              </w:rPr>
              <w:t>废气进行收集（收集效率取</w:t>
            </w:r>
            <w:r>
              <w:rPr>
                <w:rFonts w:hint="eastAsia" w:cs="Times New Roman"/>
                <w:color w:val="000000" w:themeColor="text1"/>
                <w:sz w:val="24"/>
                <w:lang w:val="en-US" w:eastAsia="zh-CN"/>
                <w14:textFill>
                  <w14:solidFill>
                    <w14:schemeClr w14:val="tx1"/>
                  </w14:solidFill>
                </w14:textFill>
              </w:rPr>
              <w:t>9</w:t>
            </w:r>
            <w:r>
              <w:rPr>
                <w:rFonts w:hint="default" w:ascii="Times New Roman" w:hAnsi="Times New Roman" w:eastAsia="宋体" w:cs="Times New Roman"/>
                <w:color w:val="000000" w:themeColor="text1"/>
                <w:sz w:val="24"/>
                <w:lang w:val="en-US" w:eastAsia="zh-CN"/>
                <w14:textFill>
                  <w14:solidFill>
                    <w14:schemeClr w14:val="tx1"/>
                  </w14:solidFill>
                </w14:textFill>
              </w:rPr>
              <w:t>0%</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480A8AE5">
            <w:pPr>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2）无组织废气</w:t>
            </w:r>
          </w:p>
          <w:p w14:paraId="0B311E55">
            <w:pPr>
              <w:spacing w:line="360" w:lineRule="auto"/>
              <w:ind w:firstLine="480" w:firstLineChars="200"/>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本项目压片机废气收集效率为90%，另外10</w:t>
            </w:r>
            <w:r>
              <w:rPr>
                <w:rFonts w:hint="default" w:ascii="Times New Roman" w:hAnsi="Times New Roman" w:eastAsia="宋体" w:cs="Times New Roman"/>
                <w:color w:val="000000" w:themeColor="text1"/>
                <w:sz w:val="24"/>
                <w:lang w:val="en-US"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未被收集的</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呈无组织排放，则未被收集的</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的量为0.0156</w:t>
            </w:r>
            <w:r>
              <w:rPr>
                <w:rFonts w:hint="default" w:ascii="Times New Roman" w:hAnsi="Times New Roman" w:eastAsia="宋体" w:cs="Times New Roman"/>
                <w:color w:val="000000" w:themeColor="text1"/>
                <w:sz w:val="24"/>
                <w:lang w:val="en-US" w:eastAsia="zh-CN"/>
                <w14:textFill>
                  <w14:solidFill>
                    <w14:schemeClr w14:val="tx1"/>
                  </w14:solidFill>
                </w14:textFill>
              </w:rPr>
              <w:t>t/a</w:t>
            </w:r>
            <w:r>
              <w:rPr>
                <w:rFonts w:hint="eastAsia" w:ascii="Times New Roman" w:hAnsi="Times New Roman" w:eastAsia="宋体" w:cs="Times New Roman"/>
                <w:color w:val="000000" w:themeColor="text1"/>
                <w:sz w:val="24"/>
                <w:lang w:val="en-US" w:eastAsia="zh-CN"/>
                <w14:textFill>
                  <w14:solidFill>
                    <w14:schemeClr w14:val="tx1"/>
                  </w14:solidFill>
                </w14:textFill>
              </w:rPr>
              <w:t>，呈无组织逸散；通过采取</w:t>
            </w:r>
            <w:r>
              <w:rPr>
                <w:rFonts w:hint="default" w:ascii="Times New Roman" w:hAnsi="Times New Roman" w:eastAsia="宋体" w:cs="Times New Roman"/>
                <w:color w:val="000000" w:themeColor="text1"/>
                <w:sz w:val="24"/>
                <w:lang w:val="en-US" w:eastAsia="zh-CN"/>
                <w14:textFill>
                  <w14:solidFill>
                    <w14:schemeClr w14:val="tx1"/>
                  </w14:solidFill>
                </w14:textFill>
              </w:rPr>
              <w:t>车间密闭、加强厂区绿化等</w:t>
            </w:r>
            <w:r>
              <w:rPr>
                <w:rFonts w:hint="eastAsia" w:ascii="Times New Roman" w:hAnsi="Times New Roman" w:eastAsia="宋体" w:cs="Times New Roman"/>
                <w:color w:val="000000" w:themeColor="text1"/>
                <w:sz w:val="24"/>
                <w:lang w:val="en-US" w:eastAsia="zh-CN"/>
                <w14:textFill>
                  <w14:solidFill>
                    <w14:schemeClr w14:val="tx1"/>
                  </w14:solidFill>
                </w14:textFill>
              </w:rPr>
              <w:t>措施，减少无组织废气排放。</w:t>
            </w:r>
          </w:p>
          <w:p w14:paraId="1940E388">
            <w:pPr>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2、风机风量核算：</w:t>
            </w:r>
          </w:p>
          <w:p w14:paraId="51ED03A8">
            <w:pPr>
              <w:spacing w:line="360" w:lineRule="auto"/>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本项目加热搅拌罐（加热熔融、搅拌混合工序）生产过程为完全密闭，但考虑高温工作状态下气压升高需要排气，项目拟在加热搅拌罐设置密闭管道进行排气并对其废气进行收集（收集效率取</w:t>
            </w:r>
            <w:r>
              <w:rPr>
                <w:rFonts w:hint="default" w:ascii="Times New Roman" w:hAnsi="Times New Roman" w:eastAsia="宋体" w:cs="Times New Roman"/>
                <w:color w:val="000000" w:themeColor="text1"/>
                <w:sz w:val="24"/>
                <w:lang w:val="en-US" w:eastAsia="zh-CN"/>
                <w14:textFill>
                  <w14:solidFill>
                    <w14:schemeClr w14:val="tx1"/>
                  </w14:solidFill>
                </w14:textFill>
              </w:rPr>
              <w:t>100%</w:t>
            </w:r>
            <w:r>
              <w:rPr>
                <w:rFonts w:hint="eastAsia" w:ascii="Times New Roman" w:hAnsi="Times New Roman" w:eastAsia="宋体" w:cs="Times New Roman"/>
                <w:color w:val="000000" w:themeColor="text1"/>
                <w:sz w:val="24"/>
                <w:lang w:val="en-US"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w:t>
            </w:r>
          </w:p>
          <w:p w14:paraId="085C0C53">
            <w:pPr>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本项目拟将</w:t>
            </w:r>
            <w:r>
              <w:rPr>
                <w:rFonts w:hint="eastAsia" w:cs="Times New Roman"/>
                <w:color w:val="000000" w:themeColor="text1"/>
                <w:sz w:val="24"/>
                <w:lang w:val="en-US" w:eastAsia="zh-CN"/>
                <w14:textFill>
                  <w14:solidFill>
                    <w14:schemeClr w14:val="tx1"/>
                  </w14:solidFill>
                </w14:textFill>
              </w:rPr>
              <w:t>压片机</w:t>
            </w:r>
            <w:r>
              <w:rPr>
                <w:rFonts w:hint="eastAsia" w:ascii="Times New Roman" w:hAnsi="Times New Roman" w:eastAsia="宋体" w:cs="Times New Roman"/>
                <w:color w:val="000000" w:themeColor="text1"/>
                <w:sz w:val="24"/>
                <w:lang w:val="en-US" w:eastAsia="zh-CN"/>
                <w14:textFill>
                  <w14:solidFill>
                    <w14:schemeClr w14:val="tx1"/>
                  </w14:solidFill>
                </w14:textFill>
              </w:rPr>
              <w:t>设置于围蔽车间内，所有开口处，包括人员或物料进出口处呈负压</w:t>
            </w:r>
            <w:r>
              <w:rPr>
                <w:rFonts w:hint="eastAsia" w:cs="Times New Roman"/>
                <w:color w:val="000000" w:themeColor="text1"/>
                <w:sz w:val="24"/>
                <w:lang w:val="en-US"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有机废气仅在出料时从出料口溢出，废气温度由于高于室温，气体向上散发趋势明显，故建设单位拟同时在逸出口上方点对点安装集气罩进行抽风收集，集气罩四周加装耐高温软帘，形成三侧以上围挡，同时制片时关闭门窗，对</w:t>
            </w:r>
            <w:r>
              <w:rPr>
                <w:rFonts w:hint="eastAsia" w:cs="Times New Roman"/>
                <w:color w:val="000000" w:themeColor="text1"/>
                <w:sz w:val="24"/>
                <w:lang w:val="en-US" w:eastAsia="zh-CN"/>
                <w14:textFill>
                  <w14:solidFill>
                    <w14:schemeClr w14:val="tx1"/>
                  </w14:solidFill>
                </w14:textFill>
              </w:rPr>
              <w:t>制片</w:t>
            </w:r>
            <w:r>
              <w:rPr>
                <w:rFonts w:hint="eastAsia" w:ascii="Times New Roman" w:hAnsi="Times New Roman" w:eastAsia="宋体" w:cs="Times New Roman"/>
                <w:color w:val="000000" w:themeColor="text1"/>
                <w:sz w:val="24"/>
                <w:lang w:val="en-US" w:eastAsia="zh-CN"/>
                <w14:textFill>
                  <w14:solidFill>
                    <w14:schemeClr w14:val="tx1"/>
                  </w14:solidFill>
                </w14:textFill>
              </w:rPr>
              <w:t>废气进行收集（收集效率取</w:t>
            </w:r>
            <w:r>
              <w:rPr>
                <w:rFonts w:hint="eastAsia" w:cs="Times New Roman"/>
                <w:color w:val="000000" w:themeColor="text1"/>
                <w:sz w:val="24"/>
                <w:lang w:val="en-US" w:eastAsia="zh-CN"/>
                <w14:textFill>
                  <w14:solidFill>
                    <w14:schemeClr w14:val="tx1"/>
                  </w14:solidFill>
                </w14:textFill>
              </w:rPr>
              <w:t>9</w:t>
            </w:r>
            <w:r>
              <w:rPr>
                <w:rFonts w:hint="default" w:ascii="Times New Roman" w:hAnsi="Times New Roman" w:eastAsia="宋体" w:cs="Times New Roman"/>
                <w:color w:val="000000" w:themeColor="text1"/>
                <w:sz w:val="24"/>
                <w:lang w:val="en-US" w:eastAsia="zh-CN"/>
                <w14:textFill>
                  <w14:solidFill>
                    <w14:schemeClr w14:val="tx1"/>
                  </w14:solidFill>
                </w14:textFill>
              </w:rPr>
              <w:t>0%</w:t>
            </w:r>
            <w:r>
              <w:rPr>
                <w:rFonts w:hint="eastAsia" w:ascii="Times New Roman" w:hAnsi="Times New Roman" w:eastAsia="宋体" w:cs="Times New Roman"/>
                <w:color w:val="000000" w:themeColor="text1"/>
                <w:sz w:val="24"/>
                <w:lang w:val="en-US"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集气罩尺寸设计大于设备废气产生源部位水平投影面积，且距离污染源越近，能够使有机废气的扩散限制在最小范围内，最大程度上防止横向气流的干扰，吸气方向与废气流动方向一致，充分利用了废气气流的初始动能，能够有效覆盖污染源，大部分废气产生后能立即被吸入集气罩内，引至治理设施进行治理。</w:t>
            </w:r>
          </w:p>
          <w:p w14:paraId="7C8FBBAA">
            <w:pPr>
              <w:spacing w:line="360" w:lineRule="auto"/>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本项目</w:t>
            </w:r>
            <w:r>
              <w:rPr>
                <w:rFonts w:hint="eastAsia" w:ascii="Times New Roman" w:hAnsi="Times New Roman" w:eastAsia="宋体" w:cs="Times New Roman"/>
                <w:color w:val="000000" w:themeColor="text1"/>
                <w:sz w:val="24"/>
                <w:lang w:val="en-US" w:eastAsia="zh-CN"/>
                <w14:textFill>
                  <w14:solidFill>
                    <w14:schemeClr w14:val="tx1"/>
                  </w14:solidFill>
                </w14:textFill>
              </w:rPr>
              <w:t>共有1台压片机，设备上方设置1个集气罩，由集气罩收集至废气治理设施统一处理，在较稳定状态下，根据</w:t>
            </w:r>
            <w:r>
              <w:rPr>
                <w:rFonts w:hint="default" w:ascii="Times New Roman" w:hAnsi="Times New Roman" w:eastAsia="宋体" w:cs="Times New Roman"/>
                <w:color w:val="000000" w:themeColor="text1"/>
                <w:sz w:val="24"/>
                <w:lang w:val="en-US" w:eastAsia="zh-CN"/>
                <w14:textFill>
                  <w14:solidFill>
                    <w14:schemeClr w14:val="tx1"/>
                  </w14:solidFill>
                </w14:textFill>
              </w:rPr>
              <w:t>《挥发性有机物无组织排放控制标准》(GB 37822—2019)中</w:t>
            </w:r>
            <w:r>
              <w:rPr>
                <w:rFonts w:hint="eastAsia" w:ascii="Times New Roman" w:hAnsi="Times New Roman" w:eastAsia="宋体" w:cs="Times New Roman"/>
                <w:color w:val="000000" w:themeColor="text1"/>
                <w:sz w:val="24"/>
                <w:lang w:val="en-US" w:eastAsia="zh-CN"/>
                <w14:textFill>
                  <w14:solidFill>
                    <w14:schemeClr w14:val="tx1"/>
                  </w14:solidFill>
                </w14:textFill>
              </w:rPr>
              <w:t>第</w:t>
            </w:r>
            <w:r>
              <w:rPr>
                <w:rFonts w:hint="default" w:ascii="Times New Roman" w:hAnsi="Times New Roman" w:eastAsia="宋体" w:cs="Times New Roman"/>
                <w:color w:val="000000" w:themeColor="text1"/>
                <w:sz w:val="24"/>
                <w:lang w:val="en-US" w:eastAsia="zh-CN"/>
                <w14:textFill>
                  <w14:solidFill>
                    <w14:schemeClr w14:val="tx1"/>
                  </w14:solidFill>
                </w14:textFill>
              </w:rPr>
              <w:t>10.2.2</w:t>
            </w:r>
            <w:r>
              <w:rPr>
                <w:rFonts w:hint="eastAsia" w:ascii="Times New Roman" w:hAnsi="Times New Roman" w:eastAsia="宋体" w:cs="Times New Roman"/>
                <w:color w:val="000000" w:themeColor="text1"/>
                <w:sz w:val="24"/>
                <w:lang w:val="en-US" w:eastAsia="zh-CN"/>
                <w14:textFill>
                  <w14:solidFill>
                    <w14:schemeClr w14:val="tx1"/>
                  </w14:solidFill>
                </w14:textFill>
              </w:rPr>
              <w:t>条</w:t>
            </w:r>
            <w:r>
              <w:rPr>
                <w:rFonts w:hint="default" w:ascii="Times New Roman" w:hAnsi="Times New Roman" w:eastAsia="宋体" w:cs="Times New Roman"/>
                <w:color w:val="000000" w:themeColor="text1"/>
                <w:sz w:val="24"/>
                <w:lang w:val="en-US" w:eastAsia="zh-CN"/>
                <w14:textFill>
                  <w14:solidFill>
                    <w14:schemeClr w14:val="tx1"/>
                  </w14:solidFill>
                </w14:textFill>
              </w:rPr>
              <w:t>，收集控制风速不低于0.3m/s</w:t>
            </w:r>
            <w:r>
              <w:rPr>
                <w:rFonts w:hint="eastAsia" w:ascii="Times New Roman" w:hAnsi="Times New Roman" w:eastAsia="宋体" w:cs="Times New Roman"/>
                <w:color w:val="000000" w:themeColor="text1"/>
                <w:sz w:val="24"/>
                <w:lang w:val="en-US" w:eastAsia="zh-CN"/>
                <w14:textFill>
                  <w14:solidFill>
                    <w14:schemeClr w14:val="tx1"/>
                  </w14:solidFill>
                </w14:textFill>
              </w:rPr>
              <w:t>，本环评取集气罩风速为</w:t>
            </w:r>
            <w:r>
              <w:rPr>
                <w:rFonts w:hint="eastAsia" w:cs="Times New Roman"/>
                <w:color w:val="000000" w:themeColor="text1"/>
                <w:sz w:val="24"/>
                <w:lang w:val="en-US" w:eastAsia="zh-CN"/>
                <w14:textFill>
                  <w14:solidFill>
                    <w14:schemeClr w14:val="tx1"/>
                  </w14:solidFill>
                </w14:textFill>
              </w:rPr>
              <w:t>0.5</w:t>
            </w:r>
            <w:r>
              <w:rPr>
                <w:rFonts w:hint="default" w:ascii="Times New Roman" w:hAnsi="Times New Roman" w:eastAsia="宋体" w:cs="Times New Roman"/>
                <w:color w:val="000000" w:themeColor="text1"/>
                <w:sz w:val="24"/>
                <w:lang w:val="en-US" w:eastAsia="zh-CN"/>
                <w14:textFill>
                  <w14:solidFill>
                    <w14:schemeClr w14:val="tx1"/>
                  </w14:solidFill>
                </w14:textFill>
              </w:rPr>
              <w:t>m/s</w:t>
            </w:r>
            <w:r>
              <w:rPr>
                <w:rFonts w:hint="eastAsia" w:ascii="Times New Roman" w:hAnsi="Times New Roman" w:eastAsia="宋体" w:cs="Times New Roman"/>
                <w:color w:val="000000" w:themeColor="text1"/>
                <w:sz w:val="24"/>
                <w:lang w:val="en-US" w:eastAsia="zh-CN"/>
                <w14:textFill>
                  <w14:solidFill>
                    <w14:schemeClr w14:val="tx1"/>
                  </w14:solidFill>
                </w14:textFill>
              </w:rPr>
              <w:t>。集气罩距离污染产生源的距离取</w:t>
            </w:r>
            <w:r>
              <w:rPr>
                <w:rFonts w:hint="default" w:ascii="Times New Roman" w:hAnsi="Times New Roman" w:eastAsia="宋体" w:cs="Times New Roman"/>
                <w:color w:val="000000" w:themeColor="text1"/>
                <w:sz w:val="24"/>
                <w:lang w:val="en-US" w:eastAsia="zh-CN"/>
                <w14:textFill>
                  <w14:solidFill>
                    <w14:schemeClr w14:val="tx1"/>
                  </w14:solidFill>
                </w14:textFill>
              </w:rPr>
              <w:t>0.4m</w:t>
            </w:r>
            <w:r>
              <w:rPr>
                <w:rFonts w:hint="eastAsia" w:ascii="Times New Roman" w:hAnsi="Times New Roman" w:eastAsia="宋体" w:cs="Times New Roman"/>
                <w:color w:val="000000" w:themeColor="text1"/>
                <w:sz w:val="24"/>
                <w:lang w:val="en-US" w:eastAsia="zh-CN"/>
                <w14:textFill>
                  <w14:solidFill>
                    <w14:schemeClr w14:val="tx1"/>
                  </w14:solidFill>
                </w14:textFill>
              </w:rPr>
              <w:t>，根据《三废处理工程技术手册（废气卷）》（刘天齐主编，化学工业出版社出版）中三侧有围挡时的集气罩计算公式可计算得出各设备所需的风量</w:t>
            </w:r>
            <w:r>
              <w:rPr>
                <w:rFonts w:hint="default" w:ascii="Times New Roman" w:hAnsi="Times New Roman" w:eastAsia="宋体" w:cs="Times New Roman"/>
                <w:color w:val="000000" w:themeColor="text1"/>
                <w:sz w:val="24"/>
                <w:lang w:val="en-US" w:eastAsia="zh-CN"/>
                <w14:textFill>
                  <w14:solidFill>
                    <w14:schemeClr w14:val="tx1"/>
                  </w14:solidFill>
                </w14:textFill>
              </w:rPr>
              <w:t>Q</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6274E9E0">
            <w:pPr>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Q=WHV</w:t>
            </w:r>
            <w:r>
              <w:rPr>
                <w:rFonts w:hint="default" w:ascii="Times New Roman" w:hAnsi="Times New Roman" w:eastAsia="宋体" w:cs="Times New Roman"/>
                <w:color w:val="000000" w:themeColor="text1"/>
                <w:sz w:val="24"/>
                <w:vertAlign w:val="subscript"/>
                <w:lang w:val="en-US" w:eastAsia="zh-CN"/>
                <w14:textFill>
                  <w14:solidFill>
                    <w14:schemeClr w14:val="tx1"/>
                  </w14:solidFill>
                </w14:textFill>
              </w:rPr>
              <w:t>X</w:t>
            </w:r>
          </w:p>
          <w:p w14:paraId="63E28DF7">
            <w:pPr>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其中：</w:t>
            </w:r>
            <w:r>
              <w:rPr>
                <w:rFonts w:hint="default" w:ascii="Times New Roman" w:hAnsi="Times New Roman" w:eastAsia="宋体" w:cs="Times New Roman"/>
                <w:color w:val="000000" w:themeColor="text1"/>
                <w:sz w:val="24"/>
                <w:lang w:val="en-US" w:eastAsia="zh-CN"/>
                <w14:textFill>
                  <w14:solidFill>
                    <w14:schemeClr w14:val="tx1"/>
                  </w14:solidFill>
                </w14:textFill>
              </w:rPr>
              <w:t>Q</w:t>
            </w:r>
            <w:r>
              <w:rPr>
                <w:rFonts w:hint="eastAsia" w:ascii="Times New Roman" w:hAnsi="Times New Roman" w:eastAsia="宋体" w:cs="Times New Roman"/>
                <w:color w:val="000000" w:themeColor="text1"/>
                <w:sz w:val="24"/>
                <w:lang w:val="en-US" w:eastAsia="zh-CN"/>
                <w14:textFill>
                  <w14:solidFill>
                    <w14:schemeClr w14:val="tx1"/>
                  </w14:solidFill>
                </w14:textFill>
              </w:rPr>
              <w:t>——集气罩排风量，</w:t>
            </w:r>
            <w:r>
              <w:rPr>
                <w:rFonts w:hint="default" w:ascii="Times New Roman" w:hAnsi="Times New Roman" w:eastAsia="宋体" w:cs="Times New Roman"/>
                <w:color w:val="000000" w:themeColor="text1"/>
                <w:sz w:val="24"/>
                <w:lang w:val="en-US" w:eastAsia="zh-CN"/>
                <w14:textFill>
                  <w14:solidFill>
                    <w14:schemeClr w14:val="tx1"/>
                  </w14:solidFill>
                </w14:textFill>
              </w:rPr>
              <w:t>m</w:t>
            </w:r>
            <w:r>
              <w:rPr>
                <w:rFonts w:hint="default" w:ascii="Times New Roman" w:hAnsi="Times New Roman" w:eastAsia="宋体"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lang w:val="en-US"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h</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3DF71652">
            <w:pPr>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W——</w:t>
            </w:r>
            <w:r>
              <w:rPr>
                <w:rFonts w:hint="eastAsia" w:ascii="Times New Roman" w:hAnsi="Times New Roman" w:eastAsia="宋体" w:cs="Times New Roman"/>
                <w:color w:val="000000" w:themeColor="text1"/>
                <w:sz w:val="24"/>
                <w:lang w:val="en-US" w:eastAsia="zh-CN"/>
                <w14:textFill>
                  <w14:solidFill>
                    <w14:schemeClr w14:val="tx1"/>
                  </w14:solidFill>
                </w14:textFill>
              </w:rPr>
              <w:t>罩口长度，</w:t>
            </w:r>
            <w:r>
              <w:rPr>
                <w:rFonts w:hint="default" w:ascii="Times New Roman" w:hAnsi="Times New Roman" w:eastAsia="宋体" w:cs="Times New Roman"/>
                <w:color w:val="000000" w:themeColor="text1"/>
                <w:sz w:val="24"/>
                <w:lang w:val="en-US" w:eastAsia="zh-CN"/>
                <w14:textFill>
                  <w14:solidFill>
                    <w14:schemeClr w14:val="tx1"/>
                  </w14:solidFill>
                </w14:textFill>
              </w:rPr>
              <w:t>m</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0F7E1B10">
            <w:pPr>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H——</w:t>
            </w:r>
            <w:r>
              <w:rPr>
                <w:rFonts w:hint="eastAsia" w:ascii="Times New Roman" w:hAnsi="Times New Roman" w:eastAsia="宋体" w:cs="Times New Roman"/>
                <w:color w:val="000000" w:themeColor="text1"/>
                <w:sz w:val="24"/>
                <w:lang w:val="en-US" w:eastAsia="zh-CN"/>
                <w14:textFill>
                  <w14:solidFill>
                    <w14:schemeClr w14:val="tx1"/>
                  </w14:solidFill>
                </w14:textFill>
              </w:rPr>
              <w:t>污染源至罩口距离，</w:t>
            </w:r>
            <w:r>
              <w:rPr>
                <w:rFonts w:hint="default" w:ascii="Times New Roman" w:hAnsi="Times New Roman" w:eastAsia="宋体" w:cs="Times New Roman"/>
                <w:color w:val="000000" w:themeColor="text1"/>
                <w:sz w:val="24"/>
                <w:lang w:val="en-US" w:eastAsia="zh-CN"/>
                <w14:textFill>
                  <w14:solidFill>
                    <w14:schemeClr w14:val="tx1"/>
                  </w14:solidFill>
                </w14:textFill>
              </w:rPr>
              <w:t>m</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54D32ED0">
            <w:pPr>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Vx——</w:t>
            </w:r>
            <w:r>
              <w:rPr>
                <w:rFonts w:hint="eastAsia" w:ascii="Times New Roman" w:hAnsi="Times New Roman" w:eastAsia="宋体" w:cs="Times New Roman"/>
                <w:color w:val="000000" w:themeColor="text1"/>
                <w:sz w:val="24"/>
                <w:lang w:val="en-US" w:eastAsia="zh-CN"/>
                <w14:textFill>
                  <w14:solidFill>
                    <w14:schemeClr w14:val="tx1"/>
                  </w14:solidFill>
                </w14:textFill>
              </w:rPr>
              <w:t>最小控制风速，</w:t>
            </w:r>
            <w:r>
              <w:rPr>
                <w:rFonts w:hint="default" w:ascii="Times New Roman" w:hAnsi="Times New Roman" w:eastAsia="宋体" w:cs="Times New Roman"/>
                <w:color w:val="000000" w:themeColor="text1"/>
                <w:sz w:val="24"/>
                <w:lang w:val="en-US" w:eastAsia="zh-CN"/>
                <w14:textFill>
                  <w14:solidFill>
                    <w14:schemeClr w14:val="tx1"/>
                  </w14:solidFill>
                </w14:textFill>
              </w:rPr>
              <w:t>m/s</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49A2BDBE">
            <w:pPr>
              <w:keepNext w:val="0"/>
              <w:keepLines w:val="0"/>
              <w:widowControl/>
              <w:suppressLineNumbers w:val="0"/>
              <w:jc w:val="center"/>
              <w:rPr>
                <w:rFonts w:hint="eastAsia" w:cs="Times New Roman"/>
                <w:b/>
                <w:bCs/>
                <w:color w:val="000000" w:themeColor="text1"/>
                <w:sz w:val="21"/>
                <w:szCs w:val="21"/>
                <w:lang w:val="en-US" w:eastAsia="zh-CN"/>
                <w14:textFill>
                  <w14:solidFill>
                    <w14:schemeClr w14:val="tx1"/>
                  </w14:solidFill>
                </w14:textFill>
              </w:rPr>
            </w:pPr>
            <w:r>
              <w:rPr>
                <w:rFonts w:hint="eastAsia" w:cs="Times New Roman"/>
                <w:b/>
                <w:bCs/>
                <w:color w:val="000000" w:themeColor="text1"/>
                <w:sz w:val="21"/>
                <w:szCs w:val="21"/>
                <w:lang w:val="en-US" w:eastAsia="zh-CN"/>
                <w14:textFill>
                  <w14:solidFill>
                    <w14:schemeClr w14:val="tx1"/>
                  </w14:solidFill>
                </w14:textFill>
              </w:rPr>
              <w:t>表4-2 本项目生产设备风量核算一览表</w:t>
            </w:r>
          </w:p>
          <w:tbl>
            <w:tblPr>
              <w:tblStyle w:val="39"/>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8"/>
              <w:gridCol w:w="979"/>
              <w:gridCol w:w="1577"/>
              <w:gridCol w:w="1278"/>
              <w:gridCol w:w="1278"/>
              <w:gridCol w:w="1278"/>
              <w:gridCol w:w="1278"/>
            </w:tblGrid>
            <w:tr w14:paraId="0C4E6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8" w:type="dxa"/>
                  <w:vAlign w:val="center"/>
                </w:tcPr>
                <w:p w14:paraId="1DBC59FA">
                  <w:pPr>
                    <w:keepNext w:val="0"/>
                    <w:keepLines w:val="0"/>
                    <w:widowControl/>
                    <w:suppressLineNumbers w:val="0"/>
                    <w:jc w:val="center"/>
                    <w:rPr>
                      <w:rFonts w:hint="default" w:cs="Times New Roman"/>
                      <w:b/>
                      <w:bCs/>
                      <w:color w:val="000000" w:themeColor="text1"/>
                      <w:sz w:val="21"/>
                      <w:szCs w:val="21"/>
                      <w:vertAlign w:val="baseline"/>
                      <w:lang w:val="en-US" w:eastAsia="zh-CN"/>
                      <w14:textFill>
                        <w14:solidFill>
                          <w14:schemeClr w14:val="tx1"/>
                        </w14:solidFill>
                      </w14:textFill>
                    </w:rPr>
                  </w:pPr>
                  <w:r>
                    <w:rPr>
                      <w:rFonts w:hint="eastAsia" w:cs="Times New Roman"/>
                      <w:b/>
                      <w:bCs/>
                      <w:color w:val="000000" w:themeColor="text1"/>
                      <w:sz w:val="21"/>
                      <w:szCs w:val="21"/>
                      <w:vertAlign w:val="baseline"/>
                      <w:lang w:val="en-US" w:eastAsia="zh-CN"/>
                      <w14:textFill>
                        <w14:solidFill>
                          <w14:schemeClr w14:val="tx1"/>
                        </w14:solidFill>
                      </w14:textFill>
                    </w:rPr>
                    <w:t>设备名称</w:t>
                  </w:r>
                </w:p>
              </w:tc>
              <w:tc>
                <w:tcPr>
                  <w:tcW w:w="979" w:type="dxa"/>
                  <w:vAlign w:val="center"/>
                </w:tcPr>
                <w:p w14:paraId="5E5E4743">
                  <w:pPr>
                    <w:keepNext w:val="0"/>
                    <w:keepLines w:val="0"/>
                    <w:widowControl/>
                    <w:suppressLineNumbers w:val="0"/>
                    <w:jc w:val="center"/>
                    <w:rPr>
                      <w:rFonts w:hint="default" w:cs="Times New Roman"/>
                      <w:b/>
                      <w:bCs/>
                      <w:color w:val="000000" w:themeColor="text1"/>
                      <w:sz w:val="21"/>
                      <w:szCs w:val="21"/>
                      <w:vertAlign w:val="baseline"/>
                      <w:lang w:val="en-US" w:eastAsia="zh-CN"/>
                      <w14:textFill>
                        <w14:solidFill>
                          <w14:schemeClr w14:val="tx1"/>
                        </w14:solidFill>
                      </w14:textFill>
                    </w:rPr>
                  </w:pPr>
                  <w:r>
                    <w:rPr>
                      <w:rFonts w:hint="eastAsia" w:cs="Times New Roman"/>
                      <w:b/>
                      <w:bCs/>
                      <w:color w:val="000000" w:themeColor="text1"/>
                      <w:sz w:val="21"/>
                      <w:szCs w:val="21"/>
                      <w:vertAlign w:val="baseline"/>
                      <w:lang w:val="en-US" w:eastAsia="zh-CN"/>
                      <w14:textFill>
                        <w14:solidFill>
                          <w14:schemeClr w14:val="tx1"/>
                        </w14:solidFill>
                      </w14:textFill>
                    </w:rPr>
                    <w:t>数量</w:t>
                  </w:r>
                </w:p>
              </w:tc>
              <w:tc>
                <w:tcPr>
                  <w:tcW w:w="1577" w:type="dxa"/>
                  <w:shd w:val="clear" w:color="auto" w:fill="auto"/>
                  <w:vAlign w:val="center"/>
                </w:tcPr>
                <w:p w14:paraId="061C5E11">
                  <w:pPr>
                    <w:keepNext w:val="0"/>
                    <w:keepLines w:val="0"/>
                    <w:widowControl/>
                    <w:suppressLineNumbers w:val="0"/>
                    <w:jc w:val="center"/>
                    <w:rPr>
                      <w:rFonts w:hint="eastAsia"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bCs/>
                      <w:color w:val="000000"/>
                      <w:kern w:val="0"/>
                      <w:sz w:val="20"/>
                      <w:szCs w:val="20"/>
                      <w:lang w:val="en-US" w:eastAsia="zh-CN" w:bidi="ar"/>
                    </w:rPr>
                    <w:t>集气罩罩口长度</w:t>
                  </w:r>
                  <w:r>
                    <w:rPr>
                      <w:rFonts w:hint="default" w:ascii="Times New Roman" w:hAnsi="Times New Roman" w:eastAsia="宋体" w:cs="Times New Roman"/>
                      <w:b/>
                      <w:bCs/>
                      <w:color w:val="000000"/>
                      <w:kern w:val="0"/>
                      <w:sz w:val="20"/>
                      <w:szCs w:val="20"/>
                      <w:lang w:val="en-US" w:eastAsia="zh-CN" w:bidi="ar"/>
                    </w:rPr>
                    <w:t>/W</w:t>
                  </w:r>
                </w:p>
              </w:tc>
              <w:tc>
                <w:tcPr>
                  <w:tcW w:w="1278" w:type="dxa"/>
                  <w:vAlign w:val="center"/>
                </w:tcPr>
                <w:p w14:paraId="11F44308">
                  <w:pPr>
                    <w:keepNext w:val="0"/>
                    <w:keepLines w:val="0"/>
                    <w:widowControl/>
                    <w:suppressLineNumbers w:val="0"/>
                    <w:jc w:val="center"/>
                    <w:rPr>
                      <w:rFonts w:hint="eastAsia" w:cs="Times New Roman"/>
                      <w:b/>
                      <w:bCs/>
                      <w:color w:val="000000" w:themeColor="text1"/>
                      <w:sz w:val="21"/>
                      <w:szCs w:val="21"/>
                      <w:vertAlign w:val="baseline"/>
                      <w:lang w:val="en-US" w:eastAsia="zh-CN"/>
                      <w14:textFill>
                        <w14:solidFill>
                          <w14:schemeClr w14:val="tx1"/>
                        </w14:solidFill>
                      </w14:textFill>
                    </w:rPr>
                  </w:pPr>
                  <w:r>
                    <w:rPr>
                      <w:rFonts w:hint="eastAsia" w:ascii="宋体" w:hAnsi="宋体" w:eastAsia="宋体" w:cs="宋体"/>
                      <w:b/>
                      <w:bCs/>
                      <w:color w:val="000000"/>
                      <w:kern w:val="0"/>
                      <w:sz w:val="20"/>
                      <w:szCs w:val="20"/>
                      <w:lang w:val="en-US" w:eastAsia="zh-CN" w:bidi="ar"/>
                    </w:rPr>
                    <w:t>污染源至罩口距离</w:t>
                  </w:r>
                  <w:r>
                    <w:rPr>
                      <w:rFonts w:hint="default" w:ascii="Times New Roman" w:hAnsi="Times New Roman" w:eastAsia="宋体" w:cs="Times New Roman"/>
                      <w:b/>
                      <w:bCs/>
                      <w:color w:val="000000"/>
                      <w:kern w:val="0"/>
                      <w:sz w:val="20"/>
                      <w:szCs w:val="20"/>
                      <w:lang w:val="en-US" w:eastAsia="zh-CN" w:bidi="ar"/>
                    </w:rPr>
                    <w:t>/H</w:t>
                  </w:r>
                </w:p>
              </w:tc>
              <w:tc>
                <w:tcPr>
                  <w:tcW w:w="1278" w:type="dxa"/>
                  <w:vAlign w:val="center"/>
                </w:tcPr>
                <w:p w14:paraId="2BDA27DA">
                  <w:pPr>
                    <w:keepNext w:val="0"/>
                    <w:keepLines w:val="0"/>
                    <w:widowControl/>
                    <w:suppressLineNumbers w:val="0"/>
                    <w:jc w:val="center"/>
                    <w:rPr>
                      <w:rFonts w:hint="eastAsia" w:cs="Times New Roman"/>
                      <w:b/>
                      <w:bCs/>
                      <w:color w:val="000000" w:themeColor="text1"/>
                      <w:sz w:val="21"/>
                      <w:szCs w:val="21"/>
                      <w:vertAlign w:val="baseline"/>
                      <w:lang w:val="en-US" w:eastAsia="zh-CN"/>
                      <w14:textFill>
                        <w14:solidFill>
                          <w14:schemeClr w14:val="tx1"/>
                        </w14:solidFill>
                      </w14:textFill>
                    </w:rPr>
                  </w:pPr>
                  <w:r>
                    <w:rPr>
                      <w:rFonts w:hint="eastAsia" w:ascii="宋体" w:hAnsi="宋体" w:eastAsia="宋体" w:cs="宋体"/>
                      <w:b/>
                      <w:bCs/>
                      <w:color w:val="000000"/>
                      <w:kern w:val="0"/>
                      <w:sz w:val="20"/>
                      <w:szCs w:val="20"/>
                      <w:lang w:val="en-US" w:eastAsia="zh-CN" w:bidi="ar"/>
                    </w:rPr>
                    <w:t>集气罩风速</w:t>
                  </w:r>
                  <w:r>
                    <w:rPr>
                      <w:rFonts w:hint="default" w:ascii="Times New Roman" w:hAnsi="Times New Roman" w:eastAsia="宋体" w:cs="Times New Roman"/>
                      <w:b/>
                      <w:bCs/>
                      <w:color w:val="000000"/>
                      <w:kern w:val="0"/>
                      <w:sz w:val="20"/>
                      <w:szCs w:val="20"/>
                      <w:lang w:val="en-US" w:eastAsia="zh-CN" w:bidi="ar"/>
                    </w:rPr>
                    <w:t>/Vx</w:t>
                  </w:r>
                </w:p>
              </w:tc>
              <w:tc>
                <w:tcPr>
                  <w:tcW w:w="1278" w:type="dxa"/>
                  <w:vAlign w:val="center"/>
                </w:tcPr>
                <w:p w14:paraId="2D6F201A">
                  <w:pPr>
                    <w:keepNext w:val="0"/>
                    <w:keepLines w:val="0"/>
                    <w:widowControl/>
                    <w:suppressLineNumbers w:val="0"/>
                    <w:jc w:val="center"/>
                    <w:rPr>
                      <w:rFonts w:hint="default" w:eastAsia="宋体" w:cs="Times New Roman"/>
                      <w:b/>
                      <w:bCs/>
                      <w:color w:val="000000" w:themeColor="text1"/>
                      <w:sz w:val="21"/>
                      <w:szCs w:val="21"/>
                      <w:vertAlign w:val="baseline"/>
                      <w:lang w:val="en-US" w:eastAsia="zh-CN"/>
                      <w14:textFill>
                        <w14:solidFill>
                          <w14:schemeClr w14:val="tx1"/>
                        </w14:solidFill>
                      </w14:textFill>
                    </w:rPr>
                  </w:pPr>
                  <w:r>
                    <w:rPr>
                      <w:rFonts w:hint="eastAsia" w:ascii="宋体" w:hAnsi="宋体" w:eastAsia="宋体" w:cs="宋体"/>
                      <w:b/>
                      <w:bCs/>
                      <w:color w:val="000000"/>
                      <w:kern w:val="0"/>
                      <w:sz w:val="20"/>
                      <w:szCs w:val="20"/>
                      <w:lang w:val="en-US" w:eastAsia="zh-CN" w:bidi="ar"/>
                    </w:rPr>
                    <w:t>所需集气罩量</w:t>
                  </w:r>
                  <w:r>
                    <w:rPr>
                      <w:rFonts w:hint="eastAsia"/>
                      <w:lang w:val="en-US" w:eastAsia="zh-CN"/>
                    </w:rPr>
                    <w:t>m</w:t>
                  </w:r>
                  <w:r>
                    <w:rPr>
                      <w:rFonts w:hint="eastAsia"/>
                      <w:vertAlign w:val="superscript"/>
                      <w:lang w:val="en-US" w:eastAsia="zh-CN"/>
                    </w:rPr>
                    <w:t>3</w:t>
                  </w:r>
                  <w:r>
                    <w:rPr>
                      <w:rFonts w:hint="eastAsia"/>
                      <w:lang w:val="en-US" w:eastAsia="zh-CN"/>
                    </w:rPr>
                    <w:t>/h</w:t>
                  </w:r>
                </w:p>
              </w:tc>
              <w:tc>
                <w:tcPr>
                  <w:tcW w:w="1278" w:type="dxa"/>
                  <w:vAlign w:val="center"/>
                </w:tcPr>
                <w:p w14:paraId="478AE8D2">
                  <w:pPr>
                    <w:keepNext w:val="0"/>
                    <w:keepLines w:val="0"/>
                    <w:widowControl/>
                    <w:suppressLineNumbers w:val="0"/>
                    <w:jc w:val="center"/>
                    <w:rPr>
                      <w:rFonts w:hint="eastAsia" w:cs="Times New Roman"/>
                      <w:b/>
                      <w:bCs/>
                      <w:color w:val="000000" w:themeColor="text1"/>
                      <w:sz w:val="21"/>
                      <w:szCs w:val="21"/>
                      <w:vertAlign w:val="baseline"/>
                      <w:lang w:val="en-US" w:eastAsia="zh-CN"/>
                      <w14:textFill>
                        <w14:solidFill>
                          <w14:schemeClr w14:val="tx1"/>
                        </w14:solidFill>
                      </w14:textFill>
                    </w:rPr>
                  </w:pPr>
                  <w:r>
                    <w:rPr>
                      <w:rFonts w:hint="eastAsia" w:ascii="宋体" w:hAnsi="宋体" w:eastAsia="宋体" w:cs="宋体"/>
                      <w:b/>
                      <w:bCs/>
                      <w:color w:val="000000"/>
                      <w:kern w:val="0"/>
                      <w:sz w:val="20"/>
                      <w:szCs w:val="20"/>
                      <w:lang w:val="en-US" w:eastAsia="zh-CN" w:bidi="ar"/>
                    </w:rPr>
                    <w:t>对应排气筒</w:t>
                  </w:r>
                </w:p>
              </w:tc>
            </w:tr>
            <w:tr w14:paraId="1D28E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1278" w:type="dxa"/>
                  <w:shd w:val="clear" w:color="auto" w:fill="auto"/>
                  <w:vAlign w:val="center"/>
                </w:tcPr>
                <w:p w14:paraId="3E979D83">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压片机</w:t>
                  </w:r>
                </w:p>
              </w:tc>
              <w:tc>
                <w:tcPr>
                  <w:tcW w:w="979" w:type="dxa"/>
                  <w:shd w:val="clear" w:color="auto" w:fill="auto"/>
                  <w:vAlign w:val="center"/>
                </w:tcPr>
                <w:p w14:paraId="130B2336">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c>
                <w:tcPr>
                  <w:tcW w:w="1577" w:type="dxa"/>
                  <w:vAlign w:val="center"/>
                </w:tcPr>
                <w:p w14:paraId="565A45E8">
                  <w:pPr>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13（5</w:t>
                  </w:r>
                  <w:r>
                    <w:rPr>
                      <w:rFonts w:hint="default" w:cs="Times New Roman"/>
                      <w:color w:val="000000" w:themeColor="text1"/>
                      <w:sz w:val="21"/>
                      <w:szCs w:val="21"/>
                      <w:lang w:val="en-US"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1.5）m</w:t>
                  </w:r>
                </w:p>
              </w:tc>
              <w:tc>
                <w:tcPr>
                  <w:tcW w:w="1278" w:type="dxa"/>
                  <w:vAlign w:val="center"/>
                </w:tcPr>
                <w:p w14:paraId="02ED837A">
                  <w:pPr>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0.4m</w:t>
                  </w:r>
                </w:p>
              </w:tc>
              <w:tc>
                <w:tcPr>
                  <w:tcW w:w="1278" w:type="dxa"/>
                  <w:vAlign w:val="center"/>
                </w:tcPr>
                <w:p w14:paraId="57E7751D">
                  <w:pPr>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0.5</w:t>
                  </w:r>
                </w:p>
              </w:tc>
              <w:tc>
                <w:tcPr>
                  <w:tcW w:w="1278" w:type="dxa"/>
                  <w:vAlign w:val="center"/>
                </w:tcPr>
                <w:p w14:paraId="71247F94">
                  <w:pPr>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9360</w:t>
                  </w:r>
                </w:p>
              </w:tc>
              <w:tc>
                <w:tcPr>
                  <w:tcW w:w="1278" w:type="dxa"/>
                  <w:vAlign w:val="center"/>
                </w:tcPr>
                <w:p w14:paraId="0E02DEDB">
                  <w:pPr>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DA001</w:t>
                  </w:r>
                </w:p>
              </w:tc>
            </w:tr>
          </w:tbl>
          <w:p w14:paraId="553414D9">
            <w:pPr>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综上所述，本项目总处理风量为</w:t>
            </w:r>
            <w:r>
              <w:rPr>
                <w:rFonts w:hint="eastAsia" w:cs="Times New Roman"/>
                <w:color w:val="000000" w:themeColor="text1"/>
                <w:sz w:val="24"/>
                <w:lang w:val="en-US" w:eastAsia="zh-CN"/>
                <w14:textFill>
                  <w14:solidFill>
                    <w14:schemeClr w14:val="tx1"/>
                  </w14:solidFill>
                </w14:textFill>
              </w:rPr>
              <w:t>9360</w:t>
            </w:r>
            <w:r>
              <w:rPr>
                <w:rFonts w:hint="default" w:ascii="Times New Roman" w:hAnsi="Times New Roman" w:eastAsia="宋体" w:cs="Times New Roman"/>
                <w:color w:val="000000" w:themeColor="text1"/>
                <w:sz w:val="24"/>
                <w:lang w:val="en-US" w:eastAsia="zh-CN"/>
                <w14:textFill>
                  <w14:solidFill>
                    <w14:schemeClr w14:val="tx1"/>
                  </w14:solidFill>
                </w14:textFill>
              </w:rPr>
              <w:t>m</w:t>
            </w:r>
            <w:r>
              <w:rPr>
                <w:rFonts w:hint="default" w:ascii="Times New Roman" w:hAnsi="Times New Roman" w:eastAsia="宋体"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lang w:val="en-US" w:eastAsia="zh-CN"/>
                <w14:textFill>
                  <w14:solidFill>
                    <w14:schemeClr w14:val="tx1"/>
                  </w14:solidFill>
                </w14:textFill>
              </w:rPr>
              <w:t>/h</w:t>
            </w:r>
            <w:r>
              <w:rPr>
                <w:rFonts w:hint="eastAsia" w:ascii="Times New Roman" w:hAnsi="Times New Roman" w:eastAsia="宋体" w:cs="Times New Roman"/>
                <w:color w:val="000000" w:themeColor="text1"/>
                <w:sz w:val="24"/>
                <w:lang w:val="en-US" w:eastAsia="zh-CN"/>
                <w14:textFill>
                  <w14:solidFill>
                    <w14:schemeClr w14:val="tx1"/>
                  </w14:solidFill>
                </w14:textFill>
              </w:rPr>
              <w:t>，根据《吸附法工业有机废气治理工程技术规范》（</w:t>
            </w:r>
            <w:r>
              <w:rPr>
                <w:rFonts w:hint="default" w:ascii="Times New Roman" w:hAnsi="Times New Roman" w:eastAsia="宋体" w:cs="Times New Roman"/>
                <w:color w:val="000000" w:themeColor="text1"/>
                <w:sz w:val="24"/>
                <w:lang w:val="en-US" w:eastAsia="zh-CN"/>
                <w14:textFill>
                  <w14:solidFill>
                    <w14:schemeClr w14:val="tx1"/>
                  </w14:solidFill>
                </w14:textFill>
              </w:rPr>
              <w:t>HJ 2026-2013</w:t>
            </w:r>
            <w:r>
              <w:rPr>
                <w:rFonts w:hint="eastAsia" w:ascii="Times New Roman" w:hAnsi="Times New Roman" w:eastAsia="宋体" w:cs="Times New Roman"/>
                <w:color w:val="000000" w:themeColor="text1"/>
                <w:sz w:val="24"/>
                <w:lang w:val="en-US" w:eastAsia="zh-CN"/>
                <w14:textFill>
                  <w14:solidFill>
                    <w14:schemeClr w14:val="tx1"/>
                  </w14:solidFill>
                </w14:textFill>
              </w:rPr>
              <w:t>）中“治理工程的处理能力应根据废气的处理量确定，设计风量宜按照最大废气排放量的</w:t>
            </w:r>
            <w:r>
              <w:rPr>
                <w:rFonts w:hint="default" w:ascii="Times New Roman" w:hAnsi="Times New Roman" w:eastAsia="宋体" w:cs="Times New Roman"/>
                <w:color w:val="000000" w:themeColor="text1"/>
                <w:sz w:val="24"/>
                <w:lang w:val="en-US" w:eastAsia="zh-CN"/>
                <w14:textFill>
                  <w14:solidFill>
                    <w14:schemeClr w14:val="tx1"/>
                  </w14:solidFill>
                </w14:textFill>
              </w:rPr>
              <w:t>120%</w:t>
            </w:r>
            <w:r>
              <w:rPr>
                <w:rFonts w:hint="eastAsia" w:ascii="Times New Roman" w:hAnsi="Times New Roman" w:eastAsia="宋体" w:cs="Times New Roman"/>
                <w:color w:val="000000" w:themeColor="text1"/>
                <w:sz w:val="24"/>
                <w:lang w:val="en-US" w:eastAsia="zh-CN"/>
                <w14:textFill>
                  <w14:solidFill>
                    <w14:schemeClr w14:val="tx1"/>
                  </w14:solidFill>
                </w14:textFill>
              </w:rPr>
              <w:t>进行设计”，同时考虑到加热搅拌罐、风阻、管道的风量损耗及为确保收集，本次环评拟设置风量为</w:t>
            </w:r>
            <w:r>
              <w:rPr>
                <w:rFonts w:hint="eastAsia" w:cs="Times New Roman"/>
                <w:color w:val="000000" w:themeColor="text1"/>
                <w:sz w:val="24"/>
                <w:lang w:val="en-US" w:eastAsia="zh-CN"/>
                <w14:textFill>
                  <w14:solidFill>
                    <w14:schemeClr w14:val="tx1"/>
                  </w14:solidFill>
                </w14:textFill>
              </w:rPr>
              <w:t>12000</w:t>
            </w:r>
            <w:r>
              <w:rPr>
                <w:rFonts w:hint="default" w:ascii="Times New Roman" w:hAnsi="Times New Roman" w:eastAsia="宋体" w:cs="Times New Roman"/>
                <w:color w:val="000000" w:themeColor="text1"/>
                <w:sz w:val="24"/>
                <w:lang w:val="en-US" w:eastAsia="zh-CN"/>
                <w14:textFill>
                  <w14:solidFill>
                    <w14:schemeClr w14:val="tx1"/>
                  </w14:solidFill>
                </w14:textFill>
              </w:rPr>
              <w:t>m</w:t>
            </w:r>
            <w:r>
              <w:rPr>
                <w:rFonts w:hint="default" w:ascii="Times New Roman" w:hAnsi="Times New Roman" w:eastAsia="宋体"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lang w:val="en-US" w:eastAsia="zh-CN"/>
                <w14:textFill>
                  <w14:solidFill>
                    <w14:schemeClr w14:val="tx1"/>
                  </w14:solidFill>
                </w14:textFill>
              </w:rPr>
              <w:t>/h</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4A10AC69">
            <w:pPr>
              <w:widowControl/>
              <w:spacing w:line="360" w:lineRule="auto"/>
              <w:ind w:firstLine="482" w:firstLineChars="200"/>
              <w:jc w:val="left"/>
              <w:rPr>
                <w:rFonts w:hint="default" w:ascii="Times New Roman" w:hAnsi="Times New Roman" w:eastAsia="宋体" w:cs="Times New Roman"/>
                <w:b/>
                <w:bCs/>
                <w:color w:val="000000" w:themeColor="text1"/>
                <w:kern w:val="0"/>
                <w:sz w:val="24"/>
                <w:lang w:bidi="ar"/>
                <w14:textFill>
                  <w14:solidFill>
                    <w14:schemeClr w14:val="tx1"/>
                  </w14:solidFill>
                </w14:textFill>
              </w:rPr>
            </w:pPr>
            <w:r>
              <w:rPr>
                <w:rFonts w:hint="default" w:ascii="Times New Roman" w:hAnsi="Times New Roman" w:eastAsia="宋体" w:cs="Times New Roman"/>
                <w:b/>
                <w:bCs/>
                <w:color w:val="000000" w:themeColor="text1"/>
                <w:kern w:val="0"/>
                <w:sz w:val="24"/>
                <w:lang w:bidi="ar"/>
                <w14:textFill>
                  <w14:solidFill>
                    <w14:schemeClr w14:val="tx1"/>
                  </w14:solidFill>
                </w14:textFill>
              </w:rPr>
              <w:t>1.2无组织废气</w:t>
            </w:r>
          </w:p>
          <w:p w14:paraId="1E0CE263">
            <w:pPr>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未</w:t>
            </w:r>
            <w:r>
              <w:rPr>
                <w:rFonts w:hint="default" w:ascii="Times New Roman" w:hAnsi="Times New Roman" w:eastAsia="宋体" w:cs="Times New Roman"/>
                <w:color w:val="000000" w:themeColor="text1"/>
                <w:sz w:val="24"/>
                <w:lang w:val="en-US" w:eastAsia="zh-CN"/>
                <w14:textFill>
                  <w14:solidFill>
                    <w14:schemeClr w14:val="tx1"/>
                  </w14:solidFill>
                </w14:textFill>
              </w:rPr>
              <w:t>收集的废气</w:t>
            </w:r>
            <w:r>
              <w:rPr>
                <w:rFonts w:hint="eastAsia" w:ascii="Times New Roman" w:hAnsi="Times New Roman" w:eastAsia="宋体" w:cs="Times New Roman"/>
                <w:color w:val="000000" w:themeColor="text1"/>
                <w:sz w:val="24"/>
                <w:lang w:val="en-US" w:eastAsia="zh-CN"/>
                <w14:textFill>
                  <w14:solidFill>
                    <w14:schemeClr w14:val="tx1"/>
                  </w14:solidFill>
                </w14:textFill>
              </w:rPr>
              <w:t>：本项目每天工作16小时，年工作</w:t>
            </w:r>
            <w:r>
              <w:rPr>
                <w:rFonts w:hint="default" w:ascii="Times New Roman" w:hAnsi="Times New Roman" w:eastAsia="宋体" w:cs="Times New Roman"/>
                <w:color w:val="000000" w:themeColor="text1"/>
                <w:sz w:val="24"/>
                <w:lang w:val="en-US" w:eastAsia="zh-CN"/>
                <w14:textFill>
                  <w14:solidFill>
                    <w14:schemeClr w14:val="tx1"/>
                  </w14:solidFill>
                </w14:textFill>
              </w:rPr>
              <w:t>300</w:t>
            </w:r>
            <w:r>
              <w:rPr>
                <w:rFonts w:hint="eastAsia" w:ascii="Times New Roman" w:hAnsi="Times New Roman" w:eastAsia="宋体" w:cs="Times New Roman"/>
                <w:color w:val="000000" w:themeColor="text1"/>
                <w:sz w:val="24"/>
                <w:lang w:val="en-US" w:eastAsia="zh-CN"/>
                <w14:textFill>
                  <w14:solidFill>
                    <w14:schemeClr w14:val="tx1"/>
                  </w14:solidFill>
                </w14:textFill>
              </w:rPr>
              <w:t>天，二级活性炭对有机废气的处理效率取90%，加热搅拌罐废气收集效率为100%，压片机废气收集效率为90%，则未收集的</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产生量为</w:t>
            </w:r>
            <w:r>
              <w:rPr>
                <w:rFonts w:hint="eastAsia" w:cs="Times New Roman"/>
                <w:color w:val="000000" w:themeColor="text1"/>
                <w:sz w:val="24"/>
                <w:lang w:val="en-US" w:eastAsia="zh-CN"/>
                <w14:textFill>
                  <w14:solidFill>
                    <w14:schemeClr w14:val="tx1"/>
                  </w14:solidFill>
                </w14:textFill>
              </w:rPr>
              <w:t>0.0156</w:t>
            </w:r>
            <w:r>
              <w:rPr>
                <w:rFonts w:hint="default" w:ascii="Times New Roman" w:hAnsi="Times New Roman" w:eastAsia="宋体" w:cs="Times New Roman"/>
                <w:color w:val="000000" w:themeColor="text1"/>
                <w:sz w:val="24"/>
                <w:lang w:val="en-US" w:eastAsia="zh-CN"/>
                <w14:textFill>
                  <w14:solidFill>
                    <w14:schemeClr w14:val="tx1"/>
                  </w14:solidFill>
                </w14:textFill>
              </w:rPr>
              <w:t>t/a，</w:t>
            </w:r>
            <w:r>
              <w:rPr>
                <w:rFonts w:hint="eastAsia" w:ascii="Times New Roman" w:hAnsi="Times New Roman" w:eastAsia="宋体" w:cs="Times New Roman"/>
                <w:color w:val="000000" w:themeColor="text1"/>
                <w:sz w:val="24"/>
                <w:lang w:val="en-US" w:eastAsia="zh-CN"/>
                <w14:textFill>
                  <w14:solidFill>
                    <w14:schemeClr w14:val="tx1"/>
                  </w14:solidFill>
                </w14:textFill>
              </w:rPr>
              <w:t>排放速率为0.0113kg/h</w:t>
            </w:r>
            <w:r>
              <w:rPr>
                <w:rFonts w:hint="default" w:ascii="Times New Roman" w:hAnsi="Times New Roman" w:eastAsia="宋体" w:cs="Times New Roman"/>
                <w:color w:val="000000" w:themeColor="text1"/>
                <w:sz w:val="24"/>
                <w:lang w:val="en-US"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通过采取</w:t>
            </w:r>
            <w:r>
              <w:rPr>
                <w:rFonts w:hint="default" w:ascii="Times New Roman" w:hAnsi="Times New Roman" w:eastAsia="宋体" w:cs="Times New Roman"/>
                <w:color w:val="000000" w:themeColor="text1"/>
                <w:sz w:val="24"/>
                <w:lang w:val="en-US" w:eastAsia="zh-CN"/>
                <w14:textFill>
                  <w14:solidFill>
                    <w14:schemeClr w14:val="tx1"/>
                  </w14:solidFill>
                </w14:textFill>
              </w:rPr>
              <w:t>车间密闭、加强厂区绿化等</w:t>
            </w:r>
            <w:r>
              <w:rPr>
                <w:rFonts w:hint="eastAsia" w:ascii="Times New Roman" w:hAnsi="Times New Roman" w:eastAsia="宋体" w:cs="Times New Roman"/>
                <w:color w:val="000000" w:themeColor="text1"/>
                <w:sz w:val="24"/>
                <w:lang w:val="en-US" w:eastAsia="zh-CN"/>
                <w14:textFill>
                  <w14:solidFill>
                    <w14:schemeClr w14:val="tx1"/>
                  </w14:solidFill>
                </w14:textFill>
              </w:rPr>
              <w:t>措施，减少无组织废气排放。</w:t>
            </w:r>
          </w:p>
          <w:p w14:paraId="7F1307B4">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表4-</w:t>
            </w:r>
            <w:r>
              <w:rPr>
                <w:rFonts w:hint="eastAsia" w:cs="Times New Roman"/>
                <w:b/>
                <w:bCs/>
                <w:color w:val="000000" w:themeColor="text1"/>
                <w:sz w:val="21"/>
                <w:szCs w:val="21"/>
                <w:lang w:val="en-US" w:eastAsia="zh-CN"/>
                <w14:textFill>
                  <w14:solidFill>
                    <w14:schemeClr w14:val="tx1"/>
                  </w14:solidFill>
                </w14:textFill>
              </w:rPr>
              <w:t xml:space="preserve">3 </w:t>
            </w:r>
            <w:r>
              <w:rPr>
                <w:rFonts w:hint="default" w:ascii="Times New Roman" w:hAnsi="Times New Roman" w:eastAsia="宋体" w:cs="Times New Roman"/>
                <w:b/>
                <w:bCs/>
                <w:color w:val="000000" w:themeColor="text1"/>
                <w:sz w:val="21"/>
                <w:szCs w:val="21"/>
                <w14:textFill>
                  <w14:solidFill>
                    <w14:schemeClr w14:val="tx1"/>
                  </w14:solidFill>
                </w14:textFill>
              </w:rPr>
              <w:t>本项目废气排放情况汇总表</w:t>
            </w:r>
          </w:p>
          <w:tbl>
            <w:tblPr>
              <w:tblStyle w:val="38"/>
              <w:tblW w:w="8986"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331"/>
              <w:gridCol w:w="335"/>
              <w:gridCol w:w="362"/>
              <w:gridCol w:w="478"/>
              <w:gridCol w:w="492"/>
              <w:gridCol w:w="531"/>
              <w:gridCol w:w="517"/>
              <w:gridCol w:w="426"/>
              <w:gridCol w:w="636"/>
              <w:gridCol w:w="388"/>
              <w:gridCol w:w="412"/>
              <w:gridCol w:w="425"/>
              <w:gridCol w:w="338"/>
              <w:gridCol w:w="487"/>
              <w:gridCol w:w="575"/>
              <w:gridCol w:w="550"/>
              <w:gridCol w:w="450"/>
              <w:gridCol w:w="638"/>
              <w:gridCol w:w="615"/>
            </w:tblGrid>
            <w:tr w14:paraId="43B0742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331" w:type="dxa"/>
                  <w:vMerge w:val="restart"/>
                  <w:tcMar>
                    <w:left w:w="0" w:type="dxa"/>
                    <w:right w:w="0" w:type="dxa"/>
                  </w:tcMar>
                  <w:vAlign w:val="center"/>
                </w:tcPr>
                <w:p w14:paraId="181B8366">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排放形式</w:t>
                  </w:r>
                </w:p>
              </w:tc>
              <w:tc>
                <w:tcPr>
                  <w:tcW w:w="335" w:type="dxa"/>
                  <w:vMerge w:val="restart"/>
                  <w:tcMar>
                    <w:left w:w="0" w:type="dxa"/>
                    <w:right w:w="0" w:type="dxa"/>
                  </w:tcMar>
                  <w:vAlign w:val="center"/>
                </w:tcPr>
                <w:p w14:paraId="728C8F08">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生产设施</w:t>
                  </w:r>
                </w:p>
              </w:tc>
              <w:tc>
                <w:tcPr>
                  <w:tcW w:w="362" w:type="dxa"/>
                  <w:vMerge w:val="restart"/>
                  <w:tcMar>
                    <w:left w:w="0" w:type="dxa"/>
                    <w:right w:w="0" w:type="dxa"/>
                  </w:tcMar>
                  <w:vAlign w:val="center"/>
                </w:tcPr>
                <w:p w14:paraId="155821D7">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产污环节</w:t>
                  </w:r>
                </w:p>
              </w:tc>
              <w:tc>
                <w:tcPr>
                  <w:tcW w:w="478" w:type="dxa"/>
                  <w:vMerge w:val="restart"/>
                  <w:tcMar>
                    <w:left w:w="0" w:type="dxa"/>
                    <w:right w:w="0" w:type="dxa"/>
                  </w:tcMar>
                  <w:vAlign w:val="center"/>
                </w:tcPr>
                <w:p w14:paraId="7116F95D">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污染物种类</w:t>
                  </w:r>
                </w:p>
              </w:tc>
              <w:tc>
                <w:tcPr>
                  <w:tcW w:w="492" w:type="dxa"/>
                  <w:vMerge w:val="restart"/>
                  <w:tcMar>
                    <w:left w:w="0" w:type="dxa"/>
                    <w:right w:w="0" w:type="dxa"/>
                  </w:tcMar>
                  <w:vAlign w:val="center"/>
                </w:tcPr>
                <w:p w14:paraId="196950D6">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产生量（t/a）</w:t>
                  </w:r>
                </w:p>
              </w:tc>
              <w:tc>
                <w:tcPr>
                  <w:tcW w:w="531" w:type="dxa"/>
                  <w:vMerge w:val="restart"/>
                  <w:tcMar>
                    <w:left w:w="0" w:type="dxa"/>
                    <w:right w:w="0" w:type="dxa"/>
                  </w:tcMar>
                  <w:vAlign w:val="center"/>
                </w:tcPr>
                <w:p w14:paraId="784ED284">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产生速率（kg/h）</w:t>
                  </w:r>
                </w:p>
              </w:tc>
              <w:tc>
                <w:tcPr>
                  <w:tcW w:w="517" w:type="dxa"/>
                  <w:vMerge w:val="restart"/>
                  <w:tcMar>
                    <w:left w:w="0" w:type="dxa"/>
                    <w:right w:w="0" w:type="dxa"/>
                  </w:tcMar>
                  <w:vAlign w:val="center"/>
                </w:tcPr>
                <w:p w14:paraId="02EF1BAD">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产生浓度（mg/m</w:t>
                  </w:r>
                  <w:r>
                    <w:rPr>
                      <w:rFonts w:hint="default" w:ascii="Times New Roman" w:hAnsi="Times New Roman" w:eastAsia="宋体" w:cs="Times New Roman"/>
                      <w:b/>
                      <w:bCs/>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 w:val="21"/>
                      <w:szCs w:val="21"/>
                      <w14:textFill>
                        <w14:solidFill>
                          <w14:schemeClr w14:val="tx1"/>
                        </w14:solidFill>
                      </w14:textFill>
                    </w:rPr>
                    <w:t>）</w:t>
                  </w:r>
                </w:p>
              </w:tc>
              <w:tc>
                <w:tcPr>
                  <w:tcW w:w="2625" w:type="dxa"/>
                  <w:gridSpan w:val="6"/>
                  <w:tcMar>
                    <w:left w:w="0" w:type="dxa"/>
                    <w:right w:w="0" w:type="dxa"/>
                  </w:tcMar>
                  <w:vAlign w:val="center"/>
                </w:tcPr>
                <w:p w14:paraId="2A0569EE">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污染治理设施</w:t>
                  </w:r>
                </w:p>
              </w:tc>
              <w:tc>
                <w:tcPr>
                  <w:tcW w:w="487" w:type="dxa"/>
                  <w:vMerge w:val="restart"/>
                  <w:tcMar>
                    <w:left w:w="0" w:type="dxa"/>
                    <w:right w:w="0" w:type="dxa"/>
                  </w:tcMar>
                  <w:vAlign w:val="center"/>
                </w:tcPr>
                <w:p w14:paraId="2CBD9E24">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排放口编号</w:t>
                  </w:r>
                </w:p>
              </w:tc>
              <w:tc>
                <w:tcPr>
                  <w:tcW w:w="575" w:type="dxa"/>
                  <w:vMerge w:val="restart"/>
                  <w:tcMar>
                    <w:left w:w="0" w:type="dxa"/>
                    <w:right w:w="0" w:type="dxa"/>
                  </w:tcMar>
                  <w:vAlign w:val="center"/>
                </w:tcPr>
                <w:p w14:paraId="01688AEC">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排放量（t/a）</w:t>
                  </w:r>
                </w:p>
              </w:tc>
              <w:tc>
                <w:tcPr>
                  <w:tcW w:w="550" w:type="dxa"/>
                  <w:vMerge w:val="restart"/>
                  <w:tcMar>
                    <w:left w:w="0" w:type="dxa"/>
                    <w:right w:w="0" w:type="dxa"/>
                  </w:tcMar>
                  <w:vAlign w:val="center"/>
                </w:tcPr>
                <w:p w14:paraId="22A629EC">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排放速率（kg/h）</w:t>
                  </w:r>
                </w:p>
              </w:tc>
              <w:tc>
                <w:tcPr>
                  <w:tcW w:w="450" w:type="dxa"/>
                  <w:vMerge w:val="restart"/>
                  <w:tcMar>
                    <w:left w:w="0" w:type="dxa"/>
                    <w:right w:w="0" w:type="dxa"/>
                  </w:tcMar>
                  <w:vAlign w:val="center"/>
                </w:tcPr>
                <w:p w14:paraId="5BA30053">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排放时间（h）</w:t>
                  </w:r>
                </w:p>
              </w:tc>
              <w:tc>
                <w:tcPr>
                  <w:tcW w:w="638" w:type="dxa"/>
                  <w:vMerge w:val="restart"/>
                  <w:tcMar>
                    <w:left w:w="0" w:type="dxa"/>
                    <w:right w:w="0" w:type="dxa"/>
                  </w:tcMar>
                  <w:vAlign w:val="center"/>
                </w:tcPr>
                <w:p w14:paraId="17506156">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排放浓度（mg/m</w:t>
                  </w:r>
                  <w:r>
                    <w:rPr>
                      <w:rFonts w:hint="default" w:ascii="Times New Roman" w:hAnsi="Times New Roman" w:eastAsia="宋体" w:cs="Times New Roman"/>
                      <w:b/>
                      <w:bCs/>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 w:val="21"/>
                      <w:szCs w:val="21"/>
                      <w14:textFill>
                        <w14:solidFill>
                          <w14:schemeClr w14:val="tx1"/>
                        </w14:solidFill>
                      </w14:textFill>
                    </w:rPr>
                    <w:t>）</w:t>
                  </w:r>
                </w:p>
              </w:tc>
              <w:tc>
                <w:tcPr>
                  <w:tcW w:w="615" w:type="dxa"/>
                  <w:vMerge w:val="restart"/>
                  <w:tcMar>
                    <w:left w:w="0" w:type="dxa"/>
                    <w:right w:w="0" w:type="dxa"/>
                  </w:tcMar>
                  <w:vAlign w:val="center"/>
                </w:tcPr>
                <w:p w14:paraId="01B2CEB4">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排放限值（mg/m</w:t>
                  </w:r>
                  <w:r>
                    <w:rPr>
                      <w:rFonts w:hint="default" w:ascii="Times New Roman" w:hAnsi="Times New Roman" w:eastAsia="宋体" w:cs="Times New Roman"/>
                      <w:b/>
                      <w:bCs/>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 w:val="21"/>
                      <w:szCs w:val="21"/>
                      <w14:textFill>
                        <w14:solidFill>
                          <w14:schemeClr w14:val="tx1"/>
                        </w14:solidFill>
                      </w14:textFill>
                    </w:rPr>
                    <w:t>）</w:t>
                  </w:r>
                </w:p>
              </w:tc>
            </w:tr>
            <w:tr w14:paraId="7DFD19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787" w:hRule="atLeast"/>
                <w:jc w:val="center"/>
              </w:trPr>
              <w:tc>
                <w:tcPr>
                  <w:tcW w:w="331" w:type="dxa"/>
                  <w:vMerge w:val="continue"/>
                  <w:tcMar>
                    <w:left w:w="0" w:type="dxa"/>
                    <w:right w:w="0" w:type="dxa"/>
                  </w:tcMar>
                  <w:vAlign w:val="center"/>
                </w:tcPr>
                <w:p w14:paraId="6365E9AB">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335" w:type="dxa"/>
                  <w:vMerge w:val="continue"/>
                  <w:tcMar>
                    <w:left w:w="0" w:type="dxa"/>
                    <w:right w:w="0" w:type="dxa"/>
                  </w:tcMar>
                  <w:vAlign w:val="center"/>
                </w:tcPr>
                <w:p w14:paraId="57C2379C">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362" w:type="dxa"/>
                  <w:vMerge w:val="continue"/>
                  <w:tcMar>
                    <w:left w:w="0" w:type="dxa"/>
                    <w:right w:w="0" w:type="dxa"/>
                  </w:tcMar>
                  <w:vAlign w:val="center"/>
                </w:tcPr>
                <w:p w14:paraId="50DC4A7D">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478" w:type="dxa"/>
                  <w:vMerge w:val="continue"/>
                  <w:tcMar>
                    <w:left w:w="0" w:type="dxa"/>
                    <w:right w:w="0" w:type="dxa"/>
                  </w:tcMar>
                  <w:vAlign w:val="center"/>
                </w:tcPr>
                <w:p w14:paraId="2E22900D">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492" w:type="dxa"/>
                  <w:vMerge w:val="continue"/>
                  <w:tcMar>
                    <w:left w:w="0" w:type="dxa"/>
                    <w:right w:w="0" w:type="dxa"/>
                  </w:tcMar>
                  <w:vAlign w:val="center"/>
                </w:tcPr>
                <w:p w14:paraId="7EFD191D">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31" w:type="dxa"/>
                  <w:vMerge w:val="continue"/>
                  <w:tcMar>
                    <w:left w:w="0" w:type="dxa"/>
                    <w:right w:w="0" w:type="dxa"/>
                  </w:tcMar>
                  <w:vAlign w:val="center"/>
                </w:tcPr>
                <w:p w14:paraId="4EB957EF">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17" w:type="dxa"/>
                  <w:vMerge w:val="continue"/>
                  <w:tcMar>
                    <w:left w:w="0" w:type="dxa"/>
                    <w:right w:w="0" w:type="dxa"/>
                  </w:tcMar>
                  <w:vAlign w:val="center"/>
                </w:tcPr>
                <w:p w14:paraId="376F42F7">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426" w:type="dxa"/>
                  <w:tcMar>
                    <w:left w:w="0" w:type="dxa"/>
                    <w:right w:w="0" w:type="dxa"/>
                  </w:tcMar>
                  <w:vAlign w:val="center"/>
                </w:tcPr>
                <w:p w14:paraId="4268E116">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设施编号</w:t>
                  </w:r>
                </w:p>
              </w:tc>
              <w:tc>
                <w:tcPr>
                  <w:tcW w:w="636" w:type="dxa"/>
                  <w:tcMar>
                    <w:left w:w="0" w:type="dxa"/>
                    <w:right w:w="0" w:type="dxa"/>
                  </w:tcMar>
                  <w:vAlign w:val="center"/>
                </w:tcPr>
                <w:p w14:paraId="4C8FDD49">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污染治理设施工艺</w:t>
                  </w:r>
                </w:p>
              </w:tc>
              <w:tc>
                <w:tcPr>
                  <w:tcW w:w="388" w:type="dxa"/>
                  <w:tcMar>
                    <w:left w:w="0" w:type="dxa"/>
                    <w:right w:w="0" w:type="dxa"/>
                  </w:tcMar>
                  <w:vAlign w:val="center"/>
                </w:tcPr>
                <w:p w14:paraId="4629209F">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风量（m</w:t>
                  </w:r>
                  <w:r>
                    <w:rPr>
                      <w:rFonts w:hint="default" w:ascii="Times New Roman" w:hAnsi="Times New Roman" w:eastAsia="宋体" w:cs="Times New Roman"/>
                      <w:b/>
                      <w:bCs/>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 w:val="21"/>
                      <w:szCs w:val="21"/>
                      <w14:textFill>
                        <w14:solidFill>
                          <w14:schemeClr w14:val="tx1"/>
                        </w14:solidFill>
                      </w14:textFill>
                    </w:rPr>
                    <w:t>/h）</w:t>
                  </w:r>
                </w:p>
              </w:tc>
              <w:tc>
                <w:tcPr>
                  <w:tcW w:w="412" w:type="dxa"/>
                  <w:tcMar>
                    <w:left w:w="0" w:type="dxa"/>
                    <w:right w:w="0" w:type="dxa"/>
                  </w:tcMar>
                  <w:vAlign w:val="center"/>
                </w:tcPr>
                <w:p w14:paraId="32D54B34">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收集效率（%）</w:t>
                  </w:r>
                </w:p>
              </w:tc>
              <w:tc>
                <w:tcPr>
                  <w:tcW w:w="425" w:type="dxa"/>
                  <w:tcMar>
                    <w:left w:w="0" w:type="dxa"/>
                    <w:right w:w="0" w:type="dxa"/>
                  </w:tcMar>
                  <w:vAlign w:val="center"/>
                </w:tcPr>
                <w:p w14:paraId="3BB2E2C2">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处理效率（%）</w:t>
                  </w:r>
                </w:p>
              </w:tc>
              <w:tc>
                <w:tcPr>
                  <w:tcW w:w="338" w:type="dxa"/>
                  <w:tcMar>
                    <w:left w:w="0" w:type="dxa"/>
                    <w:right w:w="0" w:type="dxa"/>
                  </w:tcMar>
                  <w:vAlign w:val="center"/>
                </w:tcPr>
                <w:p w14:paraId="58B1F049">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是否可行技术</w:t>
                  </w:r>
                </w:p>
              </w:tc>
              <w:tc>
                <w:tcPr>
                  <w:tcW w:w="487" w:type="dxa"/>
                  <w:vMerge w:val="continue"/>
                  <w:tcMar>
                    <w:left w:w="0" w:type="dxa"/>
                    <w:right w:w="0" w:type="dxa"/>
                  </w:tcMar>
                  <w:vAlign w:val="center"/>
                </w:tcPr>
                <w:p w14:paraId="3D5C091F">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75" w:type="dxa"/>
                  <w:vMerge w:val="continue"/>
                  <w:tcMar>
                    <w:left w:w="0" w:type="dxa"/>
                    <w:right w:w="0" w:type="dxa"/>
                  </w:tcMar>
                  <w:vAlign w:val="center"/>
                </w:tcPr>
                <w:p w14:paraId="0ED6B39F">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50" w:type="dxa"/>
                  <w:vMerge w:val="continue"/>
                  <w:tcMar>
                    <w:left w:w="0" w:type="dxa"/>
                    <w:right w:w="0" w:type="dxa"/>
                  </w:tcMar>
                  <w:vAlign w:val="center"/>
                </w:tcPr>
                <w:p w14:paraId="5DB58791">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450" w:type="dxa"/>
                  <w:vMerge w:val="continue"/>
                  <w:tcMar>
                    <w:left w:w="0" w:type="dxa"/>
                    <w:right w:w="0" w:type="dxa"/>
                  </w:tcMar>
                  <w:vAlign w:val="center"/>
                </w:tcPr>
                <w:p w14:paraId="181EB758">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38" w:type="dxa"/>
                  <w:vMerge w:val="continue"/>
                  <w:tcMar>
                    <w:left w:w="0" w:type="dxa"/>
                    <w:right w:w="0" w:type="dxa"/>
                  </w:tcMar>
                  <w:vAlign w:val="center"/>
                </w:tcPr>
                <w:p w14:paraId="6D6C737F">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615" w:type="dxa"/>
                  <w:vMerge w:val="continue"/>
                  <w:tcMar>
                    <w:left w:w="0" w:type="dxa"/>
                    <w:right w:w="0" w:type="dxa"/>
                  </w:tcMar>
                  <w:vAlign w:val="center"/>
                </w:tcPr>
                <w:p w14:paraId="7497C8BE">
                  <w:pPr>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68638F1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787" w:hRule="atLeast"/>
                <w:jc w:val="center"/>
              </w:trPr>
              <w:tc>
                <w:tcPr>
                  <w:tcW w:w="331" w:type="dxa"/>
                  <w:tcMar>
                    <w:left w:w="0" w:type="dxa"/>
                    <w:right w:w="0" w:type="dxa"/>
                  </w:tcMar>
                  <w:vAlign w:val="center"/>
                </w:tcPr>
                <w:p w14:paraId="56C219E4">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有组织</w:t>
                  </w:r>
                </w:p>
              </w:tc>
              <w:tc>
                <w:tcPr>
                  <w:tcW w:w="335" w:type="dxa"/>
                  <w:tcMar>
                    <w:left w:w="0" w:type="dxa"/>
                    <w:right w:w="0" w:type="dxa"/>
                  </w:tcMar>
                  <w:vAlign w:val="center"/>
                </w:tcPr>
                <w:p w14:paraId="79425600">
                  <w:pPr>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热搅拌罐</w:t>
                  </w:r>
                  <w:r>
                    <w:rPr>
                      <w:rFonts w:hint="eastAsia" w:cs="Times New Roman"/>
                      <w:color w:val="000000" w:themeColor="text1"/>
                      <w:sz w:val="21"/>
                      <w:szCs w:val="21"/>
                      <w:lang w:eastAsia="zh-CN"/>
                      <w14:textFill>
                        <w14:solidFill>
                          <w14:schemeClr w14:val="tx1"/>
                        </w14:solidFill>
                      </w14:textFill>
                    </w:rPr>
                    <w:t>、</w:t>
                  </w:r>
                </w:p>
                <w:p w14:paraId="5F81A639">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压片机</w:t>
                  </w:r>
                </w:p>
              </w:tc>
              <w:tc>
                <w:tcPr>
                  <w:tcW w:w="362" w:type="dxa"/>
                  <w:tcMar>
                    <w:left w:w="0" w:type="dxa"/>
                    <w:right w:w="0" w:type="dxa"/>
                  </w:tcMar>
                  <w:vAlign w:val="center"/>
                </w:tcPr>
                <w:p w14:paraId="3AFD4DDA">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原料加热熔融、制片工序</w:t>
                  </w:r>
                </w:p>
              </w:tc>
              <w:tc>
                <w:tcPr>
                  <w:tcW w:w="478" w:type="dxa"/>
                  <w:shd w:val="clear" w:color="auto" w:fill="auto"/>
                  <w:tcMar>
                    <w:left w:w="0" w:type="dxa"/>
                    <w:right w:w="0" w:type="dxa"/>
                  </w:tcMar>
                  <w:vAlign w:val="center"/>
                </w:tcPr>
                <w:p w14:paraId="1AF98EEA">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VOCs</w:t>
                  </w:r>
                </w:p>
              </w:tc>
              <w:tc>
                <w:tcPr>
                  <w:tcW w:w="492" w:type="dxa"/>
                  <w:shd w:val="clear" w:color="auto" w:fill="auto"/>
                  <w:tcMar>
                    <w:left w:w="0" w:type="dxa"/>
                    <w:right w:w="0" w:type="dxa"/>
                  </w:tcMar>
                  <w:vAlign w:val="center"/>
                </w:tcPr>
                <w:p w14:paraId="46D0808F">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1.54</w:t>
                  </w:r>
                </w:p>
              </w:tc>
              <w:tc>
                <w:tcPr>
                  <w:tcW w:w="531" w:type="dxa"/>
                  <w:shd w:val="clear" w:color="auto" w:fill="auto"/>
                  <w:tcMar>
                    <w:left w:w="0" w:type="dxa"/>
                    <w:right w:w="0" w:type="dxa"/>
                  </w:tcMar>
                  <w:vAlign w:val="center"/>
                </w:tcPr>
                <w:p w14:paraId="126F6FCA">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0.32</w:t>
                  </w:r>
                </w:p>
              </w:tc>
              <w:tc>
                <w:tcPr>
                  <w:tcW w:w="517" w:type="dxa"/>
                  <w:shd w:val="clear" w:color="auto" w:fill="auto"/>
                  <w:tcMar>
                    <w:left w:w="0" w:type="dxa"/>
                    <w:right w:w="0" w:type="dxa"/>
                  </w:tcMar>
                  <w:vAlign w:val="center"/>
                </w:tcPr>
                <w:p w14:paraId="30614C98">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26.7</w:t>
                  </w:r>
                </w:p>
              </w:tc>
              <w:tc>
                <w:tcPr>
                  <w:tcW w:w="426" w:type="dxa"/>
                  <w:tcMar>
                    <w:left w:w="0" w:type="dxa"/>
                    <w:right w:w="0" w:type="dxa"/>
                  </w:tcMar>
                  <w:vAlign w:val="center"/>
                </w:tcPr>
                <w:p w14:paraId="3509A475">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TA001</w:t>
                  </w:r>
                </w:p>
              </w:tc>
              <w:tc>
                <w:tcPr>
                  <w:tcW w:w="636" w:type="dxa"/>
                  <w:tcMar>
                    <w:left w:w="0" w:type="dxa"/>
                    <w:right w:w="0" w:type="dxa"/>
                  </w:tcMar>
                  <w:vAlign w:val="center"/>
                </w:tcPr>
                <w:p w14:paraId="3045F714">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二级活性炭+15m排放筒</w:t>
                  </w:r>
                </w:p>
              </w:tc>
              <w:tc>
                <w:tcPr>
                  <w:tcW w:w="388" w:type="dxa"/>
                  <w:tcMar>
                    <w:left w:w="0" w:type="dxa"/>
                    <w:right w:w="0" w:type="dxa"/>
                  </w:tcMar>
                  <w:vAlign w:val="center"/>
                </w:tcPr>
                <w:p w14:paraId="6AE1790B">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12000</w:t>
                  </w:r>
                </w:p>
              </w:tc>
              <w:tc>
                <w:tcPr>
                  <w:tcW w:w="412" w:type="dxa"/>
                  <w:tcMar>
                    <w:left w:w="0" w:type="dxa"/>
                    <w:right w:w="0" w:type="dxa"/>
                  </w:tcMar>
                  <w:vAlign w:val="center"/>
                </w:tcPr>
                <w:p w14:paraId="60CBC2F9">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加热搅拌罐废气收集效率为100%，压片机废气收集效率为90%</w:t>
                  </w:r>
                </w:p>
              </w:tc>
              <w:tc>
                <w:tcPr>
                  <w:tcW w:w="425" w:type="dxa"/>
                  <w:tcMar>
                    <w:left w:w="0" w:type="dxa"/>
                    <w:right w:w="0" w:type="dxa"/>
                  </w:tcMar>
                  <w:vAlign w:val="center"/>
                </w:tcPr>
                <w:p w14:paraId="6BB47DB8">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90</w:t>
                  </w:r>
                </w:p>
              </w:tc>
              <w:tc>
                <w:tcPr>
                  <w:tcW w:w="338" w:type="dxa"/>
                  <w:tcMar>
                    <w:left w:w="0" w:type="dxa"/>
                    <w:right w:w="0" w:type="dxa"/>
                  </w:tcMar>
                  <w:vAlign w:val="center"/>
                </w:tcPr>
                <w:p w14:paraId="43DAC37A">
                  <w:pPr>
                    <w:pStyle w:val="20"/>
                    <w:ind w:left="0" w:lef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是</w:t>
                  </w:r>
                </w:p>
              </w:tc>
              <w:tc>
                <w:tcPr>
                  <w:tcW w:w="487" w:type="dxa"/>
                  <w:tcMar>
                    <w:left w:w="0" w:type="dxa"/>
                    <w:right w:w="0" w:type="dxa"/>
                  </w:tcMar>
                  <w:vAlign w:val="center"/>
                </w:tcPr>
                <w:p w14:paraId="5A7F7EA7">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DA001</w:t>
                  </w:r>
                </w:p>
              </w:tc>
              <w:tc>
                <w:tcPr>
                  <w:tcW w:w="575" w:type="dxa"/>
                  <w:shd w:val="clear" w:color="auto" w:fill="auto"/>
                  <w:tcMar>
                    <w:left w:w="0" w:type="dxa"/>
                    <w:right w:w="0" w:type="dxa"/>
                  </w:tcMar>
                  <w:vAlign w:val="center"/>
                </w:tcPr>
                <w:p w14:paraId="4391205C">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0.154</w:t>
                  </w:r>
                </w:p>
              </w:tc>
              <w:tc>
                <w:tcPr>
                  <w:tcW w:w="550" w:type="dxa"/>
                  <w:shd w:val="clear" w:color="auto" w:fill="auto"/>
                  <w:tcMar>
                    <w:left w:w="0" w:type="dxa"/>
                    <w:right w:w="0" w:type="dxa"/>
                  </w:tcMar>
                  <w:vAlign w:val="center"/>
                </w:tcPr>
                <w:p w14:paraId="56C1228D">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0.032</w:t>
                  </w:r>
                </w:p>
              </w:tc>
              <w:tc>
                <w:tcPr>
                  <w:tcW w:w="450" w:type="dxa"/>
                  <w:shd w:val="clear" w:color="auto" w:fill="auto"/>
                  <w:tcMar>
                    <w:left w:w="0" w:type="dxa"/>
                    <w:right w:w="0" w:type="dxa"/>
                  </w:tcMar>
                  <w:vAlign w:val="center"/>
                </w:tcPr>
                <w:p w14:paraId="7DA7BECE">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4800</w:t>
                  </w:r>
                </w:p>
              </w:tc>
              <w:tc>
                <w:tcPr>
                  <w:tcW w:w="638" w:type="dxa"/>
                  <w:shd w:val="clear" w:color="auto" w:fill="auto"/>
                  <w:tcMar>
                    <w:left w:w="0" w:type="dxa"/>
                    <w:right w:w="0" w:type="dxa"/>
                  </w:tcMar>
                  <w:vAlign w:val="center"/>
                </w:tcPr>
                <w:p w14:paraId="48DFFE38">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2.67</w:t>
                  </w:r>
                </w:p>
              </w:tc>
              <w:tc>
                <w:tcPr>
                  <w:tcW w:w="615" w:type="dxa"/>
                  <w:tcMar>
                    <w:left w:w="0" w:type="dxa"/>
                    <w:right w:w="0" w:type="dxa"/>
                  </w:tcMar>
                  <w:vAlign w:val="center"/>
                </w:tcPr>
                <w:p w14:paraId="31D3C301">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auto"/>
                      <w:sz w:val="21"/>
                      <w:szCs w:val="21"/>
                      <w:highlight w:val="none"/>
                      <w:lang w:val="en-US" w:eastAsia="zh-CN"/>
                    </w:rPr>
                    <w:t>60</w:t>
                  </w:r>
                </w:p>
              </w:tc>
            </w:tr>
            <w:tr w14:paraId="504854E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787" w:hRule="atLeast"/>
                <w:jc w:val="center"/>
              </w:trPr>
              <w:tc>
                <w:tcPr>
                  <w:tcW w:w="331" w:type="dxa"/>
                  <w:shd w:val="clear" w:color="auto" w:fill="auto"/>
                  <w:tcMar>
                    <w:left w:w="0" w:type="dxa"/>
                    <w:right w:w="0" w:type="dxa"/>
                  </w:tcMar>
                  <w:vAlign w:val="center"/>
                </w:tcPr>
                <w:p w14:paraId="2E8D2534">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无组织</w:t>
                  </w:r>
                </w:p>
              </w:tc>
              <w:tc>
                <w:tcPr>
                  <w:tcW w:w="697" w:type="dxa"/>
                  <w:gridSpan w:val="2"/>
                  <w:shd w:val="clear" w:color="auto" w:fill="auto"/>
                  <w:tcMar>
                    <w:left w:w="0" w:type="dxa"/>
                    <w:right w:w="0" w:type="dxa"/>
                  </w:tcMar>
                  <w:vAlign w:val="center"/>
                </w:tcPr>
                <w:p w14:paraId="5D88A524">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集气罩未收集的废气</w:t>
                  </w:r>
                </w:p>
              </w:tc>
              <w:tc>
                <w:tcPr>
                  <w:tcW w:w="478" w:type="dxa"/>
                  <w:shd w:val="clear" w:color="auto" w:fill="auto"/>
                  <w:tcMar>
                    <w:left w:w="0" w:type="dxa"/>
                    <w:right w:w="0" w:type="dxa"/>
                  </w:tcMar>
                  <w:vAlign w:val="center"/>
                </w:tcPr>
                <w:p w14:paraId="342A01A8">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492" w:type="dxa"/>
                  <w:shd w:val="clear" w:color="auto" w:fill="auto"/>
                  <w:tcMar>
                    <w:left w:w="0" w:type="dxa"/>
                    <w:right w:w="0" w:type="dxa"/>
                  </w:tcMar>
                  <w:vAlign w:val="center"/>
                </w:tcPr>
                <w:p w14:paraId="046B3ABB">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0.0156</w:t>
                  </w:r>
                </w:p>
              </w:tc>
              <w:tc>
                <w:tcPr>
                  <w:tcW w:w="531" w:type="dxa"/>
                  <w:shd w:val="clear" w:color="auto" w:fill="auto"/>
                  <w:tcMar>
                    <w:left w:w="0" w:type="dxa"/>
                    <w:right w:w="0" w:type="dxa"/>
                  </w:tcMar>
                  <w:vAlign w:val="center"/>
                </w:tcPr>
                <w:p w14:paraId="4B00D968">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0.0113</w:t>
                  </w:r>
                </w:p>
              </w:tc>
              <w:tc>
                <w:tcPr>
                  <w:tcW w:w="517" w:type="dxa"/>
                  <w:shd w:val="clear" w:color="auto" w:fill="auto"/>
                  <w:tcMar>
                    <w:left w:w="0" w:type="dxa"/>
                    <w:right w:w="0" w:type="dxa"/>
                  </w:tcMar>
                  <w:vAlign w:val="center"/>
                </w:tcPr>
                <w:p w14:paraId="78E34722">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426" w:type="dxa"/>
                  <w:shd w:val="clear" w:color="auto" w:fill="auto"/>
                  <w:tcMar>
                    <w:left w:w="0" w:type="dxa"/>
                    <w:right w:w="0" w:type="dxa"/>
                  </w:tcMar>
                  <w:vAlign w:val="center"/>
                </w:tcPr>
                <w:p w14:paraId="1AABB3EC">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636" w:type="dxa"/>
                  <w:shd w:val="clear" w:color="auto" w:fill="auto"/>
                  <w:tcMar>
                    <w:left w:w="0" w:type="dxa"/>
                    <w:right w:w="0" w:type="dxa"/>
                  </w:tcMar>
                  <w:vAlign w:val="center"/>
                </w:tcPr>
                <w:p w14:paraId="4B59E95A">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密闭车间</w:t>
                  </w:r>
                </w:p>
              </w:tc>
              <w:tc>
                <w:tcPr>
                  <w:tcW w:w="388" w:type="dxa"/>
                  <w:shd w:val="clear" w:color="auto" w:fill="auto"/>
                  <w:tcMar>
                    <w:left w:w="0" w:type="dxa"/>
                    <w:right w:w="0" w:type="dxa"/>
                  </w:tcMar>
                  <w:vAlign w:val="center"/>
                </w:tcPr>
                <w:p w14:paraId="5D9D31FE">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412" w:type="dxa"/>
                  <w:shd w:val="clear" w:color="auto" w:fill="auto"/>
                  <w:tcMar>
                    <w:left w:w="0" w:type="dxa"/>
                    <w:right w:w="0" w:type="dxa"/>
                  </w:tcMar>
                  <w:vAlign w:val="center"/>
                </w:tcPr>
                <w:p w14:paraId="3699F036">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425" w:type="dxa"/>
                  <w:shd w:val="clear" w:color="auto" w:fill="auto"/>
                  <w:tcMar>
                    <w:left w:w="0" w:type="dxa"/>
                    <w:right w:w="0" w:type="dxa"/>
                  </w:tcMar>
                  <w:vAlign w:val="center"/>
                </w:tcPr>
                <w:p w14:paraId="69F6A5D7">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338" w:type="dxa"/>
                  <w:shd w:val="clear" w:color="auto" w:fill="auto"/>
                  <w:tcMar>
                    <w:left w:w="0" w:type="dxa"/>
                    <w:right w:w="0" w:type="dxa"/>
                  </w:tcMar>
                  <w:vAlign w:val="center"/>
                </w:tcPr>
                <w:p w14:paraId="6F79F20F">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487" w:type="dxa"/>
                  <w:shd w:val="clear" w:color="auto" w:fill="auto"/>
                  <w:tcMar>
                    <w:left w:w="0" w:type="dxa"/>
                    <w:right w:w="0" w:type="dxa"/>
                  </w:tcMar>
                  <w:vAlign w:val="center"/>
                </w:tcPr>
                <w:p w14:paraId="2632450F">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575" w:type="dxa"/>
                  <w:shd w:val="clear" w:color="auto" w:fill="auto"/>
                  <w:tcMar>
                    <w:left w:w="0" w:type="dxa"/>
                    <w:right w:w="0" w:type="dxa"/>
                  </w:tcMar>
                  <w:vAlign w:val="center"/>
                </w:tcPr>
                <w:p w14:paraId="4053E1B7">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0.0156</w:t>
                  </w:r>
                </w:p>
              </w:tc>
              <w:tc>
                <w:tcPr>
                  <w:tcW w:w="550" w:type="dxa"/>
                  <w:shd w:val="clear" w:color="auto" w:fill="auto"/>
                  <w:tcMar>
                    <w:left w:w="0" w:type="dxa"/>
                    <w:right w:w="0" w:type="dxa"/>
                  </w:tcMar>
                  <w:vAlign w:val="center"/>
                </w:tcPr>
                <w:p w14:paraId="5E76525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0.0113</w:t>
                  </w:r>
                </w:p>
              </w:tc>
              <w:tc>
                <w:tcPr>
                  <w:tcW w:w="450" w:type="dxa"/>
                  <w:shd w:val="clear" w:color="auto" w:fill="auto"/>
                  <w:tcMar>
                    <w:left w:w="0" w:type="dxa"/>
                    <w:right w:w="0" w:type="dxa"/>
                  </w:tcMar>
                  <w:vAlign w:val="center"/>
                </w:tcPr>
                <w:p w14:paraId="3832D3F7">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4800</w:t>
                  </w:r>
                </w:p>
              </w:tc>
              <w:tc>
                <w:tcPr>
                  <w:tcW w:w="638" w:type="dxa"/>
                  <w:shd w:val="clear" w:color="auto" w:fill="auto"/>
                  <w:tcMar>
                    <w:left w:w="0" w:type="dxa"/>
                    <w:right w:w="0" w:type="dxa"/>
                  </w:tcMar>
                  <w:vAlign w:val="center"/>
                </w:tcPr>
                <w:p w14:paraId="6DBD69F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615" w:type="dxa"/>
                  <w:shd w:val="clear" w:color="auto" w:fill="auto"/>
                  <w:tcMar>
                    <w:left w:w="0" w:type="dxa"/>
                    <w:right w:w="0" w:type="dxa"/>
                  </w:tcMar>
                  <w:vAlign w:val="center"/>
                </w:tcPr>
                <w:p w14:paraId="74DE1BE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p>
              </w:tc>
            </w:tr>
          </w:tbl>
          <w:p w14:paraId="0CB9E0B3">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表4-</w:t>
            </w:r>
            <w:r>
              <w:rPr>
                <w:rFonts w:hint="eastAsia" w:cs="Times New Roman"/>
                <w:b/>
                <w:bCs/>
                <w:color w:val="000000" w:themeColor="text1"/>
                <w:sz w:val="21"/>
                <w:szCs w:val="21"/>
                <w:lang w:val="en-US" w:eastAsia="zh-CN"/>
                <w14:textFill>
                  <w14:solidFill>
                    <w14:schemeClr w14:val="tx1"/>
                  </w14:solidFill>
                </w14:textFill>
              </w:rPr>
              <w:t xml:space="preserve">4 </w:t>
            </w:r>
            <w:r>
              <w:rPr>
                <w:rFonts w:hint="default" w:ascii="Times New Roman" w:hAnsi="Times New Roman" w:eastAsia="宋体" w:cs="Times New Roman"/>
                <w:b/>
                <w:bCs/>
                <w:color w:val="000000" w:themeColor="text1"/>
                <w:sz w:val="21"/>
                <w:szCs w:val="21"/>
                <w14:textFill>
                  <w14:solidFill>
                    <w14:schemeClr w14:val="tx1"/>
                  </w14:solidFill>
                </w14:textFill>
              </w:rPr>
              <w:t>大气排放口基本情况</w:t>
            </w:r>
          </w:p>
          <w:tbl>
            <w:tblPr>
              <w:tblStyle w:val="38"/>
              <w:tblpPr w:leftFromText="180" w:rightFromText="180" w:vertAnchor="text" w:tblpXSpec="center" w:tblpY="1"/>
              <w:tblOverlap w:val="never"/>
              <w:tblW w:w="498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12"/>
              <w:gridCol w:w="1024"/>
              <w:gridCol w:w="1393"/>
              <w:gridCol w:w="1336"/>
              <w:gridCol w:w="1509"/>
              <w:gridCol w:w="969"/>
              <w:gridCol w:w="1052"/>
              <w:gridCol w:w="815"/>
            </w:tblGrid>
            <w:tr w14:paraId="1EE729E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812" w:type="dxa"/>
                  <w:vMerge w:val="restart"/>
                  <w:tcMar>
                    <w:left w:w="0" w:type="dxa"/>
                    <w:right w:w="0" w:type="dxa"/>
                  </w:tcMar>
                  <w:vAlign w:val="center"/>
                </w:tcPr>
                <w:p w14:paraId="51EDF14B">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排放口编号</w:t>
                  </w:r>
                </w:p>
              </w:tc>
              <w:tc>
                <w:tcPr>
                  <w:tcW w:w="1024" w:type="dxa"/>
                  <w:vMerge w:val="restart"/>
                  <w:tcMar>
                    <w:left w:w="0" w:type="dxa"/>
                    <w:right w:w="0" w:type="dxa"/>
                  </w:tcMar>
                  <w:vAlign w:val="center"/>
                </w:tcPr>
                <w:p w14:paraId="304EA1EA">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排放口名称类型</w:t>
                  </w:r>
                </w:p>
              </w:tc>
              <w:tc>
                <w:tcPr>
                  <w:tcW w:w="1393" w:type="dxa"/>
                  <w:vMerge w:val="restart"/>
                  <w:tcMar>
                    <w:left w:w="0" w:type="dxa"/>
                    <w:right w:w="0" w:type="dxa"/>
                  </w:tcMar>
                  <w:vAlign w:val="center"/>
                </w:tcPr>
                <w:p w14:paraId="53A6556A">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污染物种类/监测因子</w:t>
                  </w:r>
                </w:p>
              </w:tc>
              <w:tc>
                <w:tcPr>
                  <w:tcW w:w="2845" w:type="dxa"/>
                  <w:gridSpan w:val="2"/>
                  <w:tcMar>
                    <w:left w:w="0" w:type="dxa"/>
                    <w:right w:w="0" w:type="dxa"/>
                  </w:tcMar>
                  <w:vAlign w:val="center"/>
                </w:tcPr>
                <w:p w14:paraId="2F27A152">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排放口地理坐标</w:t>
                  </w:r>
                </w:p>
              </w:tc>
              <w:tc>
                <w:tcPr>
                  <w:tcW w:w="969" w:type="dxa"/>
                  <w:vMerge w:val="restart"/>
                  <w:tcMar>
                    <w:left w:w="0" w:type="dxa"/>
                    <w:right w:w="0" w:type="dxa"/>
                  </w:tcMar>
                  <w:vAlign w:val="center"/>
                </w:tcPr>
                <w:p w14:paraId="1E648A27">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排气筒高度（m）</w:t>
                  </w:r>
                </w:p>
              </w:tc>
              <w:tc>
                <w:tcPr>
                  <w:tcW w:w="1052" w:type="dxa"/>
                  <w:vMerge w:val="restart"/>
                  <w:tcMar>
                    <w:left w:w="0" w:type="dxa"/>
                    <w:right w:w="0" w:type="dxa"/>
                  </w:tcMar>
                  <w:vAlign w:val="center"/>
                </w:tcPr>
                <w:p w14:paraId="1214B8F6">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排气筒出口内径（m）</w:t>
                  </w:r>
                </w:p>
              </w:tc>
              <w:tc>
                <w:tcPr>
                  <w:tcW w:w="815" w:type="dxa"/>
                  <w:vMerge w:val="restart"/>
                  <w:tcMar>
                    <w:left w:w="0" w:type="dxa"/>
                    <w:right w:w="0" w:type="dxa"/>
                  </w:tcMar>
                  <w:vAlign w:val="center"/>
                </w:tcPr>
                <w:p w14:paraId="40087116">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排气温度（℃）</w:t>
                  </w:r>
                </w:p>
              </w:tc>
            </w:tr>
            <w:tr w14:paraId="1BEE71F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812" w:type="dxa"/>
                  <w:vMerge w:val="continue"/>
                  <w:tcMar>
                    <w:left w:w="0" w:type="dxa"/>
                    <w:right w:w="0" w:type="dxa"/>
                  </w:tcMar>
                  <w:vAlign w:val="center"/>
                </w:tcPr>
                <w:p w14:paraId="253FD671">
                  <w:pPr>
                    <w:pStyle w:val="116"/>
                    <w:ind w:firstLine="0" w:firstLineChars="0"/>
                    <w:jc w:val="center"/>
                    <w:rPr>
                      <w:rFonts w:hint="default" w:ascii="Times New Roman" w:hAnsi="Times New Roman" w:eastAsia="宋体" w:cs="Times New Roman"/>
                      <w:color w:val="000000" w:themeColor="text1"/>
                      <w:sz w:val="21"/>
                      <w:szCs w:val="21"/>
                      <w:lang w:val="en-US"/>
                      <w14:textFill>
                        <w14:solidFill>
                          <w14:schemeClr w14:val="tx1"/>
                        </w14:solidFill>
                      </w14:textFill>
                    </w:rPr>
                  </w:pPr>
                </w:p>
              </w:tc>
              <w:tc>
                <w:tcPr>
                  <w:tcW w:w="1024" w:type="dxa"/>
                  <w:vMerge w:val="continue"/>
                  <w:tcMar>
                    <w:left w:w="0" w:type="dxa"/>
                    <w:right w:w="0" w:type="dxa"/>
                  </w:tcMar>
                  <w:vAlign w:val="center"/>
                </w:tcPr>
                <w:p w14:paraId="1D127E20">
                  <w:pPr>
                    <w:pStyle w:val="116"/>
                    <w:ind w:firstLine="0" w:firstLineChars="0"/>
                    <w:jc w:val="center"/>
                    <w:rPr>
                      <w:rFonts w:hint="default" w:ascii="Times New Roman" w:hAnsi="Times New Roman" w:eastAsia="宋体" w:cs="Times New Roman"/>
                      <w:color w:val="000000" w:themeColor="text1"/>
                      <w:sz w:val="21"/>
                      <w:szCs w:val="21"/>
                      <w:lang w:val="en-US"/>
                      <w14:textFill>
                        <w14:solidFill>
                          <w14:schemeClr w14:val="tx1"/>
                        </w14:solidFill>
                      </w14:textFill>
                    </w:rPr>
                  </w:pPr>
                </w:p>
              </w:tc>
              <w:tc>
                <w:tcPr>
                  <w:tcW w:w="1393" w:type="dxa"/>
                  <w:vMerge w:val="continue"/>
                  <w:tcMar>
                    <w:left w:w="0" w:type="dxa"/>
                    <w:right w:w="0" w:type="dxa"/>
                  </w:tcMar>
                  <w:vAlign w:val="center"/>
                </w:tcPr>
                <w:p w14:paraId="697D59A1">
                  <w:pPr>
                    <w:pStyle w:val="116"/>
                    <w:ind w:firstLine="0" w:firstLineChars="0"/>
                    <w:jc w:val="center"/>
                    <w:rPr>
                      <w:rFonts w:hint="default" w:ascii="Times New Roman" w:hAnsi="Times New Roman" w:eastAsia="宋体" w:cs="Times New Roman"/>
                      <w:color w:val="000000" w:themeColor="text1"/>
                      <w:sz w:val="21"/>
                      <w:szCs w:val="21"/>
                      <w:lang w:val="en-US"/>
                      <w14:textFill>
                        <w14:solidFill>
                          <w14:schemeClr w14:val="tx1"/>
                        </w14:solidFill>
                      </w14:textFill>
                    </w:rPr>
                  </w:pPr>
                </w:p>
              </w:tc>
              <w:tc>
                <w:tcPr>
                  <w:tcW w:w="1336" w:type="dxa"/>
                  <w:tcMar>
                    <w:left w:w="0" w:type="dxa"/>
                    <w:right w:w="0" w:type="dxa"/>
                  </w:tcMar>
                  <w:vAlign w:val="center"/>
                </w:tcPr>
                <w:p w14:paraId="08E464B0">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经度</w:t>
                  </w:r>
                </w:p>
              </w:tc>
              <w:tc>
                <w:tcPr>
                  <w:tcW w:w="1509" w:type="dxa"/>
                  <w:tcMar>
                    <w:left w:w="0" w:type="dxa"/>
                    <w:right w:w="0" w:type="dxa"/>
                  </w:tcMar>
                  <w:vAlign w:val="center"/>
                </w:tcPr>
                <w:p w14:paraId="3CF75655">
                  <w:pPr>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纬度</w:t>
                  </w:r>
                </w:p>
              </w:tc>
              <w:tc>
                <w:tcPr>
                  <w:tcW w:w="969" w:type="dxa"/>
                  <w:vMerge w:val="continue"/>
                  <w:tcMar>
                    <w:left w:w="0" w:type="dxa"/>
                    <w:right w:w="0" w:type="dxa"/>
                  </w:tcMar>
                  <w:vAlign w:val="center"/>
                </w:tcPr>
                <w:p w14:paraId="77B7BCAA">
                  <w:pPr>
                    <w:pStyle w:val="116"/>
                    <w:ind w:firstLine="0" w:firstLineChars="0"/>
                    <w:jc w:val="center"/>
                    <w:rPr>
                      <w:rFonts w:hint="default" w:ascii="Times New Roman" w:hAnsi="Times New Roman" w:eastAsia="宋体" w:cs="Times New Roman"/>
                      <w:color w:val="000000" w:themeColor="text1"/>
                      <w:sz w:val="21"/>
                      <w:szCs w:val="21"/>
                      <w:lang w:val="en-US"/>
                      <w14:textFill>
                        <w14:solidFill>
                          <w14:schemeClr w14:val="tx1"/>
                        </w14:solidFill>
                      </w14:textFill>
                    </w:rPr>
                  </w:pPr>
                </w:p>
              </w:tc>
              <w:tc>
                <w:tcPr>
                  <w:tcW w:w="1052" w:type="dxa"/>
                  <w:vMerge w:val="continue"/>
                  <w:tcMar>
                    <w:left w:w="0" w:type="dxa"/>
                    <w:right w:w="0" w:type="dxa"/>
                  </w:tcMar>
                  <w:vAlign w:val="center"/>
                </w:tcPr>
                <w:p w14:paraId="5ECDB207">
                  <w:pPr>
                    <w:pStyle w:val="116"/>
                    <w:ind w:firstLine="0" w:firstLineChars="0"/>
                    <w:jc w:val="center"/>
                    <w:rPr>
                      <w:rFonts w:hint="default" w:ascii="Times New Roman" w:hAnsi="Times New Roman" w:eastAsia="宋体" w:cs="Times New Roman"/>
                      <w:color w:val="000000" w:themeColor="text1"/>
                      <w:sz w:val="21"/>
                      <w:szCs w:val="21"/>
                      <w:lang w:val="en-US"/>
                      <w14:textFill>
                        <w14:solidFill>
                          <w14:schemeClr w14:val="tx1"/>
                        </w14:solidFill>
                      </w14:textFill>
                    </w:rPr>
                  </w:pPr>
                </w:p>
              </w:tc>
              <w:tc>
                <w:tcPr>
                  <w:tcW w:w="815" w:type="dxa"/>
                  <w:vMerge w:val="continue"/>
                  <w:tcMar>
                    <w:left w:w="0" w:type="dxa"/>
                    <w:right w:w="0" w:type="dxa"/>
                  </w:tcMar>
                  <w:vAlign w:val="center"/>
                </w:tcPr>
                <w:p w14:paraId="1433A285">
                  <w:pPr>
                    <w:pStyle w:val="116"/>
                    <w:ind w:firstLine="0" w:firstLineChars="0"/>
                    <w:jc w:val="center"/>
                    <w:rPr>
                      <w:rFonts w:hint="default" w:ascii="Times New Roman" w:hAnsi="Times New Roman" w:eastAsia="宋体" w:cs="Times New Roman"/>
                      <w:color w:val="000000" w:themeColor="text1"/>
                      <w:sz w:val="21"/>
                      <w:szCs w:val="21"/>
                      <w:lang w:val="en-US"/>
                      <w14:textFill>
                        <w14:solidFill>
                          <w14:schemeClr w14:val="tx1"/>
                        </w14:solidFill>
                      </w14:textFill>
                    </w:rPr>
                  </w:pPr>
                </w:p>
              </w:tc>
            </w:tr>
            <w:tr w14:paraId="4B1D80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812" w:type="dxa"/>
                  <w:tcMar>
                    <w:left w:w="0" w:type="dxa"/>
                    <w:right w:w="0" w:type="dxa"/>
                  </w:tcMar>
                  <w:vAlign w:val="center"/>
                </w:tcPr>
                <w:p w14:paraId="25975D5D">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DA001</w:t>
                  </w:r>
                </w:p>
              </w:tc>
              <w:tc>
                <w:tcPr>
                  <w:tcW w:w="1024" w:type="dxa"/>
                  <w:tcMar>
                    <w:left w:w="0" w:type="dxa"/>
                    <w:right w:w="0" w:type="dxa"/>
                  </w:tcMar>
                  <w:vAlign w:val="center"/>
                </w:tcPr>
                <w:p w14:paraId="3AE56E96">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一般排放口</w:t>
                  </w:r>
                </w:p>
              </w:tc>
              <w:tc>
                <w:tcPr>
                  <w:tcW w:w="1393" w:type="dxa"/>
                  <w:shd w:val="clear" w:color="auto" w:fill="auto"/>
                  <w:tcMar>
                    <w:left w:w="0" w:type="dxa"/>
                    <w:right w:w="0" w:type="dxa"/>
                  </w:tcMar>
                  <w:vAlign w:val="center"/>
                </w:tcPr>
                <w:p w14:paraId="0ED03402">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1336" w:type="dxa"/>
                  <w:tcMar>
                    <w:left w:w="0" w:type="dxa"/>
                    <w:right w:w="0" w:type="dxa"/>
                  </w:tcMar>
                  <w:vAlign w:val="center"/>
                </w:tcPr>
                <w:p w14:paraId="6467D717">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E:118°</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50.046</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509" w:type="dxa"/>
                  <w:tcMar>
                    <w:left w:w="0" w:type="dxa"/>
                    <w:right w:w="0" w:type="dxa"/>
                  </w:tcMar>
                  <w:vAlign w:val="center"/>
                </w:tcPr>
                <w:p w14:paraId="7EB36731">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N:336°47'25.263"</w:t>
                  </w:r>
                </w:p>
              </w:tc>
              <w:tc>
                <w:tcPr>
                  <w:tcW w:w="969" w:type="dxa"/>
                  <w:tcMar>
                    <w:left w:w="0" w:type="dxa"/>
                    <w:right w:w="0" w:type="dxa"/>
                  </w:tcMar>
                  <w:vAlign w:val="center"/>
                </w:tcPr>
                <w:p w14:paraId="438ABAD6">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15</w:t>
                  </w:r>
                </w:p>
              </w:tc>
              <w:tc>
                <w:tcPr>
                  <w:tcW w:w="1052" w:type="dxa"/>
                  <w:tcMar>
                    <w:left w:w="0" w:type="dxa"/>
                    <w:right w:w="0" w:type="dxa"/>
                  </w:tcMar>
                  <w:vAlign w:val="center"/>
                </w:tcPr>
                <w:p w14:paraId="3C2E7D48">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0.5</w:t>
                  </w:r>
                </w:p>
              </w:tc>
              <w:tc>
                <w:tcPr>
                  <w:tcW w:w="815" w:type="dxa"/>
                  <w:tcMar>
                    <w:left w:w="0" w:type="dxa"/>
                    <w:right w:w="0" w:type="dxa"/>
                  </w:tcMar>
                  <w:vAlign w:val="center"/>
                </w:tcPr>
                <w:p w14:paraId="5E890F51">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常温</w:t>
                  </w:r>
                </w:p>
              </w:tc>
            </w:tr>
          </w:tbl>
          <w:p w14:paraId="1F09C756">
            <w:pPr>
              <w:spacing w:line="360" w:lineRule="auto"/>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①</w:t>
            </w:r>
            <w:r>
              <w:rPr>
                <w:rFonts w:hint="eastAsia" w:ascii="Times New Roman" w:hAnsi="Times New Roman" w:eastAsia="宋体" w:cs="Times New Roman"/>
                <w:color w:val="000000" w:themeColor="text1"/>
                <w:sz w:val="24"/>
                <w:lang w:val="en-US" w:eastAsia="zh-CN"/>
                <w14:textFill>
                  <w14:solidFill>
                    <w14:schemeClr w14:val="tx1"/>
                  </w14:solidFill>
                </w14:textFill>
              </w:rPr>
              <w:t>本项目厂界有组织废气排放执行</w:t>
            </w:r>
            <w:r>
              <w:rPr>
                <w:rFonts w:hint="default" w:ascii="Times New Roman" w:hAnsi="Times New Roman" w:eastAsia="宋体" w:cs="Times New Roman"/>
                <w:color w:val="000000" w:themeColor="text1"/>
                <w:sz w:val="24"/>
                <w:lang w:val="en-US" w:eastAsia="zh-CN"/>
                <w14:textFill>
                  <w14:solidFill>
                    <w14:schemeClr w14:val="tx1"/>
                  </w14:solidFill>
                </w14:textFill>
              </w:rPr>
              <w:t>《挥发性有机物排放标准第6部分：有机化工行业》（DB37/2801.6-2018）表1中其他行业Ⅱ时段排放限值</w:t>
            </w:r>
            <w:r>
              <w:rPr>
                <w:rFonts w:hint="eastAsia" w:ascii="Times New Roman" w:hAnsi="Times New Roman" w:eastAsia="宋体" w:cs="Times New Roman"/>
                <w:color w:val="000000" w:themeColor="text1"/>
                <w:sz w:val="24"/>
                <w:lang w:val="en-US" w:eastAsia="zh-CN"/>
                <w14:textFill>
                  <w14:solidFill>
                    <w14:schemeClr w14:val="tx1"/>
                  </w14:solidFill>
                </w14:textFill>
              </w:rPr>
              <w:t>要求</w:t>
            </w:r>
            <w:r>
              <w:rPr>
                <w:rFonts w:hint="default" w:ascii="Times New Roman" w:hAnsi="Times New Roman" w:eastAsia="宋体" w:cs="Times New Roman"/>
                <w:color w:val="000000" w:themeColor="text1"/>
                <w:sz w:val="24"/>
                <w:lang w:val="en-US" w:eastAsia="zh-CN"/>
                <w14:textFill>
                  <w14:solidFill>
                    <w14:schemeClr w14:val="tx1"/>
                  </w14:solidFill>
                </w14:textFill>
              </w:rPr>
              <w:t>（VOCs：60mg/m</w:t>
            </w:r>
            <w:r>
              <w:rPr>
                <w:rFonts w:hint="default" w:ascii="Times New Roman" w:hAnsi="Times New Roman" w:eastAsia="宋体"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lang w:val="en-US" w:eastAsia="zh-CN"/>
                <w14:textFill>
                  <w14:solidFill>
                    <w14:schemeClr w14:val="tx1"/>
                  </w14:solidFill>
                </w14:textFill>
              </w:rPr>
              <w:t>、3.0kg/h）</w:t>
            </w:r>
            <w:r>
              <w:rPr>
                <w:rFonts w:hint="eastAsia" w:ascii="Times New Roman" w:hAnsi="Times New Roman" w:eastAsia="宋体" w:cs="Times New Roman"/>
                <w:color w:val="000000" w:themeColor="text1"/>
                <w:sz w:val="24"/>
                <w:lang w:val="en-US" w:eastAsia="zh-CN"/>
                <w14:textFill>
                  <w14:solidFill>
                    <w14:schemeClr w14:val="tx1"/>
                  </w14:solidFill>
                </w14:textFill>
              </w:rPr>
              <w:t>；厂区内有组织废气排放执行《合成树脂工业污染物排放标准》（</w:t>
            </w:r>
            <w:r>
              <w:rPr>
                <w:rFonts w:hint="default" w:ascii="Times New Roman" w:hAnsi="Times New Roman" w:eastAsia="宋体" w:cs="Times New Roman"/>
                <w:color w:val="000000" w:themeColor="text1"/>
                <w:sz w:val="24"/>
                <w:lang w:val="en-US" w:eastAsia="zh-CN"/>
                <w14:textFill>
                  <w14:solidFill>
                    <w14:schemeClr w14:val="tx1"/>
                  </w14:solidFill>
                </w14:textFill>
              </w:rPr>
              <w:t>GB31572-2015</w:t>
            </w:r>
            <w:r>
              <w:rPr>
                <w:rFonts w:hint="eastAsia" w:ascii="Times New Roman" w:hAnsi="Times New Roman" w:eastAsia="宋体" w:cs="Times New Roman"/>
                <w:color w:val="000000" w:themeColor="text1"/>
                <w:sz w:val="24"/>
                <w:lang w:val="en-US" w:eastAsia="zh-CN"/>
                <w14:textFill>
                  <w14:solidFill>
                    <w14:schemeClr w14:val="tx1"/>
                  </w14:solidFill>
                </w14:textFill>
              </w:rPr>
              <w:t>）中表</w:t>
            </w:r>
            <w:r>
              <w:rPr>
                <w:rFonts w:hint="eastAsia" w:cs="Times New Roman"/>
                <w:color w:val="000000" w:themeColor="text1"/>
                <w:sz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lang w:val="en-US" w:eastAsia="zh-CN"/>
                <w14:textFill>
                  <w14:solidFill>
                    <w14:schemeClr w14:val="tx1"/>
                  </w14:solidFill>
                </w14:textFill>
              </w:rPr>
              <w:t>大气污染物特别排放限值</w:t>
            </w:r>
            <w:r>
              <w:rPr>
                <w:rFonts w:hint="eastAsia" w:cs="Times New Roman"/>
                <w:color w:val="000000" w:themeColor="text1"/>
                <w:sz w:val="24"/>
                <w:lang w:val="en-US" w:eastAsia="zh-CN"/>
                <w14:textFill>
                  <w14:solidFill>
                    <w14:schemeClr w14:val="tx1"/>
                  </w14:solidFill>
                </w14:textFill>
              </w:rPr>
              <w:t>要求</w:t>
            </w:r>
            <w:r>
              <w:rPr>
                <w:rFonts w:hint="default" w:ascii="Times New Roman" w:hAnsi="Times New Roman" w:eastAsia="宋体" w:cs="Times New Roman"/>
                <w:color w:val="000000" w:themeColor="text1"/>
                <w:sz w:val="24"/>
                <w:lang w:val="en-US" w:eastAsia="zh-CN"/>
                <w14:textFill>
                  <w14:solidFill>
                    <w14:schemeClr w14:val="tx1"/>
                  </w14:solidFill>
                </w14:textFill>
              </w:rPr>
              <w:t>（VOCs：</w:t>
            </w:r>
            <w:r>
              <w:rPr>
                <w:rFonts w:hint="eastAsia" w:cs="Times New Roman"/>
                <w:color w:val="000000" w:themeColor="text1"/>
                <w:sz w:val="24"/>
                <w:lang w:val="en-US" w:eastAsia="zh-CN"/>
                <w14:textFill>
                  <w14:solidFill>
                    <w14:schemeClr w14:val="tx1"/>
                  </w14:solidFill>
                </w14:textFill>
              </w:rPr>
              <w:t>6</w:t>
            </w:r>
            <w:r>
              <w:rPr>
                <w:rFonts w:hint="default" w:ascii="Times New Roman" w:hAnsi="Times New Roman" w:eastAsia="宋体" w:cs="Times New Roman"/>
                <w:color w:val="000000" w:themeColor="text1"/>
                <w:sz w:val="24"/>
                <w:lang w:val="en-US" w:eastAsia="zh-CN"/>
                <w14:textFill>
                  <w14:solidFill>
                    <w14:schemeClr w14:val="tx1"/>
                  </w14:solidFill>
                </w14:textFill>
              </w:rPr>
              <w:t>0mg/m</w:t>
            </w:r>
            <w:r>
              <w:rPr>
                <w:rFonts w:hint="default" w:ascii="Times New Roman" w:hAnsi="Times New Roman" w:eastAsia="宋体" w:cs="Times New Roman"/>
                <w:color w:val="000000" w:themeColor="text1"/>
                <w:sz w:val="24"/>
                <w:vertAlign w:val="superscript"/>
                <w:lang w:val="en-US" w:eastAsia="zh-CN"/>
                <w14:textFill>
                  <w14:solidFill>
                    <w14:schemeClr w14:val="tx1"/>
                  </w14:solidFill>
                </w14:textFill>
              </w:rPr>
              <w:t>3</w:t>
            </w:r>
            <w:r>
              <w:rPr>
                <w:rFonts w:hint="eastAsia" w:cs="Times New Roman"/>
                <w:color w:val="000000" w:themeColor="text1"/>
                <w:sz w:val="24"/>
                <w:lang w:val="en-US" w:eastAsia="zh-CN"/>
                <w14:textFill>
                  <w14:solidFill>
                    <w14:schemeClr w14:val="tx1"/>
                  </w14:solidFill>
                </w14:textFill>
              </w:rPr>
              <w:t>）。</w:t>
            </w:r>
          </w:p>
          <w:p w14:paraId="62A274C8">
            <w:pPr>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有组织排放能够满足</w:t>
            </w:r>
            <w:r>
              <w:rPr>
                <w:rFonts w:hint="default" w:ascii="Times New Roman" w:hAnsi="Times New Roman" w:eastAsia="宋体" w:cs="Times New Roman"/>
                <w:color w:val="000000" w:themeColor="text1"/>
                <w:sz w:val="24"/>
                <w:lang w:val="en-US" w:eastAsia="zh-CN"/>
                <w14:textFill>
                  <w14:solidFill>
                    <w14:schemeClr w14:val="tx1"/>
                  </w14:solidFill>
                </w14:textFill>
              </w:rPr>
              <w:t>《挥发性有机物排放标准 第6部分：有机化工行业》（DB37/2801.6-2018）表1中</w:t>
            </w:r>
            <w:r>
              <w:rPr>
                <w:rFonts w:hint="eastAsia" w:ascii="Times New Roman" w:hAnsi="Times New Roman" w:eastAsia="宋体" w:cs="Times New Roman"/>
                <w:color w:val="000000" w:themeColor="text1"/>
                <w:sz w:val="24"/>
                <w:lang w:val="en-US" w:eastAsia="zh-CN"/>
                <w14:textFill>
                  <w14:solidFill>
                    <w14:schemeClr w14:val="tx1"/>
                  </w14:solidFill>
                </w14:textFill>
              </w:rPr>
              <w:t>其他行业</w:t>
            </w:r>
            <w:r>
              <w:rPr>
                <w:rFonts w:hint="default" w:ascii="Times New Roman" w:hAnsi="Times New Roman" w:eastAsia="宋体" w:cs="Times New Roman"/>
                <w:color w:val="000000" w:themeColor="text1"/>
                <w:sz w:val="24"/>
                <w:lang w:val="en-US" w:eastAsia="zh-CN"/>
                <w14:textFill>
                  <w14:solidFill>
                    <w14:schemeClr w14:val="tx1"/>
                  </w14:solidFill>
                </w14:textFill>
              </w:rPr>
              <w:t>排放限值</w:t>
            </w:r>
            <w:r>
              <w:rPr>
                <w:rFonts w:hint="eastAsia" w:cs="Times New Roman"/>
                <w:color w:val="000000" w:themeColor="text1"/>
                <w:sz w:val="24"/>
                <w:lang w:val="en-US"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《合成树脂工业污染物排放标准》（</w:t>
            </w:r>
            <w:r>
              <w:rPr>
                <w:rFonts w:hint="default" w:ascii="Times New Roman" w:hAnsi="Times New Roman" w:eastAsia="宋体" w:cs="Times New Roman"/>
                <w:color w:val="000000" w:themeColor="text1"/>
                <w:sz w:val="24"/>
                <w:lang w:val="en-US" w:eastAsia="zh-CN"/>
                <w14:textFill>
                  <w14:solidFill>
                    <w14:schemeClr w14:val="tx1"/>
                  </w14:solidFill>
                </w14:textFill>
              </w:rPr>
              <w:t>GB31572-2015</w:t>
            </w:r>
            <w:r>
              <w:rPr>
                <w:rFonts w:hint="eastAsia" w:ascii="Times New Roman" w:hAnsi="Times New Roman" w:eastAsia="宋体" w:cs="Times New Roman"/>
                <w:color w:val="000000" w:themeColor="text1"/>
                <w:sz w:val="24"/>
                <w:lang w:val="en-US" w:eastAsia="zh-CN"/>
                <w14:textFill>
                  <w14:solidFill>
                    <w14:schemeClr w14:val="tx1"/>
                  </w14:solidFill>
                </w14:textFill>
              </w:rPr>
              <w:t>）中表</w:t>
            </w:r>
            <w:r>
              <w:rPr>
                <w:rFonts w:hint="eastAsia" w:cs="Times New Roman"/>
                <w:color w:val="000000" w:themeColor="text1"/>
                <w:sz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lang w:val="en-US" w:eastAsia="zh-CN"/>
                <w14:textFill>
                  <w14:solidFill>
                    <w14:schemeClr w14:val="tx1"/>
                  </w14:solidFill>
                </w14:textFill>
              </w:rPr>
              <w:t>大气污染物特别排放限值的</w:t>
            </w:r>
            <w:r>
              <w:rPr>
                <w:rFonts w:hint="default" w:ascii="Times New Roman" w:hAnsi="Times New Roman" w:eastAsia="宋体" w:cs="Times New Roman"/>
                <w:color w:val="000000" w:themeColor="text1"/>
                <w:sz w:val="24"/>
                <w:lang w:val="en-US" w:eastAsia="zh-CN"/>
                <w14:textFill>
                  <w14:solidFill>
                    <w14:schemeClr w14:val="tx1"/>
                  </w14:solidFill>
                </w14:textFill>
              </w:rPr>
              <w:t>要求</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08D4B07E">
            <w:pPr>
              <w:spacing w:line="360" w:lineRule="auto"/>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②本项目厂界无组织排放的</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执行</w:t>
            </w:r>
            <w:r>
              <w:rPr>
                <w:rFonts w:hint="default" w:ascii="Times New Roman" w:hAnsi="Times New Roman" w:eastAsia="宋体" w:cs="Times New Roman"/>
                <w:color w:val="000000" w:themeColor="text1"/>
                <w:sz w:val="24"/>
                <w:lang w:val="en-US" w:eastAsia="zh-CN"/>
                <w14:textFill>
                  <w14:solidFill>
                    <w14:schemeClr w14:val="tx1"/>
                  </w14:solidFill>
                </w14:textFill>
              </w:rPr>
              <w:t>《挥发性有机物排放标准 第6部分：有机化工行业》（DB37/2801.6-2018）表3厂界监控点浓度限值</w:t>
            </w:r>
            <w:r>
              <w:rPr>
                <w:rFonts w:hint="eastAsia" w:ascii="Times New Roman" w:hAnsi="Times New Roman" w:eastAsia="宋体" w:cs="Times New Roman"/>
                <w:color w:val="000000" w:themeColor="text1"/>
                <w:sz w:val="24"/>
                <w:lang w:val="en-US" w:eastAsia="zh-CN"/>
                <w14:textFill>
                  <w14:solidFill>
                    <w14:schemeClr w14:val="tx1"/>
                  </w14:solidFill>
                </w14:textFill>
              </w:rPr>
              <w:t>要求（VOC</w:t>
            </w:r>
            <w:r>
              <w:rPr>
                <w:rFonts w:hint="eastAsia" w:ascii="Times New Roman" w:hAnsi="Times New Roman" w:eastAsia="宋体" w:cs="Times New Roman"/>
                <w:color w:val="000000" w:themeColor="text1"/>
                <w:sz w:val="24"/>
                <w:vertAlign w:val="subscript"/>
                <w:lang w:val="en-US" w:eastAsia="zh-CN"/>
                <w14:textFill>
                  <w14:solidFill>
                    <w14:schemeClr w14:val="tx1"/>
                  </w14:solidFill>
                </w14:textFill>
              </w:rPr>
              <w:t>S</w:t>
            </w:r>
            <w:r>
              <w:rPr>
                <w:rFonts w:hint="eastAsia" w:ascii="Times New Roman" w:hAnsi="Times New Roman" w:eastAsia="宋体" w:cs="Times New Roman"/>
                <w:color w:val="000000" w:themeColor="text1"/>
                <w:sz w:val="24"/>
                <w:lang w:val="en-US" w:eastAsia="zh-CN"/>
                <w14:textFill>
                  <w14:solidFill>
                    <w14:schemeClr w14:val="tx1"/>
                  </w14:solidFill>
                </w14:textFill>
              </w:rPr>
              <w:t>2.0</w:t>
            </w:r>
            <w:r>
              <w:rPr>
                <w:rFonts w:hint="default" w:ascii="Times New Roman" w:hAnsi="Times New Roman" w:eastAsia="宋体" w:cs="Times New Roman"/>
                <w:color w:val="000000" w:themeColor="text1"/>
                <w:sz w:val="24"/>
                <w:lang w:val="en-US" w:eastAsia="zh-CN"/>
                <w14:textFill>
                  <w14:solidFill>
                    <w14:schemeClr w14:val="tx1"/>
                  </w14:solidFill>
                </w14:textFill>
              </w:rPr>
              <w:t>mg/m</w:t>
            </w:r>
            <w:r>
              <w:rPr>
                <w:rFonts w:hint="default" w:ascii="Times New Roman" w:hAnsi="Times New Roman" w:eastAsia="宋体" w:cs="Times New Roman"/>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1158F327">
            <w:pPr>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无组织排放能够满足</w:t>
            </w:r>
            <w:r>
              <w:rPr>
                <w:rFonts w:hint="default" w:ascii="Times New Roman" w:hAnsi="Times New Roman" w:eastAsia="宋体" w:cs="Times New Roman"/>
                <w:color w:val="000000" w:themeColor="text1"/>
                <w:sz w:val="24"/>
                <w:lang w:val="en-US" w:eastAsia="zh-CN"/>
                <w14:textFill>
                  <w14:solidFill>
                    <w14:schemeClr w14:val="tx1"/>
                  </w14:solidFill>
                </w14:textFill>
              </w:rPr>
              <w:t>《挥发性有机物排放标准 第6部分：有机化工行业》（DB37/2801.6-2018）表3</w:t>
            </w:r>
            <w:r>
              <w:rPr>
                <w:rFonts w:hint="eastAsia" w:ascii="Times New Roman" w:hAnsi="Times New Roman" w:eastAsia="宋体" w:cs="Times New Roman"/>
                <w:color w:val="000000" w:themeColor="text1"/>
                <w:sz w:val="24"/>
                <w:lang w:val="en-US" w:eastAsia="zh-CN"/>
                <w14:textFill>
                  <w14:solidFill>
                    <w14:schemeClr w14:val="tx1"/>
                  </w14:solidFill>
                </w14:textFill>
              </w:rPr>
              <w:t>的排放限制要求。</w:t>
            </w:r>
          </w:p>
          <w:p w14:paraId="474C9852">
            <w:pPr>
              <w:widowControl/>
              <w:spacing w:line="360" w:lineRule="auto"/>
              <w:ind w:firstLine="482" w:firstLineChars="200"/>
              <w:jc w:val="left"/>
              <w:rPr>
                <w:rFonts w:hint="default" w:ascii="Times New Roman" w:hAnsi="Times New Roman" w:eastAsia="宋体" w:cs="Times New Roman"/>
                <w:b/>
                <w:bCs/>
                <w:color w:val="000000" w:themeColor="text1"/>
                <w:kern w:val="0"/>
                <w:sz w:val="24"/>
                <w:lang w:bidi="ar"/>
                <w14:textFill>
                  <w14:solidFill>
                    <w14:schemeClr w14:val="tx1"/>
                  </w14:solidFill>
                </w14:textFill>
              </w:rPr>
            </w:pPr>
            <w:r>
              <w:rPr>
                <w:rFonts w:hint="default" w:ascii="Times New Roman" w:hAnsi="Times New Roman" w:eastAsia="宋体" w:cs="Times New Roman"/>
                <w:b/>
                <w:bCs/>
                <w:color w:val="000000" w:themeColor="text1"/>
                <w:kern w:val="0"/>
                <w:sz w:val="24"/>
                <w:lang w:bidi="ar"/>
                <w14:textFill>
                  <w14:solidFill>
                    <w14:schemeClr w14:val="tx1"/>
                  </w14:solidFill>
                </w14:textFill>
              </w:rPr>
              <w:t>1.3项目废气污染物排放量</w:t>
            </w:r>
          </w:p>
          <w:p w14:paraId="607C5B2D">
            <w:pPr>
              <w:jc w:val="center"/>
              <w:rPr>
                <w:rFonts w:hint="default" w:ascii="Times New Roman" w:hAnsi="Times New Roman" w:eastAsia="宋体" w:cs="Times New Roman"/>
                <w:b/>
                <w:color w:val="000000" w:themeColor="text1"/>
                <w:sz w:val="21"/>
                <w:szCs w:val="21"/>
                <w14:textFill>
                  <w14:solidFill>
                    <w14:schemeClr w14:val="tx1"/>
                  </w14:solidFill>
                </w14:textFill>
              </w:rPr>
            </w:pPr>
            <w:bookmarkStart w:id="4" w:name="OLE_LINK97"/>
            <w:r>
              <w:rPr>
                <w:rFonts w:hint="default" w:ascii="Times New Roman" w:hAnsi="Times New Roman" w:eastAsia="宋体" w:cs="Times New Roman"/>
                <w:b/>
                <w:color w:val="000000" w:themeColor="text1"/>
                <w:sz w:val="21"/>
                <w:szCs w:val="21"/>
                <w14:textFill>
                  <w14:solidFill>
                    <w14:schemeClr w14:val="tx1"/>
                  </w14:solidFill>
                </w14:textFill>
              </w:rPr>
              <w:t>表4-</w:t>
            </w:r>
            <w:r>
              <w:rPr>
                <w:rFonts w:hint="eastAsia" w:cs="Times New Roman"/>
                <w:b/>
                <w:color w:val="000000" w:themeColor="text1"/>
                <w:sz w:val="21"/>
                <w:szCs w:val="21"/>
                <w:lang w:val="en-US" w:eastAsia="zh-CN"/>
                <w14:textFill>
                  <w14:solidFill>
                    <w14:schemeClr w14:val="tx1"/>
                  </w14:solidFill>
                </w14:textFill>
              </w:rPr>
              <w:t xml:space="preserve">5 </w:t>
            </w:r>
            <w:r>
              <w:rPr>
                <w:rFonts w:hint="default" w:ascii="Times New Roman" w:hAnsi="Times New Roman" w:eastAsia="宋体" w:cs="Times New Roman"/>
                <w:b/>
                <w:color w:val="000000" w:themeColor="text1"/>
                <w:sz w:val="21"/>
                <w:szCs w:val="21"/>
                <w14:textFill>
                  <w14:solidFill>
                    <w14:schemeClr w14:val="tx1"/>
                  </w14:solidFill>
                </w14:textFill>
              </w:rPr>
              <w:t>本项目大气污染物有组织排放量核算表</w:t>
            </w:r>
          </w:p>
          <w:tbl>
            <w:tblPr>
              <w:tblStyle w:val="38"/>
              <w:tblW w:w="89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697"/>
              <w:gridCol w:w="1100"/>
              <w:gridCol w:w="1599"/>
              <w:gridCol w:w="1926"/>
              <w:gridCol w:w="1928"/>
            </w:tblGrid>
            <w:tr w14:paraId="7B8C5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7" w:type="dxa"/>
                  <w:tcBorders>
                    <w:top w:val="single" w:color="auto" w:sz="4" w:space="0"/>
                    <w:left w:val="single" w:color="auto" w:sz="4" w:space="0"/>
                    <w:bottom w:val="single" w:color="auto" w:sz="4" w:space="0"/>
                    <w:right w:val="single" w:color="auto" w:sz="4" w:space="0"/>
                  </w:tcBorders>
                  <w:vAlign w:val="center"/>
                </w:tcPr>
                <w:p w14:paraId="1DC2C1F0">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序号</w:t>
                  </w:r>
                </w:p>
              </w:tc>
              <w:tc>
                <w:tcPr>
                  <w:tcW w:w="1697" w:type="dxa"/>
                  <w:tcBorders>
                    <w:top w:val="single" w:color="auto" w:sz="4" w:space="0"/>
                    <w:left w:val="single" w:color="auto" w:sz="4" w:space="0"/>
                    <w:bottom w:val="single" w:color="auto" w:sz="4" w:space="0"/>
                    <w:right w:val="single" w:color="auto" w:sz="4" w:space="0"/>
                  </w:tcBorders>
                  <w:vAlign w:val="center"/>
                </w:tcPr>
                <w:p w14:paraId="5396DFF0">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排放源</w:t>
                  </w:r>
                </w:p>
              </w:tc>
              <w:tc>
                <w:tcPr>
                  <w:tcW w:w="1100" w:type="dxa"/>
                  <w:tcBorders>
                    <w:top w:val="single" w:color="auto" w:sz="4" w:space="0"/>
                    <w:left w:val="single" w:color="auto" w:sz="4" w:space="0"/>
                    <w:bottom w:val="single" w:color="auto" w:sz="4" w:space="0"/>
                    <w:right w:val="single" w:color="auto" w:sz="4" w:space="0"/>
                  </w:tcBorders>
                  <w:vAlign w:val="center"/>
                </w:tcPr>
                <w:p w14:paraId="5E19EC87">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污染物</w:t>
                  </w:r>
                </w:p>
              </w:tc>
              <w:tc>
                <w:tcPr>
                  <w:tcW w:w="1599" w:type="dxa"/>
                  <w:tcBorders>
                    <w:top w:val="single" w:color="auto" w:sz="4" w:space="0"/>
                    <w:left w:val="single" w:color="auto" w:sz="4" w:space="0"/>
                    <w:bottom w:val="single" w:color="auto" w:sz="4" w:space="0"/>
                    <w:right w:val="single" w:color="auto" w:sz="4" w:space="0"/>
                  </w:tcBorders>
                  <w:vAlign w:val="center"/>
                </w:tcPr>
                <w:p w14:paraId="2393D7ED">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核算排放浓度（mg/m</w:t>
                  </w:r>
                  <w:r>
                    <w:rPr>
                      <w:rFonts w:hint="default" w:ascii="Times New Roman" w:hAnsi="Times New Roman" w:eastAsia="宋体" w:cs="Times New Roman"/>
                      <w:b/>
                      <w:bCs/>
                      <w:color w:val="000000" w:themeColor="text1"/>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Cs w:val="21"/>
                      <w14:textFill>
                        <w14:solidFill>
                          <w14:schemeClr w14:val="tx1"/>
                        </w14:solidFill>
                      </w14:textFill>
                    </w:rPr>
                    <w:t>）</w:t>
                  </w:r>
                </w:p>
              </w:tc>
              <w:tc>
                <w:tcPr>
                  <w:tcW w:w="1926" w:type="dxa"/>
                  <w:tcBorders>
                    <w:top w:val="single" w:color="auto" w:sz="4" w:space="0"/>
                    <w:left w:val="single" w:color="auto" w:sz="4" w:space="0"/>
                    <w:bottom w:val="single" w:color="auto" w:sz="4" w:space="0"/>
                    <w:right w:val="single" w:color="auto" w:sz="4" w:space="0"/>
                  </w:tcBorders>
                  <w:vAlign w:val="center"/>
                </w:tcPr>
                <w:p w14:paraId="79CF739D">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核算排放速率（kg/h）</w:t>
                  </w:r>
                </w:p>
              </w:tc>
              <w:tc>
                <w:tcPr>
                  <w:tcW w:w="1928" w:type="dxa"/>
                  <w:tcBorders>
                    <w:top w:val="single" w:color="auto" w:sz="4" w:space="0"/>
                    <w:left w:val="single" w:color="auto" w:sz="4" w:space="0"/>
                    <w:bottom w:val="single" w:color="auto" w:sz="4" w:space="0"/>
                    <w:right w:val="single" w:color="auto" w:sz="4" w:space="0"/>
                  </w:tcBorders>
                  <w:vAlign w:val="center"/>
                </w:tcPr>
                <w:p w14:paraId="26934A0B">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核算排放量（t/a）</w:t>
                  </w:r>
                </w:p>
              </w:tc>
            </w:tr>
            <w:tr w14:paraId="18715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7" w:type="dxa"/>
                  <w:tcBorders>
                    <w:top w:val="single" w:color="auto" w:sz="4" w:space="0"/>
                    <w:left w:val="single" w:color="auto" w:sz="4" w:space="0"/>
                    <w:bottom w:val="single" w:color="auto" w:sz="4" w:space="0"/>
                    <w:right w:val="single" w:color="auto" w:sz="4" w:space="0"/>
                  </w:tcBorders>
                  <w:vAlign w:val="center"/>
                </w:tcPr>
                <w:p w14:paraId="515EB9C3">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bookmarkStart w:id="5" w:name="OLE_LINK81" w:colFirst="3" w:colLast="5"/>
                  <w:r>
                    <w:rPr>
                      <w:rFonts w:hint="default" w:ascii="Times New Roman" w:hAnsi="Times New Roman" w:eastAsia="宋体" w:cs="Times New Roman"/>
                      <w:color w:val="000000" w:themeColor="text1"/>
                      <w:szCs w:val="21"/>
                      <w14:textFill>
                        <w14:solidFill>
                          <w14:schemeClr w14:val="tx1"/>
                        </w14:solidFill>
                      </w14:textFill>
                    </w:rPr>
                    <w:t>1</w:t>
                  </w:r>
                </w:p>
              </w:tc>
              <w:tc>
                <w:tcPr>
                  <w:tcW w:w="1697" w:type="dxa"/>
                  <w:tcBorders>
                    <w:top w:val="single" w:color="auto" w:sz="4" w:space="0"/>
                    <w:left w:val="single" w:color="auto" w:sz="4" w:space="0"/>
                    <w:bottom w:val="single" w:color="auto" w:sz="4" w:space="0"/>
                    <w:right w:val="single" w:color="auto" w:sz="4" w:space="0"/>
                  </w:tcBorders>
                  <w:vAlign w:val="center"/>
                </w:tcPr>
                <w:p w14:paraId="3A09497A">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排气筒DA001</w:t>
                  </w:r>
                </w:p>
              </w:tc>
              <w:tc>
                <w:tcPr>
                  <w:tcW w:w="1100" w:type="dxa"/>
                  <w:tcBorders>
                    <w:top w:val="single" w:color="auto" w:sz="4" w:space="0"/>
                    <w:left w:val="single" w:color="auto" w:sz="4" w:space="0"/>
                    <w:bottom w:val="single" w:color="auto" w:sz="4" w:space="0"/>
                    <w:right w:val="single" w:color="auto" w:sz="4" w:space="0"/>
                  </w:tcBorders>
                  <w:shd w:val="clear" w:color="auto" w:fill="auto"/>
                  <w:vAlign w:val="center"/>
                </w:tcPr>
                <w:p w14:paraId="1154ACC8">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1599" w:type="dxa"/>
                  <w:tcBorders>
                    <w:top w:val="single" w:color="auto" w:sz="4" w:space="0"/>
                    <w:left w:val="single" w:color="auto" w:sz="4" w:space="0"/>
                    <w:bottom w:val="single" w:color="auto" w:sz="4" w:space="0"/>
                    <w:right w:val="single" w:color="auto" w:sz="4" w:space="0"/>
                  </w:tcBorders>
                  <w:shd w:val="clear" w:color="auto" w:fill="auto"/>
                  <w:vAlign w:val="center"/>
                </w:tcPr>
                <w:p w14:paraId="787537DD">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2.67</w:t>
                  </w:r>
                </w:p>
              </w:tc>
              <w:tc>
                <w:tcPr>
                  <w:tcW w:w="1926" w:type="dxa"/>
                  <w:tcBorders>
                    <w:top w:val="single" w:color="auto" w:sz="4" w:space="0"/>
                    <w:left w:val="single" w:color="auto" w:sz="4" w:space="0"/>
                    <w:bottom w:val="single" w:color="auto" w:sz="4" w:space="0"/>
                    <w:right w:val="single" w:color="auto" w:sz="4" w:space="0"/>
                  </w:tcBorders>
                  <w:shd w:val="clear" w:color="auto" w:fill="auto"/>
                  <w:vAlign w:val="center"/>
                </w:tcPr>
                <w:p w14:paraId="43ED16DD">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0.032</w:t>
                  </w:r>
                </w:p>
              </w:tc>
              <w:tc>
                <w:tcPr>
                  <w:tcW w:w="1928" w:type="dxa"/>
                  <w:tcBorders>
                    <w:top w:val="single" w:color="auto" w:sz="4" w:space="0"/>
                    <w:left w:val="single" w:color="auto" w:sz="4" w:space="0"/>
                    <w:bottom w:val="single" w:color="auto" w:sz="4" w:space="0"/>
                    <w:right w:val="single" w:color="auto" w:sz="4" w:space="0"/>
                  </w:tcBorders>
                  <w:shd w:val="clear" w:color="auto" w:fill="auto"/>
                  <w:vAlign w:val="center"/>
                </w:tcPr>
                <w:p w14:paraId="7993069B">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0.154</w:t>
                  </w:r>
                </w:p>
              </w:tc>
            </w:tr>
            <w:bookmarkEnd w:id="5"/>
          </w:tbl>
          <w:p w14:paraId="6DACFEC6">
            <w:pPr>
              <w:jc w:val="center"/>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表4-</w:t>
            </w:r>
            <w:r>
              <w:rPr>
                <w:rFonts w:hint="eastAsia" w:cs="Times New Roman"/>
                <w:b/>
                <w:color w:val="000000" w:themeColor="text1"/>
                <w:lang w:val="en-US" w:eastAsia="zh-CN"/>
                <w14:textFill>
                  <w14:solidFill>
                    <w14:schemeClr w14:val="tx1"/>
                  </w14:solidFill>
                </w14:textFill>
              </w:rPr>
              <w:t xml:space="preserve">6 </w:t>
            </w:r>
            <w:r>
              <w:rPr>
                <w:rFonts w:hint="default" w:ascii="Times New Roman" w:hAnsi="Times New Roman" w:eastAsia="宋体" w:cs="Times New Roman"/>
                <w:b/>
                <w:color w:val="000000" w:themeColor="text1"/>
                <w14:textFill>
                  <w14:solidFill>
                    <w14:schemeClr w14:val="tx1"/>
                  </w14:solidFill>
                </w14:textFill>
              </w:rPr>
              <w:t>本项目大气污染物无组织排放量核算表</w:t>
            </w:r>
          </w:p>
          <w:tbl>
            <w:tblPr>
              <w:tblStyle w:val="38"/>
              <w:tblW w:w="89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3948"/>
              <w:gridCol w:w="2013"/>
              <w:gridCol w:w="2300"/>
            </w:tblGrid>
            <w:tr w14:paraId="14133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96" w:type="dxa"/>
                  <w:vAlign w:val="center"/>
                </w:tcPr>
                <w:p w14:paraId="2628EC07">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序号</w:t>
                  </w:r>
                </w:p>
              </w:tc>
              <w:tc>
                <w:tcPr>
                  <w:tcW w:w="3948" w:type="dxa"/>
                  <w:vAlign w:val="center"/>
                </w:tcPr>
                <w:p w14:paraId="0AF3926D">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产污环节</w:t>
                  </w:r>
                </w:p>
              </w:tc>
              <w:tc>
                <w:tcPr>
                  <w:tcW w:w="2013" w:type="dxa"/>
                  <w:vAlign w:val="center"/>
                </w:tcPr>
                <w:p w14:paraId="3D4516D2">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污染物</w:t>
                  </w:r>
                </w:p>
              </w:tc>
              <w:tc>
                <w:tcPr>
                  <w:tcW w:w="2300" w:type="dxa"/>
                  <w:vAlign w:val="center"/>
                </w:tcPr>
                <w:p w14:paraId="1E894B1C">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年排放量（t/a）</w:t>
                  </w:r>
                </w:p>
              </w:tc>
            </w:tr>
            <w:tr w14:paraId="259E5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vAlign w:val="center"/>
                </w:tcPr>
                <w:p w14:paraId="1F6568E2">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w:t>
                  </w:r>
                </w:p>
              </w:tc>
              <w:tc>
                <w:tcPr>
                  <w:tcW w:w="3948" w:type="dxa"/>
                  <w:shd w:val="clear" w:color="auto" w:fill="auto"/>
                  <w:vAlign w:val="center"/>
                </w:tcPr>
                <w:p w14:paraId="107579CD">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集气罩未收集的废气</w:t>
                  </w:r>
                </w:p>
              </w:tc>
              <w:tc>
                <w:tcPr>
                  <w:tcW w:w="2013" w:type="dxa"/>
                  <w:shd w:val="clear" w:color="auto" w:fill="auto"/>
                  <w:vAlign w:val="center"/>
                </w:tcPr>
                <w:p w14:paraId="05CE5CD5">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2300" w:type="dxa"/>
                  <w:shd w:val="clear" w:color="auto" w:fill="auto"/>
                  <w:vAlign w:val="center"/>
                </w:tcPr>
                <w:p w14:paraId="58CC031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0.0156</w:t>
                  </w:r>
                </w:p>
              </w:tc>
            </w:tr>
          </w:tbl>
          <w:p w14:paraId="54EEE50D">
            <w:pPr>
              <w:jc w:val="center"/>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表4-</w:t>
            </w:r>
            <w:r>
              <w:rPr>
                <w:rFonts w:hint="eastAsia" w:cs="Times New Roman"/>
                <w:b/>
                <w:color w:val="000000" w:themeColor="text1"/>
                <w:lang w:val="en-US" w:eastAsia="zh-CN"/>
                <w14:textFill>
                  <w14:solidFill>
                    <w14:schemeClr w14:val="tx1"/>
                  </w14:solidFill>
                </w14:textFill>
              </w:rPr>
              <w:t xml:space="preserve">7 </w:t>
            </w:r>
            <w:r>
              <w:rPr>
                <w:rFonts w:hint="default" w:ascii="Times New Roman" w:hAnsi="Times New Roman" w:eastAsia="宋体" w:cs="Times New Roman"/>
                <w:b/>
                <w:color w:val="000000" w:themeColor="text1"/>
                <w14:textFill>
                  <w14:solidFill>
                    <w14:schemeClr w14:val="tx1"/>
                  </w14:solidFill>
                </w14:textFill>
              </w:rPr>
              <w:t>大气污染物年排放总量核算表</w:t>
            </w:r>
          </w:p>
          <w:tbl>
            <w:tblPr>
              <w:tblStyle w:val="38"/>
              <w:tblW w:w="89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3980"/>
              <w:gridCol w:w="4295"/>
            </w:tblGrid>
            <w:tr w14:paraId="230C3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2" w:type="dxa"/>
                  <w:tcBorders>
                    <w:top w:val="single" w:color="auto" w:sz="4" w:space="0"/>
                    <w:left w:val="single" w:color="auto" w:sz="4" w:space="0"/>
                    <w:bottom w:val="single" w:color="auto" w:sz="4" w:space="0"/>
                    <w:right w:val="single" w:color="auto" w:sz="4" w:space="0"/>
                  </w:tcBorders>
                  <w:vAlign w:val="center"/>
                </w:tcPr>
                <w:p w14:paraId="6BD6020E">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序号</w:t>
                  </w:r>
                </w:p>
              </w:tc>
              <w:tc>
                <w:tcPr>
                  <w:tcW w:w="3980" w:type="dxa"/>
                  <w:tcBorders>
                    <w:top w:val="single" w:color="auto" w:sz="4" w:space="0"/>
                    <w:left w:val="single" w:color="auto" w:sz="4" w:space="0"/>
                    <w:bottom w:val="single" w:color="auto" w:sz="4" w:space="0"/>
                    <w:right w:val="single" w:color="auto" w:sz="4" w:space="0"/>
                  </w:tcBorders>
                  <w:vAlign w:val="center"/>
                </w:tcPr>
                <w:p w14:paraId="0C19C73A">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污染物</w:t>
                  </w:r>
                </w:p>
              </w:tc>
              <w:tc>
                <w:tcPr>
                  <w:tcW w:w="4295" w:type="dxa"/>
                  <w:tcBorders>
                    <w:top w:val="single" w:color="auto" w:sz="4" w:space="0"/>
                    <w:left w:val="single" w:color="auto" w:sz="4" w:space="0"/>
                    <w:bottom w:val="single" w:color="auto" w:sz="4" w:space="0"/>
                    <w:right w:val="single" w:color="auto" w:sz="4" w:space="0"/>
                  </w:tcBorders>
                  <w:vAlign w:val="center"/>
                </w:tcPr>
                <w:p w14:paraId="53FCC486">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年排放量（t/a）</w:t>
                  </w:r>
                </w:p>
              </w:tc>
            </w:tr>
            <w:tr w14:paraId="3C367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2" w:type="dxa"/>
                  <w:tcBorders>
                    <w:top w:val="single" w:color="auto" w:sz="4" w:space="0"/>
                    <w:left w:val="single" w:color="auto" w:sz="4" w:space="0"/>
                    <w:bottom w:val="single" w:color="auto" w:sz="4" w:space="0"/>
                    <w:right w:val="single" w:color="auto" w:sz="4" w:space="0"/>
                  </w:tcBorders>
                  <w:vAlign w:val="center"/>
                </w:tcPr>
                <w:p w14:paraId="274C8F2F">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w:t>
                  </w:r>
                </w:p>
              </w:tc>
              <w:tc>
                <w:tcPr>
                  <w:tcW w:w="3980" w:type="dxa"/>
                  <w:tcBorders>
                    <w:top w:val="single" w:color="auto" w:sz="4" w:space="0"/>
                    <w:left w:val="single" w:color="auto" w:sz="4" w:space="0"/>
                    <w:bottom w:val="single" w:color="auto" w:sz="4" w:space="0"/>
                    <w:right w:val="single" w:color="auto" w:sz="4" w:space="0"/>
                  </w:tcBorders>
                  <w:shd w:val="clear" w:color="auto" w:fill="auto"/>
                  <w:vAlign w:val="center"/>
                </w:tcPr>
                <w:p w14:paraId="3F1DC21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4295" w:type="dxa"/>
                  <w:tcBorders>
                    <w:top w:val="single" w:color="auto" w:sz="4" w:space="0"/>
                    <w:left w:val="single" w:color="auto" w:sz="4" w:space="0"/>
                    <w:bottom w:val="single" w:color="auto" w:sz="4" w:space="0"/>
                    <w:right w:val="single" w:color="auto" w:sz="4" w:space="0"/>
                  </w:tcBorders>
                  <w:vAlign w:val="center"/>
                </w:tcPr>
                <w:p w14:paraId="73AC8350">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0.1696</w:t>
                  </w:r>
                </w:p>
              </w:tc>
            </w:tr>
            <w:bookmarkEnd w:id="4"/>
          </w:tbl>
          <w:p w14:paraId="66744ECB">
            <w:pPr>
              <w:widowControl/>
              <w:spacing w:line="360" w:lineRule="auto"/>
              <w:ind w:firstLine="482" w:firstLineChars="200"/>
              <w:jc w:val="left"/>
              <w:rPr>
                <w:rFonts w:hint="default" w:ascii="Times New Roman" w:hAnsi="Times New Roman" w:eastAsia="宋体" w:cs="Times New Roman"/>
                <w:b/>
                <w:bCs/>
                <w:color w:val="000000" w:themeColor="text1"/>
                <w:kern w:val="0"/>
                <w:sz w:val="24"/>
                <w:lang w:bidi="ar"/>
                <w14:textFill>
                  <w14:solidFill>
                    <w14:schemeClr w14:val="tx1"/>
                  </w14:solidFill>
                </w14:textFill>
              </w:rPr>
            </w:pPr>
            <w:r>
              <w:rPr>
                <w:rFonts w:hint="default" w:ascii="Times New Roman" w:hAnsi="Times New Roman" w:eastAsia="宋体" w:cs="Times New Roman"/>
                <w:b/>
                <w:bCs/>
                <w:color w:val="000000" w:themeColor="text1"/>
                <w:kern w:val="0"/>
                <w:sz w:val="24"/>
                <w:lang w:bidi="ar"/>
                <w14:textFill>
                  <w14:solidFill>
                    <w14:schemeClr w14:val="tx1"/>
                  </w14:solidFill>
                </w14:textFill>
              </w:rPr>
              <w:t>1.4废气监测要求</w:t>
            </w:r>
          </w:p>
          <w:p w14:paraId="16FFA567">
            <w:pPr>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根据《固定污染源排污许可分类管理名录（</w:t>
            </w:r>
            <w:r>
              <w:rPr>
                <w:rFonts w:hint="default" w:ascii="Times New Roman" w:hAnsi="Times New Roman" w:eastAsia="宋体" w:cs="Times New Roman"/>
                <w:color w:val="000000" w:themeColor="text1"/>
                <w:sz w:val="24"/>
                <w:lang w:val="en-US" w:eastAsia="zh-CN"/>
                <w14:textFill>
                  <w14:solidFill>
                    <w14:schemeClr w14:val="tx1"/>
                  </w14:solidFill>
                </w14:textFill>
              </w:rPr>
              <w:t>2019</w:t>
            </w:r>
            <w:r>
              <w:rPr>
                <w:rFonts w:hint="eastAsia" w:ascii="Times New Roman" w:hAnsi="Times New Roman" w:eastAsia="宋体" w:cs="Times New Roman"/>
                <w:color w:val="000000" w:themeColor="text1"/>
                <w:sz w:val="24"/>
                <w:lang w:val="en-US" w:eastAsia="zh-CN"/>
                <w14:textFill>
                  <w14:solidFill>
                    <w14:schemeClr w14:val="tx1"/>
                  </w14:solidFill>
                </w14:textFill>
              </w:rPr>
              <w:t>年版）》，本项目属于登记管理类别，根据《排污单位自行监测技术指南总则》（</w:t>
            </w:r>
            <w:r>
              <w:rPr>
                <w:rFonts w:hint="default" w:ascii="Times New Roman" w:hAnsi="Times New Roman" w:eastAsia="宋体" w:cs="Times New Roman"/>
                <w:color w:val="000000" w:themeColor="text1"/>
                <w:sz w:val="24"/>
                <w:lang w:val="en-US" w:eastAsia="zh-CN"/>
                <w14:textFill>
                  <w14:solidFill>
                    <w14:schemeClr w14:val="tx1"/>
                  </w14:solidFill>
                </w14:textFill>
              </w:rPr>
              <w:t>HJ 819-2017</w:t>
            </w:r>
            <w:r>
              <w:rPr>
                <w:rFonts w:hint="eastAsia" w:ascii="Times New Roman" w:hAnsi="Times New Roman" w:eastAsia="宋体" w:cs="Times New Roman"/>
                <w:color w:val="000000" w:themeColor="text1"/>
                <w:sz w:val="24"/>
                <w:lang w:val="en-US" w:eastAsia="zh-CN"/>
                <w14:textFill>
                  <w14:solidFill>
                    <w14:schemeClr w14:val="tx1"/>
                  </w14:solidFill>
                </w14:textFill>
              </w:rPr>
              <w:t>）、《排污许可证申请与核发技术规范 专用化学产品制造工业》（HJ 1103—2020）</w:t>
            </w:r>
            <w:r>
              <w:rPr>
                <w:rFonts w:hint="default" w:ascii="Times New Roman" w:hAnsi="Times New Roman" w:eastAsia="宋体" w:cs="Times New Roman"/>
                <w:color w:val="000000" w:themeColor="text1"/>
                <w:sz w:val="24"/>
                <w:lang w:val="en-US" w:eastAsia="zh-CN"/>
                <w14:textFill>
                  <w14:solidFill>
                    <w14:schemeClr w14:val="tx1"/>
                  </w14:solidFill>
                </w14:textFill>
              </w:rPr>
              <w:t>，本项目废气排放监测计划如下表。</w:t>
            </w:r>
          </w:p>
          <w:p w14:paraId="68792A38">
            <w:pPr>
              <w:jc w:val="center"/>
              <w:rPr>
                <w:rFonts w:hint="default" w:ascii="Times New Roman" w:hAnsi="Times New Roman" w:eastAsia="宋体" w:cs="Times New Roman"/>
                <w:b/>
                <w:color w:val="000000" w:themeColor="text1"/>
                <w14:textFill>
                  <w14:solidFill>
                    <w14:schemeClr w14:val="tx1"/>
                  </w14:solidFill>
                </w14:textFill>
              </w:rPr>
            </w:pPr>
            <w:r>
              <w:rPr>
                <w:rFonts w:hint="default" w:ascii="Times New Roman" w:hAnsi="Times New Roman" w:eastAsia="宋体" w:cs="Times New Roman"/>
                <w:b/>
                <w:color w:val="000000" w:themeColor="text1"/>
                <w14:textFill>
                  <w14:solidFill>
                    <w14:schemeClr w14:val="tx1"/>
                  </w14:solidFill>
                </w14:textFill>
              </w:rPr>
              <w:t>表4-</w:t>
            </w:r>
            <w:r>
              <w:rPr>
                <w:rFonts w:hint="eastAsia" w:cs="Times New Roman"/>
                <w:b/>
                <w:color w:val="000000" w:themeColor="text1"/>
                <w:lang w:val="en-US" w:eastAsia="zh-CN"/>
                <w14:textFill>
                  <w14:solidFill>
                    <w14:schemeClr w14:val="tx1"/>
                  </w14:solidFill>
                </w14:textFill>
              </w:rPr>
              <w:t xml:space="preserve">8 </w:t>
            </w:r>
            <w:r>
              <w:rPr>
                <w:rFonts w:hint="default" w:ascii="Times New Roman" w:hAnsi="Times New Roman" w:eastAsia="宋体" w:cs="Times New Roman"/>
                <w:b/>
                <w:color w:val="000000" w:themeColor="text1"/>
                <w14:textFill>
                  <w14:solidFill>
                    <w14:schemeClr w14:val="tx1"/>
                  </w14:solidFill>
                </w14:textFill>
              </w:rPr>
              <w:t>项目废气监测计划一览表</w:t>
            </w:r>
          </w:p>
          <w:tbl>
            <w:tblPr>
              <w:tblStyle w:val="38"/>
              <w:tblW w:w="87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307"/>
              <w:gridCol w:w="2172"/>
              <w:gridCol w:w="1511"/>
              <w:gridCol w:w="3127"/>
            </w:tblGrid>
            <w:tr w14:paraId="40896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restart"/>
                  <w:tcBorders>
                    <w:top w:val="single" w:color="auto" w:sz="4" w:space="0"/>
                    <w:left w:val="single" w:color="auto" w:sz="4" w:space="0"/>
                    <w:right w:val="single" w:color="auto" w:sz="4" w:space="0"/>
                  </w:tcBorders>
                  <w:vAlign w:val="center"/>
                </w:tcPr>
                <w:p w14:paraId="0B55A354">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项目</w:t>
                  </w:r>
                </w:p>
              </w:tc>
              <w:tc>
                <w:tcPr>
                  <w:tcW w:w="4990" w:type="dxa"/>
                  <w:gridSpan w:val="3"/>
                  <w:tcBorders>
                    <w:top w:val="single" w:color="auto" w:sz="4" w:space="0"/>
                    <w:left w:val="single" w:color="auto" w:sz="4" w:space="0"/>
                    <w:bottom w:val="single" w:color="auto" w:sz="4" w:space="0"/>
                    <w:right w:val="single" w:color="auto" w:sz="4" w:space="0"/>
                  </w:tcBorders>
                  <w:vAlign w:val="center"/>
                </w:tcPr>
                <w:p w14:paraId="6F678017">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监测制度</w:t>
                  </w:r>
                </w:p>
              </w:tc>
              <w:tc>
                <w:tcPr>
                  <w:tcW w:w="3127" w:type="dxa"/>
                  <w:vMerge w:val="restart"/>
                  <w:tcBorders>
                    <w:top w:val="single" w:color="auto" w:sz="4" w:space="0"/>
                    <w:left w:val="single" w:color="auto" w:sz="4" w:space="0"/>
                    <w:right w:val="single" w:color="auto" w:sz="4" w:space="0"/>
                  </w:tcBorders>
                  <w:vAlign w:val="center"/>
                </w:tcPr>
                <w:p w14:paraId="70A9E37F">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标准要求</w:t>
                  </w:r>
                </w:p>
              </w:tc>
            </w:tr>
            <w:tr w14:paraId="4FD15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tcBorders>
                    <w:left w:val="single" w:color="auto" w:sz="4" w:space="0"/>
                    <w:right w:val="single" w:color="auto" w:sz="4" w:space="0"/>
                  </w:tcBorders>
                  <w:vAlign w:val="center"/>
                </w:tcPr>
                <w:p w14:paraId="71C52DF1">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p>
              </w:tc>
              <w:tc>
                <w:tcPr>
                  <w:tcW w:w="1307" w:type="dxa"/>
                  <w:tcBorders>
                    <w:top w:val="single" w:color="auto" w:sz="4" w:space="0"/>
                    <w:left w:val="single" w:color="auto" w:sz="4" w:space="0"/>
                    <w:bottom w:val="single" w:color="auto" w:sz="4" w:space="0"/>
                    <w:right w:val="single" w:color="auto" w:sz="4" w:space="0"/>
                  </w:tcBorders>
                  <w:vAlign w:val="center"/>
                </w:tcPr>
                <w:p w14:paraId="34806B4A">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监测布点</w:t>
                  </w:r>
                </w:p>
              </w:tc>
              <w:tc>
                <w:tcPr>
                  <w:tcW w:w="2172" w:type="dxa"/>
                  <w:tcBorders>
                    <w:top w:val="single" w:color="auto" w:sz="4" w:space="0"/>
                    <w:left w:val="single" w:color="auto" w:sz="4" w:space="0"/>
                    <w:bottom w:val="single" w:color="auto" w:sz="4" w:space="0"/>
                    <w:right w:val="single" w:color="auto" w:sz="4" w:space="0"/>
                  </w:tcBorders>
                  <w:vAlign w:val="center"/>
                </w:tcPr>
                <w:p w14:paraId="5D4DBDE1">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监测项目</w:t>
                  </w:r>
                </w:p>
              </w:tc>
              <w:tc>
                <w:tcPr>
                  <w:tcW w:w="1511" w:type="dxa"/>
                  <w:tcBorders>
                    <w:top w:val="single" w:color="auto" w:sz="4" w:space="0"/>
                    <w:left w:val="single" w:color="auto" w:sz="4" w:space="0"/>
                    <w:bottom w:val="single" w:color="auto" w:sz="4" w:space="0"/>
                    <w:right w:val="single" w:color="auto" w:sz="4" w:space="0"/>
                  </w:tcBorders>
                  <w:vAlign w:val="center"/>
                </w:tcPr>
                <w:p w14:paraId="0A7A3A22">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监测周期与频率</w:t>
                  </w:r>
                </w:p>
              </w:tc>
              <w:tc>
                <w:tcPr>
                  <w:tcW w:w="3127" w:type="dxa"/>
                  <w:vMerge w:val="continue"/>
                  <w:tcBorders>
                    <w:left w:val="single" w:color="auto" w:sz="4" w:space="0"/>
                    <w:right w:val="single" w:color="auto" w:sz="4" w:space="0"/>
                  </w:tcBorders>
                  <w:vAlign w:val="center"/>
                </w:tcPr>
                <w:p w14:paraId="0E14D237">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p>
              </w:tc>
            </w:tr>
            <w:tr w14:paraId="6ECFC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675" w:type="dxa"/>
                  <w:vMerge w:val="restart"/>
                  <w:tcBorders>
                    <w:left w:val="single" w:color="auto" w:sz="4" w:space="0"/>
                    <w:right w:val="single" w:color="auto" w:sz="4" w:space="0"/>
                  </w:tcBorders>
                  <w:vAlign w:val="center"/>
                </w:tcPr>
                <w:p w14:paraId="2C861F47">
                  <w:pPr>
                    <w:pStyle w:val="126"/>
                    <w:spacing w:line="240" w:lineRule="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废气</w:t>
                  </w:r>
                </w:p>
              </w:tc>
              <w:tc>
                <w:tcPr>
                  <w:tcW w:w="1307" w:type="dxa"/>
                  <w:tcBorders>
                    <w:top w:val="single" w:color="auto" w:sz="4" w:space="0"/>
                    <w:left w:val="single" w:color="auto" w:sz="4" w:space="0"/>
                    <w:right w:val="single" w:color="auto" w:sz="4" w:space="0"/>
                  </w:tcBorders>
                  <w:vAlign w:val="center"/>
                </w:tcPr>
                <w:p w14:paraId="306AA150">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DA001</w:t>
                  </w:r>
                </w:p>
              </w:tc>
              <w:tc>
                <w:tcPr>
                  <w:tcW w:w="2172" w:type="dxa"/>
                  <w:tcBorders>
                    <w:top w:val="single" w:color="auto" w:sz="4" w:space="0"/>
                    <w:left w:val="single" w:color="auto" w:sz="4" w:space="0"/>
                    <w:right w:val="single" w:color="auto" w:sz="4" w:space="0"/>
                  </w:tcBorders>
                  <w:vAlign w:val="center"/>
                </w:tcPr>
                <w:p w14:paraId="7DC27FC5">
                  <w:pPr>
                    <w:pStyle w:val="126"/>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VOCs</w:t>
                  </w:r>
                </w:p>
              </w:tc>
              <w:tc>
                <w:tcPr>
                  <w:tcW w:w="1511" w:type="dxa"/>
                  <w:tcBorders>
                    <w:top w:val="single" w:color="auto" w:sz="4" w:space="0"/>
                    <w:left w:val="single" w:color="auto" w:sz="4" w:space="0"/>
                    <w:right w:val="single" w:color="auto" w:sz="4" w:space="0"/>
                  </w:tcBorders>
                  <w:vAlign w:val="center"/>
                </w:tcPr>
                <w:p w14:paraId="29AC9A02">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1次/</w:t>
                  </w:r>
                  <w:r>
                    <w:rPr>
                      <w:rFonts w:hint="eastAsia" w:cs="Times New Roman"/>
                      <w:color w:val="000000" w:themeColor="text1"/>
                      <w:szCs w:val="21"/>
                      <w:lang w:val="en-US" w:eastAsia="zh-CN"/>
                      <w14:textFill>
                        <w14:solidFill>
                          <w14:schemeClr w14:val="tx1"/>
                        </w14:solidFill>
                      </w14:textFill>
                    </w:rPr>
                    <w:t>半</w:t>
                  </w:r>
                  <w:r>
                    <w:rPr>
                      <w:rFonts w:hint="default" w:ascii="Times New Roman" w:hAnsi="Times New Roman" w:eastAsia="宋体" w:cs="Times New Roman"/>
                      <w:color w:val="000000" w:themeColor="text1"/>
                      <w:szCs w:val="21"/>
                      <w14:textFill>
                        <w14:solidFill>
                          <w14:schemeClr w14:val="tx1"/>
                        </w14:solidFill>
                      </w14:textFill>
                    </w:rPr>
                    <w:t>年</w:t>
                  </w:r>
                </w:p>
              </w:tc>
              <w:tc>
                <w:tcPr>
                  <w:tcW w:w="3127" w:type="dxa"/>
                  <w:tcBorders>
                    <w:left w:val="single" w:color="auto" w:sz="4" w:space="0"/>
                    <w:right w:val="single" w:color="auto" w:sz="4" w:space="0"/>
                  </w:tcBorders>
                  <w:vAlign w:val="center"/>
                </w:tcPr>
                <w:p w14:paraId="5D9D18DD">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《挥发性有机物排放标准 第6部分：有机化工行业》（DB37/2801.6-2018）表1中其他行业Ⅱ时段排放限值</w:t>
                  </w:r>
                </w:p>
              </w:tc>
            </w:tr>
            <w:tr w14:paraId="23763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tcBorders>
                    <w:left w:val="single" w:color="auto" w:sz="4" w:space="0"/>
                    <w:right w:val="single" w:color="auto" w:sz="4" w:space="0"/>
                  </w:tcBorders>
                  <w:vAlign w:val="center"/>
                </w:tcPr>
                <w:p w14:paraId="13A7D22A">
                  <w:pPr>
                    <w:pStyle w:val="126"/>
                    <w:spacing w:line="240" w:lineRule="auto"/>
                    <w:rPr>
                      <w:rFonts w:hint="default" w:ascii="Times New Roman" w:hAnsi="Times New Roman" w:eastAsia="宋体" w:cs="Times New Roman"/>
                      <w:color w:val="000000" w:themeColor="text1"/>
                      <w14:textFill>
                        <w14:solidFill>
                          <w14:schemeClr w14:val="tx1"/>
                        </w14:solidFill>
                      </w14:textFill>
                    </w:rPr>
                  </w:pPr>
                </w:p>
              </w:tc>
              <w:tc>
                <w:tcPr>
                  <w:tcW w:w="1307" w:type="dxa"/>
                  <w:tcBorders>
                    <w:left w:val="single" w:color="auto" w:sz="4" w:space="0"/>
                    <w:right w:val="single" w:color="auto" w:sz="4" w:space="0"/>
                  </w:tcBorders>
                  <w:vAlign w:val="center"/>
                </w:tcPr>
                <w:p w14:paraId="4CCA353B">
                  <w:pPr>
                    <w:pStyle w:val="126"/>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厂界</w:t>
                  </w:r>
                </w:p>
              </w:tc>
              <w:tc>
                <w:tcPr>
                  <w:tcW w:w="2172" w:type="dxa"/>
                  <w:tcBorders>
                    <w:top w:val="single" w:color="auto" w:sz="4" w:space="0"/>
                    <w:left w:val="single" w:color="auto" w:sz="4" w:space="0"/>
                    <w:bottom w:val="single" w:color="auto" w:sz="4" w:space="0"/>
                    <w:right w:val="single" w:color="auto" w:sz="4" w:space="0"/>
                  </w:tcBorders>
                  <w:shd w:val="clear" w:color="auto" w:fill="auto"/>
                  <w:vAlign w:val="center"/>
                </w:tcPr>
                <w:p w14:paraId="580365BA">
                  <w:pPr>
                    <w:pStyle w:val="126"/>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VOCs</w:t>
                  </w:r>
                </w:p>
              </w:tc>
              <w:tc>
                <w:tcPr>
                  <w:tcW w:w="1511" w:type="dxa"/>
                  <w:tcBorders>
                    <w:left w:val="single" w:color="auto" w:sz="4" w:space="0"/>
                    <w:right w:val="single" w:color="auto" w:sz="4" w:space="0"/>
                  </w:tcBorders>
                  <w:shd w:val="clear" w:color="auto" w:fill="auto"/>
                  <w:vAlign w:val="center"/>
                </w:tcPr>
                <w:p w14:paraId="31F256C7">
                  <w:pPr>
                    <w:pStyle w:val="126"/>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1次/</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半年</w:t>
                  </w:r>
                </w:p>
              </w:tc>
              <w:tc>
                <w:tcPr>
                  <w:tcW w:w="3127" w:type="dxa"/>
                  <w:tcBorders>
                    <w:left w:val="single" w:color="auto" w:sz="4" w:space="0"/>
                    <w:right w:val="single" w:color="auto" w:sz="4" w:space="0"/>
                  </w:tcBorders>
                  <w:shd w:val="clear" w:color="auto" w:fill="auto"/>
                  <w:vAlign w:val="center"/>
                </w:tcPr>
                <w:p w14:paraId="01C1244D">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《挥发性有机物排放标准 第6部分：有机化工行业》（DB37/2801.6-2018）表3厂界监控点浓度限值</w:t>
                  </w:r>
                </w:p>
              </w:tc>
            </w:tr>
          </w:tbl>
          <w:p w14:paraId="2CDC6928">
            <w:pPr>
              <w:widowControl/>
              <w:spacing w:line="360" w:lineRule="auto"/>
              <w:ind w:firstLine="482" w:firstLineChars="200"/>
              <w:jc w:val="left"/>
              <w:rPr>
                <w:rFonts w:hint="default" w:ascii="Times New Roman" w:hAnsi="Times New Roman" w:eastAsia="宋体" w:cs="Times New Roman"/>
                <w:b/>
                <w:bCs/>
                <w:color w:val="000000" w:themeColor="text1"/>
                <w:kern w:val="0"/>
                <w:sz w:val="24"/>
                <w:lang w:bidi="ar"/>
                <w14:textFill>
                  <w14:solidFill>
                    <w14:schemeClr w14:val="tx1"/>
                  </w14:solidFill>
                </w14:textFill>
              </w:rPr>
            </w:pPr>
            <w:r>
              <w:rPr>
                <w:rFonts w:hint="default" w:ascii="Times New Roman" w:hAnsi="Times New Roman" w:eastAsia="宋体" w:cs="Times New Roman"/>
                <w:b/>
                <w:bCs/>
                <w:color w:val="000000" w:themeColor="text1"/>
                <w:kern w:val="0"/>
                <w:sz w:val="24"/>
                <w:lang w:bidi="ar"/>
                <w14:textFill>
                  <w14:solidFill>
                    <w14:schemeClr w14:val="tx1"/>
                  </w14:solidFill>
                </w14:textFill>
              </w:rPr>
              <w:t>1.5污染防治技术可行性分析</w:t>
            </w:r>
          </w:p>
          <w:p w14:paraId="057AF5EB">
            <w:pPr>
              <w:widowControl/>
              <w:spacing w:line="360" w:lineRule="auto"/>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本项目产生的废气主要为</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，参考《排污许可证申请与核发技术规范橡胶和塑料制品工业》（</w:t>
            </w:r>
            <w:r>
              <w:rPr>
                <w:rFonts w:hint="default" w:ascii="Times New Roman" w:hAnsi="Times New Roman" w:eastAsia="宋体" w:cs="Times New Roman"/>
                <w:color w:val="000000" w:themeColor="text1"/>
                <w:sz w:val="24"/>
                <w:lang w:val="en-US" w:eastAsia="zh-CN"/>
                <w14:textFill>
                  <w14:solidFill>
                    <w14:schemeClr w14:val="tx1"/>
                  </w14:solidFill>
                </w14:textFill>
              </w:rPr>
              <w:t>HJ 1122-2020</w:t>
            </w:r>
            <w:r>
              <w:rPr>
                <w:rFonts w:hint="eastAsia" w:ascii="Times New Roman" w:hAnsi="Times New Roman" w:eastAsia="宋体" w:cs="Times New Roman"/>
                <w:color w:val="000000" w:themeColor="text1"/>
                <w:sz w:val="24"/>
                <w:lang w:val="en-US" w:eastAsia="zh-CN"/>
                <w14:textFill>
                  <w14:solidFill>
                    <w14:schemeClr w14:val="tx1"/>
                  </w14:solidFill>
                </w14:textFill>
              </w:rPr>
              <w:t>）附录</w:t>
            </w:r>
            <w:r>
              <w:rPr>
                <w:rFonts w:hint="default" w:ascii="Times New Roman" w:hAnsi="Times New Roman" w:eastAsia="宋体" w:cs="Times New Roman"/>
                <w:color w:val="000000" w:themeColor="text1"/>
                <w:sz w:val="24"/>
                <w:lang w:val="en-US" w:eastAsia="zh-CN"/>
                <w14:textFill>
                  <w14:solidFill>
                    <w14:schemeClr w14:val="tx1"/>
                  </w14:solidFill>
                </w14:textFill>
              </w:rPr>
              <w:t>A</w:t>
            </w:r>
            <w:r>
              <w:rPr>
                <w:rFonts w:hint="eastAsia" w:ascii="Times New Roman" w:hAnsi="Times New Roman" w:eastAsia="宋体" w:cs="Times New Roman"/>
                <w:color w:val="000000" w:themeColor="text1"/>
                <w:sz w:val="24"/>
                <w:lang w:val="en-US" w:eastAsia="zh-CN"/>
                <w14:textFill>
                  <w14:solidFill>
                    <w14:schemeClr w14:val="tx1"/>
                  </w14:solidFill>
                </w14:textFill>
              </w:rPr>
              <w:t>中的“表</w:t>
            </w:r>
            <w:r>
              <w:rPr>
                <w:rFonts w:hint="default" w:ascii="Times New Roman" w:hAnsi="Times New Roman" w:eastAsia="宋体" w:cs="Times New Roman"/>
                <w:color w:val="000000" w:themeColor="text1"/>
                <w:sz w:val="24"/>
                <w:lang w:val="en-US" w:eastAsia="zh-CN"/>
                <w14:textFill>
                  <w14:solidFill>
                    <w14:schemeClr w14:val="tx1"/>
                  </w14:solidFill>
                </w14:textFill>
              </w:rPr>
              <w:t>A.2</w:t>
            </w:r>
            <w:r>
              <w:rPr>
                <w:rFonts w:hint="eastAsia" w:ascii="Times New Roman" w:hAnsi="Times New Roman" w:eastAsia="宋体" w:cs="Times New Roman"/>
                <w:color w:val="000000" w:themeColor="text1"/>
                <w:sz w:val="24"/>
                <w:lang w:val="en-US" w:eastAsia="zh-CN"/>
                <w14:textFill>
                  <w14:solidFill>
                    <w14:schemeClr w14:val="tx1"/>
                  </w14:solidFill>
                </w14:textFill>
              </w:rPr>
              <w:t>塑料制品工业排污单位废气污染防治可行技术参考表”，</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eastAsia" w:ascii="Times New Roman" w:hAnsi="Times New Roman" w:eastAsia="宋体" w:cs="Times New Roman"/>
                <w:color w:val="000000" w:themeColor="text1"/>
                <w:sz w:val="24"/>
                <w:lang w:val="en-US" w:eastAsia="zh-CN"/>
                <w14:textFill>
                  <w14:solidFill>
                    <w14:schemeClr w14:val="tx1"/>
                  </w14:solidFill>
                </w14:textFill>
              </w:rPr>
              <w:t>的防治可行技术包括：喷淋；吸附；吸附浓缩</w:t>
            </w:r>
            <w:r>
              <w:rPr>
                <w:rFonts w:hint="default" w:ascii="Times New Roman" w:hAnsi="Times New Roman" w:eastAsia="宋体" w:cs="Times New Roman"/>
                <w:color w:val="000000" w:themeColor="text1"/>
                <w:sz w:val="24"/>
                <w:lang w:val="en-US"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热力燃烧</w:t>
            </w:r>
            <w:r>
              <w:rPr>
                <w:rFonts w:hint="default" w:ascii="Times New Roman" w:hAnsi="Times New Roman" w:eastAsia="宋体" w:cs="Times New Roman"/>
                <w:color w:val="000000" w:themeColor="text1"/>
                <w:sz w:val="24"/>
                <w:lang w:val="en-US"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催化燃烧。</w:t>
            </w:r>
          </w:p>
          <w:p w14:paraId="1EBAE9F7">
            <w:pPr>
              <w:widowControl/>
              <w:spacing w:line="360" w:lineRule="auto"/>
              <w:ind w:firstLine="480" w:firstLineChars="200"/>
              <w:jc w:val="left"/>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本项目所使用的有机废气污染防治技术为“二级活性炭吸附”，属于上述技术规范中的可行性技术，因此本项目所使用的废气污染防治技术是可行的。</w:t>
            </w:r>
          </w:p>
          <w:p w14:paraId="38232AC8">
            <w:pPr>
              <w:widowControl/>
              <w:spacing w:line="360" w:lineRule="auto"/>
              <w:ind w:firstLine="482" w:firstLineChars="200"/>
              <w:jc w:val="left"/>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1.6非正常排放</w:t>
            </w:r>
          </w:p>
          <w:p w14:paraId="382D086F">
            <w:pPr>
              <w:adjustRightInd w:val="0"/>
              <w:snapToGrid w:val="0"/>
              <w:spacing w:line="360" w:lineRule="auto"/>
              <w:ind w:firstLine="480" w:firstLineChars="200"/>
              <w:jc w:val="left"/>
              <w:rPr>
                <w:rFonts w:hint="default" w:ascii="Times New Roman" w:hAnsi="Times New Roman" w:eastAsia="宋体" w:cs="Times New Roman"/>
                <w:color w:val="000000" w:themeColor="text1"/>
                <w:kern w:val="0"/>
                <w:sz w:val="24"/>
                <w14:textFill>
                  <w14:solidFill>
                    <w14:schemeClr w14:val="tx1"/>
                  </w14:solidFill>
                </w14:textFill>
              </w:rPr>
            </w:pPr>
            <w:r>
              <w:rPr>
                <w:rFonts w:hint="default" w:ascii="Times New Roman" w:hAnsi="Times New Roman" w:eastAsia="宋体" w:cs="Times New Roman"/>
                <w:color w:val="000000" w:themeColor="text1"/>
                <w:kern w:val="0"/>
                <w:sz w:val="24"/>
                <w14:textFill>
                  <w14:solidFill>
                    <w14:schemeClr w14:val="tx1"/>
                  </w14:solidFill>
                </w14:textFill>
              </w:rPr>
              <w:t>非正常排放主要是指生产过程中开、停车、检修、工艺设备运转异常等非正常工况下的污染物排放，以及污染物排放控制措施达不到应有效率等情况下的排放。发生故障情况下污染物的排放，不包括事故。非正常排放大小及频率与生产装置的工艺水平、操作管理水平等因素有密切关系，若没有严格的处理措施，往往是造成污染的重要因素。</w:t>
            </w:r>
          </w:p>
          <w:p w14:paraId="32A952A2">
            <w:pPr>
              <w:adjustRightInd w:val="0"/>
              <w:snapToGrid w:val="0"/>
              <w:spacing w:line="360" w:lineRule="auto"/>
              <w:ind w:firstLine="480" w:firstLineChars="200"/>
              <w:jc w:val="left"/>
              <w:rPr>
                <w:rFonts w:hint="default" w:ascii="Times New Roman" w:hAnsi="Times New Roman" w:eastAsia="宋体" w:cs="Times New Roman"/>
                <w:color w:val="000000" w:themeColor="text1"/>
                <w:kern w:val="0"/>
                <w:sz w:val="24"/>
                <w14:textFill>
                  <w14:solidFill>
                    <w14:schemeClr w14:val="tx1"/>
                  </w14:solidFill>
                </w14:textFill>
              </w:rPr>
            </w:pPr>
            <w:r>
              <w:rPr>
                <w:rFonts w:hint="eastAsia" w:cs="Times New Roman"/>
                <w:color w:val="000000" w:themeColor="text1"/>
                <w:kern w:val="0"/>
                <w:sz w:val="24"/>
                <w:lang w:eastAsia="zh-CN"/>
                <w14:textFill>
                  <w14:solidFill>
                    <w14:schemeClr w14:val="tx1"/>
                  </w14:solidFill>
                </w14:textFill>
              </w:rPr>
              <w:t>本项目</w:t>
            </w:r>
            <w:r>
              <w:rPr>
                <w:rFonts w:hint="default" w:ascii="Times New Roman" w:hAnsi="Times New Roman" w:eastAsia="宋体" w:cs="Times New Roman"/>
                <w:color w:val="000000" w:themeColor="text1"/>
                <w:kern w:val="0"/>
                <w:sz w:val="24"/>
                <w14:textFill>
                  <w14:solidFill>
                    <w14:schemeClr w14:val="tx1"/>
                  </w14:solidFill>
                </w14:textFill>
              </w:rPr>
              <w:t>各生产环节独立运行，开停车、设备检修以及工艺设备运转异常等情况下不会造成本项目废气污染物非正常排放，因此本项目非正常工况考虑废气处理措施达不到应有效率的情况下的污染物排放。</w:t>
            </w:r>
          </w:p>
          <w:p w14:paraId="24D3CF32">
            <w:pPr>
              <w:widowControl/>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有组织废气出现的非正常工况主要是</w:t>
            </w:r>
            <w:r>
              <w:rPr>
                <w:rFonts w:hint="default" w:ascii="Times New Roman" w:hAnsi="Times New Roman" w:eastAsia="宋体" w:cs="Times New Roman"/>
                <w:color w:val="000000" w:themeColor="text1"/>
                <w:szCs w:val="21"/>
                <w:lang w:val="en-US" w:eastAsia="zh-CN"/>
                <w14:textFill>
                  <w14:solidFill>
                    <w14:schemeClr w14:val="tx1"/>
                  </w14:solidFill>
                </w14:textFill>
              </w:rPr>
              <w:t>VOCs</w:t>
            </w:r>
            <w:r>
              <w:rPr>
                <w:rFonts w:hint="default" w:ascii="Times New Roman" w:hAnsi="Times New Roman" w:eastAsia="宋体" w:cs="Times New Roman"/>
                <w:color w:val="000000" w:themeColor="text1"/>
                <w:sz w:val="24"/>
                <w14:textFill>
                  <w14:solidFill>
                    <w14:schemeClr w14:val="tx1"/>
                  </w14:solidFill>
                </w14:textFill>
              </w:rPr>
              <w:t>非正常排放，主要可能原因为</w:t>
            </w:r>
            <w:r>
              <w:rPr>
                <w:rFonts w:hint="eastAsia" w:ascii="Times New Roman" w:hAnsi="Times New Roman" w:eastAsia="宋体" w:cs="Times New Roman"/>
                <w:color w:val="000000" w:themeColor="text1"/>
                <w:sz w:val="24"/>
                <w:lang w:val="en-US" w:eastAsia="zh-CN"/>
                <w14:textFill>
                  <w14:solidFill>
                    <w14:schemeClr w14:val="tx1"/>
                  </w14:solidFill>
                </w14:textFill>
              </w:rPr>
              <w:t>二级活性炭吸附</w:t>
            </w:r>
            <w:r>
              <w:rPr>
                <w:rFonts w:hint="eastAsia" w:cs="Times New Roman"/>
                <w:color w:val="000000" w:themeColor="text1"/>
                <w:sz w:val="24"/>
                <w:lang w:val="en-US" w:eastAsia="zh-CN"/>
                <w14:textFill>
                  <w14:solidFill>
                    <w14:schemeClr w14:val="tx1"/>
                  </w14:solidFill>
                </w14:textFill>
              </w:rPr>
              <w:t>装置故障</w:t>
            </w:r>
            <w:r>
              <w:rPr>
                <w:rFonts w:hint="default" w:ascii="Times New Roman" w:hAnsi="Times New Roman" w:eastAsia="宋体" w:cs="Times New Roman"/>
                <w:color w:val="000000" w:themeColor="text1"/>
                <w:sz w:val="24"/>
                <w14:textFill>
                  <w14:solidFill>
                    <w14:schemeClr w14:val="tx1"/>
                  </w14:solidFill>
                </w14:textFill>
              </w:rPr>
              <w:t>，当项目废气处理系统发生故障时，会导致废气处理效</w:t>
            </w:r>
            <w:r>
              <w:rPr>
                <w:rFonts w:hint="default" w:ascii="Times New Roman" w:hAnsi="Times New Roman" w:eastAsia="宋体" w:cs="Times New Roman"/>
                <w:color w:val="000000" w:themeColor="text1"/>
                <w:kern w:val="0"/>
                <w:sz w:val="24"/>
                <w14:textFill>
                  <w14:solidFill>
                    <w14:schemeClr w14:val="tx1"/>
                  </w14:solidFill>
                </w14:textFill>
              </w:rPr>
              <w:t>率降低甚至失效，排放的废气污染物浓度上升，会对周围环境造成影响。生产中一旦出现故障时，应立即进行维修，如果30分钟内不能排除故障，应立即停车，消除故障后再生产，按照最不利情况考虑，</w:t>
            </w:r>
            <w:r>
              <w:rPr>
                <w:rFonts w:hint="eastAsia" w:ascii="Times New Roman" w:hAnsi="Times New Roman" w:eastAsia="宋体" w:cs="Times New Roman"/>
                <w:color w:val="000000" w:themeColor="text1"/>
                <w:sz w:val="24"/>
                <w:lang w:val="en-US" w:eastAsia="zh-CN"/>
                <w14:textFill>
                  <w14:solidFill>
                    <w14:schemeClr w14:val="tx1"/>
                  </w14:solidFill>
                </w14:textFill>
              </w:rPr>
              <w:t>二级活性炭吸附</w:t>
            </w:r>
            <w:r>
              <w:rPr>
                <w:rFonts w:hint="eastAsia" w:cs="Times New Roman"/>
                <w:color w:val="000000" w:themeColor="text1"/>
                <w:sz w:val="24"/>
                <w:lang w:val="en-US" w:eastAsia="zh-CN"/>
                <w14:textFill>
                  <w14:solidFill>
                    <w14:schemeClr w14:val="tx1"/>
                  </w14:solidFill>
                </w14:textFill>
              </w:rPr>
              <w:t>装置</w:t>
            </w:r>
            <w:r>
              <w:rPr>
                <w:rFonts w:hint="eastAsia" w:cs="Times New Roman"/>
                <w:color w:val="000000" w:themeColor="text1"/>
                <w:kern w:val="0"/>
                <w:sz w:val="24"/>
                <w:lang w:val="en-US" w:eastAsia="zh-CN"/>
                <w14:textFill>
                  <w14:solidFill>
                    <w14:schemeClr w14:val="tx1"/>
                  </w14:solidFill>
                </w14:textFill>
              </w:rPr>
              <w:t>故障</w:t>
            </w:r>
            <w:r>
              <w:rPr>
                <w:rFonts w:hint="default" w:ascii="Times New Roman" w:hAnsi="Times New Roman" w:eastAsia="宋体" w:cs="Times New Roman"/>
                <w:color w:val="000000" w:themeColor="text1"/>
                <w:kern w:val="0"/>
                <w:sz w:val="24"/>
                <w14:textFill>
                  <w14:solidFill>
                    <w14:schemeClr w14:val="tx1"/>
                  </w14:solidFill>
                </w14:textFill>
              </w:rPr>
              <w:t>，处理效率为</w:t>
            </w:r>
            <w:r>
              <w:rPr>
                <w:rFonts w:hint="eastAsia" w:cs="Times New Roman"/>
                <w:color w:val="000000" w:themeColor="text1"/>
                <w:kern w:val="0"/>
                <w:sz w:val="24"/>
                <w:lang w:val="en-US" w:eastAsia="zh-CN"/>
                <w14:textFill>
                  <w14:solidFill>
                    <w14:schemeClr w14:val="tx1"/>
                  </w14:solidFill>
                </w14:textFill>
              </w:rPr>
              <w:t>0</w:t>
            </w:r>
            <w:r>
              <w:rPr>
                <w:rFonts w:hint="default" w:ascii="Times New Roman" w:hAnsi="Times New Roman" w:eastAsia="宋体" w:cs="Times New Roman"/>
                <w:color w:val="000000" w:themeColor="text1"/>
                <w:kern w:val="0"/>
                <w:sz w:val="24"/>
                <w14:textFill>
                  <w14:solidFill>
                    <w14:schemeClr w14:val="tx1"/>
                  </w14:solidFill>
                </w14:textFill>
              </w:rPr>
              <w:t>的情况，在发生上述事故时，各废气的排放速率、排放浓度情况见下表。</w:t>
            </w:r>
          </w:p>
          <w:p w14:paraId="6CC0696F">
            <w:pPr>
              <w:pStyle w:val="127"/>
              <w:spacing w:line="240" w:lineRule="auto"/>
              <w:ind w:firstLine="422"/>
              <w:jc w:val="center"/>
              <w:rPr>
                <w:rFonts w:hint="default" w:ascii="Times New Roman" w:hAnsi="Times New Roman" w:eastAsia="宋体" w:cs="Times New Roman"/>
                <w:b/>
                <w:snapToGrid/>
                <w:color w:val="000000" w:themeColor="text1"/>
                <w:kern w:val="2"/>
                <w:sz w:val="21"/>
                <w14:textFill>
                  <w14:solidFill>
                    <w14:schemeClr w14:val="tx1"/>
                  </w14:solidFill>
                </w14:textFill>
              </w:rPr>
            </w:pPr>
            <w:r>
              <w:rPr>
                <w:rFonts w:hint="default" w:ascii="Times New Roman" w:hAnsi="Times New Roman" w:eastAsia="宋体" w:cs="Times New Roman"/>
                <w:b/>
                <w:snapToGrid/>
                <w:color w:val="000000" w:themeColor="text1"/>
                <w:kern w:val="2"/>
                <w:sz w:val="21"/>
                <w14:textFill>
                  <w14:solidFill>
                    <w14:schemeClr w14:val="tx1"/>
                  </w14:solidFill>
                </w14:textFill>
              </w:rPr>
              <w:t>表4-</w:t>
            </w:r>
            <w:r>
              <w:rPr>
                <w:rFonts w:hint="eastAsia" w:cs="Times New Roman"/>
                <w:b/>
                <w:snapToGrid/>
                <w:color w:val="000000" w:themeColor="text1"/>
                <w:kern w:val="2"/>
                <w:sz w:val="21"/>
                <w:lang w:val="en-US" w:eastAsia="zh-CN"/>
                <w14:textFill>
                  <w14:solidFill>
                    <w14:schemeClr w14:val="tx1"/>
                  </w14:solidFill>
                </w14:textFill>
              </w:rPr>
              <w:t xml:space="preserve">9 </w:t>
            </w:r>
            <w:r>
              <w:rPr>
                <w:rFonts w:hint="default" w:ascii="Times New Roman" w:hAnsi="Times New Roman" w:eastAsia="宋体" w:cs="Times New Roman"/>
                <w:b/>
                <w:snapToGrid/>
                <w:color w:val="000000" w:themeColor="text1"/>
                <w:kern w:val="2"/>
                <w:sz w:val="21"/>
                <w14:textFill>
                  <w14:solidFill>
                    <w14:schemeClr w14:val="tx1"/>
                  </w14:solidFill>
                </w14:textFill>
              </w:rPr>
              <w:t>废气非正常工况排放量核算一览表</w:t>
            </w:r>
          </w:p>
          <w:tbl>
            <w:tblPr>
              <w:tblStyle w:val="38"/>
              <w:tblW w:w="4932"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352"/>
              <w:gridCol w:w="854"/>
              <w:gridCol w:w="1370"/>
              <w:gridCol w:w="644"/>
              <w:gridCol w:w="945"/>
              <w:gridCol w:w="885"/>
              <w:gridCol w:w="705"/>
              <w:gridCol w:w="750"/>
              <w:gridCol w:w="690"/>
              <w:gridCol w:w="1616"/>
            </w:tblGrid>
            <w:tr w14:paraId="286DBF7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9" w:type="pct"/>
                  <w:vAlign w:val="center"/>
                </w:tcPr>
                <w:p w14:paraId="1F271ECB">
                  <w:pPr>
                    <w:widowControl/>
                    <w:adjustRightInd w:val="0"/>
                    <w:snapToGrid w:val="0"/>
                    <w:ind w:left="-105" w:leftChars="-50" w:right="-105" w:rightChars="-50"/>
                    <w:jc w:val="center"/>
                    <w:textAlignment w:val="baseline"/>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序号</w:t>
                  </w:r>
                </w:p>
              </w:tc>
              <w:tc>
                <w:tcPr>
                  <w:tcW w:w="484" w:type="pct"/>
                  <w:vAlign w:val="center"/>
                </w:tcPr>
                <w:p w14:paraId="1D271FFD">
                  <w:pPr>
                    <w:widowControl/>
                    <w:adjustRightInd w:val="0"/>
                    <w:snapToGrid w:val="0"/>
                    <w:ind w:left="-105" w:leftChars="-50" w:right="-105" w:rightChars="-50"/>
                    <w:jc w:val="center"/>
                    <w:textAlignment w:val="baseline"/>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污染源</w:t>
                  </w:r>
                </w:p>
              </w:tc>
              <w:tc>
                <w:tcPr>
                  <w:tcW w:w="777" w:type="pct"/>
                  <w:vAlign w:val="center"/>
                </w:tcPr>
                <w:p w14:paraId="6807D4E2">
                  <w:pPr>
                    <w:widowControl/>
                    <w:adjustRightInd w:val="0"/>
                    <w:snapToGrid w:val="0"/>
                    <w:ind w:left="-105" w:leftChars="-50" w:right="-105" w:rightChars="-50"/>
                    <w:jc w:val="center"/>
                    <w:textAlignment w:val="baseline"/>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非正常排放原因</w:t>
                  </w:r>
                </w:p>
              </w:tc>
              <w:tc>
                <w:tcPr>
                  <w:tcW w:w="365" w:type="pct"/>
                  <w:vAlign w:val="center"/>
                </w:tcPr>
                <w:p w14:paraId="0E5B6E67">
                  <w:pPr>
                    <w:widowControl/>
                    <w:adjustRightInd w:val="0"/>
                    <w:snapToGrid w:val="0"/>
                    <w:ind w:left="-105" w:leftChars="-50" w:right="-105" w:rightChars="-50"/>
                    <w:jc w:val="center"/>
                    <w:textAlignment w:val="baseline"/>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污染物</w:t>
                  </w:r>
                </w:p>
              </w:tc>
              <w:tc>
                <w:tcPr>
                  <w:tcW w:w="536" w:type="pct"/>
                  <w:vAlign w:val="center"/>
                </w:tcPr>
                <w:p w14:paraId="64A71D3D">
                  <w:pPr>
                    <w:widowControl/>
                    <w:adjustRightInd w:val="0"/>
                    <w:snapToGrid w:val="0"/>
                    <w:ind w:left="-105" w:leftChars="-50" w:right="-105" w:rightChars="-50"/>
                    <w:jc w:val="center"/>
                    <w:textAlignment w:val="baseline"/>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非正常排放浓度（mg/m</w:t>
                  </w:r>
                  <w:r>
                    <w:rPr>
                      <w:rFonts w:hint="default" w:ascii="Times New Roman" w:hAnsi="Times New Roman" w:eastAsia="宋体" w:cs="Times New Roman"/>
                      <w:b/>
                      <w:bCs/>
                      <w:color w:val="000000" w:themeColor="text1"/>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Cs w:val="21"/>
                      <w14:textFill>
                        <w14:solidFill>
                          <w14:schemeClr w14:val="tx1"/>
                        </w14:solidFill>
                      </w14:textFill>
                    </w:rPr>
                    <w:t>）</w:t>
                  </w:r>
                </w:p>
              </w:tc>
              <w:tc>
                <w:tcPr>
                  <w:tcW w:w="502" w:type="pct"/>
                  <w:vAlign w:val="center"/>
                </w:tcPr>
                <w:p w14:paraId="7A19935C">
                  <w:pPr>
                    <w:widowControl/>
                    <w:adjustRightInd w:val="0"/>
                    <w:snapToGrid w:val="0"/>
                    <w:ind w:left="-105" w:leftChars="-50" w:right="-105" w:rightChars="-50"/>
                    <w:jc w:val="center"/>
                    <w:textAlignment w:val="baseline"/>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非正常排放速率（kg/h）</w:t>
                  </w:r>
                </w:p>
              </w:tc>
              <w:tc>
                <w:tcPr>
                  <w:tcW w:w="400" w:type="pct"/>
                  <w:vAlign w:val="center"/>
                </w:tcPr>
                <w:p w14:paraId="2F2A2CA4">
                  <w:pPr>
                    <w:widowControl/>
                    <w:adjustRightInd w:val="0"/>
                    <w:snapToGrid w:val="0"/>
                    <w:ind w:left="-105" w:leftChars="-50" w:right="-105" w:rightChars="-50"/>
                    <w:jc w:val="center"/>
                    <w:textAlignment w:val="baseline"/>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排放量</w:t>
                  </w:r>
                </w:p>
                <w:p w14:paraId="436E8CA1">
                  <w:pPr>
                    <w:widowControl/>
                    <w:adjustRightInd w:val="0"/>
                    <w:snapToGrid w:val="0"/>
                    <w:ind w:left="-105" w:leftChars="-50" w:right="-105" w:rightChars="-50"/>
                    <w:jc w:val="center"/>
                    <w:textAlignment w:val="baseline"/>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（kg/a）</w:t>
                  </w:r>
                </w:p>
              </w:tc>
              <w:tc>
                <w:tcPr>
                  <w:tcW w:w="425" w:type="pct"/>
                  <w:vAlign w:val="center"/>
                </w:tcPr>
                <w:p w14:paraId="42372755">
                  <w:pPr>
                    <w:widowControl/>
                    <w:adjustRightInd w:val="0"/>
                    <w:snapToGrid w:val="0"/>
                    <w:ind w:left="-105" w:leftChars="-50" w:right="-105" w:rightChars="-50"/>
                    <w:jc w:val="center"/>
                    <w:textAlignment w:val="baseline"/>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单次持续时间/min</w:t>
                  </w:r>
                </w:p>
              </w:tc>
              <w:tc>
                <w:tcPr>
                  <w:tcW w:w="391" w:type="pct"/>
                  <w:vAlign w:val="center"/>
                </w:tcPr>
                <w:p w14:paraId="58ECCBE8">
                  <w:pPr>
                    <w:widowControl/>
                    <w:adjustRightInd w:val="0"/>
                    <w:snapToGrid w:val="0"/>
                    <w:ind w:left="-105" w:leftChars="-50" w:right="-105" w:rightChars="-50"/>
                    <w:jc w:val="center"/>
                    <w:textAlignment w:val="baseline"/>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年发生频次/次</w:t>
                  </w:r>
                </w:p>
              </w:tc>
              <w:tc>
                <w:tcPr>
                  <w:tcW w:w="917" w:type="pct"/>
                  <w:vAlign w:val="center"/>
                </w:tcPr>
                <w:p w14:paraId="0F576FEE">
                  <w:pPr>
                    <w:widowControl/>
                    <w:adjustRightInd w:val="0"/>
                    <w:snapToGrid w:val="0"/>
                    <w:ind w:left="-105" w:leftChars="-50" w:right="-105" w:rightChars="-50"/>
                    <w:jc w:val="center"/>
                    <w:textAlignment w:val="baseline"/>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应对措施</w:t>
                  </w:r>
                </w:p>
              </w:tc>
            </w:tr>
            <w:tr w14:paraId="63FE207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9" w:type="pct"/>
                  <w:vAlign w:val="center"/>
                </w:tcPr>
                <w:p w14:paraId="15575FC6">
                  <w:pPr>
                    <w:widowControl/>
                    <w:adjustRightInd w:val="0"/>
                    <w:snapToGrid w:val="0"/>
                    <w:ind w:left="-105" w:leftChars="-50" w:right="-105" w:rightChars="-5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w:t>
                  </w:r>
                </w:p>
              </w:tc>
              <w:tc>
                <w:tcPr>
                  <w:tcW w:w="484" w:type="pct"/>
                  <w:vAlign w:val="center"/>
                </w:tcPr>
                <w:p w14:paraId="5401E819">
                  <w:pPr>
                    <w:widowControl/>
                    <w:adjustRightInd w:val="0"/>
                    <w:snapToGrid w:val="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DA001</w:t>
                  </w:r>
                </w:p>
              </w:tc>
              <w:tc>
                <w:tcPr>
                  <w:tcW w:w="777" w:type="pct"/>
                  <w:vAlign w:val="center"/>
                </w:tcPr>
                <w:p w14:paraId="6831F79F">
                  <w:pPr>
                    <w:widowControl/>
                    <w:adjustRightInd w:val="0"/>
                    <w:snapToGrid w:val="0"/>
                    <w:jc w:val="center"/>
                    <w:textAlignment w:val="baseline"/>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废气治理设施</w:t>
                  </w:r>
                  <w:r>
                    <w:rPr>
                      <w:rFonts w:hint="default" w:ascii="Times New Roman" w:hAnsi="Times New Roman" w:eastAsia="宋体" w:cs="Times New Roman"/>
                      <w:color w:val="000000" w:themeColor="text1"/>
                      <w:szCs w:val="21"/>
                      <w14:textFill>
                        <w14:solidFill>
                          <w14:schemeClr w14:val="tx1"/>
                        </w14:solidFill>
                      </w14:textFill>
                    </w:rPr>
                    <w:t>故障，去除率为</w:t>
                  </w:r>
                  <w:r>
                    <w:rPr>
                      <w:rFonts w:hint="eastAsia" w:ascii="Times New Roman" w:hAnsi="Times New Roman" w:eastAsia="宋体" w:cs="Times New Roman"/>
                      <w:color w:val="000000" w:themeColor="text1"/>
                      <w:szCs w:val="21"/>
                      <w:lang w:val="en-US" w:eastAsia="zh-CN"/>
                      <w14:textFill>
                        <w14:solidFill>
                          <w14:schemeClr w14:val="tx1"/>
                        </w14:solidFill>
                      </w14:textFill>
                    </w:rPr>
                    <w:t>0％</w:t>
                  </w:r>
                </w:p>
              </w:tc>
              <w:tc>
                <w:tcPr>
                  <w:tcW w:w="365" w:type="pct"/>
                  <w:vAlign w:val="center"/>
                </w:tcPr>
                <w:p w14:paraId="5FF58838">
                  <w:pPr>
                    <w:widowControl/>
                    <w:adjustRightInd w:val="0"/>
                    <w:snapToGrid w:val="0"/>
                    <w:ind w:left="-50"/>
                    <w:jc w:val="center"/>
                    <w:textAlignment w:val="baseline"/>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536" w:type="pct"/>
                  <w:shd w:val="clear" w:color="auto" w:fill="auto"/>
                  <w:vAlign w:val="center"/>
                </w:tcPr>
                <w:p w14:paraId="6977B70A">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26.7</w:t>
                  </w:r>
                </w:p>
              </w:tc>
              <w:tc>
                <w:tcPr>
                  <w:tcW w:w="502" w:type="pct"/>
                  <w:shd w:val="clear" w:color="auto" w:fill="auto"/>
                  <w:vAlign w:val="center"/>
                </w:tcPr>
                <w:p w14:paraId="30B5EDA6">
                  <w:pPr>
                    <w:pStyle w:val="2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0.32</w:t>
                  </w:r>
                </w:p>
              </w:tc>
              <w:tc>
                <w:tcPr>
                  <w:tcW w:w="400" w:type="pct"/>
                  <w:shd w:val="clear" w:color="auto" w:fill="auto"/>
                  <w:vAlign w:val="center"/>
                </w:tcPr>
                <w:p w14:paraId="735D071B">
                  <w:pPr>
                    <w:widowControl/>
                    <w:adjustRightInd w:val="0"/>
                    <w:snapToGrid w:val="0"/>
                    <w:ind w:left="-50"/>
                    <w:jc w:val="center"/>
                    <w:textAlignment w:val="baseline"/>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cs="Times New Roman"/>
                      <w:color w:val="000000" w:themeColor="text1"/>
                      <w:kern w:val="0"/>
                      <w:szCs w:val="21"/>
                      <w:lang w:val="en-US" w:eastAsia="zh-CN"/>
                      <w14:textFill>
                        <w14:solidFill>
                          <w14:schemeClr w14:val="tx1"/>
                        </w14:solidFill>
                      </w14:textFill>
                    </w:rPr>
                    <w:t>0.32</w:t>
                  </w:r>
                </w:p>
              </w:tc>
              <w:tc>
                <w:tcPr>
                  <w:tcW w:w="425" w:type="pct"/>
                  <w:vAlign w:val="center"/>
                </w:tcPr>
                <w:p w14:paraId="4E6ACC2D">
                  <w:pPr>
                    <w:widowControl/>
                    <w:adjustRightInd w:val="0"/>
                    <w:snapToGrid w:val="0"/>
                    <w:ind w:left="-50"/>
                    <w:jc w:val="center"/>
                    <w:textAlignment w:val="baseline"/>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30</w:t>
                  </w:r>
                </w:p>
              </w:tc>
              <w:tc>
                <w:tcPr>
                  <w:tcW w:w="391" w:type="pct"/>
                  <w:vAlign w:val="center"/>
                </w:tcPr>
                <w:p w14:paraId="7227B023">
                  <w:pPr>
                    <w:widowControl/>
                    <w:adjustRightInd w:val="0"/>
                    <w:snapToGrid w:val="0"/>
                    <w:ind w:left="-50"/>
                    <w:jc w:val="center"/>
                    <w:textAlignment w:val="baseline"/>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2</w:t>
                  </w:r>
                </w:p>
              </w:tc>
              <w:tc>
                <w:tcPr>
                  <w:tcW w:w="917" w:type="pct"/>
                  <w:vAlign w:val="center"/>
                </w:tcPr>
                <w:p w14:paraId="779D2E17">
                  <w:pPr>
                    <w:widowControl/>
                    <w:adjustRightInd w:val="0"/>
                    <w:snapToGrid w:val="0"/>
                    <w:ind w:left="-105" w:leftChars="-50" w:right="-105" w:rightChars="-50"/>
                    <w:jc w:val="center"/>
                    <w:textAlignment w:val="baseline"/>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专人负责，定期检查；发现故障立即停产检修</w:t>
                  </w:r>
                </w:p>
              </w:tc>
            </w:tr>
          </w:tbl>
          <w:p w14:paraId="406C55D1">
            <w:pPr>
              <w:widowControl/>
              <w:spacing w:line="360" w:lineRule="auto"/>
              <w:ind w:firstLine="480" w:firstLineChars="200"/>
              <w:rPr>
                <w:rFonts w:hint="default" w:ascii="Times New Roman" w:hAnsi="Times New Roman" w:eastAsia="宋体" w:cs="Times New Roman"/>
                <w:snapToGrid w:val="0"/>
                <w:color w:val="000000" w:themeColor="text1"/>
                <w:sz w:val="24"/>
                <w14:textFill>
                  <w14:solidFill>
                    <w14:schemeClr w14:val="tx1"/>
                  </w14:solidFill>
                </w14:textFill>
              </w:rPr>
            </w:pPr>
            <w:r>
              <w:rPr>
                <w:rFonts w:hint="default" w:ascii="Times New Roman" w:hAnsi="Times New Roman" w:eastAsia="宋体" w:cs="Times New Roman"/>
                <w:snapToGrid w:val="0"/>
                <w:color w:val="000000" w:themeColor="text1"/>
                <w:sz w:val="24"/>
                <w14:textFill>
                  <w14:solidFill>
                    <w14:schemeClr w14:val="tx1"/>
                  </w14:solidFill>
                </w14:textFill>
              </w:rPr>
              <w:t>非正常工况下污染物排放浓度远高于正常运行状况下浓度，且无法满足排放标准要求，建设单位应确保活性环保设备正常运行，并定期对环保设施进行检修，降低非正常工况的发生频次，减少非正常工况的持续时间。</w:t>
            </w:r>
          </w:p>
          <w:p w14:paraId="5791F562">
            <w:pPr>
              <w:widowControl/>
              <w:spacing w:line="360" w:lineRule="auto"/>
              <w:ind w:firstLine="482" w:firstLineChars="200"/>
              <w:jc w:val="left"/>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1.</w:t>
            </w:r>
            <w:r>
              <w:rPr>
                <w:rFonts w:hint="eastAsia" w:ascii="Times New Roman" w:hAnsi="Times New Roman" w:eastAsia="宋体" w:cs="Times New Roman"/>
                <w:b/>
                <w:bCs/>
                <w:color w:val="000000" w:themeColor="text1"/>
                <w:sz w:val="24"/>
                <w:lang w:val="en-US" w:eastAsia="zh-CN"/>
                <w14:textFill>
                  <w14:solidFill>
                    <w14:schemeClr w14:val="tx1"/>
                  </w14:solidFill>
                </w14:textFill>
              </w:rPr>
              <w:t>7</w:t>
            </w:r>
            <w:r>
              <w:rPr>
                <w:rFonts w:hint="default" w:ascii="Times New Roman" w:hAnsi="Times New Roman" w:eastAsia="宋体" w:cs="Times New Roman"/>
                <w:b/>
                <w:bCs/>
                <w:color w:val="000000" w:themeColor="text1"/>
                <w:sz w:val="24"/>
                <w:lang w:val="en-US" w:eastAsia="zh-CN"/>
                <w14:textFill>
                  <w14:solidFill>
                    <w14:schemeClr w14:val="tx1"/>
                  </w14:solidFill>
                </w14:textFill>
              </w:rPr>
              <w:t>大气环境影响结论</w:t>
            </w:r>
          </w:p>
          <w:p w14:paraId="6B5315AD">
            <w:pPr>
              <w:widowControl/>
              <w:spacing w:line="360" w:lineRule="auto"/>
              <w:ind w:firstLine="480" w:firstLineChars="200"/>
              <w:rPr>
                <w:rFonts w:hint="default" w:ascii="Times New Roman" w:hAnsi="Times New Roman" w:eastAsia="宋体" w:cs="Times New Roman"/>
                <w:snapToGrid w:val="0"/>
                <w:color w:val="000000" w:themeColor="text1"/>
                <w:sz w:val="24"/>
                <w14:textFill>
                  <w14:solidFill>
                    <w14:schemeClr w14:val="tx1"/>
                  </w14:solidFill>
                </w14:textFill>
              </w:rPr>
            </w:pPr>
            <w:r>
              <w:rPr>
                <w:rFonts w:hint="default" w:ascii="Times New Roman" w:hAnsi="Times New Roman" w:eastAsia="宋体" w:cs="Times New Roman"/>
                <w:snapToGrid w:val="0"/>
                <w:color w:val="000000" w:themeColor="text1"/>
                <w:sz w:val="24"/>
                <w:lang w:val="en-US" w:eastAsia="zh-CN"/>
                <w14:textFill>
                  <w14:solidFill>
                    <w14:schemeClr w14:val="tx1"/>
                  </w14:solidFill>
                </w14:textFill>
              </w:rPr>
              <w:t>项目所在区域为不达标区，本项目各废气污染物</w:t>
            </w:r>
            <w:r>
              <w:rPr>
                <w:rFonts w:hint="eastAsia" w:cs="Times New Roman"/>
                <w:snapToGrid w:val="0"/>
                <w:color w:val="000000" w:themeColor="text1"/>
                <w:sz w:val="24"/>
                <w:lang w:val="en-US" w:eastAsia="zh-CN"/>
                <w14:textFill>
                  <w14:solidFill>
                    <w14:schemeClr w14:val="tx1"/>
                  </w14:solidFill>
                </w14:textFill>
              </w:rPr>
              <w:t>经处理后</w:t>
            </w:r>
            <w:r>
              <w:rPr>
                <w:rFonts w:hint="default" w:ascii="Times New Roman" w:hAnsi="Times New Roman" w:eastAsia="宋体" w:cs="Times New Roman"/>
                <w:snapToGrid w:val="0"/>
                <w:color w:val="000000" w:themeColor="text1"/>
                <w:sz w:val="24"/>
                <w:lang w:val="en-US" w:eastAsia="zh-CN"/>
                <w14:textFill>
                  <w14:solidFill>
                    <w14:schemeClr w14:val="tx1"/>
                  </w14:solidFill>
                </w14:textFill>
              </w:rPr>
              <w:t>可达标排放，且排放量较小，不影响区域大气环境整体改善的趋势。项目</w:t>
            </w:r>
            <w:r>
              <w:rPr>
                <w:rFonts w:hint="default" w:ascii="Times New Roman" w:hAnsi="Times New Roman" w:eastAsia="宋体" w:cs="Times New Roman"/>
                <w:snapToGrid w:val="0"/>
                <w:color w:val="000000" w:themeColor="text1"/>
                <w:sz w:val="24"/>
                <w14:textFill>
                  <w14:solidFill>
                    <w14:schemeClr w14:val="tx1"/>
                  </w14:solidFill>
                </w14:textFill>
              </w:rPr>
              <w:t>厂界500米范围内</w:t>
            </w:r>
            <w:r>
              <w:rPr>
                <w:rFonts w:hint="eastAsia" w:cs="Times New Roman"/>
                <w:snapToGrid w:val="0"/>
                <w:color w:val="000000" w:themeColor="text1"/>
                <w:sz w:val="24"/>
                <w:lang w:val="en-US" w:eastAsia="zh-CN"/>
                <w14:textFill>
                  <w14:solidFill>
                    <w14:schemeClr w14:val="tx1"/>
                  </w14:solidFill>
                </w14:textFill>
              </w:rPr>
              <w:t>不涉及居住区、</w:t>
            </w:r>
            <w:r>
              <w:rPr>
                <w:rFonts w:hint="default" w:ascii="Times New Roman" w:hAnsi="Times New Roman" w:eastAsia="宋体" w:cs="Times New Roman"/>
                <w:snapToGrid w:val="0"/>
                <w:color w:val="000000" w:themeColor="text1"/>
                <w:sz w:val="24"/>
                <w:lang w:val="en-US" w:eastAsia="zh-CN"/>
                <w14:textFill>
                  <w14:solidFill>
                    <w14:schemeClr w14:val="tx1"/>
                  </w14:solidFill>
                </w14:textFill>
              </w:rPr>
              <w:t>自然保护区、保护文物及风景名胜区等环境敏感目标。</w:t>
            </w:r>
            <w:r>
              <w:rPr>
                <w:rFonts w:hint="default" w:ascii="Times New Roman" w:hAnsi="Times New Roman" w:eastAsia="宋体" w:cs="Times New Roman"/>
                <w:snapToGrid w:val="0"/>
                <w:color w:val="000000" w:themeColor="text1"/>
                <w:sz w:val="24"/>
                <w14:textFill>
                  <w14:solidFill>
                    <w14:schemeClr w14:val="tx1"/>
                  </w14:solidFill>
                </w14:textFill>
              </w:rPr>
              <w:t>项目采取的废气处理措施可行，废气污染物能够实现达标排放，对周围环境影响较小。</w:t>
            </w:r>
          </w:p>
          <w:p w14:paraId="17250E57">
            <w:pPr>
              <w:pStyle w:val="37"/>
              <w:ind w:firstLine="0" w:firstLineChars="0"/>
              <w:rPr>
                <w:rFonts w:hint="default" w:ascii="Times New Roman" w:hAnsi="Times New Roman" w:eastAsia="宋体" w:cs="Times New Roman"/>
                <w:b/>
                <w:bCs/>
                <w:color w:val="000000" w:themeColor="text1"/>
                <w:spacing w:val="11"/>
                <w:sz w:val="24"/>
                <w14:textFill>
                  <w14:solidFill>
                    <w14:schemeClr w14:val="tx1"/>
                  </w14:solidFill>
                </w14:textFill>
              </w:rPr>
            </w:pPr>
            <w:r>
              <w:rPr>
                <w:rFonts w:hint="default" w:ascii="Times New Roman" w:hAnsi="Times New Roman" w:eastAsia="宋体" w:cs="Times New Roman"/>
                <w:b/>
                <w:bCs/>
                <w:color w:val="000000" w:themeColor="text1"/>
                <w:spacing w:val="11"/>
                <w:sz w:val="24"/>
                <w14:textFill>
                  <w14:solidFill>
                    <w14:schemeClr w14:val="tx1"/>
                  </w14:solidFill>
                </w14:textFill>
              </w:rPr>
              <w:t>2、废水</w:t>
            </w:r>
          </w:p>
          <w:p w14:paraId="3479A0C3">
            <w:pPr>
              <w:adjustRightInd w:val="0"/>
              <w:snapToGrid w:val="0"/>
              <w:spacing w:line="360" w:lineRule="auto"/>
              <w:ind w:firstLine="480" w:firstLineChars="200"/>
              <w:rPr>
                <w:rFonts w:hint="eastAsia"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zh-CN"/>
                <w14:textFill>
                  <w14:solidFill>
                    <w14:schemeClr w14:val="tx1"/>
                  </w14:solidFill>
                </w14:textFill>
              </w:rPr>
              <w:t>拟建项目</w:t>
            </w:r>
            <w:r>
              <w:rPr>
                <w:rFonts w:hint="eastAsia" w:cs="Times New Roman"/>
                <w:color w:val="000000" w:themeColor="text1"/>
                <w:sz w:val="24"/>
                <w:lang w:val="en-US" w:eastAsia="zh-CN"/>
                <w14:textFill>
                  <w14:solidFill>
                    <w14:schemeClr w14:val="tx1"/>
                  </w14:solidFill>
                </w14:textFill>
              </w:rPr>
              <w:t>无生产废水，废水为生活污水。</w:t>
            </w:r>
          </w:p>
          <w:p w14:paraId="4FF5E9F4">
            <w:pPr>
              <w:adjustRightInd w:val="0"/>
              <w:snapToGrid w:val="0"/>
              <w:spacing w:line="360" w:lineRule="auto"/>
              <w:ind w:firstLine="480" w:firstLineChars="200"/>
              <w:rPr>
                <w:rFonts w:hint="default" w:ascii="Times New Roman" w:hAnsi="Times New Roman" w:eastAsia="宋体" w:cs="Times New Roman"/>
                <w:color w:val="000000" w:themeColor="text1"/>
                <w:sz w:val="24"/>
                <w:lang w:val="zh-CN"/>
                <w14:textFill>
                  <w14:solidFill>
                    <w14:schemeClr w14:val="tx1"/>
                  </w14:solidFill>
                </w14:textFill>
              </w:rPr>
            </w:pPr>
            <w:r>
              <w:rPr>
                <w:rFonts w:hint="default" w:ascii="Times New Roman" w:hAnsi="Times New Roman" w:eastAsia="宋体" w:cs="Times New Roman"/>
                <w:color w:val="000000" w:themeColor="text1"/>
                <w:sz w:val="24"/>
                <w:lang w:val="zh-CN"/>
                <w14:textFill>
                  <w14:solidFill>
                    <w14:schemeClr w14:val="tx1"/>
                  </w14:solidFill>
                </w14:textFill>
              </w:rPr>
              <w:t>职工生活污水产生量为</w:t>
            </w:r>
            <w:r>
              <w:rPr>
                <w:rFonts w:hint="eastAsia" w:ascii="Times New Roman" w:hAnsi="Times New Roman" w:eastAsia="宋体" w:cs="Times New Roman"/>
                <w:color w:val="000000" w:themeColor="text1"/>
                <w:sz w:val="24"/>
                <w:lang w:val="en-US" w:eastAsia="zh-CN"/>
                <w14:textFill>
                  <w14:solidFill>
                    <w14:schemeClr w14:val="tx1"/>
                  </w14:solidFill>
                </w14:textFill>
              </w:rPr>
              <w:t>48</w:t>
            </w:r>
            <w:r>
              <w:rPr>
                <w:rFonts w:hint="default" w:ascii="Times New Roman" w:hAnsi="Times New Roman" w:eastAsia="宋体" w:cs="Times New Roman"/>
                <w:color w:val="000000" w:themeColor="text1"/>
                <w:sz w:val="24"/>
                <w:lang w:val="zh-CN"/>
                <w14:textFill>
                  <w14:solidFill>
                    <w14:schemeClr w14:val="tx1"/>
                  </w14:solidFill>
                </w14:textFill>
              </w:rPr>
              <w:t>m</w:t>
            </w:r>
            <w:r>
              <w:rPr>
                <w:rFonts w:hint="default" w:ascii="Times New Roman" w:hAnsi="Times New Roman" w:eastAsia="宋体" w:cs="Times New Roman"/>
                <w:color w:val="000000" w:themeColor="text1"/>
                <w:sz w:val="24"/>
                <w:vertAlign w:val="superscript"/>
                <w:lang w:val="zh-CN"/>
                <w14:textFill>
                  <w14:solidFill>
                    <w14:schemeClr w14:val="tx1"/>
                  </w14:solidFill>
                </w14:textFill>
              </w:rPr>
              <w:t>3</w:t>
            </w:r>
            <w:r>
              <w:rPr>
                <w:rFonts w:hint="default" w:ascii="Times New Roman" w:hAnsi="Times New Roman" w:eastAsia="宋体" w:cs="Times New Roman"/>
                <w:color w:val="000000" w:themeColor="text1"/>
                <w:sz w:val="24"/>
                <w:lang w:val="zh-CN"/>
                <w14:textFill>
                  <w14:solidFill>
                    <w14:schemeClr w14:val="tx1"/>
                  </w14:solidFill>
                </w14:textFill>
              </w:rPr>
              <w:t>/a，主要污染物产生浓度COD≤350mg/L、SS≤200mg/L、NH</w:t>
            </w:r>
            <w:r>
              <w:rPr>
                <w:rFonts w:hint="default" w:ascii="Times New Roman" w:hAnsi="Times New Roman" w:eastAsia="宋体" w:cs="Times New Roman"/>
                <w:color w:val="000000" w:themeColor="text1"/>
                <w:sz w:val="24"/>
                <w:vertAlign w:val="subscript"/>
                <w:lang w:val="zh-CN"/>
                <w14:textFill>
                  <w14:solidFill>
                    <w14:schemeClr w14:val="tx1"/>
                  </w14:solidFill>
                </w14:textFill>
              </w:rPr>
              <w:t>3</w:t>
            </w:r>
            <w:r>
              <w:rPr>
                <w:rFonts w:hint="default" w:ascii="Times New Roman" w:hAnsi="Times New Roman" w:eastAsia="宋体" w:cs="Times New Roman"/>
                <w:color w:val="000000" w:themeColor="text1"/>
                <w:sz w:val="24"/>
                <w:lang w:val="zh-CN"/>
                <w14:textFill>
                  <w14:solidFill>
                    <w14:schemeClr w14:val="tx1"/>
                  </w14:solidFill>
                </w14:textFill>
              </w:rPr>
              <w:t>-N≤35mg/L，产生量为COD：</w:t>
            </w:r>
            <w:r>
              <w:rPr>
                <w:rFonts w:hint="default" w:ascii="Times New Roman" w:hAnsi="Times New Roman" w:eastAsia="宋体" w:cs="Times New Roman"/>
                <w:color w:val="000000" w:themeColor="text1"/>
                <w:sz w:val="24"/>
                <w:lang w:val="en-US" w:eastAsia="zh-CN"/>
                <w14:textFill>
                  <w14:solidFill>
                    <w14:schemeClr w14:val="tx1"/>
                  </w14:solidFill>
                </w14:textFill>
              </w:rPr>
              <w:t>0.0</w:t>
            </w:r>
            <w:r>
              <w:rPr>
                <w:rFonts w:hint="eastAsia" w:ascii="Times New Roman" w:hAnsi="Times New Roman" w:eastAsia="宋体" w:cs="Times New Roman"/>
                <w:color w:val="000000" w:themeColor="text1"/>
                <w:sz w:val="24"/>
                <w:lang w:val="en-US" w:eastAsia="zh-CN"/>
                <w14:textFill>
                  <w14:solidFill>
                    <w14:schemeClr w14:val="tx1"/>
                  </w14:solidFill>
                </w14:textFill>
              </w:rPr>
              <w:t>168</w:t>
            </w:r>
            <w:r>
              <w:rPr>
                <w:rFonts w:hint="default" w:ascii="Times New Roman" w:hAnsi="Times New Roman" w:eastAsia="宋体" w:cs="Times New Roman"/>
                <w:color w:val="000000" w:themeColor="text1"/>
                <w:sz w:val="24"/>
                <w:lang w:val="zh-CN"/>
                <w14:textFill>
                  <w14:solidFill>
                    <w14:schemeClr w14:val="tx1"/>
                  </w14:solidFill>
                </w14:textFill>
              </w:rPr>
              <w:t>t/a、SS：</w:t>
            </w:r>
            <w:r>
              <w:rPr>
                <w:rFonts w:hint="default" w:ascii="Times New Roman" w:hAnsi="Times New Roman" w:eastAsia="宋体" w:cs="Times New Roman"/>
                <w:color w:val="000000" w:themeColor="text1"/>
                <w:sz w:val="24"/>
                <w:lang w:val="en-US" w:eastAsia="zh-CN"/>
                <w14:textFill>
                  <w14:solidFill>
                    <w14:schemeClr w14:val="tx1"/>
                  </w14:solidFill>
                </w14:textFill>
              </w:rPr>
              <w:t>0.0096</w:t>
            </w:r>
            <w:r>
              <w:rPr>
                <w:rFonts w:hint="default" w:ascii="Times New Roman" w:hAnsi="Times New Roman" w:eastAsia="宋体" w:cs="Times New Roman"/>
                <w:color w:val="000000" w:themeColor="text1"/>
                <w:sz w:val="24"/>
                <w:lang w:val="zh-CN"/>
                <w14:textFill>
                  <w14:solidFill>
                    <w14:schemeClr w14:val="tx1"/>
                  </w14:solidFill>
                </w14:textFill>
              </w:rPr>
              <w:t>t/a、NH</w:t>
            </w:r>
            <w:r>
              <w:rPr>
                <w:rFonts w:hint="default" w:ascii="Times New Roman" w:hAnsi="Times New Roman" w:eastAsia="宋体" w:cs="Times New Roman"/>
                <w:color w:val="000000" w:themeColor="text1"/>
                <w:sz w:val="24"/>
                <w:vertAlign w:val="subscript"/>
                <w:lang w:val="zh-CN"/>
                <w14:textFill>
                  <w14:solidFill>
                    <w14:schemeClr w14:val="tx1"/>
                  </w14:solidFill>
                </w14:textFill>
              </w:rPr>
              <w:t>3</w:t>
            </w:r>
            <w:r>
              <w:rPr>
                <w:rFonts w:hint="default" w:ascii="Times New Roman" w:hAnsi="Times New Roman" w:eastAsia="宋体" w:cs="Times New Roman"/>
                <w:color w:val="000000" w:themeColor="text1"/>
                <w:sz w:val="24"/>
                <w:lang w:val="zh-CN"/>
                <w14:textFill>
                  <w14:solidFill>
                    <w14:schemeClr w14:val="tx1"/>
                  </w14:solidFill>
                </w14:textFill>
              </w:rPr>
              <w:t>-N：</w:t>
            </w:r>
            <w:r>
              <w:rPr>
                <w:rFonts w:hint="default" w:ascii="Times New Roman" w:hAnsi="Times New Roman" w:eastAsia="宋体" w:cs="Times New Roman"/>
                <w:color w:val="000000" w:themeColor="text1"/>
                <w:sz w:val="24"/>
                <w:lang w:val="en-US" w:eastAsia="zh-CN"/>
                <w14:textFill>
                  <w14:solidFill>
                    <w14:schemeClr w14:val="tx1"/>
                  </w14:solidFill>
                </w14:textFill>
              </w:rPr>
              <w:t>0.00</w:t>
            </w:r>
            <w:r>
              <w:rPr>
                <w:rFonts w:hint="eastAsia" w:ascii="Times New Roman" w:hAnsi="Times New Roman" w:eastAsia="宋体" w:cs="Times New Roman"/>
                <w:color w:val="000000" w:themeColor="text1"/>
                <w:sz w:val="24"/>
                <w:lang w:val="en-US" w:eastAsia="zh-CN"/>
                <w14:textFill>
                  <w14:solidFill>
                    <w14:schemeClr w14:val="tx1"/>
                  </w14:solidFill>
                </w14:textFill>
              </w:rPr>
              <w:t>168</w:t>
            </w:r>
            <w:r>
              <w:rPr>
                <w:rFonts w:hint="default" w:ascii="Times New Roman" w:hAnsi="Times New Roman" w:eastAsia="宋体" w:cs="Times New Roman"/>
                <w:color w:val="000000" w:themeColor="text1"/>
                <w:sz w:val="24"/>
                <w:lang w:val="zh-CN"/>
                <w14:textFill>
                  <w14:solidFill>
                    <w14:schemeClr w14:val="tx1"/>
                  </w14:solidFill>
                </w14:textFill>
              </w:rPr>
              <w:t>t/a，生活污水经现有化粪池预处理后，由当地环卫部门定期清运，不外排。</w:t>
            </w:r>
          </w:p>
          <w:p w14:paraId="67BC5ACF">
            <w:pPr>
              <w:pStyle w:val="112"/>
              <w:kinsoku/>
              <w:autoSpaceDE/>
              <w:autoSpaceDN/>
              <w:adjustRightInd/>
              <w:snapToGrid/>
              <w:textAlignment w:val="auto"/>
              <w:rPr>
                <w:rFonts w:hint="default" w:cs="Times New Roman"/>
                <w:snapToGrid/>
                <w:color w:val="000000" w:themeColor="text1"/>
                <w:sz w:val="21"/>
                <w:szCs w:val="21"/>
                <w:lang w:val="en-US" w:eastAsia="zh-CN"/>
                <w14:textFill>
                  <w14:solidFill>
                    <w14:schemeClr w14:val="tx1"/>
                  </w14:solidFill>
                </w14:textFill>
              </w:rPr>
            </w:pPr>
            <w:r>
              <w:rPr>
                <w:rFonts w:cs="Times New Roman"/>
                <w:b/>
                <w:bCs/>
                <w:snapToGrid/>
                <w:color w:val="000000" w:themeColor="text1"/>
                <w:sz w:val="21"/>
                <w:szCs w:val="21"/>
                <w14:textFill>
                  <w14:solidFill>
                    <w14:schemeClr w14:val="tx1"/>
                  </w14:solidFill>
                </w14:textFill>
              </w:rPr>
              <w:t>表4-</w:t>
            </w:r>
            <w:r>
              <w:rPr>
                <w:rFonts w:hint="eastAsia" w:cs="Times New Roman"/>
                <w:b/>
                <w:bCs/>
                <w:snapToGrid/>
                <w:color w:val="000000" w:themeColor="text1"/>
                <w:sz w:val="21"/>
                <w:szCs w:val="21"/>
                <w:lang w:val="en-US" w:eastAsia="zh-CN"/>
                <w14:textFill>
                  <w14:solidFill>
                    <w14:schemeClr w14:val="tx1"/>
                  </w14:solidFill>
                </w14:textFill>
              </w:rPr>
              <w:t xml:space="preserve">10 </w:t>
            </w:r>
            <w:r>
              <w:rPr>
                <w:rFonts w:hint="eastAsia" w:cs="Times New Roman"/>
                <w:b/>
                <w:bCs/>
                <w:snapToGrid/>
                <w:color w:val="000000" w:themeColor="text1"/>
                <w:sz w:val="21"/>
                <w:szCs w:val="21"/>
                <w14:textFill>
                  <w14:solidFill>
                    <w14:schemeClr w14:val="tx1"/>
                  </w14:solidFill>
                </w14:textFill>
              </w:rPr>
              <w:t>本</w:t>
            </w:r>
            <w:r>
              <w:rPr>
                <w:rFonts w:cs="Times New Roman"/>
                <w:b/>
                <w:bCs/>
                <w:snapToGrid/>
                <w:color w:val="000000" w:themeColor="text1"/>
                <w:sz w:val="21"/>
                <w:szCs w:val="21"/>
                <w14:textFill>
                  <w14:solidFill>
                    <w14:schemeClr w14:val="tx1"/>
                  </w14:solidFill>
                </w14:textFill>
              </w:rPr>
              <w:t>项目主要废水类别、污染物项目、污染源源强核算及污染防治设施等信息一览表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8"/>
              <w:gridCol w:w="750"/>
              <w:gridCol w:w="496"/>
              <w:gridCol w:w="580"/>
              <w:gridCol w:w="570"/>
              <w:gridCol w:w="946"/>
              <w:gridCol w:w="909"/>
              <w:gridCol w:w="935"/>
              <w:gridCol w:w="1613"/>
              <w:gridCol w:w="859"/>
              <w:gridCol w:w="800"/>
            </w:tblGrid>
            <w:tr w14:paraId="0B3DBE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restart"/>
                  <w:noWrap w:val="0"/>
                  <w:vAlign w:val="center"/>
                </w:tcPr>
                <w:p w14:paraId="7B056F73">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废水类别</w:t>
                  </w:r>
                </w:p>
              </w:tc>
              <w:tc>
                <w:tcPr>
                  <w:tcW w:w="699" w:type="dxa"/>
                  <w:vMerge w:val="restart"/>
                  <w:noWrap w:val="0"/>
                  <w:vAlign w:val="center"/>
                </w:tcPr>
                <w:p w14:paraId="39DF8B34">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污染物项目</w:t>
                  </w:r>
                </w:p>
              </w:tc>
              <w:tc>
                <w:tcPr>
                  <w:tcW w:w="462" w:type="dxa"/>
                  <w:vMerge w:val="restart"/>
                  <w:noWrap w:val="0"/>
                  <w:vAlign w:val="center"/>
                </w:tcPr>
                <w:p w14:paraId="7F21B6DC">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执行标准</w:t>
                  </w:r>
                </w:p>
              </w:tc>
              <w:tc>
                <w:tcPr>
                  <w:tcW w:w="541" w:type="dxa"/>
                  <w:vMerge w:val="restart"/>
                  <w:noWrap w:val="0"/>
                  <w:vAlign w:val="center"/>
                </w:tcPr>
                <w:p w14:paraId="0A1BDCE7">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排放去向</w:t>
                  </w:r>
                </w:p>
              </w:tc>
              <w:tc>
                <w:tcPr>
                  <w:tcW w:w="531" w:type="dxa"/>
                  <w:vMerge w:val="restart"/>
                  <w:noWrap w:val="0"/>
                  <w:vAlign w:val="center"/>
                </w:tcPr>
                <w:p w14:paraId="08AB6AEC">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排放方式</w:t>
                  </w:r>
                </w:p>
              </w:tc>
              <w:tc>
                <w:tcPr>
                  <w:tcW w:w="2600" w:type="dxa"/>
                  <w:gridSpan w:val="3"/>
                  <w:noWrap w:val="0"/>
                  <w:vAlign w:val="center"/>
                </w:tcPr>
                <w:p w14:paraId="343084A5">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污染物产生</w:t>
                  </w:r>
                </w:p>
              </w:tc>
              <w:tc>
                <w:tcPr>
                  <w:tcW w:w="2304" w:type="dxa"/>
                  <w:gridSpan w:val="2"/>
                  <w:noWrap w:val="0"/>
                  <w:vAlign w:val="center"/>
                </w:tcPr>
                <w:p w14:paraId="1AE8E8A8">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污染防治措施</w:t>
                  </w:r>
                </w:p>
              </w:tc>
              <w:tc>
                <w:tcPr>
                  <w:tcW w:w="746" w:type="dxa"/>
                  <w:vMerge w:val="restart"/>
                  <w:noWrap w:val="0"/>
                  <w:vAlign w:val="center"/>
                </w:tcPr>
                <w:p w14:paraId="55F43A57">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排放口类型</w:t>
                  </w:r>
                </w:p>
              </w:tc>
            </w:tr>
            <w:tr w14:paraId="4B3888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noWrap w:val="0"/>
                  <w:vAlign w:val="center"/>
                </w:tcPr>
                <w:p w14:paraId="03513D9D">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p>
              </w:tc>
              <w:tc>
                <w:tcPr>
                  <w:tcW w:w="699" w:type="dxa"/>
                  <w:vMerge w:val="continue"/>
                  <w:noWrap w:val="0"/>
                  <w:vAlign w:val="center"/>
                </w:tcPr>
                <w:p w14:paraId="494DB1A7">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p>
              </w:tc>
              <w:tc>
                <w:tcPr>
                  <w:tcW w:w="462" w:type="dxa"/>
                  <w:vMerge w:val="continue"/>
                  <w:noWrap w:val="0"/>
                  <w:vAlign w:val="center"/>
                </w:tcPr>
                <w:p w14:paraId="3AE9D3AF">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p>
              </w:tc>
              <w:tc>
                <w:tcPr>
                  <w:tcW w:w="541" w:type="dxa"/>
                  <w:vMerge w:val="continue"/>
                  <w:noWrap w:val="0"/>
                  <w:vAlign w:val="center"/>
                </w:tcPr>
                <w:p w14:paraId="5315E716">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p>
              </w:tc>
              <w:tc>
                <w:tcPr>
                  <w:tcW w:w="531" w:type="dxa"/>
                  <w:vMerge w:val="continue"/>
                  <w:noWrap w:val="0"/>
                  <w:vAlign w:val="center"/>
                </w:tcPr>
                <w:p w14:paraId="4AA33213">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p>
              </w:tc>
              <w:tc>
                <w:tcPr>
                  <w:tcW w:w="882" w:type="dxa"/>
                  <w:noWrap w:val="0"/>
                  <w:vAlign w:val="center"/>
                </w:tcPr>
                <w:p w14:paraId="2A59BB8F">
                  <w:pPr>
                    <w:widowControl w:val="0"/>
                    <w:kinsoku/>
                    <w:autoSpaceDE/>
                    <w:autoSpaceDN/>
                    <w:adjustRightInd w:val="0"/>
                    <w:snapToGrid w:val="0"/>
                    <w:spacing w:before="0" w:line="240" w:lineRule="auto"/>
                    <w:ind w:left="0" w:leftChars="0" w:right="0" w:rightChars="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r>
                    <w:rPr>
                      <w:rFonts w:hint="default"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废水产生量</w:t>
                  </w: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w:t>
                  </w:r>
                  <w:r>
                    <w:rPr>
                      <w:rFonts w:hint="default"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m</w:t>
                  </w:r>
                  <w:r>
                    <w:rPr>
                      <w:rFonts w:hint="default" w:ascii="Times New Roman" w:hAnsi="Times New Roman" w:eastAsia="宋体" w:cs="Times New Roman"/>
                      <w:b/>
                      <w:bCs/>
                      <w:snapToGrid/>
                      <w:color w:val="000000" w:themeColor="text1"/>
                      <w:spacing w:val="0"/>
                      <w:kern w:val="2"/>
                      <w:position w:val="0"/>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/a</w:t>
                  </w: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w:t>
                  </w:r>
                </w:p>
              </w:tc>
              <w:tc>
                <w:tcPr>
                  <w:tcW w:w="847" w:type="dxa"/>
                  <w:noWrap w:val="0"/>
                  <w:vAlign w:val="center"/>
                </w:tcPr>
                <w:p w14:paraId="66FD4109">
                  <w:pPr>
                    <w:widowControl w:val="0"/>
                    <w:kinsoku/>
                    <w:autoSpaceDE/>
                    <w:autoSpaceDN/>
                    <w:adjustRightInd w:val="0"/>
                    <w:snapToGrid w:val="0"/>
                    <w:spacing w:before="0" w:line="240" w:lineRule="auto"/>
                    <w:ind w:left="0" w:leftChars="0" w:right="0" w:rightChars="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r>
                    <w:rPr>
                      <w:rFonts w:hint="default"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产生浓度</w:t>
                  </w: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w:t>
                  </w:r>
                  <w:r>
                    <w:rPr>
                      <w:rFonts w:hint="default"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mg/L</w:t>
                  </w: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w:t>
                  </w:r>
                </w:p>
              </w:tc>
              <w:tc>
                <w:tcPr>
                  <w:tcW w:w="871" w:type="dxa"/>
                  <w:noWrap w:val="0"/>
                  <w:vAlign w:val="center"/>
                </w:tcPr>
                <w:p w14:paraId="0601AB94">
                  <w:pPr>
                    <w:widowControl w:val="0"/>
                    <w:kinsoku/>
                    <w:autoSpaceDE/>
                    <w:autoSpaceDN/>
                    <w:adjustRightInd w:val="0"/>
                    <w:snapToGrid w:val="0"/>
                    <w:spacing w:before="0" w:line="240" w:lineRule="auto"/>
                    <w:ind w:left="0" w:leftChars="0" w:right="0" w:rightChars="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r>
                    <w:rPr>
                      <w:rFonts w:hint="default"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产生量（t/a）</w:t>
                  </w:r>
                </w:p>
              </w:tc>
              <w:tc>
                <w:tcPr>
                  <w:tcW w:w="1503" w:type="dxa"/>
                  <w:noWrap w:val="0"/>
                  <w:vAlign w:val="center"/>
                </w:tcPr>
                <w:p w14:paraId="3A215E01">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污染防治工艺</w:t>
                  </w:r>
                </w:p>
              </w:tc>
              <w:tc>
                <w:tcPr>
                  <w:tcW w:w="801" w:type="dxa"/>
                  <w:noWrap w:val="0"/>
                  <w:vAlign w:val="center"/>
                </w:tcPr>
                <w:p w14:paraId="6CCA495A">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b/>
                      <w:bCs/>
                      <w:snapToGrid/>
                      <w:color w:val="000000" w:themeColor="text1"/>
                      <w:spacing w:val="0"/>
                      <w:kern w:val="2"/>
                      <w:position w:val="0"/>
                      <w:sz w:val="21"/>
                      <w:szCs w:val="21"/>
                      <w:highlight w:val="none"/>
                      <w:lang w:val="en-US" w:eastAsia="zh-CN"/>
                      <w14:textFill>
                        <w14:solidFill>
                          <w14:schemeClr w14:val="tx1"/>
                        </w14:solidFill>
                      </w14:textFill>
                    </w:rPr>
                    <w:t>是否为可行技术</w:t>
                  </w:r>
                </w:p>
              </w:tc>
              <w:tc>
                <w:tcPr>
                  <w:tcW w:w="746" w:type="dxa"/>
                  <w:vMerge w:val="continue"/>
                  <w:noWrap w:val="0"/>
                  <w:vAlign w:val="center"/>
                </w:tcPr>
                <w:p w14:paraId="2C752049">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r>
            <w:tr w14:paraId="008AFF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restart"/>
                  <w:noWrap w:val="0"/>
                  <w:vAlign w:val="center"/>
                </w:tcPr>
                <w:p w14:paraId="1F9A6BB2">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生活污水</w:t>
                  </w:r>
                </w:p>
              </w:tc>
              <w:tc>
                <w:tcPr>
                  <w:tcW w:w="699" w:type="dxa"/>
                  <w:noWrap w:val="0"/>
                  <w:vAlign w:val="center"/>
                </w:tcPr>
                <w:p w14:paraId="7962D5BC">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COD</w:t>
                  </w:r>
                </w:p>
              </w:tc>
              <w:tc>
                <w:tcPr>
                  <w:tcW w:w="462" w:type="dxa"/>
                  <w:vMerge w:val="restart"/>
                  <w:noWrap w:val="0"/>
                  <w:vAlign w:val="center"/>
                </w:tcPr>
                <w:p w14:paraId="3564E70E">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w:t>
                  </w:r>
                </w:p>
              </w:tc>
              <w:tc>
                <w:tcPr>
                  <w:tcW w:w="541" w:type="dxa"/>
                  <w:vMerge w:val="restart"/>
                  <w:noWrap w:val="0"/>
                  <w:vAlign w:val="center"/>
                </w:tcPr>
                <w:p w14:paraId="6AB76A6C">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不排放</w:t>
                  </w:r>
                </w:p>
              </w:tc>
              <w:tc>
                <w:tcPr>
                  <w:tcW w:w="531" w:type="dxa"/>
                  <w:vMerge w:val="restart"/>
                  <w:noWrap w:val="0"/>
                  <w:vAlign w:val="center"/>
                </w:tcPr>
                <w:p w14:paraId="25B8CF28">
                  <w:pPr>
                    <w:widowControl w:val="0"/>
                    <w:kinsoku/>
                    <w:autoSpaceDE/>
                    <w:autoSpaceDN/>
                    <w:adjustRightInd w:val="0"/>
                    <w:snapToGrid w:val="0"/>
                    <w:spacing w:before="0" w:line="240" w:lineRule="auto"/>
                    <w:ind w:left="0" w:right="0"/>
                    <w:jc w:val="center"/>
                    <w:textAlignment w:val="auto"/>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w:t>
                  </w:r>
                </w:p>
              </w:tc>
              <w:tc>
                <w:tcPr>
                  <w:tcW w:w="882" w:type="dxa"/>
                  <w:vMerge w:val="restart"/>
                  <w:noWrap w:val="0"/>
                  <w:vAlign w:val="center"/>
                </w:tcPr>
                <w:p w14:paraId="36F521B9">
                  <w:pPr>
                    <w:widowControl w:val="0"/>
                    <w:kinsoku/>
                    <w:autoSpaceDE/>
                    <w:autoSpaceDN/>
                    <w:adjustRightInd w:val="0"/>
                    <w:snapToGrid w:val="0"/>
                    <w:spacing w:before="0" w:line="240" w:lineRule="auto"/>
                    <w:ind w:left="0" w:leftChars="0" w:right="0" w:rightChars="0"/>
                    <w:jc w:val="center"/>
                    <w:textAlignment w:val="auto"/>
                    <w:rPr>
                      <w:rFonts w:hint="default" w:ascii="Times New Roman" w:hAnsi="Times New Roman" w:eastAsia="宋体" w:cs="Times New Roman"/>
                      <w:snapToGrid/>
                      <w:color w:val="000000" w:themeColor="text1"/>
                      <w:spacing w:val="0"/>
                      <w:kern w:val="2"/>
                      <w:position w:val="0"/>
                      <w:sz w:val="21"/>
                      <w:szCs w:val="21"/>
                      <w:highlight w:val="none"/>
                      <w:lang w:val="en-US" w:eastAsia="zh-CN" w:bidi="ar-SA"/>
                      <w14:textFill>
                        <w14:solidFill>
                          <w14:schemeClr w14:val="tx1"/>
                        </w14:solidFill>
                      </w14:textFill>
                    </w:rPr>
                  </w:pPr>
                  <w:r>
                    <w:rPr>
                      <w:rFonts w:hint="eastAsia" w:cs="Times New Roman"/>
                      <w:snapToGrid/>
                      <w:color w:val="000000" w:themeColor="text1"/>
                      <w:spacing w:val="0"/>
                      <w:kern w:val="2"/>
                      <w:position w:val="0"/>
                      <w:sz w:val="21"/>
                      <w:szCs w:val="21"/>
                      <w:highlight w:val="none"/>
                      <w:lang w:val="en-US" w:eastAsia="zh-CN"/>
                      <w14:textFill>
                        <w14:solidFill>
                          <w14:schemeClr w14:val="tx1"/>
                        </w14:solidFill>
                      </w14:textFill>
                    </w:rPr>
                    <w:t>48</w:t>
                  </w:r>
                </w:p>
              </w:tc>
              <w:tc>
                <w:tcPr>
                  <w:tcW w:w="847" w:type="dxa"/>
                  <w:noWrap w:val="0"/>
                  <w:vAlign w:val="center"/>
                </w:tcPr>
                <w:p w14:paraId="6EECDAE0">
                  <w:pPr>
                    <w:widowControl w:val="0"/>
                    <w:kinsoku/>
                    <w:autoSpaceDE/>
                    <w:autoSpaceDN/>
                    <w:adjustRightInd w:val="0"/>
                    <w:snapToGrid w:val="0"/>
                    <w:spacing w:before="0" w:line="240" w:lineRule="auto"/>
                    <w:ind w:left="0" w:leftChars="0" w:right="0" w:rightChars="0"/>
                    <w:jc w:val="center"/>
                    <w:textAlignment w:val="auto"/>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eastAsia" w:cs="Times New Roman"/>
                      <w:snapToGrid/>
                      <w:color w:val="000000" w:themeColor="text1"/>
                      <w:spacing w:val="0"/>
                      <w:kern w:val="2"/>
                      <w:position w:val="0"/>
                      <w:sz w:val="21"/>
                      <w:szCs w:val="21"/>
                      <w:highlight w:val="none"/>
                      <w:lang w:val="en-US" w:eastAsia="zh-CN"/>
                      <w14:textFill>
                        <w14:solidFill>
                          <w14:schemeClr w14:val="tx1"/>
                        </w14:solidFill>
                      </w14:textFill>
                    </w:rPr>
                    <w:t>350</w:t>
                  </w:r>
                </w:p>
              </w:tc>
              <w:tc>
                <w:tcPr>
                  <w:tcW w:w="871" w:type="dxa"/>
                  <w:noWrap w:val="0"/>
                  <w:vAlign w:val="center"/>
                </w:tcPr>
                <w:p w14:paraId="7CE8FD45">
                  <w:pPr>
                    <w:widowControl w:val="0"/>
                    <w:kinsoku/>
                    <w:autoSpaceDE/>
                    <w:autoSpaceDN/>
                    <w:adjustRightInd w:val="0"/>
                    <w:snapToGrid w:val="0"/>
                    <w:spacing w:before="0" w:line="240" w:lineRule="auto"/>
                    <w:ind w:left="0" w:leftChars="0" w:right="0" w:rightChars="0"/>
                    <w:jc w:val="center"/>
                    <w:textAlignment w:val="auto"/>
                    <w:rPr>
                      <w:rFonts w:hint="default"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default" w:cs="Times New Roman"/>
                      <w:snapToGrid/>
                      <w:color w:val="000000" w:themeColor="text1"/>
                      <w:spacing w:val="0"/>
                      <w:kern w:val="2"/>
                      <w:position w:val="0"/>
                      <w:sz w:val="21"/>
                      <w:szCs w:val="21"/>
                      <w:highlight w:val="none"/>
                      <w:lang w:val="en-US" w:eastAsia="zh-CN"/>
                      <w14:textFill>
                        <w14:solidFill>
                          <w14:schemeClr w14:val="tx1"/>
                        </w14:solidFill>
                      </w14:textFill>
                    </w:rPr>
                    <w:t>0.0168</w:t>
                  </w:r>
                </w:p>
              </w:tc>
              <w:tc>
                <w:tcPr>
                  <w:tcW w:w="1503" w:type="dxa"/>
                  <w:vMerge w:val="restart"/>
                  <w:noWrap w:val="0"/>
                  <w:vAlign w:val="center"/>
                </w:tcPr>
                <w:p w14:paraId="1CB510CC">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经化粪池处理后由环卫部门定期抽运，不外排</w:t>
                  </w:r>
                </w:p>
              </w:tc>
              <w:tc>
                <w:tcPr>
                  <w:tcW w:w="801" w:type="dxa"/>
                  <w:vMerge w:val="restart"/>
                  <w:noWrap w:val="0"/>
                  <w:vAlign w:val="center"/>
                </w:tcPr>
                <w:p w14:paraId="242961A8">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是</w:t>
                  </w:r>
                </w:p>
              </w:tc>
              <w:tc>
                <w:tcPr>
                  <w:tcW w:w="746" w:type="dxa"/>
                  <w:vMerge w:val="restart"/>
                  <w:noWrap w:val="0"/>
                  <w:vAlign w:val="center"/>
                </w:tcPr>
                <w:p w14:paraId="3E508FB8">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w:t>
                  </w:r>
                </w:p>
              </w:tc>
            </w:tr>
            <w:tr w14:paraId="1AE953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noWrap w:val="0"/>
                  <w:vAlign w:val="center"/>
                </w:tcPr>
                <w:p w14:paraId="4A4407FD">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699" w:type="dxa"/>
                  <w:noWrap w:val="0"/>
                  <w:vAlign w:val="center"/>
                </w:tcPr>
                <w:p w14:paraId="22705750">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SS</w:t>
                  </w:r>
                </w:p>
              </w:tc>
              <w:tc>
                <w:tcPr>
                  <w:tcW w:w="462" w:type="dxa"/>
                  <w:vMerge w:val="continue"/>
                  <w:noWrap w:val="0"/>
                  <w:vAlign w:val="center"/>
                </w:tcPr>
                <w:p w14:paraId="75D7F427">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541" w:type="dxa"/>
                  <w:vMerge w:val="continue"/>
                  <w:noWrap w:val="0"/>
                  <w:vAlign w:val="center"/>
                </w:tcPr>
                <w:p w14:paraId="71947BC2">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531" w:type="dxa"/>
                  <w:vMerge w:val="continue"/>
                  <w:noWrap w:val="0"/>
                  <w:vAlign w:val="center"/>
                </w:tcPr>
                <w:p w14:paraId="391D92A2">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882" w:type="dxa"/>
                  <w:vMerge w:val="continue"/>
                  <w:noWrap w:val="0"/>
                  <w:vAlign w:val="center"/>
                </w:tcPr>
                <w:p w14:paraId="005ABE3B">
                  <w:pPr>
                    <w:widowControl w:val="0"/>
                    <w:kinsoku/>
                    <w:autoSpaceDE/>
                    <w:autoSpaceDN/>
                    <w:adjustRightInd w:val="0"/>
                    <w:snapToGrid w:val="0"/>
                    <w:spacing w:before="0" w:line="240" w:lineRule="auto"/>
                    <w:ind w:left="0" w:leftChars="0" w:right="0" w:rightChars="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847" w:type="dxa"/>
                  <w:noWrap w:val="0"/>
                  <w:vAlign w:val="center"/>
                </w:tcPr>
                <w:p w14:paraId="39C9DABC">
                  <w:pPr>
                    <w:widowControl w:val="0"/>
                    <w:kinsoku/>
                    <w:autoSpaceDE/>
                    <w:autoSpaceDN/>
                    <w:adjustRightInd w:val="0"/>
                    <w:snapToGrid w:val="0"/>
                    <w:spacing w:before="0" w:line="240" w:lineRule="auto"/>
                    <w:ind w:left="0" w:leftChars="0" w:right="0" w:rightChars="0"/>
                    <w:jc w:val="center"/>
                    <w:textAlignment w:val="auto"/>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eastAsia" w:cs="Times New Roman"/>
                      <w:snapToGrid/>
                      <w:color w:val="000000" w:themeColor="text1"/>
                      <w:spacing w:val="0"/>
                      <w:kern w:val="2"/>
                      <w:position w:val="0"/>
                      <w:sz w:val="21"/>
                      <w:szCs w:val="21"/>
                      <w:highlight w:val="none"/>
                      <w:lang w:val="en-US" w:eastAsia="zh-CN"/>
                      <w14:textFill>
                        <w14:solidFill>
                          <w14:schemeClr w14:val="tx1"/>
                        </w14:solidFill>
                      </w14:textFill>
                    </w:rPr>
                    <w:t>200</w:t>
                  </w:r>
                </w:p>
              </w:tc>
              <w:tc>
                <w:tcPr>
                  <w:tcW w:w="871" w:type="dxa"/>
                  <w:noWrap w:val="0"/>
                  <w:vAlign w:val="center"/>
                </w:tcPr>
                <w:p w14:paraId="7B6547B1">
                  <w:pPr>
                    <w:widowControl w:val="0"/>
                    <w:kinsoku/>
                    <w:autoSpaceDE/>
                    <w:autoSpaceDN/>
                    <w:adjustRightInd w:val="0"/>
                    <w:snapToGrid w:val="0"/>
                    <w:spacing w:before="0" w:line="240" w:lineRule="auto"/>
                    <w:ind w:left="0" w:leftChars="0" w:right="0" w:rightChars="0"/>
                    <w:jc w:val="center"/>
                    <w:textAlignment w:val="auto"/>
                    <w:rPr>
                      <w:rFonts w:hint="default"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default" w:cs="Times New Roman"/>
                      <w:snapToGrid/>
                      <w:color w:val="000000" w:themeColor="text1"/>
                      <w:spacing w:val="0"/>
                      <w:kern w:val="2"/>
                      <w:position w:val="0"/>
                      <w:sz w:val="21"/>
                      <w:szCs w:val="21"/>
                      <w:highlight w:val="none"/>
                      <w:lang w:val="en-US" w:eastAsia="zh-CN"/>
                      <w14:textFill>
                        <w14:solidFill>
                          <w14:schemeClr w14:val="tx1"/>
                        </w14:solidFill>
                      </w14:textFill>
                    </w:rPr>
                    <w:t>0.0096</w:t>
                  </w:r>
                </w:p>
              </w:tc>
              <w:tc>
                <w:tcPr>
                  <w:tcW w:w="1503" w:type="dxa"/>
                  <w:vMerge w:val="continue"/>
                  <w:noWrap w:val="0"/>
                  <w:vAlign w:val="center"/>
                </w:tcPr>
                <w:p w14:paraId="34216382">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801" w:type="dxa"/>
                  <w:vMerge w:val="continue"/>
                  <w:noWrap w:val="0"/>
                  <w:vAlign w:val="center"/>
                </w:tcPr>
                <w:p w14:paraId="5F87189D">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746" w:type="dxa"/>
                  <w:vMerge w:val="continue"/>
                  <w:noWrap w:val="0"/>
                  <w:vAlign w:val="center"/>
                </w:tcPr>
                <w:p w14:paraId="0BA70FB6">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r>
            <w:tr w14:paraId="3FB029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noWrap w:val="0"/>
                  <w:vAlign w:val="center"/>
                </w:tcPr>
                <w:p w14:paraId="6391505F">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699" w:type="dxa"/>
                  <w:noWrap w:val="0"/>
                  <w:vAlign w:val="center"/>
                </w:tcPr>
                <w:p w14:paraId="2BC51F31">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氨氮</w:t>
                  </w:r>
                </w:p>
              </w:tc>
              <w:tc>
                <w:tcPr>
                  <w:tcW w:w="462" w:type="dxa"/>
                  <w:vMerge w:val="continue"/>
                  <w:noWrap w:val="0"/>
                  <w:vAlign w:val="center"/>
                </w:tcPr>
                <w:p w14:paraId="2B25075C">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541" w:type="dxa"/>
                  <w:vMerge w:val="continue"/>
                  <w:noWrap w:val="0"/>
                  <w:vAlign w:val="center"/>
                </w:tcPr>
                <w:p w14:paraId="18DFC975">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531" w:type="dxa"/>
                  <w:vMerge w:val="continue"/>
                  <w:noWrap w:val="0"/>
                  <w:vAlign w:val="center"/>
                </w:tcPr>
                <w:p w14:paraId="4FE2A777">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882" w:type="dxa"/>
                  <w:vMerge w:val="continue"/>
                  <w:noWrap w:val="0"/>
                  <w:vAlign w:val="center"/>
                </w:tcPr>
                <w:p w14:paraId="6942035D">
                  <w:pPr>
                    <w:widowControl w:val="0"/>
                    <w:kinsoku/>
                    <w:autoSpaceDE/>
                    <w:autoSpaceDN/>
                    <w:adjustRightInd w:val="0"/>
                    <w:snapToGrid w:val="0"/>
                    <w:spacing w:before="0" w:line="240" w:lineRule="auto"/>
                    <w:ind w:left="0" w:leftChars="0" w:right="0" w:rightChars="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847" w:type="dxa"/>
                  <w:noWrap w:val="0"/>
                  <w:vAlign w:val="center"/>
                </w:tcPr>
                <w:p w14:paraId="47AB168D">
                  <w:pPr>
                    <w:widowControl w:val="0"/>
                    <w:kinsoku/>
                    <w:autoSpaceDE/>
                    <w:autoSpaceDN/>
                    <w:adjustRightInd w:val="0"/>
                    <w:snapToGrid w:val="0"/>
                    <w:spacing w:before="0" w:line="240" w:lineRule="auto"/>
                    <w:ind w:left="0" w:leftChars="0" w:right="0" w:rightChars="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35</w:t>
                  </w:r>
                </w:p>
              </w:tc>
              <w:tc>
                <w:tcPr>
                  <w:tcW w:w="871" w:type="dxa"/>
                  <w:noWrap w:val="0"/>
                  <w:vAlign w:val="center"/>
                </w:tcPr>
                <w:p w14:paraId="695985FF">
                  <w:pPr>
                    <w:widowControl w:val="0"/>
                    <w:kinsoku/>
                    <w:autoSpaceDE/>
                    <w:autoSpaceDN/>
                    <w:adjustRightInd w:val="0"/>
                    <w:snapToGrid w:val="0"/>
                    <w:spacing w:before="0" w:line="240" w:lineRule="auto"/>
                    <w:ind w:left="0" w:leftChars="0" w:right="0" w:rightChars="0"/>
                    <w:jc w:val="center"/>
                    <w:textAlignment w:val="auto"/>
                    <w:rPr>
                      <w:rFonts w:hint="default"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default" w:cs="Times New Roman"/>
                      <w:snapToGrid/>
                      <w:color w:val="000000" w:themeColor="text1"/>
                      <w:spacing w:val="0"/>
                      <w:kern w:val="2"/>
                      <w:position w:val="0"/>
                      <w:sz w:val="21"/>
                      <w:szCs w:val="21"/>
                      <w:highlight w:val="none"/>
                      <w:lang w:val="en-US" w:eastAsia="zh-CN"/>
                      <w14:textFill>
                        <w14:solidFill>
                          <w14:schemeClr w14:val="tx1"/>
                        </w14:solidFill>
                      </w14:textFill>
                    </w:rPr>
                    <w:t>0.00168</w:t>
                  </w:r>
                </w:p>
              </w:tc>
              <w:tc>
                <w:tcPr>
                  <w:tcW w:w="1503" w:type="dxa"/>
                  <w:vMerge w:val="continue"/>
                  <w:noWrap w:val="0"/>
                  <w:vAlign w:val="center"/>
                </w:tcPr>
                <w:p w14:paraId="2EE443DE">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801" w:type="dxa"/>
                  <w:vMerge w:val="continue"/>
                  <w:noWrap w:val="0"/>
                  <w:vAlign w:val="center"/>
                </w:tcPr>
                <w:p w14:paraId="6E9AAD42">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c>
                <w:tcPr>
                  <w:tcW w:w="746" w:type="dxa"/>
                  <w:vMerge w:val="continue"/>
                  <w:noWrap w:val="0"/>
                  <w:vAlign w:val="center"/>
                </w:tcPr>
                <w:p w14:paraId="13E26F49">
                  <w:pPr>
                    <w:widowControl w:val="0"/>
                    <w:kinsoku/>
                    <w:autoSpaceDE/>
                    <w:autoSpaceDN/>
                    <w:adjustRightInd w:val="0"/>
                    <w:snapToGrid w:val="0"/>
                    <w:spacing w:before="0" w:line="240" w:lineRule="auto"/>
                    <w:ind w:left="0" w:right="0"/>
                    <w:jc w:val="center"/>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p>
              </w:tc>
            </w:tr>
            <w:tr w14:paraId="3037C7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0" w:type="dxa"/>
                  <w:gridSpan w:val="11"/>
                  <w:noWrap w:val="0"/>
                  <w:vAlign w:val="center"/>
                </w:tcPr>
                <w:p w14:paraId="423977DF">
                  <w:pPr>
                    <w:widowControl w:val="0"/>
                    <w:kinsoku/>
                    <w:autoSpaceDE/>
                    <w:autoSpaceDN/>
                    <w:adjustRightInd w:val="0"/>
                    <w:snapToGrid w:val="0"/>
                    <w:spacing w:before="0" w:line="240" w:lineRule="auto"/>
                    <w:ind w:left="0" w:right="0"/>
                    <w:jc w:val="left"/>
                    <w:textAlignment w:val="auto"/>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pP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职工生活污水：本</w:t>
                  </w:r>
                  <w:r>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项目职工人数</w:t>
                  </w:r>
                  <w:r>
                    <w:rPr>
                      <w:rFonts w:hint="eastAsia" w:cs="Times New Roman"/>
                      <w:snapToGrid/>
                      <w:color w:val="000000" w:themeColor="text1"/>
                      <w:spacing w:val="0"/>
                      <w:kern w:val="2"/>
                      <w:position w:val="0"/>
                      <w:sz w:val="21"/>
                      <w:szCs w:val="21"/>
                      <w:highlight w:val="none"/>
                      <w:lang w:val="en-US" w:eastAsia="zh-CN"/>
                      <w14:textFill>
                        <w14:solidFill>
                          <w14:schemeClr w14:val="tx1"/>
                        </w14:solidFill>
                      </w14:textFill>
                    </w:rPr>
                    <w:t>5</w:t>
                  </w:r>
                  <w:r>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人，均不住宿，用水定额为</w:t>
                  </w:r>
                  <w:r>
                    <w:rPr>
                      <w:rFonts w:hint="eastAsia" w:cs="Times New Roman"/>
                      <w:snapToGrid/>
                      <w:color w:val="000000" w:themeColor="text1"/>
                      <w:spacing w:val="0"/>
                      <w:kern w:val="2"/>
                      <w:position w:val="0"/>
                      <w:sz w:val="21"/>
                      <w:szCs w:val="21"/>
                      <w:highlight w:val="none"/>
                      <w:lang w:val="en-US" w:eastAsia="zh-CN"/>
                      <w14:textFill>
                        <w14:solidFill>
                          <w14:schemeClr w14:val="tx1"/>
                        </w14:solidFill>
                      </w14:textFill>
                    </w:rPr>
                    <w:t>40</w:t>
                  </w:r>
                  <w:r>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L/人.d，产污系数0.8计，项目年运行300d，则职工生活用水量</w:t>
                  </w:r>
                  <w:r>
                    <w:rPr>
                      <w:rFonts w:hint="eastAsia" w:cs="Times New Roman"/>
                      <w:snapToGrid/>
                      <w:color w:val="000000" w:themeColor="text1"/>
                      <w:spacing w:val="0"/>
                      <w:kern w:val="2"/>
                      <w:position w:val="0"/>
                      <w:sz w:val="21"/>
                      <w:szCs w:val="21"/>
                      <w:highlight w:val="none"/>
                      <w:lang w:val="en-US" w:eastAsia="zh-CN"/>
                      <w14:textFill>
                        <w14:solidFill>
                          <w14:schemeClr w14:val="tx1"/>
                        </w14:solidFill>
                      </w14:textFill>
                    </w:rPr>
                    <w:t>60</w:t>
                  </w:r>
                  <w:r>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m</w:t>
                  </w:r>
                  <w:r>
                    <w:rPr>
                      <w:rFonts w:hint="default" w:ascii="Times New Roman" w:hAnsi="Times New Roman" w:eastAsia="宋体" w:cs="Times New Roman"/>
                      <w:snapToGrid/>
                      <w:color w:val="000000" w:themeColor="text1"/>
                      <w:spacing w:val="0"/>
                      <w:kern w:val="2"/>
                      <w:position w:val="0"/>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/a，生活污水产生量约为</w:t>
                  </w:r>
                  <w:r>
                    <w:rPr>
                      <w:rFonts w:hint="eastAsia" w:cs="Times New Roman"/>
                      <w:snapToGrid/>
                      <w:color w:val="000000" w:themeColor="text1"/>
                      <w:spacing w:val="0"/>
                      <w:kern w:val="2"/>
                      <w:position w:val="0"/>
                      <w:sz w:val="21"/>
                      <w:szCs w:val="21"/>
                      <w:highlight w:val="none"/>
                      <w:lang w:val="en-US" w:eastAsia="zh-CN"/>
                      <w14:textFill>
                        <w14:solidFill>
                          <w14:schemeClr w14:val="tx1"/>
                        </w14:solidFill>
                      </w14:textFill>
                    </w:rPr>
                    <w:t>48</w:t>
                  </w:r>
                  <w:r>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m</w:t>
                  </w:r>
                  <w:r>
                    <w:rPr>
                      <w:rFonts w:hint="default" w:ascii="Times New Roman" w:hAnsi="Times New Roman" w:eastAsia="宋体" w:cs="Times New Roman"/>
                      <w:snapToGrid/>
                      <w:color w:val="000000" w:themeColor="text1"/>
                      <w:spacing w:val="0"/>
                      <w:kern w:val="2"/>
                      <w:position w:val="0"/>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/a，废水中主要的污染物为COD、SS和氨氮</w:t>
                  </w: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，原始浓度分别约为350mg/L、200mg/L和35mg/L，产生量分别约为</w:t>
                  </w:r>
                  <w:r>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0.0168</w:t>
                  </w: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t/a、</w:t>
                  </w:r>
                  <w:r>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0.0096</w:t>
                  </w: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t/a和</w:t>
                  </w:r>
                  <w:r>
                    <w:rPr>
                      <w:rFonts w:hint="default"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0.00168</w:t>
                  </w:r>
                  <w:r>
                    <w:rPr>
                      <w:rFonts w:hint="eastAsia" w:ascii="Times New Roman" w:hAnsi="Times New Roman" w:eastAsia="宋体" w:cs="Times New Roman"/>
                      <w:snapToGrid/>
                      <w:color w:val="000000" w:themeColor="text1"/>
                      <w:spacing w:val="0"/>
                      <w:kern w:val="2"/>
                      <w:position w:val="0"/>
                      <w:sz w:val="21"/>
                      <w:szCs w:val="21"/>
                      <w:highlight w:val="none"/>
                      <w:lang w:val="en-US" w:eastAsia="zh-CN"/>
                      <w14:textFill>
                        <w14:solidFill>
                          <w14:schemeClr w14:val="tx1"/>
                        </w14:solidFill>
                      </w14:textFill>
                    </w:rPr>
                    <w:t>t/a。</w:t>
                  </w:r>
                </w:p>
              </w:tc>
            </w:tr>
          </w:tbl>
          <w:p w14:paraId="046478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2）废水治理措施可行性分析</w:t>
            </w:r>
          </w:p>
          <w:p w14:paraId="420E54C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化粪池是一种利用沉淀和厌氧发酵的原理，去除污水中悬浮性有机物的处理设施，属于初级的过渡性污水处理构筑物。污水进入化粪池经过12~24h的沉淀，可去除50%~60%的悬浮物。沉淀下来的污泥经过3个月以上的厌氧发酵分解，使污泥中的有机物分解成稳定的无机物，易腐败的生污泥转化为稳定的熟污泥，改变了污泥的结构，降低了污泥的含水率。定期将污泥清掏外运，填埋或用作肥料。根据《化粪池污水处理能力研究及其评价》（王红燕等，兰州交通大学学报，1809，40（1）</w:t>
            </w:r>
            <w:r>
              <w:rPr>
                <w:rFonts w:hint="eastAsia"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118-120），在污水可生化性较好的前提下，进水COD在5536.5mg/L时，出水COD约为908.4mg/L，去除率可达83.6%，同时氨氮去除率约为1%，可忽略不计。由此可知，在污水可生化性允许条件下，化粪池可处理污水的COD范围较广。拟建项目废水主要包括职工生活污水，混合废水中的COD、SS和氨氮浓度分别约为</w:t>
            </w:r>
            <w:r>
              <w:rPr>
                <w:rFonts w:hint="eastAsia" w:cs="Times New Roman"/>
                <w:b w:val="0"/>
                <w:bCs w:val="0"/>
                <w:snapToGrid/>
                <w:color w:val="000000" w:themeColor="text1"/>
                <w:kern w:val="2"/>
                <w:sz w:val="24"/>
                <w:szCs w:val="24"/>
                <w:highlight w:val="none"/>
                <w:lang w:val="en-US" w:eastAsia="zh-CN"/>
                <w14:textFill>
                  <w14:solidFill>
                    <w14:schemeClr w14:val="tx1"/>
                  </w14:solidFill>
                </w14:textFill>
              </w:rPr>
              <w:t>350</w:t>
            </w:r>
            <w:r>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mg/L、</w:t>
            </w:r>
            <w:r>
              <w:rPr>
                <w:rFonts w:hint="eastAsia" w:cs="Times New Roman"/>
                <w:b w:val="0"/>
                <w:bCs w:val="0"/>
                <w:snapToGrid/>
                <w:color w:val="000000" w:themeColor="text1"/>
                <w:kern w:val="2"/>
                <w:sz w:val="24"/>
                <w:szCs w:val="24"/>
                <w:highlight w:val="none"/>
                <w:lang w:val="en-US" w:eastAsia="zh-CN"/>
                <w14:textFill>
                  <w14:solidFill>
                    <w14:schemeClr w14:val="tx1"/>
                  </w14:solidFill>
                </w14:textFill>
              </w:rPr>
              <w:t>2</w:t>
            </w:r>
            <w:r>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00mg/L和35mg/L，可生化性好，经化粪池处理后，可实现资源化利用，由环卫部门定期抽运。</w:t>
            </w:r>
          </w:p>
          <w:p w14:paraId="19EBE9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根据《排污许可证申请与核发技术规范总则》（HJ942-2018）</w:t>
            </w:r>
            <w:r>
              <w:rPr>
                <w:rFonts w:hint="eastAsia"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，可行技术可按照行业可行技术指南和污染物排放标准控制要求确定。以污染防治技术的污染物排放持续稳定达标性、规模应用和经济可行性作为确定污染防治可行技术的重要依据。</w:t>
            </w:r>
            <w:r>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项目采用“化粪池”处理生活污水，经处理后由环卫部门定期</w:t>
            </w:r>
            <w:r>
              <w:rPr>
                <w:rFonts w:hint="eastAsia"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清运</w:t>
            </w:r>
            <w:r>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，项目生活污水不外排，故该处理技术可行。</w:t>
            </w:r>
          </w:p>
          <w:p w14:paraId="0CE7F2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3）达标排放情况分析</w:t>
            </w:r>
          </w:p>
          <w:p w14:paraId="2BA8D3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pPr>
            <w:r>
              <w:rPr>
                <w:rFonts w:hint="eastAsia" w:cs="Times New Roman"/>
                <w:b w:val="0"/>
                <w:bCs w:val="0"/>
                <w:snapToGrid/>
                <w:color w:val="000000" w:themeColor="text1"/>
                <w:kern w:val="2"/>
                <w:sz w:val="24"/>
                <w:szCs w:val="24"/>
                <w:highlight w:val="none"/>
                <w:lang w:val="en-US" w:eastAsia="zh-CN"/>
                <w14:textFill>
                  <w14:solidFill>
                    <w14:schemeClr w14:val="tx1"/>
                  </w14:solidFill>
                </w14:textFill>
              </w:rPr>
              <w:t>本</w:t>
            </w:r>
            <w:r>
              <w:rPr>
                <w:rFonts w:hint="eastAsia"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项目生活</w:t>
            </w:r>
            <w:r>
              <w:rPr>
                <w:rFonts w:hint="eastAsia" w:ascii="Times New Roman" w:hAnsi="Times New Roman" w:cs="Times New Roman"/>
                <w:b w:val="0"/>
                <w:bCs w:val="0"/>
                <w:snapToGrid/>
                <w:color w:val="000000" w:themeColor="text1"/>
                <w:kern w:val="2"/>
                <w:sz w:val="24"/>
                <w:szCs w:val="24"/>
                <w:highlight w:val="none"/>
                <w:lang w:val="en-US" w:eastAsia="zh-CN"/>
                <w14:textFill>
                  <w14:solidFill>
                    <w14:schemeClr w14:val="tx1"/>
                  </w14:solidFill>
                </w14:textFill>
              </w:rPr>
              <w:t>污水</w:t>
            </w:r>
            <w:r>
              <w:rPr>
                <w:rFonts w:hint="eastAsia"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经化粪池处理后由环卫部门定期清运，不外排，对</w:t>
            </w:r>
            <w:r>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周围地表水</w:t>
            </w:r>
            <w:r>
              <w:rPr>
                <w:rFonts w:hint="eastAsia"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影响较小</w:t>
            </w:r>
            <w:r>
              <w:rPr>
                <w:rFonts w:hint="default" w:ascii="Times New Roman" w:hAnsi="Times New Roman" w:eastAsia="宋体" w:cs="Times New Roman"/>
                <w:b w:val="0"/>
                <w:bCs w:val="0"/>
                <w:snapToGrid/>
                <w:color w:val="000000" w:themeColor="text1"/>
                <w:kern w:val="2"/>
                <w:sz w:val="24"/>
                <w:szCs w:val="24"/>
                <w:highlight w:val="none"/>
                <w:lang w:val="en-US" w:eastAsia="zh-CN"/>
                <w14:textFill>
                  <w14:solidFill>
                    <w14:schemeClr w14:val="tx1"/>
                  </w14:solidFill>
                </w14:textFill>
              </w:rPr>
              <w:t>。</w:t>
            </w:r>
          </w:p>
          <w:p w14:paraId="425AF678">
            <w:pPr>
              <w:pStyle w:val="28"/>
              <w:tabs>
                <w:tab w:val="left" w:pos="1470"/>
              </w:tabs>
              <w:spacing w:line="360" w:lineRule="auto"/>
              <w:ind w:firstLine="482" w:firstLineChars="200"/>
              <w:rPr>
                <w:rFonts w:hint="default" w:ascii="Times New Roman" w:hAnsi="Times New Roman" w:eastAsia="宋体" w:cs="Times New Roman"/>
                <w:b/>
                <w:bCs/>
                <w:snapToGrid w:val="0"/>
                <w:color w:val="000000" w:themeColor="text1"/>
                <w:kern w:val="0"/>
                <w:sz w:val="24"/>
                <w:szCs w:val="24"/>
                <w14:textFill>
                  <w14:solidFill>
                    <w14:schemeClr w14:val="tx1"/>
                  </w14:solidFill>
                </w14:textFill>
              </w:rPr>
            </w:pPr>
            <w:r>
              <w:rPr>
                <w:rFonts w:hint="default" w:ascii="Times New Roman" w:hAnsi="Times New Roman" w:eastAsia="宋体" w:cs="Times New Roman"/>
                <w:b/>
                <w:bCs/>
                <w:snapToGrid w:val="0"/>
                <w:color w:val="000000" w:themeColor="text1"/>
                <w:kern w:val="0"/>
                <w:sz w:val="24"/>
                <w:szCs w:val="24"/>
                <w14:textFill>
                  <w14:solidFill>
                    <w14:schemeClr w14:val="tx1"/>
                  </w14:solidFill>
                </w14:textFill>
              </w:rPr>
              <w:t>3、噪声</w:t>
            </w:r>
          </w:p>
          <w:p w14:paraId="36AE2FB0">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（1）源强分析</w:t>
            </w:r>
          </w:p>
          <w:p w14:paraId="53684176">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本项目运营期主要噪声源为设备运行时产生的噪声，生产设备、风机声压级约在60~</w:t>
            </w:r>
            <w:r>
              <w:rPr>
                <w:rFonts w:hint="eastAsia" w:cs="Times New Roman"/>
                <w:color w:val="000000" w:themeColor="text1"/>
                <w:sz w:val="24"/>
                <w:lang w:val="en-US" w:eastAsia="zh-CN"/>
                <w14:textFill>
                  <w14:solidFill>
                    <w14:schemeClr w14:val="tx1"/>
                  </w14:solidFill>
                </w14:textFill>
              </w:rPr>
              <w:t>90</w:t>
            </w:r>
            <w:r>
              <w:rPr>
                <w:rFonts w:hint="default" w:ascii="Times New Roman" w:hAnsi="Times New Roman" w:eastAsia="宋体" w:cs="Times New Roman"/>
                <w:color w:val="000000" w:themeColor="text1"/>
                <w:sz w:val="24"/>
                <w14:textFill>
                  <w14:solidFill>
                    <w14:schemeClr w14:val="tx1"/>
                  </w14:solidFill>
                </w14:textFill>
              </w:rPr>
              <w:t>dB（A）左右。</w:t>
            </w:r>
          </w:p>
          <w:p w14:paraId="61A4337E">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采取的噪声治理措施为：</w:t>
            </w:r>
          </w:p>
          <w:p w14:paraId="73584AA1">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1）在保证工艺生产的同时注意选用低噪声的设备。</w:t>
            </w:r>
          </w:p>
          <w:p w14:paraId="1D33E4DF">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2）对振动较大的设备考虑设备基础的隔振、减振。</w:t>
            </w:r>
          </w:p>
          <w:p w14:paraId="6AE00584">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3）利用建（构）筑物隔声降噪。</w:t>
            </w:r>
          </w:p>
          <w:p w14:paraId="2F40963C">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另外，为保证项目建成后噪声达标排放，应增加以下防治措施：</w:t>
            </w:r>
          </w:p>
          <w:p w14:paraId="5BD04A3F">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4）厂房内装隔声门窗；</w:t>
            </w:r>
          </w:p>
          <w:p w14:paraId="60BD338B">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5）合理布局：要求将噪声较高的设备布设在生产车间中部；</w:t>
            </w:r>
          </w:p>
          <w:p w14:paraId="556F4179">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采用设备基础的减振、厂房墙、窗隔声可减少20～25dB(A)的噪声级，本项目新增设备设置了基础的减振措施，设备均设置在厂房内采用厂房隔声，噪声治理措施及效果如下</w:t>
            </w:r>
            <w:r>
              <w:rPr>
                <w:rFonts w:hint="default" w:ascii="Times New Roman" w:hAnsi="Times New Roman" w:eastAsia="宋体" w:cs="Times New Roman"/>
                <w:bCs/>
                <w:color w:val="000000" w:themeColor="text1"/>
                <w:sz w:val="24"/>
                <w14:textFill>
                  <w14:solidFill>
                    <w14:schemeClr w14:val="tx1"/>
                  </w14:solidFill>
                </w14:textFill>
              </w:rPr>
              <w:t>。</w:t>
            </w:r>
          </w:p>
          <w:p w14:paraId="282FA0F7">
            <w:pPr>
              <w:jc w:val="center"/>
              <w:rPr>
                <w:rFonts w:hint="default" w:ascii="Times New Roman" w:hAnsi="Times New Roman" w:eastAsia="宋体" w:cs="Times New Roman"/>
                <w:b/>
                <w:color w:val="000000" w:themeColor="text1"/>
                <w:kern w:val="0"/>
                <w:szCs w:val="21"/>
                <w:lang w:val="zh-CN"/>
                <w14:textFill>
                  <w14:solidFill>
                    <w14:schemeClr w14:val="tx1"/>
                  </w14:solidFill>
                </w14:textFill>
              </w:rPr>
            </w:pPr>
            <w:r>
              <w:rPr>
                <w:rFonts w:hint="default" w:ascii="Times New Roman" w:hAnsi="Times New Roman" w:eastAsia="宋体" w:cs="Times New Roman"/>
                <w:b/>
                <w:color w:val="000000" w:themeColor="text1"/>
                <w:kern w:val="0"/>
                <w:szCs w:val="21"/>
                <w14:textFill>
                  <w14:solidFill>
                    <w14:schemeClr w14:val="tx1"/>
                  </w14:solidFill>
                </w14:textFill>
              </w:rPr>
              <w:t>表4-</w:t>
            </w:r>
            <w:r>
              <w:rPr>
                <w:rFonts w:hint="eastAsia" w:cs="Times New Roman"/>
                <w:b/>
                <w:color w:val="000000" w:themeColor="text1"/>
                <w:kern w:val="0"/>
                <w:szCs w:val="21"/>
                <w:lang w:val="en-US" w:eastAsia="zh-CN"/>
                <w14:textFill>
                  <w14:solidFill>
                    <w14:schemeClr w14:val="tx1"/>
                  </w14:solidFill>
                </w14:textFill>
              </w:rPr>
              <w:t xml:space="preserve">11 </w:t>
            </w:r>
            <w:r>
              <w:rPr>
                <w:rFonts w:hint="default" w:ascii="Times New Roman" w:hAnsi="Times New Roman" w:eastAsia="宋体" w:cs="Times New Roman"/>
                <w:b/>
                <w:color w:val="000000" w:themeColor="text1"/>
                <w:kern w:val="0"/>
                <w:szCs w:val="21"/>
                <w:lang w:bidi="ar"/>
                <w14:textFill>
                  <w14:solidFill>
                    <w14:schemeClr w14:val="tx1"/>
                  </w14:solidFill>
                </w14:textFill>
              </w:rPr>
              <w:t>主要设备噪声源强一览表（室内声源）</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8"/>
              <w:gridCol w:w="408"/>
              <w:gridCol w:w="723"/>
              <w:gridCol w:w="484"/>
              <w:gridCol w:w="497"/>
              <w:gridCol w:w="343"/>
              <w:gridCol w:w="343"/>
              <w:gridCol w:w="356"/>
              <w:gridCol w:w="342"/>
              <w:gridCol w:w="342"/>
              <w:gridCol w:w="342"/>
              <w:gridCol w:w="364"/>
              <w:gridCol w:w="342"/>
              <w:gridCol w:w="342"/>
              <w:gridCol w:w="342"/>
              <w:gridCol w:w="364"/>
              <w:gridCol w:w="407"/>
              <w:gridCol w:w="665"/>
              <w:gridCol w:w="289"/>
              <w:gridCol w:w="289"/>
              <w:gridCol w:w="289"/>
              <w:gridCol w:w="289"/>
              <w:gridCol w:w="346"/>
            </w:tblGrid>
            <w:tr w14:paraId="585900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 w:type="pct"/>
                  <w:vMerge w:val="restart"/>
                  <w:tcBorders>
                    <w:tl2br w:val="nil"/>
                    <w:tr2bl w:val="nil"/>
                  </w:tcBorders>
                  <w:shd w:val="clear" w:color="auto" w:fill="auto"/>
                  <w:vAlign w:val="center"/>
                </w:tcPr>
                <w:p w14:paraId="463EEDAF">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序号</w:t>
                  </w:r>
                </w:p>
              </w:tc>
              <w:tc>
                <w:tcPr>
                  <w:tcW w:w="228" w:type="pct"/>
                  <w:vMerge w:val="restart"/>
                  <w:tcBorders>
                    <w:tl2br w:val="nil"/>
                    <w:tr2bl w:val="nil"/>
                  </w:tcBorders>
                  <w:shd w:val="clear" w:color="auto" w:fill="auto"/>
                  <w:vAlign w:val="center"/>
                </w:tcPr>
                <w:p w14:paraId="77313720">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建筑物名称</w:t>
                  </w:r>
                </w:p>
              </w:tc>
              <w:tc>
                <w:tcPr>
                  <w:tcW w:w="405" w:type="pct"/>
                  <w:vMerge w:val="restart"/>
                  <w:tcBorders>
                    <w:tl2br w:val="nil"/>
                    <w:tr2bl w:val="nil"/>
                  </w:tcBorders>
                  <w:shd w:val="clear" w:color="auto" w:fill="auto"/>
                  <w:vAlign w:val="center"/>
                </w:tcPr>
                <w:p w14:paraId="361CBDB0">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声源名称</w:t>
                  </w:r>
                </w:p>
              </w:tc>
              <w:tc>
                <w:tcPr>
                  <w:tcW w:w="271" w:type="pct"/>
                  <w:tcBorders>
                    <w:tl2br w:val="nil"/>
                    <w:tr2bl w:val="nil"/>
                  </w:tcBorders>
                  <w:shd w:val="clear" w:color="auto" w:fill="auto"/>
                  <w:vAlign w:val="center"/>
                </w:tcPr>
                <w:p w14:paraId="07A5D48B">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声源源强</w:t>
                  </w:r>
                </w:p>
              </w:tc>
              <w:tc>
                <w:tcPr>
                  <w:tcW w:w="278" w:type="pct"/>
                  <w:vMerge w:val="restart"/>
                  <w:tcBorders>
                    <w:tl2br w:val="nil"/>
                    <w:tr2bl w:val="nil"/>
                  </w:tcBorders>
                  <w:shd w:val="clear" w:color="auto" w:fill="auto"/>
                  <w:vAlign w:val="center"/>
                </w:tcPr>
                <w:p w14:paraId="7F824C40">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声源控制措施</w:t>
                  </w:r>
                </w:p>
              </w:tc>
              <w:tc>
                <w:tcPr>
                  <w:tcW w:w="584" w:type="pct"/>
                  <w:gridSpan w:val="3"/>
                  <w:tcBorders>
                    <w:tl2br w:val="nil"/>
                    <w:tr2bl w:val="nil"/>
                  </w:tcBorders>
                  <w:shd w:val="clear" w:color="auto" w:fill="auto"/>
                  <w:vAlign w:val="center"/>
                </w:tcPr>
                <w:p w14:paraId="0CB6EEE6">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空间相对位置/m</w:t>
                  </w:r>
                </w:p>
              </w:tc>
              <w:tc>
                <w:tcPr>
                  <w:tcW w:w="779" w:type="pct"/>
                  <w:gridSpan w:val="4"/>
                  <w:tcBorders>
                    <w:tl2br w:val="nil"/>
                    <w:tr2bl w:val="nil"/>
                  </w:tcBorders>
                  <w:shd w:val="clear" w:color="auto" w:fill="auto"/>
                  <w:vAlign w:val="center"/>
                </w:tcPr>
                <w:p w14:paraId="60F79B09">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距室内边界距离/m</w:t>
                  </w:r>
                </w:p>
              </w:tc>
              <w:tc>
                <w:tcPr>
                  <w:tcW w:w="779" w:type="pct"/>
                  <w:gridSpan w:val="4"/>
                  <w:tcBorders>
                    <w:tl2br w:val="nil"/>
                    <w:tr2bl w:val="nil"/>
                  </w:tcBorders>
                  <w:shd w:val="clear" w:color="auto" w:fill="auto"/>
                  <w:vAlign w:val="center"/>
                </w:tcPr>
                <w:p w14:paraId="16038BED">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室内边界声级/dB(A)</w:t>
                  </w:r>
                </w:p>
              </w:tc>
              <w:tc>
                <w:tcPr>
                  <w:tcW w:w="228" w:type="pct"/>
                  <w:vMerge w:val="restart"/>
                  <w:tcBorders>
                    <w:tl2br w:val="nil"/>
                    <w:tr2bl w:val="nil"/>
                  </w:tcBorders>
                  <w:shd w:val="clear" w:color="auto" w:fill="auto"/>
                  <w:vAlign w:val="center"/>
                </w:tcPr>
                <w:p w14:paraId="5C18B526">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运行时段</w:t>
                  </w:r>
                </w:p>
              </w:tc>
              <w:tc>
                <w:tcPr>
                  <w:tcW w:w="372" w:type="pct"/>
                  <w:vMerge w:val="restart"/>
                  <w:tcBorders>
                    <w:tl2br w:val="nil"/>
                    <w:tr2bl w:val="nil"/>
                  </w:tcBorders>
                  <w:shd w:val="clear" w:color="auto" w:fill="auto"/>
                  <w:vAlign w:val="center"/>
                </w:tcPr>
                <w:p w14:paraId="60A2FF15">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建筑物插入损失/dB(A)</w:t>
                  </w:r>
                </w:p>
              </w:tc>
              <w:tc>
                <w:tcPr>
                  <w:tcW w:w="842" w:type="pct"/>
                  <w:gridSpan w:val="5"/>
                  <w:tcBorders>
                    <w:tl2br w:val="nil"/>
                    <w:tr2bl w:val="nil"/>
                  </w:tcBorders>
                  <w:shd w:val="clear" w:color="auto" w:fill="auto"/>
                  <w:vAlign w:val="center"/>
                </w:tcPr>
                <w:p w14:paraId="3F05B0B6">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建筑物外噪声声压级/dB(A)</w:t>
                  </w:r>
                </w:p>
              </w:tc>
            </w:tr>
            <w:tr w14:paraId="2D82B5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 w:type="pct"/>
                  <w:vMerge w:val="continue"/>
                  <w:tcBorders>
                    <w:tl2br w:val="nil"/>
                    <w:tr2bl w:val="nil"/>
                  </w:tcBorders>
                  <w:shd w:val="clear" w:color="auto" w:fill="auto"/>
                  <w:tcMar>
                    <w:top w:w="0" w:type="dxa"/>
                    <w:left w:w="0" w:type="dxa"/>
                    <w:bottom w:w="0" w:type="dxa"/>
                    <w:right w:w="0" w:type="dxa"/>
                  </w:tcMar>
                  <w:vAlign w:val="center"/>
                </w:tcPr>
                <w:p w14:paraId="698435AB">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228" w:type="pct"/>
                  <w:vMerge w:val="continue"/>
                  <w:tcBorders>
                    <w:tl2br w:val="nil"/>
                    <w:tr2bl w:val="nil"/>
                  </w:tcBorders>
                  <w:shd w:val="clear" w:color="auto" w:fill="auto"/>
                  <w:tcMar>
                    <w:top w:w="0" w:type="dxa"/>
                    <w:left w:w="0" w:type="dxa"/>
                    <w:bottom w:w="0" w:type="dxa"/>
                    <w:right w:w="0" w:type="dxa"/>
                  </w:tcMar>
                  <w:vAlign w:val="center"/>
                </w:tcPr>
                <w:p w14:paraId="100BD138">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405" w:type="pct"/>
                  <w:vMerge w:val="continue"/>
                  <w:tcBorders>
                    <w:tl2br w:val="nil"/>
                    <w:tr2bl w:val="nil"/>
                  </w:tcBorders>
                  <w:shd w:val="clear" w:color="auto" w:fill="auto"/>
                  <w:tcMar>
                    <w:top w:w="0" w:type="dxa"/>
                    <w:left w:w="0" w:type="dxa"/>
                    <w:bottom w:w="0" w:type="dxa"/>
                    <w:right w:w="0" w:type="dxa"/>
                  </w:tcMar>
                  <w:vAlign w:val="center"/>
                </w:tcPr>
                <w:p w14:paraId="3065FAA1">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271" w:type="pct"/>
                  <w:tcBorders>
                    <w:tl2br w:val="nil"/>
                    <w:tr2bl w:val="nil"/>
                  </w:tcBorders>
                  <w:shd w:val="clear" w:color="auto" w:fill="auto"/>
                  <w:tcMar>
                    <w:top w:w="0" w:type="dxa"/>
                    <w:left w:w="0" w:type="dxa"/>
                    <w:bottom w:w="0" w:type="dxa"/>
                    <w:right w:w="0" w:type="dxa"/>
                  </w:tcMar>
                  <w:vAlign w:val="center"/>
                </w:tcPr>
                <w:p w14:paraId="534CCF8C">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声功率级/dB(A)</w:t>
                  </w:r>
                </w:p>
              </w:tc>
              <w:tc>
                <w:tcPr>
                  <w:tcW w:w="278" w:type="pct"/>
                  <w:vMerge w:val="continue"/>
                  <w:tcBorders>
                    <w:tl2br w:val="nil"/>
                    <w:tr2bl w:val="nil"/>
                  </w:tcBorders>
                  <w:shd w:val="clear" w:color="auto" w:fill="auto"/>
                  <w:tcMar>
                    <w:top w:w="0" w:type="dxa"/>
                    <w:left w:w="0" w:type="dxa"/>
                    <w:bottom w:w="0" w:type="dxa"/>
                    <w:right w:w="0" w:type="dxa"/>
                  </w:tcMar>
                  <w:vAlign w:val="center"/>
                </w:tcPr>
                <w:p w14:paraId="44C31EA0">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192" w:type="pct"/>
                  <w:tcBorders>
                    <w:tl2br w:val="nil"/>
                    <w:tr2bl w:val="nil"/>
                  </w:tcBorders>
                  <w:shd w:val="clear" w:color="auto" w:fill="auto"/>
                  <w:tcMar>
                    <w:top w:w="0" w:type="dxa"/>
                    <w:left w:w="0" w:type="dxa"/>
                    <w:bottom w:w="0" w:type="dxa"/>
                    <w:right w:w="0" w:type="dxa"/>
                  </w:tcMar>
                  <w:vAlign w:val="center"/>
                </w:tcPr>
                <w:p w14:paraId="0C7AC821">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X</w:t>
                  </w:r>
                </w:p>
              </w:tc>
              <w:tc>
                <w:tcPr>
                  <w:tcW w:w="192" w:type="pct"/>
                  <w:tcBorders>
                    <w:tl2br w:val="nil"/>
                    <w:tr2bl w:val="nil"/>
                  </w:tcBorders>
                  <w:shd w:val="clear" w:color="auto" w:fill="auto"/>
                  <w:tcMar>
                    <w:top w:w="0" w:type="dxa"/>
                    <w:left w:w="0" w:type="dxa"/>
                    <w:bottom w:w="0" w:type="dxa"/>
                    <w:right w:w="0" w:type="dxa"/>
                  </w:tcMar>
                  <w:vAlign w:val="center"/>
                </w:tcPr>
                <w:p w14:paraId="5D5C51F5">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Y</w:t>
                  </w:r>
                </w:p>
              </w:tc>
              <w:tc>
                <w:tcPr>
                  <w:tcW w:w="199" w:type="pct"/>
                  <w:tcBorders>
                    <w:tl2br w:val="nil"/>
                    <w:tr2bl w:val="nil"/>
                  </w:tcBorders>
                  <w:shd w:val="clear" w:color="auto" w:fill="auto"/>
                  <w:tcMar>
                    <w:top w:w="0" w:type="dxa"/>
                    <w:left w:w="0" w:type="dxa"/>
                    <w:bottom w:w="0" w:type="dxa"/>
                    <w:right w:w="0" w:type="dxa"/>
                  </w:tcMar>
                  <w:vAlign w:val="center"/>
                </w:tcPr>
                <w:p w14:paraId="39C11825">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Z</w:t>
                  </w:r>
                </w:p>
              </w:tc>
              <w:tc>
                <w:tcPr>
                  <w:tcW w:w="191" w:type="pct"/>
                  <w:tcBorders>
                    <w:tl2br w:val="nil"/>
                    <w:tr2bl w:val="nil"/>
                  </w:tcBorders>
                  <w:shd w:val="clear" w:color="auto" w:fill="auto"/>
                  <w:tcMar>
                    <w:top w:w="0" w:type="dxa"/>
                    <w:left w:w="0" w:type="dxa"/>
                    <w:bottom w:w="0" w:type="dxa"/>
                    <w:right w:w="0" w:type="dxa"/>
                  </w:tcMar>
                  <w:vAlign w:val="center"/>
                </w:tcPr>
                <w:p w14:paraId="3FC80BBF">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东</w:t>
                  </w:r>
                </w:p>
              </w:tc>
              <w:tc>
                <w:tcPr>
                  <w:tcW w:w="191" w:type="pct"/>
                  <w:tcBorders>
                    <w:tl2br w:val="nil"/>
                    <w:tr2bl w:val="nil"/>
                  </w:tcBorders>
                  <w:shd w:val="clear" w:color="auto" w:fill="auto"/>
                  <w:tcMar>
                    <w:top w:w="0" w:type="dxa"/>
                    <w:left w:w="0" w:type="dxa"/>
                    <w:bottom w:w="0" w:type="dxa"/>
                    <w:right w:w="0" w:type="dxa"/>
                  </w:tcMar>
                  <w:vAlign w:val="center"/>
                </w:tcPr>
                <w:p w14:paraId="78778316">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南</w:t>
                  </w:r>
                </w:p>
              </w:tc>
              <w:tc>
                <w:tcPr>
                  <w:tcW w:w="191" w:type="pct"/>
                  <w:tcBorders>
                    <w:tl2br w:val="nil"/>
                    <w:tr2bl w:val="nil"/>
                  </w:tcBorders>
                  <w:shd w:val="clear" w:color="auto" w:fill="auto"/>
                  <w:tcMar>
                    <w:top w:w="0" w:type="dxa"/>
                    <w:left w:w="0" w:type="dxa"/>
                    <w:bottom w:w="0" w:type="dxa"/>
                    <w:right w:w="0" w:type="dxa"/>
                  </w:tcMar>
                  <w:vAlign w:val="center"/>
                </w:tcPr>
                <w:p w14:paraId="1BECE7FE">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西</w:t>
                  </w:r>
                </w:p>
              </w:tc>
              <w:tc>
                <w:tcPr>
                  <w:tcW w:w="204" w:type="pct"/>
                  <w:tcBorders>
                    <w:tl2br w:val="nil"/>
                    <w:tr2bl w:val="nil"/>
                  </w:tcBorders>
                  <w:shd w:val="clear" w:color="auto" w:fill="auto"/>
                  <w:tcMar>
                    <w:top w:w="0" w:type="dxa"/>
                    <w:left w:w="0" w:type="dxa"/>
                    <w:bottom w:w="0" w:type="dxa"/>
                    <w:right w:w="0" w:type="dxa"/>
                  </w:tcMar>
                  <w:vAlign w:val="center"/>
                </w:tcPr>
                <w:p w14:paraId="6A8CBEA2">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北</w:t>
                  </w:r>
                </w:p>
              </w:tc>
              <w:tc>
                <w:tcPr>
                  <w:tcW w:w="191" w:type="pct"/>
                  <w:tcBorders>
                    <w:tl2br w:val="nil"/>
                    <w:tr2bl w:val="nil"/>
                  </w:tcBorders>
                  <w:shd w:val="clear" w:color="auto" w:fill="auto"/>
                  <w:tcMar>
                    <w:top w:w="0" w:type="dxa"/>
                    <w:left w:w="0" w:type="dxa"/>
                    <w:bottom w:w="0" w:type="dxa"/>
                    <w:right w:w="0" w:type="dxa"/>
                  </w:tcMar>
                  <w:vAlign w:val="center"/>
                </w:tcPr>
                <w:p w14:paraId="347A3201">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东</w:t>
                  </w:r>
                </w:p>
              </w:tc>
              <w:tc>
                <w:tcPr>
                  <w:tcW w:w="191" w:type="pct"/>
                  <w:tcBorders>
                    <w:tl2br w:val="nil"/>
                    <w:tr2bl w:val="nil"/>
                  </w:tcBorders>
                  <w:shd w:val="clear" w:color="auto" w:fill="auto"/>
                  <w:tcMar>
                    <w:top w:w="0" w:type="dxa"/>
                    <w:left w:w="0" w:type="dxa"/>
                    <w:bottom w:w="0" w:type="dxa"/>
                    <w:right w:w="0" w:type="dxa"/>
                  </w:tcMar>
                  <w:vAlign w:val="center"/>
                </w:tcPr>
                <w:p w14:paraId="4EDD3272">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南</w:t>
                  </w:r>
                </w:p>
              </w:tc>
              <w:tc>
                <w:tcPr>
                  <w:tcW w:w="191" w:type="pct"/>
                  <w:tcBorders>
                    <w:tl2br w:val="nil"/>
                    <w:tr2bl w:val="nil"/>
                  </w:tcBorders>
                  <w:shd w:val="clear" w:color="auto" w:fill="auto"/>
                  <w:tcMar>
                    <w:top w:w="0" w:type="dxa"/>
                    <w:left w:w="0" w:type="dxa"/>
                    <w:bottom w:w="0" w:type="dxa"/>
                    <w:right w:w="0" w:type="dxa"/>
                  </w:tcMar>
                  <w:vAlign w:val="center"/>
                </w:tcPr>
                <w:p w14:paraId="16E51057">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西</w:t>
                  </w:r>
                </w:p>
              </w:tc>
              <w:tc>
                <w:tcPr>
                  <w:tcW w:w="204" w:type="pct"/>
                  <w:tcBorders>
                    <w:tl2br w:val="nil"/>
                    <w:tr2bl w:val="nil"/>
                  </w:tcBorders>
                  <w:shd w:val="clear" w:color="auto" w:fill="auto"/>
                  <w:tcMar>
                    <w:top w:w="0" w:type="dxa"/>
                    <w:left w:w="0" w:type="dxa"/>
                    <w:bottom w:w="0" w:type="dxa"/>
                    <w:right w:w="0" w:type="dxa"/>
                  </w:tcMar>
                  <w:vAlign w:val="center"/>
                </w:tcPr>
                <w:p w14:paraId="6CB093AC">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北</w:t>
                  </w:r>
                </w:p>
              </w:tc>
              <w:tc>
                <w:tcPr>
                  <w:tcW w:w="228" w:type="pct"/>
                  <w:vMerge w:val="continue"/>
                  <w:tcBorders>
                    <w:tl2br w:val="nil"/>
                    <w:tr2bl w:val="nil"/>
                  </w:tcBorders>
                  <w:shd w:val="clear" w:color="auto" w:fill="auto"/>
                  <w:tcMar>
                    <w:top w:w="0" w:type="dxa"/>
                    <w:left w:w="0" w:type="dxa"/>
                    <w:bottom w:w="0" w:type="dxa"/>
                    <w:right w:w="0" w:type="dxa"/>
                  </w:tcMar>
                  <w:vAlign w:val="center"/>
                </w:tcPr>
                <w:p w14:paraId="4D1E24EB">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372" w:type="pct"/>
                  <w:vMerge w:val="continue"/>
                  <w:tcBorders>
                    <w:tl2br w:val="nil"/>
                    <w:tr2bl w:val="nil"/>
                  </w:tcBorders>
                  <w:shd w:val="clear" w:color="auto" w:fill="auto"/>
                  <w:tcMar>
                    <w:top w:w="0" w:type="dxa"/>
                    <w:left w:w="0" w:type="dxa"/>
                    <w:bottom w:w="0" w:type="dxa"/>
                    <w:right w:w="0" w:type="dxa"/>
                  </w:tcMar>
                  <w:vAlign w:val="center"/>
                </w:tcPr>
                <w:p w14:paraId="187B39E5">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p>
              </w:tc>
              <w:tc>
                <w:tcPr>
                  <w:tcW w:w="162" w:type="pct"/>
                  <w:tcBorders>
                    <w:tl2br w:val="nil"/>
                    <w:tr2bl w:val="nil"/>
                  </w:tcBorders>
                  <w:shd w:val="clear" w:color="auto" w:fill="auto"/>
                  <w:tcMar>
                    <w:top w:w="0" w:type="dxa"/>
                    <w:left w:w="0" w:type="dxa"/>
                    <w:bottom w:w="0" w:type="dxa"/>
                    <w:right w:w="0" w:type="dxa"/>
                  </w:tcMar>
                  <w:vAlign w:val="center"/>
                </w:tcPr>
                <w:p w14:paraId="4A68B698">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东</w:t>
                  </w:r>
                </w:p>
              </w:tc>
              <w:tc>
                <w:tcPr>
                  <w:tcW w:w="162" w:type="pct"/>
                  <w:tcBorders>
                    <w:tl2br w:val="nil"/>
                    <w:tr2bl w:val="nil"/>
                  </w:tcBorders>
                  <w:shd w:val="clear" w:color="auto" w:fill="auto"/>
                  <w:tcMar>
                    <w:top w:w="0" w:type="dxa"/>
                    <w:left w:w="0" w:type="dxa"/>
                    <w:bottom w:w="0" w:type="dxa"/>
                    <w:right w:w="0" w:type="dxa"/>
                  </w:tcMar>
                  <w:vAlign w:val="center"/>
                </w:tcPr>
                <w:p w14:paraId="2E31CC19">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南</w:t>
                  </w:r>
                </w:p>
              </w:tc>
              <w:tc>
                <w:tcPr>
                  <w:tcW w:w="162" w:type="pct"/>
                  <w:tcBorders>
                    <w:tl2br w:val="nil"/>
                    <w:tr2bl w:val="nil"/>
                  </w:tcBorders>
                  <w:shd w:val="clear" w:color="auto" w:fill="auto"/>
                  <w:tcMar>
                    <w:top w:w="0" w:type="dxa"/>
                    <w:left w:w="0" w:type="dxa"/>
                    <w:bottom w:w="0" w:type="dxa"/>
                    <w:right w:w="0" w:type="dxa"/>
                  </w:tcMar>
                  <w:vAlign w:val="center"/>
                </w:tcPr>
                <w:p w14:paraId="476F9D9E">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西</w:t>
                  </w:r>
                </w:p>
              </w:tc>
              <w:tc>
                <w:tcPr>
                  <w:tcW w:w="162" w:type="pct"/>
                  <w:tcBorders>
                    <w:tl2br w:val="nil"/>
                    <w:tr2bl w:val="nil"/>
                  </w:tcBorders>
                  <w:shd w:val="clear" w:color="auto" w:fill="auto"/>
                  <w:tcMar>
                    <w:top w:w="0" w:type="dxa"/>
                    <w:left w:w="0" w:type="dxa"/>
                    <w:bottom w:w="0" w:type="dxa"/>
                    <w:right w:w="0" w:type="dxa"/>
                  </w:tcMar>
                  <w:vAlign w:val="center"/>
                </w:tcPr>
                <w:p w14:paraId="1FFE9BA1">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北</w:t>
                  </w:r>
                </w:p>
              </w:tc>
              <w:tc>
                <w:tcPr>
                  <w:tcW w:w="194" w:type="pct"/>
                  <w:tcBorders>
                    <w:tl2br w:val="nil"/>
                    <w:tr2bl w:val="nil"/>
                  </w:tcBorders>
                  <w:shd w:val="clear" w:color="auto" w:fill="auto"/>
                  <w:tcMar>
                    <w:top w:w="0" w:type="dxa"/>
                    <w:left w:w="0" w:type="dxa"/>
                    <w:bottom w:w="0" w:type="dxa"/>
                    <w:right w:w="0" w:type="dxa"/>
                  </w:tcMar>
                  <w:vAlign w:val="center"/>
                </w:tcPr>
                <w:p w14:paraId="05A5322E">
                  <w:pPr>
                    <w:pStyle w:val="115"/>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建筑物外距离</w:t>
                  </w:r>
                </w:p>
              </w:tc>
            </w:tr>
            <w:tr w14:paraId="11DF5F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 w:type="pct"/>
                  <w:tcBorders>
                    <w:tl2br w:val="nil"/>
                    <w:tr2bl w:val="nil"/>
                  </w:tcBorders>
                  <w:shd w:val="clear" w:color="auto" w:fill="auto"/>
                  <w:tcMar>
                    <w:top w:w="0" w:type="dxa"/>
                    <w:left w:w="0" w:type="dxa"/>
                    <w:bottom w:w="0" w:type="dxa"/>
                    <w:right w:w="0" w:type="dxa"/>
                  </w:tcMar>
                  <w:vAlign w:val="center"/>
                </w:tcPr>
                <w:p w14:paraId="0A6C539E">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28" w:type="pct"/>
                  <w:vMerge w:val="restart"/>
                  <w:tcBorders>
                    <w:tl2br w:val="nil"/>
                    <w:tr2bl w:val="nil"/>
                  </w:tcBorders>
                  <w:shd w:val="clear" w:color="auto" w:fill="auto"/>
                  <w:tcMar>
                    <w:top w:w="0" w:type="dxa"/>
                    <w:left w:w="0" w:type="dxa"/>
                    <w:bottom w:w="0" w:type="dxa"/>
                    <w:right w:w="0" w:type="dxa"/>
                  </w:tcMar>
                  <w:vAlign w:val="center"/>
                </w:tcPr>
                <w:p w14:paraId="78D07B95">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生产车间</w:t>
                  </w:r>
                </w:p>
              </w:tc>
              <w:tc>
                <w:tcPr>
                  <w:tcW w:w="405" w:type="pct"/>
                  <w:tcBorders>
                    <w:tl2br w:val="nil"/>
                    <w:tr2bl w:val="nil"/>
                  </w:tcBorders>
                  <w:shd w:val="clear" w:color="auto" w:fill="FFFFFF"/>
                  <w:tcMar>
                    <w:top w:w="0" w:type="dxa"/>
                    <w:left w:w="0" w:type="dxa"/>
                    <w:bottom w:w="0" w:type="dxa"/>
                    <w:right w:w="0" w:type="dxa"/>
                  </w:tcMar>
                  <w:vAlign w:val="center"/>
                </w:tcPr>
                <w:p w14:paraId="7122034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加热搅拌罐，2</w:t>
                  </w:r>
                  <w:r>
                    <w:rPr>
                      <w:rFonts w:hint="default" w:ascii="Times New Roman" w:hAnsi="Times New Roman" w:eastAsia="宋体" w:cs="Times New Roman"/>
                      <w:color w:val="000000" w:themeColor="text1"/>
                      <w:sz w:val="21"/>
                      <w:szCs w:val="21"/>
                      <w14:textFill>
                        <w14:solidFill>
                          <w14:schemeClr w14:val="tx1"/>
                        </w14:solidFill>
                      </w14:textFill>
                    </w:rPr>
                    <w:t>台（按点声源组预测）</w:t>
                  </w:r>
                </w:p>
              </w:tc>
              <w:tc>
                <w:tcPr>
                  <w:tcW w:w="271" w:type="pct"/>
                  <w:tcBorders>
                    <w:tl2br w:val="nil"/>
                    <w:tr2bl w:val="nil"/>
                  </w:tcBorders>
                  <w:shd w:val="clear" w:color="auto" w:fill="FFFFFF"/>
                  <w:tcMar>
                    <w:top w:w="0" w:type="dxa"/>
                    <w:left w:w="0" w:type="dxa"/>
                    <w:bottom w:w="0" w:type="dxa"/>
                    <w:right w:w="0" w:type="dxa"/>
                  </w:tcMar>
                  <w:vAlign w:val="center"/>
                </w:tcPr>
                <w:p w14:paraId="40E3C5D5">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80（等效后：</w:t>
                  </w:r>
                  <w:r>
                    <w:rPr>
                      <w:rFonts w:hint="eastAsia" w:cs="Times New Roman"/>
                      <w:color w:val="000000" w:themeColor="text1"/>
                      <w:sz w:val="21"/>
                      <w:szCs w:val="21"/>
                      <w:lang w:val="en-US" w:eastAsia="zh-CN"/>
                      <w14:textFill>
                        <w14:solidFill>
                          <w14:schemeClr w14:val="tx1"/>
                        </w14:solidFill>
                      </w14:textFill>
                    </w:rPr>
                    <w:t>83.01</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278" w:type="pct"/>
                  <w:vMerge w:val="restart"/>
                  <w:tcBorders>
                    <w:tl2br w:val="nil"/>
                    <w:tr2bl w:val="nil"/>
                  </w:tcBorders>
                  <w:shd w:val="clear" w:color="auto" w:fill="auto"/>
                  <w:tcMar>
                    <w:top w:w="0" w:type="dxa"/>
                    <w:left w:w="0" w:type="dxa"/>
                    <w:bottom w:w="0" w:type="dxa"/>
                    <w:right w:w="0" w:type="dxa"/>
                  </w:tcMar>
                  <w:vAlign w:val="center"/>
                </w:tcPr>
                <w:p w14:paraId="7D294189">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设备减振、厂房隔声</w:t>
                  </w:r>
                </w:p>
              </w:tc>
              <w:tc>
                <w:tcPr>
                  <w:tcW w:w="192" w:type="pct"/>
                  <w:tcBorders>
                    <w:tl2br w:val="nil"/>
                    <w:tr2bl w:val="nil"/>
                  </w:tcBorders>
                  <w:shd w:val="clear" w:color="auto" w:fill="FFFFFF"/>
                  <w:tcMar>
                    <w:top w:w="0" w:type="dxa"/>
                    <w:left w:w="0" w:type="dxa"/>
                    <w:bottom w:w="0" w:type="dxa"/>
                    <w:right w:w="0" w:type="dxa"/>
                  </w:tcMar>
                  <w:vAlign w:val="center"/>
                </w:tcPr>
                <w:p w14:paraId="32C417B6">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w:t>
                  </w:r>
                </w:p>
              </w:tc>
              <w:tc>
                <w:tcPr>
                  <w:tcW w:w="192" w:type="pct"/>
                  <w:tcBorders>
                    <w:tl2br w:val="nil"/>
                    <w:tr2bl w:val="nil"/>
                  </w:tcBorders>
                  <w:shd w:val="clear" w:color="auto" w:fill="FFFFFF"/>
                  <w:tcMar>
                    <w:top w:w="0" w:type="dxa"/>
                    <w:left w:w="0" w:type="dxa"/>
                    <w:bottom w:w="0" w:type="dxa"/>
                    <w:right w:w="0" w:type="dxa"/>
                  </w:tcMar>
                  <w:vAlign w:val="center"/>
                </w:tcPr>
                <w:p w14:paraId="27CE6D2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30</w:t>
                  </w:r>
                </w:p>
              </w:tc>
              <w:tc>
                <w:tcPr>
                  <w:tcW w:w="199" w:type="pct"/>
                  <w:tcBorders>
                    <w:tl2br w:val="nil"/>
                    <w:tr2bl w:val="nil"/>
                  </w:tcBorders>
                  <w:shd w:val="clear" w:color="auto" w:fill="FFFFFF"/>
                  <w:tcMar>
                    <w:top w:w="0" w:type="dxa"/>
                    <w:left w:w="0" w:type="dxa"/>
                    <w:bottom w:w="0" w:type="dxa"/>
                    <w:right w:w="0" w:type="dxa"/>
                  </w:tcMar>
                  <w:vAlign w:val="center"/>
                </w:tcPr>
                <w:p w14:paraId="353EF279">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w:t>
                  </w:r>
                </w:p>
              </w:tc>
              <w:tc>
                <w:tcPr>
                  <w:tcW w:w="191" w:type="pct"/>
                  <w:tcBorders>
                    <w:tl2br w:val="nil"/>
                    <w:tr2bl w:val="nil"/>
                  </w:tcBorders>
                  <w:shd w:val="clear" w:color="auto" w:fill="FFFFFF"/>
                  <w:tcMar>
                    <w:top w:w="0" w:type="dxa"/>
                    <w:left w:w="0" w:type="dxa"/>
                    <w:bottom w:w="0" w:type="dxa"/>
                    <w:right w:w="0" w:type="dxa"/>
                  </w:tcMar>
                  <w:vAlign w:val="center"/>
                </w:tcPr>
                <w:p w14:paraId="4AE8DC5B">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12</w:t>
                  </w:r>
                </w:p>
              </w:tc>
              <w:tc>
                <w:tcPr>
                  <w:tcW w:w="191" w:type="pct"/>
                  <w:tcBorders>
                    <w:tl2br w:val="nil"/>
                    <w:tr2bl w:val="nil"/>
                  </w:tcBorders>
                  <w:shd w:val="clear" w:color="auto" w:fill="FFFFFF"/>
                  <w:tcMar>
                    <w:top w:w="0" w:type="dxa"/>
                    <w:left w:w="0" w:type="dxa"/>
                    <w:bottom w:w="0" w:type="dxa"/>
                    <w:right w:w="0" w:type="dxa"/>
                  </w:tcMar>
                  <w:vAlign w:val="center"/>
                </w:tcPr>
                <w:p w14:paraId="625A6513">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30</w:t>
                  </w:r>
                </w:p>
              </w:tc>
              <w:tc>
                <w:tcPr>
                  <w:tcW w:w="191" w:type="pct"/>
                  <w:tcBorders>
                    <w:tl2br w:val="nil"/>
                    <w:tr2bl w:val="nil"/>
                  </w:tcBorders>
                  <w:shd w:val="clear" w:color="auto" w:fill="FFFFFF"/>
                  <w:tcMar>
                    <w:top w:w="0" w:type="dxa"/>
                    <w:left w:w="0" w:type="dxa"/>
                    <w:bottom w:w="0" w:type="dxa"/>
                    <w:right w:w="0" w:type="dxa"/>
                  </w:tcMar>
                  <w:vAlign w:val="center"/>
                </w:tcPr>
                <w:p w14:paraId="40E477D3">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w:t>
                  </w:r>
                </w:p>
              </w:tc>
              <w:tc>
                <w:tcPr>
                  <w:tcW w:w="204" w:type="pct"/>
                  <w:tcBorders>
                    <w:tl2br w:val="nil"/>
                    <w:tr2bl w:val="nil"/>
                  </w:tcBorders>
                  <w:shd w:val="clear" w:color="auto" w:fill="FFFFFF"/>
                  <w:tcMar>
                    <w:top w:w="0" w:type="dxa"/>
                    <w:left w:w="0" w:type="dxa"/>
                    <w:bottom w:w="0" w:type="dxa"/>
                    <w:right w:w="0" w:type="dxa"/>
                  </w:tcMar>
                  <w:vAlign w:val="center"/>
                </w:tcPr>
                <w:p w14:paraId="17D59F0A">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4</w:t>
                  </w:r>
                </w:p>
              </w:tc>
              <w:tc>
                <w:tcPr>
                  <w:tcW w:w="191" w:type="pct"/>
                  <w:tcBorders>
                    <w:tl2br w:val="nil"/>
                    <w:tr2bl w:val="nil"/>
                  </w:tcBorders>
                  <w:shd w:val="clear" w:color="auto" w:fill="FFFFFF"/>
                  <w:tcMar>
                    <w:top w:w="0" w:type="dxa"/>
                    <w:left w:w="0" w:type="dxa"/>
                    <w:bottom w:w="0" w:type="dxa"/>
                    <w:right w:w="0" w:type="dxa"/>
                  </w:tcMar>
                  <w:vAlign w:val="center"/>
                </w:tcPr>
                <w:p w14:paraId="7942FDC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61.4</w:t>
                  </w:r>
                </w:p>
              </w:tc>
              <w:tc>
                <w:tcPr>
                  <w:tcW w:w="191" w:type="pct"/>
                  <w:tcBorders>
                    <w:tl2br w:val="nil"/>
                    <w:tr2bl w:val="nil"/>
                  </w:tcBorders>
                  <w:shd w:val="clear" w:color="auto" w:fill="FFFFFF"/>
                  <w:tcMar>
                    <w:top w:w="0" w:type="dxa"/>
                    <w:left w:w="0" w:type="dxa"/>
                    <w:bottom w:w="0" w:type="dxa"/>
                    <w:right w:w="0" w:type="dxa"/>
                  </w:tcMar>
                  <w:vAlign w:val="center"/>
                </w:tcPr>
                <w:p w14:paraId="1A0D94A8">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53.5</w:t>
                  </w:r>
                </w:p>
              </w:tc>
              <w:tc>
                <w:tcPr>
                  <w:tcW w:w="191" w:type="pct"/>
                  <w:tcBorders>
                    <w:tl2br w:val="nil"/>
                    <w:tr2bl w:val="nil"/>
                  </w:tcBorders>
                  <w:shd w:val="clear" w:color="auto" w:fill="FFFFFF"/>
                  <w:tcMar>
                    <w:top w:w="0" w:type="dxa"/>
                    <w:left w:w="0" w:type="dxa"/>
                    <w:bottom w:w="0" w:type="dxa"/>
                    <w:right w:w="0" w:type="dxa"/>
                  </w:tcMar>
                  <w:vAlign w:val="center"/>
                </w:tcPr>
                <w:p w14:paraId="160CA5B5">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73.5</w:t>
                  </w:r>
                </w:p>
              </w:tc>
              <w:tc>
                <w:tcPr>
                  <w:tcW w:w="204" w:type="pct"/>
                  <w:tcBorders>
                    <w:tl2br w:val="nil"/>
                    <w:tr2bl w:val="nil"/>
                  </w:tcBorders>
                  <w:shd w:val="clear" w:color="auto" w:fill="FFFFFF"/>
                  <w:tcMar>
                    <w:top w:w="0" w:type="dxa"/>
                    <w:left w:w="0" w:type="dxa"/>
                    <w:bottom w:w="0" w:type="dxa"/>
                    <w:right w:w="0" w:type="dxa"/>
                  </w:tcMar>
                  <w:vAlign w:val="center"/>
                </w:tcPr>
                <w:p w14:paraId="7E3DDED3">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71</w:t>
                  </w:r>
                </w:p>
              </w:tc>
              <w:tc>
                <w:tcPr>
                  <w:tcW w:w="228" w:type="pct"/>
                  <w:vMerge w:val="restart"/>
                  <w:tcBorders>
                    <w:tl2br w:val="nil"/>
                    <w:tr2bl w:val="nil"/>
                  </w:tcBorders>
                  <w:shd w:val="clear" w:color="auto" w:fill="auto"/>
                  <w:tcMar>
                    <w:top w:w="0" w:type="dxa"/>
                    <w:left w:w="0" w:type="dxa"/>
                    <w:bottom w:w="0" w:type="dxa"/>
                    <w:right w:w="0" w:type="dxa"/>
                  </w:tcMar>
                  <w:vAlign w:val="center"/>
                </w:tcPr>
                <w:p w14:paraId="269A4F32">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16</w:t>
                  </w:r>
                  <w:r>
                    <w:rPr>
                      <w:rFonts w:hint="default" w:ascii="Times New Roman" w:hAnsi="Times New Roman" w:eastAsia="宋体" w:cs="Times New Roman"/>
                      <w:color w:val="000000" w:themeColor="text1"/>
                      <w:sz w:val="21"/>
                      <w:szCs w:val="21"/>
                      <w14:textFill>
                        <w14:solidFill>
                          <w14:schemeClr w14:val="tx1"/>
                        </w14:solidFill>
                      </w14:textFill>
                    </w:rPr>
                    <w:t>h</w:t>
                  </w:r>
                </w:p>
              </w:tc>
              <w:tc>
                <w:tcPr>
                  <w:tcW w:w="372" w:type="pct"/>
                  <w:vMerge w:val="restart"/>
                  <w:tcBorders>
                    <w:tl2br w:val="nil"/>
                    <w:tr2bl w:val="nil"/>
                  </w:tcBorders>
                  <w:shd w:val="clear" w:color="auto" w:fill="auto"/>
                  <w:tcMar>
                    <w:top w:w="0" w:type="dxa"/>
                    <w:left w:w="0" w:type="dxa"/>
                    <w:bottom w:w="0" w:type="dxa"/>
                    <w:right w:w="0" w:type="dxa"/>
                  </w:tcMar>
                  <w:vAlign w:val="center"/>
                </w:tcPr>
                <w:p w14:paraId="08DD0576">
                  <w:pPr>
                    <w:pStyle w:val="115"/>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20</w:t>
                  </w:r>
                </w:p>
              </w:tc>
              <w:tc>
                <w:tcPr>
                  <w:tcW w:w="162" w:type="pct"/>
                  <w:tcBorders>
                    <w:tl2br w:val="nil"/>
                    <w:tr2bl w:val="nil"/>
                  </w:tcBorders>
                  <w:shd w:val="clear" w:color="auto" w:fill="FFFFFF"/>
                  <w:tcMar>
                    <w:top w:w="0" w:type="dxa"/>
                    <w:left w:w="0" w:type="dxa"/>
                    <w:bottom w:w="0" w:type="dxa"/>
                    <w:right w:w="0" w:type="dxa"/>
                  </w:tcMar>
                  <w:vAlign w:val="center"/>
                </w:tcPr>
                <w:p w14:paraId="2227409B">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41.4</w:t>
                  </w:r>
                </w:p>
              </w:tc>
              <w:tc>
                <w:tcPr>
                  <w:tcW w:w="162" w:type="pct"/>
                  <w:tcBorders>
                    <w:tl2br w:val="nil"/>
                    <w:tr2bl w:val="nil"/>
                  </w:tcBorders>
                  <w:shd w:val="clear" w:color="auto" w:fill="FFFFFF"/>
                  <w:tcMar>
                    <w:top w:w="0" w:type="dxa"/>
                    <w:left w:w="0" w:type="dxa"/>
                    <w:bottom w:w="0" w:type="dxa"/>
                    <w:right w:w="0" w:type="dxa"/>
                  </w:tcMar>
                  <w:vAlign w:val="center"/>
                </w:tcPr>
                <w:p w14:paraId="56E651C0">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33.5</w:t>
                  </w:r>
                </w:p>
              </w:tc>
              <w:tc>
                <w:tcPr>
                  <w:tcW w:w="162" w:type="pct"/>
                  <w:tcBorders>
                    <w:tl2br w:val="nil"/>
                    <w:tr2bl w:val="nil"/>
                  </w:tcBorders>
                  <w:shd w:val="clear" w:color="auto" w:fill="FFFFFF"/>
                  <w:tcMar>
                    <w:top w:w="0" w:type="dxa"/>
                    <w:left w:w="0" w:type="dxa"/>
                    <w:bottom w:w="0" w:type="dxa"/>
                    <w:right w:w="0" w:type="dxa"/>
                  </w:tcMar>
                  <w:vAlign w:val="center"/>
                </w:tcPr>
                <w:p w14:paraId="5CDB0B9D">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53.5</w:t>
                  </w:r>
                </w:p>
              </w:tc>
              <w:tc>
                <w:tcPr>
                  <w:tcW w:w="162" w:type="pct"/>
                  <w:tcBorders>
                    <w:tl2br w:val="nil"/>
                    <w:tr2bl w:val="nil"/>
                  </w:tcBorders>
                  <w:shd w:val="clear" w:color="auto" w:fill="FFFFFF"/>
                  <w:tcMar>
                    <w:top w:w="0" w:type="dxa"/>
                    <w:left w:w="0" w:type="dxa"/>
                    <w:bottom w:w="0" w:type="dxa"/>
                    <w:right w:w="0" w:type="dxa"/>
                  </w:tcMar>
                  <w:vAlign w:val="center"/>
                </w:tcPr>
                <w:p w14:paraId="5A597035">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51</w:t>
                  </w:r>
                </w:p>
              </w:tc>
              <w:tc>
                <w:tcPr>
                  <w:tcW w:w="194" w:type="pct"/>
                  <w:tcBorders>
                    <w:tl2br w:val="nil"/>
                    <w:tr2bl w:val="nil"/>
                  </w:tcBorders>
                  <w:shd w:val="clear" w:color="auto" w:fill="auto"/>
                  <w:tcMar>
                    <w:top w:w="0" w:type="dxa"/>
                    <w:left w:w="0" w:type="dxa"/>
                    <w:bottom w:w="0" w:type="dxa"/>
                    <w:right w:w="0" w:type="dxa"/>
                  </w:tcMar>
                  <w:vAlign w:val="center"/>
                </w:tcPr>
                <w:p w14:paraId="343289DB">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r>
            <w:tr w14:paraId="39F84E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 w:type="pct"/>
                  <w:tcBorders>
                    <w:tl2br w:val="nil"/>
                    <w:tr2bl w:val="nil"/>
                  </w:tcBorders>
                  <w:shd w:val="clear" w:color="auto" w:fill="auto"/>
                  <w:tcMar>
                    <w:top w:w="0" w:type="dxa"/>
                    <w:left w:w="0" w:type="dxa"/>
                    <w:bottom w:w="0" w:type="dxa"/>
                    <w:right w:w="0" w:type="dxa"/>
                  </w:tcMar>
                  <w:vAlign w:val="center"/>
                </w:tcPr>
                <w:p w14:paraId="416F672E">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228" w:type="pct"/>
                  <w:vMerge w:val="continue"/>
                  <w:tcBorders>
                    <w:tl2br w:val="nil"/>
                    <w:tr2bl w:val="nil"/>
                  </w:tcBorders>
                  <w:shd w:val="clear" w:color="auto" w:fill="auto"/>
                  <w:tcMar>
                    <w:top w:w="0" w:type="dxa"/>
                    <w:left w:w="0" w:type="dxa"/>
                    <w:bottom w:w="0" w:type="dxa"/>
                    <w:right w:w="0" w:type="dxa"/>
                  </w:tcMar>
                  <w:vAlign w:val="center"/>
                </w:tcPr>
                <w:p w14:paraId="69D61B03">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405" w:type="pct"/>
                  <w:tcBorders>
                    <w:tl2br w:val="nil"/>
                    <w:tr2bl w:val="nil"/>
                  </w:tcBorders>
                  <w:shd w:val="clear" w:color="auto" w:fill="FFFFFF"/>
                  <w:tcMar>
                    <w:top w:w="0" w:type="dxa"/>
                    <w:left w:w="0" w:type="dxa"/>
                    <w:bottom w:w="0" w:type="dxa"/>
                    <w:right w:w="0" w:type="dxa"/>
                  </w:tcMar>
                  <w:vAlign w:val="center"/>
                </w:tcPr>
                <w:p w14:paraId="55D730FC">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压片机</w:t>
                  </w:r>
                  <w:r>
                    <w:rPr>
                      <w:rFonts w:hint="eastAsia" w:cs="Times New Roman"/>
                      <w:color w:val="000000" w:themeColor="text1"/>
                      <w:sz w:val="21"/>
                      <w:szCs w:val="21"/>
                      <w:lang w:val="en-US" w:eastAsia="zh-CN"/>
                      <w14:textFill>
                        <w14:solidFill>
                          <w14:schemeClr w14:val="tx1"/>
                        </w14:solidFill>
                      </w14:textFill>
                    </w:rPr>
                    <w:t>，1台</w:t>
                  </w:r>
                </w:p>
              </w:tc>
              <w:tc>
                <w:tcPr>
                  <w:tcW w:w="271" w:type="pct"/>
                  <w:tcBorders>
                    <w:tl2br w:val="nil"/>
                    <w:tr2bl w:val="nil"/>
                  </w:tcBorders>
                  <w:shd w:val="clear" w:color="auto" w:fill="FFFFFF"/>
                  <w:tcMar>
                    <w:top w:w="0" w:type="dxa"/>
                    <w:left w:w="0" w:type="dxa"/>
                    <w:bottom w:w="0" w:type="dxa"/>
                    <w:right w:w="0" w:type="dxa"/>
                  </w:tcMar>
                  <w:vAlign w:val="center"/>
                </w:tcPr>
                <w:p w14:paraId="3B7F06CB">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75</w:t>
                  </w:r>
                </w:p>
              </w:tc>
              <w:tc>
                <w:tcPr>
                  <w:tcW w:w="278" w:type="pct"/>
                  <w:vMerge w:val="continue"/>
                  <w:tcBorders>
                    <w:tl2br w:val="nil"/>
                    <w:tr2bl w:val="nil"/>
                  </w:tcBorders>
                  <w:shd w:val="clear" w:color="auto" w:fill="auto"/>
                  <w:tcMar>
                    <w:top w:w="0" w:type="dxa"/>
                    <w:left w:w="0" w:type="dxa"/>
                    <w:bottom w:w="0" w:type="dxa"/>
                    <w:right w:w="0" w:type="dxa"/>
                  </w:tcMar>
                  <w:vAlign w:val="center"/>
                </w:tcPr>
                <w:p w14:paraId="13346C05">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92" w:type="pct"/>
                  <w:tcBorders>
                    <w:tl2br w:val="nil"/>
                    <w:tr2bl w:val="nil"/>
                  </w:tcBorders>
                  <w:shd w:val="clear" w:color="auto" w:fill="FFFFFF"/>
                  <w:tcMar>
                    <w:top w:w="0" w:type="dxa"/>
                    <w:left w:w="0" w:type="dxa"/>
                    <w:bottom w:w="0" w:type="dxa"/>
                    <w:right w:w="0" w:type="dxa"/>
                  </w:tcMar>
                  <w:vAlign w:val="center"/>
                </w:tcPr>
                <w:p w14:paraId="5D20C039">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w:t>
                  </w:r>
                </w:p>
              </w:tc>
              <w:tc>
                <w:tcPr>
                  <w:tcW w:w="192" w:type="pct"/>
                  <w:tcBorders>
                    <w:tl2br w:val="nil"/>
                    <w:tr2bl w:val="nil"/>
                  </w:tcBorders>
                  <w:shd w:val="clear" w:color="auto" w:fill="FFFFFF"/>
                  <w:tcMar>
                    <w:top w:w="0" w:type="dxa"/>
                    <w:left w:w="0" w:type="dxa"/>
                    <w:bottom w:w="0" w:type="dxa"/>
                    <w:right w:w="0" w:type="dxa"/>
                  </w:tcMar>
                  <w:vAlign w:val="center"/>
                </w:tcPr>
                <w:p w14:paraId="4C7B44B1">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25</w:t>
                  </w:r>
                </w:p>
              </w:tc>
              <w:tc>
                <w:tcPr>
                  <w:tcW w:w="199" w:type="pct"/>
                  <w:tcBorders>
                    <w:tl2br w:val="nil"/>
                    <w:tr2bl w:val="nil"/>
                  </w:tcBorders>
                  <w:shd w:val="clear" w:color="auto" w:fill="FFFFFF"/>
                  <w:tcMar>
                    <w:top w:w="0" w:type="dxa"/>
                    <w:left w:w="0" w:type="dxa"/>
                    <w:bottom w:w="0" w:type="dxa"/>
                    <w:right w:w="0" w:type="dxa"/>
                  </w:tcMar>
                  <w:vAlign w:val="center"/>
                </w:tcPr>
                <w:p w14:paraId="3007090D">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1.5</w:t>
                  </w:r>
                </w:p>
              </w:tc>
              <w:tc>
                <w:tcPr>
                  <w:tcW w:w="191" w:type="pct"/>
                  <w:tcBorders>
                    <w:tl2br w:val="nil"/>
                    <w:tr2bl w:val="nil"/>
                  </w:tcBorders>
                  <w:shd w:val="clear" w:color="auto" w:fill="FFFFFF"/>
                  <w:tcMar>
                    <w:top w:w="0" w:type="dxa"/>
                    <w:left w:w="0" w:type="dxa"/>
                    <w:bottom w:w="0" w:type="dxa"/>
                    <w:right w:w="0" w:type="dxa"/>
                  </w:tcMar>
                  <w:vAlign w:val="center"/>
                </w:tcPr>
                <w:p w14:paraId="18F30DE5">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12</w:t>
                  </w:r>
                </w:p>
              </w:tc>
              <w:tc>
                <w:tcPr>
                  <w:tcW w:w="191" w:type="pct"/>
                  <w:tcBorders>
                    <w:tl2br w:val="nil"/>
                    <w:tr2bl w:val="nil"/>
                  </w:tcBorders>
                  <w:shd w:val="clear" w:color="auto" w:fill="FFFFFF"/>
                  <w:tcMar>
                    <w:top w:w="0" w:type="dxa"/>
                    <w:left w:w="0" w:type="dxa"/>
                    <w:bottom w:w="0" w:type="dxa"/>
                    <w:right w:w="0" w:type="dxa"/>
                  </w:tcMar>
                  <w:vAlign w:val="center"/>
                </w:tcPr>
                <w:p w14:paraId="3F68B952">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25</w:t>
                  </w:r>
                </w:p>
              </w:tc>
              <w:tc>
                <w:tcPr>
                  <w:tcW w:w="191" w:type="pct"/>
                  <w:tcBorders>
                    <w:tl2br w:val="nil"/>
                    <w:tr2bl w:val="nil"/>
                  </w:tcBorders>
                  <w:shd w:val="clear" w:color="auto" w:fill="FFFFFF"/>
                  <w:tcMar>
                    <w:top w:w="0" w:type="dxa"/>
                    <w:left w:w="0" w:type="dxa"/>
                    <w:bottom w:w="0" w:type="dxa"/>
                    <w:right w:w="0" w:type="dxa"/>
                  </w:tcMar>
                  <w:vAlign w:val="center"/>
                </w:tcPr>
                <w:p w14:paraId="2F9A624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w:t>
                  </w:r>
                </w:p>
              </w:tc>
              <w:tc>
                <w:tcPr>
                  <w:tcW w:w="204" w:type="pct"/>
                  <w:tcBorders>
                    <w:tl2br w:val="nil"/>
                    <w:tr2bl w:val="nil"/>
                  </w:tcBorders>
                  <w:shd w:val="clear" w:color="auto" w:fill="FFFFFF"/>
                  <w:tcMar>
                    <w:top w:w="0" w:type="dxa"/>
                    <w:left w:w="0" w:type="dxa"/>
                    <w:bottom w:w="0" w:type="dxa"/>
                    <w:right w:w="0" w:type="dxa"/>
                  </w:tcMar>
                  <w:vAlign w:val="center"/>
                </w:tcPr>
                <w:p w14:paraId="50B9B97A">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9</w:t>
                  </w:r>
                </w:p>
              </w:tc>
              <w:tc>
                <w:tcPr>
                  <w:tcW w:w="191" w:type="pct"/>
                  <w:tcBorders>
                    <w:tl2br w:val="nil"/>
                    <w:tr2bl w:val="nil"/>
                  </w:tcBorders>
                  <w:shd w:val="clear" w:color="auto" w:fill="FFFFFF"/>
                  <w:tcMar>
                    <w:top w:w="0" w:type="dxa"/>
                    <w:left w:w="0" w:type="dxa"/>
                    <w:bottom w:w="0" w:type="dxa"/>
                    <w:right w:w="0" w:type="dxa"/>
                  </w:tcMar>
                  <w:vAlign w:val="center"/>
                </w:tcPr>
                <w:p w14:paraId="000D5C2F">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5</w:t>
                  </w:r>
                  <w:r>
                    <w:rPr>
                      <w:rFonts w:hint="eastAsia"/>
                      <w:color w:val="000000" w:themeColor="text1"/>
                      <w:szCs w:val="21"/>
                      <w14:textFill>
                        <w14:solidFill>
                          <w14:schemeClr w14:val="tx1"/>
                        </w14:solidFill>
                      </w14:textFill>
                    </w:rPr>
                    <w:t>3.4</w:t>
                  </w:r>
                </w:p>
              </w:tc>
              <w:tc>
                <w:tcPr>
                  <w:tcW w:w="191" w:type="pct"/>
                  <w:tcBorders>
                    <w:tl2br w:val="nil"/>
                    <w:tr2bl w:val="nil"/>
                  </w:tcBorders>
                  <w:shd w:val="clear" w:color="auto" w:fill="FFFFFF"/>
                  <w:tcMar>
                    <w:top w:w="0" w:type="dxa"/>
                    <w:left w:w="0" w:type="dxa"/>
                    <w:bottom w:w="0" w:type="dxa"/>
                    <w:right w:w="0" w:type="dxa"/>
                  </w:tcMar>
                  <w:vAlign w:val="center"/>
                </w:tcPr>
                <w:p w14:paraId="1B9628E7">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4</w:t>
                  </w:r>
                  <w:r>
                    <w:rPr>
                      <w:rFonts w:hint="eastAsia"/>
                      <w:color w:val="000000" w:themeColor="text1"/>
                      <w:szCs w:val="21"/>
                      <w14:textFill>
                        <w14:solidFill>
                          <w14:schemeClr w14:val="tx1"/>
                        </w14:solidFill>
                      </w14:textFill>
                    </w:rPr>
                    <w:t>7</w:t>
                  </w:r>
                </w:p>
              </w:tc>
              <w:tc>
                <w:tcPr>
                  <w:tcW w:w="191" w:type="pct"/>
                  <w:tcBorders>
                    <w:tl2br w:val="nil"/>
                    <w:tr2bl w:val="nil"/>
                  </w:tcBorders>
                  <w:shd w:val="clear" w:color="auto" w:fill="FFFFFF"/>
                  <w:tcMar>
                    <w:top w:w="0" w:type="dxa"/>
                    <w:left w:w="0" w:type="dxa"/>
                    <w:bottom w:w="0" w:type="dxa"/>
                    <w:right w:w="0" w:type="dxa"/>
                  </w:tcMar>
                  <w:vAlign w:val="center"/>
                </w:tcPr>
                <w:p w14:paraId="6AABF7BD">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6</w:t>
                  </w:r>
                  <w:r>
                    <w:rPr>
                      <w:rFonts w:hint="eastAsia"/>
                      <w:color w:val="000000" w:themeColor="text1"/>
                      <w:szCs w:val="21"/>
                      <w14:textFill>
                        <w14:solidFill>
                          <w14:schemeClr w14:val="tx1"/>
                        </w14:solidFill>
                      </w14:textFill>
                    </w:rPr>
                    <w:t>5.5</w:t>
                  </w:r>
                </w:p>
              </w:tc>
              <w:tc>
                <w:tcPr>
                  <w:tcW w:w="204" w:type="pct"/>
                  <w:tcBorders>
                    <w:tl2br w:val="nil"/>
                    <w:tr2bl w:val="nil"/>
                  </w:tcBorders>
                  <w:shd w:val="clear" w:color="auto" w:fill="FFFFFF"/>
                  <w:tcMar>
                    <w:top w:w="0" w:type="dxa"/>
                    <w:left w:w="0" w:type="dxa"/>
                    <w:bottom w:w="0" w:type="dxa"/>
                    <w:right w:w="0" w:type="dxa"/>
                  </w:tcMar>
                  <w:vAlign w:val="center"/>
                </w:tcPr>
                <w:p w14:paraId="624C029F">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5</w:t>
                  </w:r>
                  <w:r>
                    <w:rPr>
                      <w:rFonts w:hint="eastAsia"/>
                      <w:color w:val="000000" w:themeColor="text1"/>
                      <w:szCs w:val="21"/>
                      <w14:textFill>
                        <w14:solidFill>
                          <w14:schemeClr w14:val="tx1"/>
                        </w14:solidFill>
                      </w14:textFill>
                    </w:rPr>
                    <w:t>5.9</w:t>
                  </w:r>
                </w:p>
              </w:tc>
              <w:tc>
                <w:tcPr>
                  <w:tcW w:w="228" w:type="pct"/>
                  <w:vMerge w:val="continue"/>
                  <w:tcBorders>
                    <w:tl2br w:val="nil"/>
                    <w:tr2bl w:val="nil"/>
                  </w:tcBorders>
                  <w:shd w:val="clear" w:color="auto" w:fill="auto"/>
                  <w:tcMar>
                    <w:top w:w="0" w:type="dxa"/>
                    <w:left w:w="0" w:type="dxa"/>
                    <w:bottom w:w="0" w:type="dxa"/>
                    <w:right w:w="0" w:type="dxa"/>
                  </w:tcMar>
                  <w:vAlign w:val="center"/>
                </w:tcPr>
                <w:p w14:paraId="190D7C5C">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372" w:type="pct"/>
                  <w:vMerge w:val="continue"/>
                  <w:tcBorders>
                    <w:tl2br w:val="nil"/>
                    <w:tr2bl w:val="nil"/>
                  </w:tcBorders>
                  <w:shd w:val="clear" w:color="auto" w:fill="auto"/>
                  <w:tcMar>
                    <w:top w:w="0" w:type="dxa"/>
                    <w:left w:w="0" w:type="dxa"/>
                    <w:bottom w:w="0" w:type="dxa"/>
                    <w:right w:w="0" w:type="dxa"/>
                  </w:tcMar>
                  <w:vAlign w:val="center"/>
                </w:tcPr>
                <w:p w14:paraId="35688CCB">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62" w:type="pct"/>
                  <w:tcBorders>
                    <w:tl2br w:val="nil"/>
                    <w:tr2bl w:val="nil"/>
                  </w:tcBorders>
                  <w:shd w:val="clear" w:color="auto" w:fill="FFFFFF"/>
                  <w:tcMar>
                    <w:top w:w="0" w:type="dxa"/>
                    <w:left w:w="0" w:type="dxa"/>
                    <w:bottom w:w="0" w:type="dxa"/>
                    <w:right w:w="0" w:type="dxa"/>
                  </w:tcMar>
                  <w:vAlign w:val="center"/>
                </w:tcPr>
                <w:p w14:paraId="06EE2A8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33.4</w:t>
                  </w:r>
                </w:p>
              </w:tc>
              <w:tc>
                <w:tcPr>
                  <w:tcW w:w="162" w:type="pct"/>
                  <w:tcBorders>
                    <w:tl2br w:val="nil"/>
                    <w:tr2bl w:val="nil"/>
                  </w:tcBorders>
                  <w:shd w:val="clear" w:color="auto" w:fill="FFFFFF"/>
                  <w:tcMar>
                    <w:top w:w="0" w:type="dxa"/>
                    <w:left w:w="0" w:type="dxa"/>
                    <w:bottom w:w="0" w:type="dxa"/>
                    <w:right w:w="0" w:type="dxa"/>
                  </w:tcMar>
                  <w:vAlign w:val="center"/>
                </w:tcPr>
                <w:p w14:paraId="79E159C5">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27</w:t>
                  </w:r>
                </w:p>
              </w:tc>
              <w:tc>
                <w:tcPr>
                  <w:tcW w:w="162" w:type="pct"/>
                  <w:tcBorders>
                    <w:tl2br w:val="nil"/>
                    <w:tr2bl w:val="nil"/>
                  </w:tcBorders>
                  <w:shd w:val="clear" w:color="auto" w:fill="FFFFFF"/>
                  <w:tcMar>
                    <w:top w:w="0" w:type="dxa"/>
                    <w:left w:w="0" w:type="dxa"/>
                    <w:bottom w:w="0" w:type="dxa"/>
                    <w:right w:w="0" w:type="dxa"/>
                  </w:tcMar>
                  <w:vAlign w:val="center"/>
                </w:tcPr>
                <w:p w14:paraId="553DE2A3">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45.5</w:t>
                  </w:r>
                </w:p>
              </w:tc>
              <w:tc>
                <w:tcPr>
                  <w:tcW w:w="162" w:type="pct"/>
                  <w:tcBorders>
                    <w:tl2br w:val="nil"/>
                    <w:tr2bl w:val="nil"/>
                  </w:tcBorders>
                  <w:shd w:val="clear" w:color="auto" w:fill="FFFFFF"/>
                  <w:tcMar>
                    <w:top w:w="0" w:type="dxa"/>
                    <w:left w:w="0" w:type="dxa"/>
                    <w:bottom w:w="0" w:type="dxa"/>
                    <w:right w:w="0" w:type="dxa"/>
                  </w:tcMar>
                  <w:vAlign w:val="center"/>
                </w:tcPr>
                <w:p w14:paraId="422C5BA9">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35.9</w:t>
                  </w:r>
                </w:p>
              </w:tc>
              <w:tc>
                <w:tcPr>
                  <w:tcW w:w="194" w:type="pct"/>
                  <w:tcBorders>
                    <w:tl2br w:val="nil"/>
                    <w:tr2bl w:val="nil"/>
                  </w:tcBorders>
                  <w:shd w:val="clear" w:color="auto" w:fill="auto"/>
                  <w:tcMar>
                    <w:top w:w="0" w:type="dxa"/>
                    <w:left w:w="0" w:type="dxa"/>
                    <w:bottom w:w="0" w:type="dxa"/>
                    <w:right w:w="0" w:type="dxa"/>
                  </w:tcMar>
                  <w:vAlign w:val="center"/>
                </w:tcPr>
                <w:p w14:paraId="3AC53112">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r>
            <w:tr w14:paraId="428DCD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 w:type="pct"/>
                  <w:tcBorders>
                    <w:tl2br w:val="nil"/>
                    <w:tr2bl w:val="nil"/>
                  </w:tcBorders>
                  <w:shd w:val="clear" w:color="auto" w:fill="auto"/>
                  <w:tcMar>
                    <w:top w:w="0" w:type="dxa"/>
                    <w:left w:w="0" w:type="dxa"/>
                    <w:bottom w:w="0" w:type="dxa"/>
                    <w:right w:w="0" w:type="dxa"/>
                  </w:tcMar>
                  <w:vAlign w:val="center"/>
                </w:tcPr>
                <w:p w14:paraId="6862B291">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228" w:type="pct"/>
                  <w:vMerge w:val="continue"/>
                  <w:tcBorders>
                    <w:tl2br w:val="nil"/>
                    <w:tr2bl w:val="nil"/>
                  </w:tcBorders>
                  <w:shd w:val="clear" w:color="auto" w:fill="auto"/>
                  <w:tcMar>
                    <w:top w:w="0" w:type="dxa"/>
                    <w:left w:w="0" w:type="dxa"/>
                    <w:bottom w:w="0" w:type="dxa"/>
                    <w:right w:w="0" w:type="dxa"/>
                  </w:tcMar>
                  <w:vAlign w:val="center"/>
                </w:tcPr>
                <w:p w14:paraId="13FDDFFE">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405" w:type="pct"/>
                  <w:tcBorders>
                    <w:tl2br w:val="nil"/>
                    <w:tr2bl w:val="nil"/>
                  </w:tcBorders>
                  <w:shd w:val="clear" w:color="auto" w:fill="FFFFFF"/>
                  <w:tcMar>
                    <w:top w:w="0" w:type="dxa"/>
                    <w:left w:w="0" w:type="dxa"/>
                    <w:bottom w:w="0" w:type="dxa"/>
                    <w:right w:w="0" w:type="dxa"/>
                  </w:tcMar>
                  <w:vAlign w:val="center"/>
                </w:tcPr>
                <w:p w14:paraId="6DAE6B1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空气压缩机</w:t>
                  </w:r>
                  <w:r>
                    <w:rPr>
                      <w:rFonts w:hint="eastAsia" w:cs="Times New Roman"/>
                      <w:color w:val="000000" w:themeColor="text1"/>
                      <w:sz w:val="21"/>
                      <w:szCs w:val="21"/>
                      <w:lang w:val="en-US" w:eastAsia="zh-CN"/>
                      <w14:textFill>
                        <w14:solidFill>
                          <w14:schemeClr w14:val="tx1"/>
                        </w14:solidFill>
                      </w14:textFill>
                    </w:rPr>
                    <w:t>，1台</w:t>
                  </w:r>
                </w:p>
              </w:tc>
              <w:tc>
                <w:tcPr>
                  <w:tcW w:w="271" w:type="pct"/>
                  <w:tcBorders>
                    <w:tl2br w:val="nil"/>
                    <w:tr2bl w:val="nil"/>
                  </w:tcBorders>
                  <w:shd w:val="clear" w:color="auto" w:fill="FFFFFF"/>
                  <w:tcMar>
                    <w:top w:w="0" w:type="dxa"/>
                    <w:left w:w="0" w:type="dxa"/>
                    <w:bottom w:w="0" w:type="dxa"/>
                    <w:right w:w="0" w:type="dxa"/>
                  </w:tcMar>
                  <w:vAlign w:val="center"/>
                </w:tcPr>
                <w:p w14:paraId="5E8BFEE4">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278" w:type="pct"/>
                  <w:vMerge w:val="continue"/>
                  <w:tcBorders>
                    <w:tl2br w:val="nil"/>
                    <w:tr2bl w:val="nil"/>
                  </w:tcBorders>
                  <w:shd w:val="clear" w:color="auto" w:fill="auto"/>
                  <w:tcMar>
                    <w:top w:w="0" w:type="dxa"/>
                    <w:left w:w="0" w:type="dxa"/>
                    <w:bottom w:w="0" w:type="dxa"/>
                    <w:right w:w="0" w:type="dxa"/>
                  </w:tcMar>
                  <w:vAlign w:val="center"/>
                </w:tcPr>
                <w:p w14:paraId="4FB5AFA7">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92" w:type="pct"/>
                  <w:tcBorders>
                    <w:tl2br w:val="nil"/>
                    <w:tr2bl w:val="nil"/>
                  </w:tcBorders>
                  <w:shd w:val="clear" w:color="auto" w:fill="FFFFFF"/>
                  <w:tcMar>
                    <w:top w:w="0" w:type="dxa"/>
                    <w:left w:w="0" w:type="dxa"/>
                    <w:bottom w:w="0" w:type="dxa"/>
                    <w:right w:w="0" w:type="dxa"/>
                  </w:tcMar>
                  <w:vAlign w:val="center"/>
                </w:tcPr>
                <w:p w14:paraId="78CBF49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2</w:t>
                  </w:r>
                </w:p>
              </w:tc>
              <w:tc>
                <w:tcPr>
                  <w:tcW w:w="192" w:type="pct"/>
                  <w:tcBorders>
                    <w:tl2br w:val="nil"/>
                    <w:tr2bl w:val="nil"/>
                  </w:tcBorders>
                  <w:shd w:val="clear" w:color="auto" w:fill="FFFFFF"/>
                  <w:tcMar>
                    <w:top w:w="0" w:type="dxa"/>
                    <w:left w:w="0" w:type="dxa"/>
                    <w:bottom w:w="0" w:type="dxa"/>
                    <w:right w:w="0" w:type="dxa"/>
                  </w:tcMar>
                  <w:vAlign w:val="center"/>
                </w:tcPr>
                <w:p w14:paraId="762EBCC9">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w:t>
                  </w:r>
                </w:p>
              </w:tc>
              <w:tc>
                <w:tcPr>
                  <w:tcW w:w="199" w:type="pct"/>
                  <w:tcBorders>
                    <w:tl2br w:val="nil"/>
                    <w:tr2bl w:val="nil"/>
                  </w:tcBorders>
                  <w:shd w:val="clear" w:color="auto" w:fill="FFFFFF"/>
                  <w:tcMar>
                    <w:top w:w="0" w:type="dxa"/>
                    <w:left w:w="0" w:type="dxa"/>
                    <w:bottom w:w="0" w:type="dxa"/>
                    <w:right w:w="0" w:type="dxa"/>
                  </w:tcMar>
                  <w:vAlign w:val="center"/>
                </w:tcPr>
                <w:p w14:paraId="7805BD5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w:t>
                  </w:r>
                </w:p>
              </w:tc>
              <w:tc>
                <w:tcPr>
                  <w:tcW w:w="191" w:type="pct"/>
                  <w:tcBorders>
                    <w:tl2br w:val="nil"/>
                    <w:tr2bl w:val="nil"/>
                  </w:tcBorders>
                  <w:shd w:val="clear" w:color="auto" w:fill="FFFFFF"/>
                  <w:tcMar>
                    <w:top w:w="0" w:type="dxa"/>
                    <w:left w:w="0" w:type="dxa"/>
                    <w:bottom w:w="0" w:type="dxa"/>
                    <w:right w:w="0" w:type="dxa"/>
                  </w:tcMar>
                  <w:vAlign w:val="center"/>
                </w:tcPr>
                <w:p w14:paraId="012AD3A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13</w:t>
                  </w:r>
                </w:p>
              </w:tc>
              <w:tc>
                <w:tcPr>
                  <w:tcW w:w="191" w:type="pct"/>
                  <w:tcBorders>
                    <w:tl2br w:val="nil"/>
                    <w:tr2bl w:val="nil"/>
                  </w:tcBorders>
                  <w:shd w:val="clear" w:color="auto" w:fill="FFFFFF"/>
                  <w:tcMar>
                    <w:top w:w="0" w:type="dxa"/>
                    <w:left w:w="0" w:type="dxa"/>
                    <w:bottom w:w="0" w:type="dxa"/>
                    <w:right w:w="0" w:type="dxa"/>
                  </w:tcMar>
                  <w:vAlign w:val="center"/>
                </w:tcPr>
                <w:p w14:paraId="545D2538">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2</w:t>
                  </w:r>
                </w:p>
              </w:tc>
              <w:tc>
                <w:tcPr>
                  <w:tcW w:w="191" w:type="pct"/>
                  <w:tcBorders>
                    <w:tl2br w:val="nil"/>
                    <w:tr2bl w:val="nil"/>
                  </w:tcBorders>
                  <w:shd w:val="clear" w:color="auto" w:fill="FFFFFF"/>
                  <w:tcMar>
                    <w:top w:w="0" w:type="dxa"/>
                    <w:left w:w="0" w:type="dxa"/>
                    <w:bottom w:w="0" w:type="dxa"/>
                    <w:right w:w="0" w:type="dxa"/>
                  </w:tcMar>
                  <w:vAlign w:val="center"/>
                </w:tcPr>
                <w:p w14:paraId="24456139">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w:t>
                  </w:r>
                </w:p>
              </w:tc>
              <w:tc>
                <w:tcPr>
                  <w:tcW w:w="204" w:type="pct"/>
                  <w:tcBorders>
                    <w:tl2br w:val="nil"/>
                    <w:tr2bl w:val="nil"/>
                  </w:tcBorders>
                  <w:shd w:val="clear" w:color="auto" w:fill="FFFFFF"/>
                  <w:tcMar>
                    <w:top w:w="0" w:type="dxa"/>
                    <w:left w:w="0" w:type="dxa"/>
                    <w:bottom w:w="0" w:type="dxa"/>
                    <w:right w:w="0" w:type="dxa"/>
                  </w:tcMar>
                  <w:vAlign w:val="center"/>
                </w:tcPr>
                <w:p w14:paraId="5A3FEBF8">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29</w:t>
                  </w:r>
                </w:p>
              </w:tc>
              <w:tc>
                <w:tcPr>
                  <w:tcW w:w="191" w:type="pct"/>
                  <w:tcBorders>
                    <w:tl2br w:val="nil"/>
                    <w:tr2bl w:val="nil"/>
                  </w:tcBorders>
                  <w:shd w:val="clear" w:color="auto" w:fill="FFFFFF"/>
                  <w:tcMar>
                    <w:top w:w="0" w:type="dxa"/>
                    <w:left w:w="0" w:type="dxa"/>
                    <w:bottom w:w="0" w:type="dxa"/>
                    <w:right w:w="0" w:type="dxa"/>
                  </w:tcMar>
                  <w:vAlign w:val="center"/>
                </w:tcPr>
                <w:p w14:paraId="33EA4EC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62.7</w:t>
                  </w:r>
                </w:p>
              </w:tc>
              <w:tc>
                <w:tcPr>
                  <w:tcW w:w="191" w:type="pct"/>
                  <w:tcBorders>
                    <w:tl2br w:val="nil"/>
                    <w:tr2bl w:val="nil"/>
                  </w:tcBorders>
                  <w:shd w:val="clear" w:color="auto" w:fill="FFFFFF"/>
                  <w:tcMar>
                    <w:top w:w="0" w:type="dxa"/>
                    <w:left w:w="0" w:type="dxa"/>
                    <w:bottom w:w="0" w:type="dxa"/>
                    <w:right w:w="0" w:type="dxa"/>
                  </w:tcMar>
                  <w:vAlign w:val="center"/>
                </w:tcPr>
                <w:p w14:paraId="2A95D9D5">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78.9</w:t>
                  </w:r>
                </w:p>
              </w:tc>
              <w:tc>
                <w:tcPr>
                  <w:tcW w:w="191" w:type="pct"/>
                  <w:tcBorders>
                    <w:tl2br w:val="nil"/>
                    <w:tr2bl w:val="nil"/>
                  </w:tcBorders>
                  <w:shd w:val="clear" w:color="auto" w:fill="FFFFFF"/>
                  <w:tcMar>
                    <w:top w:w="0" w:type="dxa"/>
                    <w:left w:w="0" w:type="dxa"/>
                    <w:bottom w:w="0" w:type="dxa"/>
                    <w:right w:w="0" w:type="dxa"/>
                  </w:tcMar>
                  <w:vAlign w:val="center"/>
                </w:tcPr>
                <w:p w14:paraId="43BD6A97">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85</w:t>
                  </w:r>
                </w:p>
              </w:tc>
              <w:tc>
                <w:tcPr>
                  <w:tcW w:w="204" w:type="pct"/>
                  <w:tcBorders>
                    <w:tl2br w:val="nil"/>
                    <w:tr2bl w:val="nil"/>
                  </w:tcBorders>
                  <w:shd w:val="clear" w:color="auto" w:fill="FFFFFF"/>
                  <w:tcMar>
                    <w:top w:w="0" w:type="dxa"/>
                    <w:left w:w="0" w:type="dxa"/>
                    <w:bottom w:w="0" w:type="dxa"/>
                    <w:right w:w="0" w:type="dxa"/>
                  </w:tcMar>
                  <w:vAlign w:val="center"/>
                </w:tcPr>
                <w:p w14:paraId="39758EBE">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55.8</w:t>
                  </w:r>
                </w:p>
              </w:tc>
              <w:tc>
                <w:tcPr>
                  <w:tcW w:w="228" w:type="pct"/>
                  <w:vMerge w:val="continue"/>
                  <w:tcBorders>
                    <w:tl2br w:val="nil"/>
                    <w:tr2bl w:val="nil"/>
                  </w:tcBorders>
                  <w:shd w:val="clear" w:color="auto" w:fill="auto"/>
                  <w:tcMar>
                    <w:top w:w="0" w:type="dxa"/>
                    <w:left w:w="0" w:type="dxa"/>
                    <w:bottom w:w="0" w:type="dxa"/>
                    <w:right w:w="0" w:type="dxa"/>
                  </w:tcMar>
                  <w:vAlign w:val="center"/>
                </w:tcPr>
                <w:p w14:paraId="435484E4">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372" w:type="pct"/>
                  <w:vMerge w:val="continue"/>
                  <w:tcBorders>
                    <w:tl2br w:val="nil"/>
                    <w:tr2bl w:val="nil"/>
                  </w:tcBorders>
                  <w:shd w:val="clear" w:color="auto" w:fill="auto"/>
                  <w:tcMar>
                    <w:top w:w="0" w:type="dxa"/>
                    <w:left w:w="0" w:type="dxa"/>
                    <w:bottom w:w="0" w:type="dxa"/>
                    <w:right w:w="0" w:type="dxa"/>
                  </w:tcMar>
                  <w:vAlign w:val="center"/>
                </w:tcPr>
                <w:p w14:paraId="7287FB9A">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62" w:type="pct"/>
                  <w:tcBorders>
                    <w:tl2br w:val="nil"/>
                    <w:tr2bl w:val="nil"/>
                  </w:tcBorders>
                  <w:shd w:val="clear" w:color="auto" w:fill="FFFFFF"/>
                  <w:tcMar>
                    <w:top w:w="0" w:type="dxa"/>
                    <w:left w:w="0" w:type="dxa"/>
                    <w:bottom w:w="0" w:type="dxa"/>
                    <w:right w:w="0" w:type="dxa"/>
                  </w:tcMar>
                  <w:vAlign w:val="center"/>
                </w:tcPr>
                <w:p w14:paraId="164A91C4">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42.7</w:t>
                  </w:r>
                </w:p>
              </w:tc>
              <w:tc>
                <w:tcPr>
                  <w:tcW w:w="162" w:type="pct"/>
                  <w:tcBorders>
                    <w:tl2br w:val="nil"/>
                    <w:tr2bl w:val="nil"/>
                  </w:tcBorders>
                  <w:shd w:val="clear" w:color="auto" w:fill="FFFFFF"/>
                  <w:tcMar>
                    <w:top w:w="0" w:type="dxa"/>
                    <w:left w:w="0" w:type="dxa"/>
                    <w:bottom w:w="0" w:type="dxa"/>
                    <w:right w:w="0" w:type="dxa"/>
                  </w:tcMar>
                  <w:vAlign w:val="center"/>
                </w:tcPr>
                <w:p w14:paraId="55AD2C21">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58.9</w:t>
                  </w:r>
                </w:p>
              </w:tc>
              <w:tc>
                <w:tcPr>
                  <w:tcW w:w="162" w:type="pct"/>
                  <w:tcBorders>
                    <w:tl2br w:val="nil"/>
                    <w:tr2bl w:val="nil"/>
                  </w:tcBorders>
                  <w:shd w:val="clear" w:color="auto" w:fill="FFFFFF"/>
                  <w:tcMar>
                    <w:top w:w="0" w:type="dxa"/>
                    <w:left w:w="0" w:type="dxa"/>
                    <w:bottom w:w="0" w:type="dxa"/>
                    <w:right w:w="0" w:type="dxa"/>
                  </w:tcMar>
                  <w:vAlign w:val="center"/>
                </w:tcPr>
                <w:p w14:paraId="6E43E6AB">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65</w:t>
                  </w:r>
                </w:p>
              </w:tc>
              <w:tc>
                <w:tcPr>
                  <w:tcW w:w="162" w:type="pct"/>
                  <w:tcBorders>
                    <w:tl2br w:val="nil"/>
                    <w:tr2bl w:val="nil"/>
                  </w:tcBorders>
                  <w:shd w:val="clear" w:color="auto" w:fill="FFFFFF"/>
                  <w:tcMar>
                    <w:top w:w="0" w:type="dxa"/>
                    <w:left w:w="0" w:type="dxa"/>
                    <w:bottom w:w="0" w:type="dxa"/>
                    <w:right w:w="0" w:type="dxa"/>
                  </w:tcMar>
                  <w:vAlign w:val="center"/>
                </w:tcPr>
                <w:p w14:paraId="124AD267">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55.8</w:t>
                  </w:r>
                </w:p>
              </w:tc>
              <w:tc>
                <w:tcPr>
                  <w:tcW w:w="194" w:type="pct"/>
                  <w:tcBorders>
                    <w:tl2br w:val="nil"/>
                    <w:tr2bl w:val="nil"/>
                  </w:tcBorders>
                  <w:shd w:val="clear" w:color="auto" w:fill="auto"/>
                  <w:tcMar>
                    <w:top w:w="0" w:type="dxa"/>
                    <w:left w:w="0" w:type="dxa"/>
                    <w:bottom w:w="0" w:type="dxa"/>
                    <w:right w:w="0" w:type="dxa"/>
                  </w:tcMar>
                  <w:vAlign w:val="center"/>
                </w:tcPr>
                <w:p w14:paraId="22CAB105">
                  <w:pPr>
                    <w:pStyle w:val="115"/>
                    <w:spacing w:line="240" w:lineRule="auto"/>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r>
            <w:tr w14:paraId="7EA54B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 w:type="pct"/>
                  <w:tcBorders>
                    <w:tl2br w:val="nil"/>
                    <w:tr2bl w:val="nil"/>
                  </w:tcBorders>
                  <w:shd w:val="clear" w:color="auto" w:fill="auto"/>
                  <w:tcMar>
                    <w:top w:w="0" w:type="dxa"/>
                    <w:left w:w="0" w:type="dxa"/>
                    <w:bottom w:w="0" w:type="dxa"/>
                    <w:right w:w="0" w:type="dxa"/>
                  </w:tcMar>
                  <w:vAlign w:val="center"/>
                </w:tcPr>
                <w:p w14:paraId="05F18247">
                  <w:pPr>
                    <w:pStyle w:val="115"/>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228" w:type="pct"/>
                  <w:vMerge w:val="continue"/>
                  <w:tcBorders>
                    <w:tl2br w:val="nil"/>
                    <w:tr2bl w:val="nil"/>
                  </w:tcBorders>
                  <w:shd w:val="clear" w:color="auto" w:fill="auto"/>
                  <w:tcMar>
                    <w:top w:w="0" w:type="dxa"/>
                    <w:left w:w="0" w:type="dxa"/>
                    <w:bottom w:w="0" w:type="dxa"/>
                    <w:right w:w="0" w:type="dxa"/>
                  </w:tcMar>
                  <w:vAlign w:val="center"/>
                </w:tcPr>
                <w:p w14:paraId="1D1F9A90">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405" w:type="pct"/>
                  <w:tcBorders>
                    <w:tl2br w:val="nil"/>
                    <w:tr2bl w:val="nil"/>
                  </w:tcBorders>
                  <w:shd w:val="clear" w:color="auto" w:fill="FFFFFF"/>
                  <w:tcMar>
                    <w:top w:w="0" w:type="dxa"/>
                    <w:left w:w="0" w:type="dxa"/>
                    <w:bottom w:w="0" w:type="dxa"/>
                    <w:right w:w="0" w:type="dxa"/>
                  </w:tcMar>
                  <w:vAlign w:val="center"/>
                </w:tcPr>
                <w:p w14:paraId="607945B3">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电加热导热油炉，</w:t>
                  </w:r>
                  <w:r>
                    <w:rPr>
                      <w:rFonts w:hint="default" w:ascii="Times New Roman" w:hAnsi="Times New Roman" w:eastAsia="宋体" w:cs="Times New Roman"/>
                      <w:color w:val="000000" w:themeColor="text1"/>
                      <w:sz w:val="21"/>
                      <w:szCs w:val="21"/>
                      <w14:textFill>
                        <w14:solidFill>
                          <w14:schemeClr w14:val="tx1"/>
                        </w14:solidFill>
                      </w14:textFill>
                    </w:rPr>
                    <w:t>2台（按点声源组预测）</w:t>
                  </w:r>
                </w:p>
              </w:tc>
              <w:tc>
                <w:tcPr>
                  <w:tcW w:w="271" w:type="pct"/>
                  <w:tcBorders>
                    <w:tl2br w:val="nil"/>
                    <w:tr2bl w:val="nil"/>
                  </w:tcBorders>
                  <w:shd w:val="clear" w:color="auto" w:fill="FFFFFF"/>
                  <w:tcMar>
                    <w:top w:w="0" w:type="dxa"/>
                    <w:left w:w="0" w:type="dxa"/>
                    <w:bottom w:w="0" w:type="dxa"/>
                    <w:right w:w="0" w:type="dxa"/>
                  </w:tcMar>
                  <w:vAlign w:val="center"/>
                </w:tcPr>
                <w:p w14:paraId="2773D77E">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80（等效后：</w:t>
                  </w:r>
                  <w:r>
                    <w:rPr>
                      <w:rFonts w:hint="eastAsia" w:cs="Times New Roman"/>
                      <w:color w:val="000000" w:themeColor="text1"/>
                      <w:sz w:val="21"/>
                      <w:szCs w:val="21"/>
                      <w:lang w:val="en-US" w:eastAsia="zh-CN"/>
                      <w14:textFill>
                        <w14:solidFill>
                          <w14:schemeClr w14:val="tx1"/>
                        </w14:solidFill>
                      </w14:textFill>
                    </w:rPr>
                    <w:t>83.01</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278" w:type="pct"/>
                  <w:vMerge w:val="continue"/>
                  <w:tcBorders>
                    <w:tl2br w:val="nil"/>
                    <w:tr2bl w:val="nil"/>
                  </w:tcBorders>
                  <w:shd w:val="clear" w:color="auto" w:fill="auto"/>
                  <w:tcMar>
                    <w:top w:w="0" w:type="dxa"/>
                    <w:left w:w="0" w:type="dxa"/>
                    <w:bottom w:w="0" w:type="dxa"/>
                    <w:right w:w="0" w:type="dxa"/>
                  </w:tcMar>
                  <w:vAlign w:val="center"/>
                </w:tcPr>
                <w:p w14:paraId="221ED318">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92" w:type="pct"/>
                  <w:tcBorders>
                    <w:tl2br w:val="nil"/>
                    <w:tr2bl w:val="nil"/>
                  </w:tcBorders>
                  <w:shd w:val="clear" w:color="auto" w:fill="FFFFFF"/>
                  <w:tcMar>
                    <w:top w:w="0" w:type="dxa"/>
                    <w:left w:w="0" w:type="dxa"/>
                    <w:bottom w:w="0" w:type="dxa"/>
                    <w:right w:w="0" w:type="dxa"/>
                  </w:tcMar>
                  <w:vAlign w:val="center"/>
                </w:tcPr>
                <w:p w14:paraId="1394FCCA">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w:t>
                  </w:r>
                </w:p>
              </w:tc>
              <w:tc>
                <w:tcPr>
                  <w:tcW w:w="192" w:type="pct"/>
                  <w:tcBorders>
                    <w:tl2br w:val="nil"/>
                    <w:tr2bl w:val="nil"/>
                  </w:tcBorders>
                  <w:shd w:val="clear" w:color="auto" w:fill="FFFFFF"/>
                  <w:tcMar>
                    <w:top w:w="0" w:type="dxa"/>
                    <w:left w:w="0" w:type="dxa"/>
                    <w:bottom w:w="0" w:type="dxa"/>
                    <w:right w:w="0" w:type="dxa"/>
                  </w:tcMar>
                  <w:vAlign w:val="center"/>
                </w:tcPr>
                <w:p w14:paraId="55B28648">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32</w:t>
                  </w:r>
                </w:p>
              </w:tc>
              <w:tc>
                <w:tcPr>
                  <w:tcW w:w="199" w:type="pct"/>
                  <w:tcBorders>
                    <w:tl2br w:val="nil"/>
                    <w:tr2bl w:val="nil"/>
                  </w:tcBorders>
                  <w:shd w:val="clear" w:color="auto" w:fill="FFFFFF"/>
                  <w:tcMar>
                    <w:top w:w="0" w:type="dxa"/>
                    <w:left w:w="0" w:type="dxa"/>
                    <w:bottom w:w="0" w:type="dxa"/>
                    <w:right w:w="0" w:type="dxa"/>
                  </w:tcMar>
                  <w:vAlign w:val="center"/>
                </w:tcPr>
                <w:p w14:paraId="3CD65B23">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2</w:t>
                  </w:r>
                </w:p>
              </w:tc>
              <w:tc>
                <w:tcPr>
                  <w:tcW w:w="191" w:type="pct"/>
                  <w:tcBorders>
                    <w:tl2br w:val="nil"/>
                    <w:tr2bl w:val="nil"/>
                  </w:tcBorders>
                  <w:shd w:val="clear" w:color="auto" w:fill="FFFFFF"/>
                  <w:tcMar>
                    <w:top w:w="0" w:type="dxa"/>
                    <w:left w:w="0" w:type="dxa"/>
                    <w:bottom w:w="0" w:type="dxa"/>
                    <w:right w:w="0" w:type="dxa"/>
                  </w:tcMar>
                  <w:vAlign w:val="center"/>
                </w:tcPr>
                <w:p w14:paraId="06732589">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12</w:t>
                  </w:r>
                </w:p>
              </w:tc>
              <w:tc>
                <w:tcPr>
                  <w:tcW w:w="191" w:type="pct"/>
                  <w:tcBorders>
                    <w:tl2br w:val="nil"/>
                    <w:tr2bl w:val="nil"/>
                  </w:tcBorders>
                  <w:shd w:val="clear" w:color="auto" w:fill="FFFFFF"/>
                  <w:tcMar>
                    <w:top w:w="0" w:type="dxa"/>
                    <w:left w:w="0" w:type="dxa"/>
                    <w:bottom w:w="0" w:type="dxa"/>
                    <w:right w:w="0" w:type="dxa"/>
                  </w:tcMar>
                  <w:vAlign w:val="center"/>
                </w:tcPr>
                <w:p w14:paraId="0A73A7C1">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31</w:t>
                  </w:r>
                </w:p>
              </w:tc>
              <w:tc>
                <w:tcPr>
                  <w:tcW w:w="191" w:type="pct"/>
                  <w:tcBorders>
                    <w:tl2br w:val="nil"/>
                    <w:tr2bl w:val="nil"/>
                  </w:tcBorders>
                  <w:shd w:val="clear" w:color="auto" w:fill="FFFFFF"/>
                  <w:tcMar>
                    <w:top w:w="0" w:type="dxa"/>
                    <w:left w:w="0" w:type="dxa"/>
                    <w:bottom w:w="0" w:type="dxa"/>
                    <w:right w:w="0" w:type="dxa"/>
                  </w:tcMar>
                  <w:vAlign w:val="center"/>
                </w:tcPr>
                <w:p w14:paraId="11F74652">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w:t>
                  </w:r>
                </w:p>
              </w:tc>
              <w:tc>
                <w:tcPr>
                  <w:tcW w:w="204" w:type="pct"/>
                  <w:tcBorders>
                    <w:tl2br w:val="nil"/>
                    <w:tr2bl w:val="nil"/>
                  </w:tcBorders>
                  <w:shd w:val="clear" w:color="auto" w:fill="FFFFFF"/>
                  <w:tcMar>
                    <w:top w:w="0" w:type="dxa"/>
                    <w:left w:w="0" w:type="dxa"/>
                    <w:bottom w:w="0" w:type="dxa"/>
                    <w:right w:w="0" w:type="dxa"/>
                  </w:tcMar>
                  <w:vAlign w:val="center"/>
                </w:tcPr>
                <w:p w14:paraId="56517BE6">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2</w:t>
                  </w:r>
                </w:p>
              </w:tc>
              <w:tc>
                <w:tcPr>
                  <w:tcW w:w="191" w:type="pct"/>
                  <w:tcBorders>
                    <w:tl2br w:val="nil"/>
                    <w:tr2bl w:val="nil"/>
                  </w:tcBorders>
                  <w:shd w:val="clear" w:color="auto" w:fill="FFFFFF"/>
                  <w:tcMar>
                    <w:top w:w="0" w:type="dxa"/>
                    <w:left w:w="0" w:type="dxa"/>
                    <w:bottom w:w="0" w:type="dxa"/>
                    <w:right w:w="0" w:type="dxa"/>
                  </w:tcMar>
                  <w:vAlign w:val="center"/>
                </w:tcPr>
                <w:p w14:paraId="0F0B04AB">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61.4</w:t>
                  </w:r>
                </w:p>
              </w:tc>
              <w:tc>
                <w:tcPr>
                  <w:tcW w:w="191" w:type="pct"/>
                  <w:tcBorders>
                    <w:tl2br w:val="nil"/>
                    <w:tr2bl w:val="nil"/>
                  </w:tcBorders>
                  <w:shd w:val="clear" w:color="auto" w:fill="FFFFFF"/>
                  <w:tcMar>
                    <w:top w:w="0" w:type="dxa"/>
                    <w:left w:w="0" w:type="dxa"/>
                    <w:bottom w:w="0" w:type="dxa"/>
                    <w:right w:w="0" w:type="dxa"/>
                  </w:tcMar>
                  <w:vAlign w:val="center"/>
                </w:tcPr>
                <w:p w14:paraId="34BECCFE">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53.2</w:t>
                  </w:r>
                </w:p>
              </w:tc>
              <w:tc>
                <w:tcPr>
                  <w:tcW w:w="191" w:type="pct"/>
                  <w:tcBorders>
                    <w:tl2br w:val="nil"/>
                    <w:tr2bl w:val="nil"/>
                  </w:tcBorders>
                  <w:shd w:val="clear" w:color="auto" w:fill="FFFFFF"/>
                  <w:tcMar>
                    <w:top w:w="0" w:type="dxa"/>
                    <w:left w:w="0" w:type="dxa"/>
                    <w:bottom w:w="0" w:type="dxa"/>
                    <w:right w:w="0" w:type="dxa"/>
                  </w:tcMar>
                  <w:vAlign w:val="center"/>
                </w:tcPr>
                <w:p w14:paraId="16CB00F2">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73.5</w:t>
                  </w:r>
                </w:p>
              </w:tc>
              <w:tc>
                <w:tcPr>
                  <w:tcW w:w="204" w:type="pct"/>
                  <w:tcBorders>
                    <w:tl2br w:val="nil"/>
                    <w:tr2bl w:val="nil"/>
                  </w:tcBorders>
                  <w:shd w:val="clear" w:color="auto" w:fill="FFFFFF"/>
                  <w:tcMar>
                    <w:top w:w="0" w:type="dxa"/>
                    <w:left w:w="0" w:type="dxa"/>
                    <w:bottom w:w="0" w:type="dxa"/>
                    <w:right w:w="0" w:type="dxa"/>
                  </w:tcMar>
                  <w:vAlign w:val="center"/>
                </w:tcPr>
                <w:p w14:paraId="04F00122">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77</w:t>
                  </w:r>
                </w:p>
              </w:tc>
              <w:tc>
                <w:tcPr>
                  <w:tcW w:w="228" w:type="pct"/>
                  <w:vMerge w:val="continue"/>
                  <w:tcBorders>
                    <w:tl2br w:val="nil"/>
                    <w:tr2bl w:val="nil"/>
                  </w:tcBorders>
                  <w:shd w:val="clear" w:color="auto" w:fill="auto"/>
                  <w:tcMar>
                    <w:top w:w="0" w:type="dxa"/>
                    <w:left w:w="0" w:type="dxa"/>
                    <w:bottom w:w="0" w:type="dxa"/>
                    <w:right w:w="0" w:type="dxa"/>
                  </w:tcMar>
                  <w:vAlign w:val="center"/>
                </w:tcPr>
                <w:p w14:paraId="06683831">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372" w:type="pct"/>
                  <w:vMerge w:val="continue"/>
                  <w:tcBorders>
                    <w:tl2br w:val="nil"/>
                    <w:tr2bl w:val="nil"/>
                  </w:tcBorders>
                  <w:shd w:val="clear" w:color="auto" w:fill="auto"/>
                  <w:tcMar>
                    <w:top w:w="0" w:type="dxa"/>
                    <w:left w:w="0" w:type="dxa"/>
                    <w:bottom w:w="0" w:type="dxa"/>
                    <w:right w:w="0" w:type="dxa"/>
                  </w:tcMar>
                  <w:vAlign w:val="center"/>
                </w:tcPr>
                <w:p w14:paraId="6740642C">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62" w:type="pct"/>
                  <w:tcBorders>
                    <w:tl2br w:val="nil"/>
                    <w:tr2bl w:val="nil"/>
                  </w:tcBorders>
                  <w:shd w:val="clear" w:color="auto" w:fill="FFFFFF"/>
                  <w:tcMar>
                    <w:top w:w="0" w:type="dxa"/>
                    <w:left w:w="0" w:type="dxa"/>
                    <w:bottom w:w="0" w:type="dxa"/>
                    <w:right w:w="0" w:type="dxa"/>
                  </w:tcMar>
                  <w:vAlign w:val="center"/>
                </w:tcPr>
                <w:p w14:paraId="2C4FEAEA">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41.4</w:t>
                  </w:r>
                </w:p>
              </w:tc>
              <w:tc>
                <w:tcPr>
                  <w:tcW w:w="162" w:type="pct"/>
                  <w:tcBorders>
                    <w:tl2br w:val="nil"/>
                    <w:tr2bl w:val="nil"/>
                  </w:tcBorders>
                  <w:shd w:val="clear" w:color="auto" w:fill="FFFFFF"/>
                  <w:tcMar>
                    <w:top w:w="0" w:type="dxa"/>
                    <w:left w:w="0" w:type="dxa"/>
                    <w:bottom w:w="0" w:type="dxa"/>
                    <w:right w:w="0" w:type="dxa"/>
                  </w:tcMar>
                  <w:vAlign w:val="center"/>
                </w:tcPr>
                <w:p w14:paraId="10F3E15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33.2</w:t>
                  </w:r>
                </w:p>
              </w:tc>
              <w:tc>
                <w:tcPr>
                  <w:tcW w:w="162" w:type="pct"/>
                  <w:tcBorders>
                    <w:tl2br w:val="nil"/>
                    <w:tr2bl w:val="nil"/>
                  </w:tcBorders>
                  <w:shd w:val="clear" w:color="auto" w:fill="FFFFFF"/>
                  <w:tcMar>
                    <w:top w:w="0" w:type="dxa"/>
                    <w:left w:w="0" w:type="dxa"/>
                    <w:bottom w:w="0" w:type="dxa"/>
                    <w:right w:w="0" w:type="dxa"/>
                  </w:tcMar>
                  <w:vAlign w:val="center"/>
                </w:tcPr>
                <w:p w14:paraId="7717666B">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53.5</w:t>
                  </w:r>
                </w:p>
              </w:tc>
              <w:tc>
                <w:tcPr>
                  <w:tcW w:w="162" w:type="pct"/>
                  <w:tcBorders>
                    <w:tl2br w:val="nil"/>
                    <w:tr2bl w:val="nil"/>
                  </w:tcBorders>
                  <w:shd w:val="clear" w:color="auto" w:fill="FFFFFF"/>
                  <w:tcMar>
                    <w:top w:w="0" w:type="dxa"/>
                    <w:left w:w="0" w:type="dxa"/>
                    <w:bottom w:w="0" w:type="dxa"/>
                    <w:right w:w="0" w:type="dxa"/>
                  </w:tcMar>
                  <w:vAlign w:val="center"/>
                </w:tcPr>
                <w:p w14:paraId="57C10517">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57</w:t>
                  </w:r>
                </w:p>
              </w:tc>
              <w:tc>
                <w:tcPr>
                  <w:tcW w:w="194" w:type="pct"/>
                  <w:tcBorders>
                    <w:tl2br w:val="nil"/>
                    <w:tr2bl w:val="nil"/>
                  </w:tcBorders>
                  <w:shd w:val="clear" w:color="auto" w:fill="auto"/>
                  <w:tcMar>
                    <w:top w:w="0" w:type="dxa"/>
                    <w:left w:w="0" w:type="dxa"/>
                    <w:bottom w:w="0" w:type="dxa"/>
                    <w:right w:w="0" w:type="dxa"/>
                  </w:tcMar>
                  <w:vAlign w:val="center"/>
                </w:tcPr>
                <w:p w14:paraId="22ED24B0">
                  <w:pPr>
                    <w:pStyle w:val="115"/>
                    <w:spacing w:line="240" w:lineRule="auto"/>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r>
            <w:tr w14:paraId="72427C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 w:type="pct"/>
                  <w:tcBorders>
                    <w:tl2br w:val="nil"/>
                    <w:tr2bl w:val="nil"/>
                  </w:tcBorders>
                  <w:shd w:val="clear" w:color="auto" w:fill="auto"/>
                  <w:tcMar>
                    <w:top w:w="0" w:type="dxa"/>
                    <w:left w:w="0" w:type="dxa"/>
                    <w:bottom w:w="0" w:type="dxa"/>
                    <w:right w:w="0" w:type="dxa"/>
                  </w:tcMar>
                  <w:vAlign w:val="center"/>
                </w:tcPr>
                <w:p w14:paraId="142485DE">
                  <w:pPr>
                    <w:pStyle w:val="115"/>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5</w:t>
                  </w:r>
                </w:p>
              </w:tc>
              <w:tc>
                <w:tcPr>
                  <w:tcW w:w="228" w:type="pct"/>
                  <w:vMerge w:val="continue"/>
                  <w:tcBorders>
                    <w:tl2br w:val="nil"/>
                    <w:tr2bl w:val="nil"/>
                  </w:tcBorders>
                  <w:shd w:val="clear" w:color="auto" w:fill="auto"/>
                  <w:tcMar>
                    <w:top w:w="0" w:type="dxa"/>
                    <w:left w:w="0" w:type="dxa"/>
                    <w:bottom w:w="0" w:type="dxa"/>
                    <w:right w:w="0" w:type="dxa"/>
                  </w:tcMar>
                  <w:vAlign w:val="center"/>
                </w:tcPr>
                <w:p w14:paraId="4D6F18C2">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405" w:type="pct"/>
                  <w:tcBorders>
                    <w:tl2br w:val="nil"/>
                    <w:tr2bl w:val="nil"/>
                  </w:tcBorders>
                  <w:shd w:val="clear" w:color="auto" w:fill="FFFFFF"/>
                  <w:tcMar>
                    <w:top w:w="0" w:type="dxa"/>
                    <w:left w:w="0" w:type="dxa"/>
                    <w:bottom w:w="0" w:type="dxa"/>
                    <w:right w:w="0" w:type="dxa"/>
                  </w:tcMar>
                  <w:vAlign w:val="center"/>
                </w:tcPr>
                <w:p w14:paraId="4DE63895">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自动包装机</w:t>
                  </w:r>
                </w:p>
              </w:tc>
              <w:tc>
                <w:tcPr>
                  <w:tcW w:w="271" w:type="pct"/>
                  <w:tcBorders>
                    <w:tl2br w:val="nil"/>
                    <w:tr2bl w:val="nil"/>
                  </w:tcBorders>
                  <w:shd w:val="clear" w:color="auto" w:fill="FFFFFF"/>
                  <w:tcMar>
                    <w:top w:w="0" w:type="dxa"/>
                    <w:left w:w="0" w:type="dxa"/>
                    <w:bottom w:w="0" w:type="dxa"/>
                    <w:right w:w="0" w:type="dxa"/>
                  </w:tcMar>
                  <w:vAlign w:val="center"/>
                </w:tcPr>
                <w:p w14:paraId="6E1D234F">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80</w:t>
                  </w:r>
                </w:p>
              </w:tc>
              <w:tc>
                <w:tcPr>
                  <w:tcW w:w="278" w:type="pct"/>
                  <w:vMerge w:val="continue"/>
                  <w:tcBorders>
                    <w:tl2br w:val="nil"/>
                    <w:tr2bl w:val="nil"/>
                  </w:tcBorders>
                  <w:shd w:val="clear" w:color="auto" w:fill="auto"/>
                  <w:tcMar>
                    <w:top w:w="0" w:type="dxa"/>
                    <w:left w:w="0" w:type="dxa"/>
                    <w:bottom w:w="0" w:type="dxa"/>
                    <w:right w:w="0" w:type="dxa"/>
                  </w:tcMar>
                  <w:vAlign w:val="center"/>
                </w:tcPr>
                <w:p w14:paraId="0AD04585">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92" w:type="pct"/>
                  <w:tcBorders>
                    <w:tl2br w:val="nil"/>
                    <w:tr2bl w:val="nil"/>
                  </w:tcBorders>
                  <w:shd w:val="clear" w:color="auto" w:fill="FFFFFF"/>
                  <w:tcMar>
                    <w:top w:w="0" w:type="dxa"/>
                    <w:left w:w="0" w:type="dxa"/>
                    <w:bottom w:w="0" w:type="dxa"/>
                    <w:right w:w="0" w:type="dxa"/>
                  </w:tcMar>
                  <w:vAlign w:val="center"/>
                </w:tcPr>
                <w:p w14:paraId="6FD4EE51">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2</w:t>
                  </w:r>
                </w:p>
              </w:tc>
              <w:tc>
                <w:tcPr>
                  <w:tcW w:w="192" w:type="pct"/>
                  <w:tcBorders>
                    <w:tl2br w:val="nil"/>
                    <w:tr2bl w:val="nil"/>
                  </w:tcBorders>
                  <w:shd w:val="clear" w:color="auto" w:fill="FFFFFF"/>
                  <w:tcMar>
                    <w:top w:w="0" w:type="dxa"/>
                    <w:left w:w="0" w:type="dxa"/>
                    <w:bottom w:w="0" w:type="dxa"/>
                    <w:right w:w="0" w:type="dxa"/>
                  </w:tcMar>
                  <w:vAlign w:val="center"/>
                </w:tcPr>
                <w:p w14:paraId="288B21EC">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10</w:t>
                  </w:r>
                </w:p>
              </w:tc>
              <w:tc>
                <w:tcPr>
                  <w:tcW w:w="199" w:type="pct"/>
                  <w:tcBorders>
                    <w:tl2br w:val="nil"/>
                    <w:tr2bl w:val="nil"/>
                  </w:tcBorders>
                  <w:shd w:val="clear" w:color="auto" w:fill="FFFFFF"/>
                  <w:tcMar>
                    <w:top w:w="0" w:type="dxa"/>
                    <w:left w:w="0" w:type="dxa"/>
                    <w:bottom w:w="0" w:type="dxa"/>
                    <w:right w:w="0" w:type="dxa"/>
                  </w:tcMar>
                  <w:vAlign w:val="center"/>
                </w:tcPr>
                <w:p w14:paraId="5F7B0664">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w:t>
                  </w:r>
                </w:p>
              </w:tc>
              <w:tc>
                <w:tcPr>
                  <w:tcW w:w="191" w:type="pct"/>
                  <w:tcBorders>
                    <w:tl2br w:val="nil"/>
                    <w:tr2bl w:val="nil"/>
                  </w:tcBorders>
                  <w:shd w:val="clear" w:color="auto" w:fill="FFFFFF"/>
                  <w:tcMar>
                    <w:top w:w="0" w:type="dxa"/>
                    <w:left w:w="0" w:type="dxa"/>
                    <w:bottom w:w="0" w:type="dxa"/>
                    <w:right w:w="0" w:type="dxa"/>
                  </w:tcMar>
                  <w:vAlign w:val="center"/>
                </w:tcPr>
                <w:p w14:paraId="6EA30CE0">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13</w:t>
                  </w:r>
                </w:p>
              </w:tc>
              <w:tc>
                <w:tcPr>
                  <w:tcW w:w="191" w:type="pct"/>
                  <w:tcBorders>
                    <w:tl2br w:val="nil"/>
                    <w:tr2bl w:val="nil"/>
                  </w:tcBorders>
                  <w:shd w:val="clear" w:color="auto" w:fill="FFFFFF"/>
                  <w:tcMar>
                    <w:top w:w="0" w:type="dxa"/>
                    <w:left w:w="0" w:type="dxa"/>
                    <w:bottom w:w="0" w:type="dxa"/>
                    <w:right w:w="0" w:type="dxa"/>
                  </w:tcMar>
                  <w:vAlign w:val="center"/>
                </w:tcPr>
                <w:p w14:paraId="21103979">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7</w:t>
                  </w:r>
                </w:p>
              </w:tc>
              <w:tc>
                <w:tcPr>
                  <w:tcW w:w="191" w:type="pct"/>
                  <w:tcBorders>
                    <w:tl2br w:val="nil"/>
                    <w:tr2bl w:val="nil"/>
                  </w:tcBorders>
                  <w:shd w:val="clear" w:color="auto" w:fill="FFFFFF"/>
                  <w:tcMar>
                    <w:top w:w="0" w:type="dxa"/>
                    <w:left w:w="0" w:type="dxa"/>
                    <w:bottom w:w="0" w:type="dxa"/>
                    <w:right w:w="0" w:type="dxa"/>
                  </w:tcMar>
                  <w:vAlign w:val="center"/>
                </w:tcPr>
                <w:p w14:paraId="44315179">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2</w:t>
                  </w:r>
                </w:p>
              </w:tc>
              <w:tc>
                <w:tcPr>
                  <w:tcW w:w="204" w:type="pct"/>
                  <w:tcBorders>
                    <w:tl2br w:val="nil"/>
                    <w:tr2bl w:val="nil"/>
                  </w:tcBorders>
                  <w:shd w:val="clear" w:color="auto" w:fill="FFFFFF"/>
                  <w:tcMar>
                    <w:top w:w="0" w:type="dxa"/>
                    <w:left w:w="0" w:type="dxa"/>
                    <w:bottom w:w="0" w:type="dxa"/>
                    <w:right w:w="0" w:type="dxa"/>
                  </w:tcMar>
                  <w:vAlign w:val="center"/>
                </w:tcPr>
                <w:p w14:paraId="1284F842">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26</w:t>
                  </w:r>
                </w:p>
              </w:tc>
              <w:tc>
                <w:tcPr>
                  <w:tcW w:w="191" w:type="pct"/>
                  <w:tcBorders>
                    <w:tl2br w:val="nil"/>
                    <w:tr2bl w:val="nil"/>
                  </w:tcBorders>
                  <w:shd w:val="clear" w:color="auto" w:fill="FFFFFF"/>
                  <w:tcMar>
                    <w:top w:w="0" w:type="dxa"/>
                    <w:left w:w="0" w:type="dxa"/>
                    <w:bottom w:w="0" w:type="dxa"/>
                    <w:right w:w="0" w:type="dxa"/>
                  </w:tcMar>
                  <w:vAlign w:val="center"/>
                </w:tcPr>
                <w:p w14:paraId="1AA4B29A">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57.7</w:t>
                  </w:r>
                </w:p>
              </w:tc>
              <w:tc>
                <w:tcPr>
                  <w:tcW w:w="191" w:type="pct"/>
                  <w:tcBorders>
                    <w:tl2br w:val="nil"/>
                    <w:tr2bl w:val="nil"/>
                  </w:tcBorders>
                  <w:shd w:val="clear" w:color="auto" w:fill="FFFFFF"/>
                  <w:tcMar>
                    <w:top w:w="0" w:type="dxa"/>
                    <w:left w:w="0" w:type="dxa"/>
                    <w:bottom w:w="0" w:type="dxa"/>
                    <w:right w:w="0" w:type="dxa"/>
                  </w:tcMar>
                  <w:vAlign w:val="center"/>
                </w:tcPr>
                <w:p w14:paraId="7A79210D">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63.1</w:t>
                  </w:r>
                </w:p>
              </w:tc>
              <w:tc>
                <w:tcPr>
                  <w:tcW w:w="191" w:type="pct"/>
                  <w:tcBorders>
                    <w:tl2br w:val="nil"/>
                    <w:tr2bl w:val="nil"/>
                  </w:tcBorders>
                  <w:shd w:val="clear" w:color="auto" w:fill="FFFFFF"/>
                  <w:tcMar>
                    <w:top w:w="0" w:type="dxa"/>
                    <w:left w:w="0" w:type="dxa"/>
                    <w:bottom w:w="0" w:type="dxa"/>
                    <w:right w:w="0" w:type="dxa"/>
                  </w:tcMar>
                  <w:vAlign w:val="center"/>
                </w:tcPr>
                <w:p w14:paraId="405CE54B">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73.9</w:t>
                  </w:r>
                </w:p>
              </w:tc>
              <w:tc>
                <w:tcPr>
                  <w:tcW w:w="204" w:type="pct"/>
                  <w:tcBorders>
                    <w:tl2br w:val="nil"/>
                    <w:tr2bl w:val="nil"/>
                  </w:tcBorders>
                  <w:shd w:val="clear" w:color="auto" w:fill="FFFFFF"/>
                  <w:tcMar>
                    <w:top w:w="0" w:type="dxa"/>
                    <w:left w:w="0" w:type="dxa"/>
                    <w:bottom w:w="0" w:type="dxa"/>
                    <w:right w:w="0" w:type="dxa"/>
                  </w:tcMar>
                  <w:vAlign w:val="center"/>
                </w:tcPr>
                <w:p w14:paraId="6355A474">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51.7</w:t>
                  </w:r>
                </w:p>
              </w:tc>
              <w:tc>
                <w:tcPr>
                  <w:tcW w:w="228" w:type="pct"/>
                  <w:vMerge w:val="continue"/>
                  <w:tcBorders>
                    <w:tl2br w:val="nil"/>
                    <w:tr2bl w:val="nil"/>
                  </w:tcBorders>
                  <w:shd w:val="clear" w:color="auto" w:fill="auto"/>
                  <w:tcMar>
                    <w:top w:w="0" w:type="dxa"/>
                    <w:left w:w="0" w:type="dxa"/>
                    <w:bottom w:w="0" w:type="dxa"/>
                    <w:right w:w="0" w:type="dxa"/>
                  </w:tcMar>
                  <w:vAlign w:val="center"/>
                </w:tcPr>
                <w:p w14:paraId="756F8352">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372" w:type="pct"/>
                  <w:vMerge w:val="continue"/>
                  <w:tcBorders>
                    <w:tl2br w:val="nil"/>
                    <w:tr2bl w:val="nil"/>
                  </w:tcBorders>
                  <w:shd w:val="clear" w:color="auto" w:fill="auto"/>
                  <w:tcMar>
                    <w:top w:w="0" w:type="dxa"/>
                    <w:left w:w="0" w:type="dxa"/>
                    <w:bottom w:w="0" w:type="dxa"/>
                    <w:right w:w="0" w:type="dxa"/>
                  </w:tcMar>
                  <w:vAlign w:val="center"/>
                </w:tcPr>
                <w:p w14:paraId="3902003A">
                  <w:pPr>
                    <w:pStyle w:val="115"/>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62" w:type="pct"/>
                  <w:tcBorders>
                    <w:tl2br w:val="nil"/>
                    <w:tr2bl w:val="nil"/>
                  </w:tcBorders>
                  <w:shd w:val="clear" w:color="auto" w:fill="FFFFFF"/>
                  <w:tcMar>
                    <w:top w:w="0" w:type="dxa"/>
                    <w:left w:w="0" w:type="dxa"/>
                    <w:bottom w:w="0" w:type="dxa"/>
                    <w:right w:w="0" w:type="dxa"/>
                  </w:tcMar>
                  <w:vAlign w:val="center"/>
                </w:tcPr>
                <w:p w14:paraId="0A2BC51B">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37.7</w:t>
                  </w:r>
                </w:p>
              </w:tc>
              <w:tc>
                <w:tcPr>
                  <w:tcW w:w="162" w:type="pct"/>
                  <w:tcBorders>
                    <w:tl2br w:val="nil"/>
                    <w:tr2bl w:val="nil"/>
                  </w:tcBorders>
                  <w:shd w:val="clear" w:color="auto" w:fill="FFFFFF"/>
                  <w:tcMar>
                    <w:top w:w="0" w:type="dxa"/>
                    <w:left w:w="0" w:type="dxa"/>
                    <w:bottom w:w="0" w:type="dxa"/>
                    <w:right w:w="0" w:type="dxa"/>
                  </w:tcMar>
                  <w:vAlign w:val="center"/>
                </w:tcPr>
                <w:p w14:paraId="58003646">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43.1</w:t>
                  </w:r>
                </w:p>
              </w:tc>
              <w:tc>
                <w:tcPr>
                  <w:tcW w:w="162" w:type="pct"/>
                  <w:tcBorders>
                    <w:tl2br w:val="nil"/>
                    <w:tr2bl w:val="nil"/>
                  </w:tcBorders>
                  <w:shd w:val="clear" w:color="auto" w:fill="FFFFFF"/>
                  <w:tcMar>
                    <w:top w:w="0" w:type="dxa"/>
                    <w:left w:w="0" w:type="dxa"/>
                    <w:bottom w:w="0" w:type="dxa"/>
                    <w:right w:w="0" w:type="dxa"/>
                  </w:tcMar>
                  <w:vAlign w:val="center"/>
                </w:tcPr>
                <w:p w14:paraId="372627A4">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53.9</w:t>
                  </w:r>
                </w:p>
              </w:tc>
              <w:tc>
                <w:tcPr>
                  <w:tcW w:w="162" w:type="pct"/>
                  <w:tcBorders>
                    <w:tl2br w:val="nil"/>
                    <w:tr2bl w:val="nil"/>
                  </w:tcBorders>
                  <w:shd w:val="clear" w:color="auto" w:fill="FFFFFF"/>
                  <w:tcMar>
                    <w:top w:w="0" w:type="dxa"/>
                    <w:left w:w="0" w:type="dxa"/>
                    <w:bottom w:w="0" w:type="dxa"/>
                    <w:right w:w="0" w:type="dxa"/>
                  </w:tcMar>
                  <w:vAlign w:val="center"/>
                </w:tcPr>
                <w:p w14:paraId="52E9B015">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31.7</w:t>
                  </w:r>
                </w:p>
              </w:tc>
              <w:tc>
                <w:tcPr>
                  <w:tcW w:w="194" w:type="pct"/>
                  <w:tcBorders>
                    <w:tl2br w:val="nil"/>
                    <w:tr2bl w:val="nil"/>
                  </w:tcBorders>
                  <w:shd w:val="clear" w:color="auto" w:fill="auto"/>
                  <w:tcMar>
                    <w:top w:w="0" w:type="dxa"/>
                    <w:left w:w="0" w:type="dxa"/>
                    <w:bottom w:w="0" w:type="dxa"/>
                    <w:right w:w="0" w:type="dxa"/>
                  </w:tcMar>
                  <w:vAlign w:val="center"/>
                </w:tcPr>
                <w:p w14:paraId="770C213C">
                  <w:pPr>
                    <w:pStyle w:val="115"/>
                    <w:spacing w:line="240"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1</w:t>
                  </w:r>
                </w:p>
              </w:tc>
            </w:tr>
          </w:tbl>
          <w:p w14:paraId="2F15525C">
            <w:pPr>
              <w:rPr>
                <w:rFonts w:ascii="Times New Roman" w:hAnsi="Times New Roman" w:cs="Times New Roman"/>
                <w:color w:val="000000" w:themeColor="text1"/>
                <w14:textFill>
                  <w14:solidFill>
                    <w14:schemeClr w14:val="tx1"/>
                  </w14:solidFill>
                </w14:textFill>
              </w:rPr>
            </w:pPr>
            <w:r>
              <w:rPr>
                <w:rFonts w:hint="eastAsia" w:cs="Times New Roman"/>
                <w:b/>
                <w:color w:val="000000" w:themeColor="text1"/>
                <w:kern w:val="0"/>
                <w:szCs w:val="21"/>
                <w:lang w:val="en-US" w:eastAsia="zh-CN"/>
                <w14:textFill>
                  <w14:solidFill>
                    <w14:schemeClr w14:val="tx1"/>
                  </w14:solidFill>
                </w14:textFill>
              </w:rPr>
              <w:t>备注：</w:t>
            </w:r>
            <w:r>
              <w:rPr>
                <w:rFonts w:hint="default" w:ascii="Times New Roman" w:hAnsi="Times New Roman" w:cs="Times New Roman" w:eastAsiaTheme="minorEastAsia"/>
                <w:b w:val="0"/>
                <w:bCs/>
                <w:color w:val="000000" w:themeColor="text1"/>
                <w:sz w:val="21"/>
                <w:szCs w:val="21"/>
                <w:lang w:val="en-US" w:eastAsia="zh-CN"/>
                <w14:textFill>
                  <w14:solidFill>
                    <w14:schemeClr w14:val="tx1"/>
                  </w14:solidFill>
                </w14:textFill>
              </w:rPr>
              <w:t>表中坐标以</w:t>
            </w:r>
            <w:r>
              <w:rPr>
                <w:rFonts w:hint="eastAsia" w:cs="Times New Roman" w:eastAsiaTheme="minorEastAsia"/>
                <w:b w:val="0"/>
                <w:bCs/>
                <w:color w:val="000000" w:themeColor="text1"/>
                <w:sz w:val="21"/>
                <w:szCs w:val="21"/>
                <w:lang w:val="en-US" w:eastAsia="zh-CN"/>
                <w14:textFill>
                  <w14:solidFill>
                    <w14:schemeClr w14:val="tx1"/>
                  </w14:solidFill>
                </w14:textFill>
              </w:rPr>
              <w:t>生产车间西南</w:t>
            </w:r>
            <w:r>
              <w:rPr>
                <w:rFonts w:hint="eastAsia" w:ascii="Times New Roman" w:hAnsi="Times New Roman" w:cs="Times New Roman" w:eastAsiaTheme="minorEastAsia"/>
                <w:b w:val="0"/>
                <w:bCs/>
                <w:color w:val="000000" w:themeColor="text1"/>
                <w:sz w:val="21"/>
                <w:szCs w:val="21"/>
                <w:lang w:val="en-US" w:eastAsia="zh-CN"/>
                <w14:textFill>
                  <w14:solidFill>
                    <w14:schemeClr w14:val="tx1"/>
                  </w14:solidFill>
                </w14:textFill>
              </w:rPr>
              <w:t>角</w:t>
            </w:r>
            <w:r>
              <w:rPr>
                <w:rFonts w:hint="default" w:ascii="Times New Roman" w:hAnsi="Times New Roman" w:cs="Times New Roman" w:eastAsiaTheme="minorEastAsia"/>
                <w:b w:val="0"/>
                <w:bCs/>
                <w:color w:val="000000" w:themeColor="text1"/>
                <w:sz w:val="21"/>
                <w:szCs w:val="21"/>
                <w:lang w:val="en-US" w:eastAsia="zh-CN"/>
                <w14:textFill>
                  <w14:solidFill>
                    <w14:schemeClr w14:val="tx1"/>
                  </w14:solidFill>
                </w14:textFill>
              </w:rPr>
              <w:t>（</w:t>
            </w:r>
            <w:r>
              <w:rPr>
                <w:rFonts w:hint="eastAsia" w:cs="Times New Roman" w:eastAsiaTheme="minorEastAsia"/>
                <w:b w:val="0"/>
                <w:bCs/>
                <w:color w:val="000000" w:themeColor="text1"/>
                <w:sz w:val="21"/>
                <w:szCs w:val="21"/>
                <w:lang w:val="en-US" w:eastAsia="zh-CN"/>
                <w14:textFill>
                  <w14:solidFill>
                    <w14:schemeClr w14:val="tx1"/>
                  </w14:solidFill>
                </w14:textFill>
              </w:rPr>
              <w:t>118.147080,36.790088</w:t>
            </w:r>
            <w:r>
              <w:rPr>
                <w:rFonts w:hint="default" w:ascii="Times New Roman" w:hAnsi="Times New Roman" w:cs="Times New Roman" w:eastAsiaTheme="minorEastAsia"/>
                <w:b w:val="0"/>
                <w:bCs/>
                <w:color w:val="000000" w:themeColor="text1"/>
                <w:sz w:val="21"/>
                <w:szCs w:val="21"/>
                <w:lang w:val="en-US" w:eastAsia="zh-CN"/>
                <w14:textFill>
                  <w14:solidFill>
                    <w14:schemeClr w14:val="tx1"/>
                  </w14:solidFill>
                </w14:textFill>
              </w:rPr>
              <w:t>）为坐标原点，正东向为X轴正方向，正北向为Y轴正方向</w:t>
            </w:r>
            <w:r>
              <w:rPr>
                <w:rFonts w:hint="eastAsia" w:ascii="Times New Roman" w:hAnsi="Times New Roman" w:cs="Times New Roman" w:eastAsiaTheme="minorEastAsia"/>
                <w:b w:val="0"/>
                <w:bCs/>
                <w:color w:val="000000" w:themeColor="text1"/>
                <w:sz w:val="21"/>
                <w:szCs w:val="21"/>
                <w:lang w:val="en-US" w:eastAsia="zh-CN"/>
                <w14:textFill>
                  <w14:solidFill>
                    <w14:schemeClr w14:val="tx1"/>
                  </w14:solidFill>
                </w14:textFill>
              </w:rPr>
              <w:t>。</w:t>
            </w:r>
          </w:p>
          <w:p w14:paraId="0FD42DBD">
            <w:pPr>
              <w:jc w:val="center"/>
              <w:rPr>
                <w:rFonts w:hint="default" w:ascii="Times New Roman" w:hAnsi="Times New Roman" w:eastAsia="宋体" w:cs="Times New Roman"/>
                <w:b/>
                <w:color w:val="000000" w:themeColor="text1"/>
                <w:kern w:val="0"/>
                <w:szCs w:val="21"/>
                <w:lang w:val="zh-CN"/>
                <w14:textFill>
                  <w14:solidFill>
                    <w14:schemeClr w14:val="tx1"/>
                  </w14:solidFill>
                </w14:textFill>
              </w:rPr>
            </w:pPr>
            <w:r>
              <w:rPr>
                <w:rFonts w:hint="default" w:ascii="Times New Roman" w:hAnsi="Times New Roman" w:eastAsia="宋体" w:cs="Times New Roman"/>
                <w:b/>
                <w:color w:val="000000" w:themeColor="text1"/>
                <w:kern w:val="0"/>
                <w:szCs w:val="21"/>
                <w14:textFill>
                  <w14:solidFill>
                    <w14:schemeClr w14:val="tx1"/>
                  </w14:solidFill>
                </w14:textFill>
              </w:rPr>
              <w:t>表4-1</w:t>
            </w:r>
            <w:r>
              <w:rPr>
                <w:rFonts w:hint="eastAsia" w:cs="Times New Roman"/>
                <w:b/>
                <w:color w:val="000000" w:themeColor="text1"/>
                <w:kern w:val="0"/>
                <w:szCs w:val="21"/>
                <w:lang w:val="en-US" w:eastAsia="zh-CN"/>
                <w14:textFill>
                  <w14:solidFill>
                    <w14:schemeClr w14:val="tx1"/>
                  </w14:solidFill>
                </w14:textFill>
              </w:rPr>
              <w:t xml:space="preserve">2 </w:t>
            </w:r>
            <w:r>
              <w:rPr>
                <w:rFonts w:hint="default" w:ascii="Times New Roman" w:hAnsi="Times New Roman" w:eastAsia="宋体" w:cs="Times New Roman"/>
                <w:b/>
                <w:color w:val="000000" w:themeColor="text1"/>
                <w:kern w:val="0"/>
                <w:szCs w:val="21"/>
                <w:lang w:bidi="ar"/>
                <w14:textFill>
                  <w14:solidFill>
                    <w14:schemeClr w14:val="tx1"/>
                  </w14:solidFill>
                </w14:textFill>
              </w:rPr>
              <w:t>主要设备噪声源强一览表（室外声源）</w:t>
            </w:r>
          </w:p>
          <w:tbl>
            <w:tblPr>
              <w:tblStyle w:val="38"/>
              <w:tblW w:w="107227365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0"/>
              <w:gridCol w:w="1733"/>
              <w:gridCol w:w="767"/>
              <w:gridCol w:w="764"/>
              <w:gridCol w:w="805"/>
              <w:gridCol w:w="1117"/>
              <w:gridCol w:w="1376"/>
              <w:gridCol w:w="1577"/>
            </w:tblGrid>
            <w:tr w14:paraId="6550D7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Merge w:val="restart"/>
                  <w:tcBorders>
                    <w:tl2br w:val="nil"/>
                    <w:tr2bl w:val="nil"/>
                  </w:tcBorders>
                  <w:shd w:val="clear" w:color="auto" w:fill="auto"/>
                  <w:vAlign w:val="center"/>
                </w:tcPr>
                <w:p w14:paraId="59EB6953">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序号</w:t>
                  </w:r>
                </w:p>
              </w:tc>
              <w:tc>
                <w:tcPr>
                  <w:tcW w:w="983" w:type="pct"/>
                  <w:vMerge w:val="restart"/>
                  <w:tcBorders>
                    <w:tl2br w:val="nil"/>
                    <w:tr2bl w:val="nil"/>
                  </w:tcBorders>
                  <w:shd w:val="clear" w:color="auto" w:fill="auto"/>
                  <w:vAlign w:val="center"/>
                </w:tcPr>
                <w:p w14:paraId="373481CD">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声源名称</w:t>
                  </w:r>
                </w:p>
              </w:tc>
              <w:tc>
                <w:tcPr>
                  <w:tcW w:w="1325" w:type="pct"/>
                  <w:gridSpan w:val="3"/>
                  <w:tcBorders>
                    <w:tl2br w:val="nil"/>
                    <w:tr2bl w:val="nil"/>
                  </w:tcBorders>
                  <w:shd w:val="clear" w:color="auto" w:fill="auto"/>
                  <w:vAlign w:val="center"/>
                </w:tcPr>
                <w:p w14:paraId="7464577B">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空间相对位置/m</w:t>
                  </w:r>
                </w:p>
              </w:tc>
              <w:tc>
                <w:tcPr>
                  <w:tcW w:w="634" w:type="pct"/>
                  <w:vMerge w:val="restart"/>
                  <w:tcBorders>
                    <w:tl2br w:val="nil"/>
                    <w:tr2bl w:val="nil"/>
                  </w:tcBorders>
                  <w:shd w:val="clear" w:color="auto" w:fill="auto"/>
                  <w:vAlign w:val="center"/>
                </w:tcPr>
                <w:p w14:paraId="487D0ADC">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运行时段</w:t>
                  </w:r>
                </w:p>
              </w:tc>
              <w:tc>
                <w:tcPr>
                  <w:tcW w:w="781" w:type="pct"/>
                  <w:vMerge w:val="restart"/>
                  <w:tcBorders>
                    <w:tl2br w:val="nil"/>
                    <w:tr2bl w:val="nil"/>
                  </w:tcBorders>
                  <w:shd w:val="clear" w:color="auto" w:fill="auto"/>
                  <w:vAlign w:val="center"/>
                </w:tcPr>
                <w:p w14:paraId="00167976">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声源控制措施</w:t>
                  </w:r>
                </w:p>
              </w:tc>
              <w:tc>
                <w:tcPr>
                  <w:tcW w:w="895" w:type="pct"/>
                  <w:vMerge w:val="restart"/>
                  <w:tcBorders>
                    <w:tl2br w:val="nil"/>
                    <w:tr2bl w:val="nil"/>
                  </w:tcBorders>
                  <w:shd w:val="clear" w:color="auto" w:fill="auto"/>
                  <w:vAlign w:val="center"/>
                </w:tcPr>
                <w:p w14:paraId="793E47AE">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声功率级/dB(A)</w:t>
                  </w:r>
                </w:p>
              </w:tc>
            </w:tr>
            <w:tr w14:paraId="4E6714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Merge w:val="continue"/>
                  <w:tcBorders>
                    <w:tl2br w:val="nil"/>
                    <w:tr2bl w:val="nil"/>
                  </w:tcBorders>
                  <w:shd w:val="clear" w:color="auto" w:fill="auto"/>
                  <w:tcMar>
                    <w:top w:w="0" w:type="dxa"/>
                    <w:left w:w="0" w:type="dxa"/>
                    <w:bottom w:w="0" w:type="dxa"/>
                    <w:right w:w="0" w:type="dxa"/>
                  </w:tcMar>
                  <w:vAlign w:val="center"/>
                </w:tcPr>
                <w:p w14:paraId="696EB387">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p>
              </w:tc>
              <w:tc>
                <w:tcPr>
                  <w:tcW w:w="983" w:type="pct"/>
                  <w:vMerge w:val="continue"/>
                  <w:tcBorders>
                    <w:tl2br w:val="nil"/>
                    <w:tr2bl w:val="nil"/>
                  </w:tcBorders>
                  <w:shd w:val="clear" w:color="auto" w:fill="auto"/>
                  <w:tcMar>
                    <w:top w:w="0" w:type="dxa"/>
                    <w:left w:w="0" w:type="dxa"/>
                    <w:bottom w:w="0" w:type="dxa"/>
                    <w:right w:w="0" w:type="dxa"/>
                  </w:tcMar>
                  <w:vAlign w:val="center"/>
                </w:tcPr>
                <w:p w14:paraId="56EA3E46">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p>
              </w:tc>
              <w:tc>
                <w:tcPr>
                  <w:tcW w:w="435" w:type="pct"/>
                  <w:tcBorders>
                    <w:tl2br w:val="nil"/>
                    <w:tr2bl w:val="nil"/>
                  </w:tcBorders>
                  <w:shd w:val="clear" w:color="auto" w:fill="auto"/>
                  <w:tcMar>
                    <w:top w:w="0" w:type="dxa"/>
                    <w:left w:w="0" w:type="dxa"/>
                    <w:bottom w:w="0" w:type="dxa"/>
                    <w:right w:w="0" w:type="dxa"/>
                  </w:tcMar>
                  <w:vAlign w:val="center"/>
                </w:tcPr>
                <w:p w14:paraId="7363E369">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X</w:t>
                  </w:r>
                </w:p>
              </w:tc>
              <w:tc>
                <w:tcPr>
                  <w:tcW w:w="433" w:type="pct"/>
                  <w:tcBorders>
                    <w:tl2br w:val="nil"/>
                    <w:tr2bl w:val="nil"/>
                  </w:tcBorders>
                  <w:shd w:val="clear" w:color="auto" w:fill="auto"/>
                  <w:tcMar>
                    <w:top w:w="0" w:type="dxa"/>
                    <w:left w:w="0" w:type="dxa"/>
                    <w:bottom w:w="0" w:type="dxa"/>
                    <w:right w:w="0" w:type="dxa"/>
                  </w:tcMar>
                  <w:vAlign w:val="center"/>
                </w:tcPr>
                <w:p w14:paraId="5A182722">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Y</w:t>
                  </w:r>
                </w:p>
              </w:tc>
              <w:tc>
                <w:tcPr>
                  <w:tcW w:w="456" w:type="pct"/>
                  <w:tcBorders>
                    <w:tl2br w:val="nil"/>
                    <w:tr2bl w:val="nil"/>
                  </w:tcBorders>
                  <w:shd w:val="clear" w:color="auto" w:fill="auto"/>
                  <w:tcMar>
                    <w:top w:w="0" w:type="dxa"/>
                    <w:left w:w="0" w:type="dxa"/>
                    <w:bottom w:w="0" w:type="dxa"/>
                    <w:right w:w="0" w:type="dxa"/>
                  </w:tcMar>
                  <w:vAlign w:val="center"/>
                </w:tcPr>
                <w:p w14:paraId="6BA22415">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Z</w:t>
                  </w:r>
                </w:p>
              </w:tc>
              <w:tc>
                <w:tcPr>
                  <w:tcW w:w="634" w:type="pct"/>
                  <w:vMerge w:val="continue"/>
                  <w:tcBorders>
                    <w:tl2br w:val="nil"/>
                    <w:tr2bl w:val="nil"/>
                  </w:tcBorders>
                  <w:shd w:val="clear" w:color="auto" w:fill="auto"/>
                  <w:tcMar>
                    <w:top w:w="0" w:type="dxa"/>
                    <w:left w:w="0" w:type="dxa"/>
                    <w:bottom w:w="0" w:type="dxa"/>
                    <w:right w:w="0" w:type="dxa"/>
                  </w:tcMar>
                  <w:vAlign w:val="center"/>
                </w:tcPr>
                <w:p w14:paraId="464F2693">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p>
              </w:tc>
              <w:tc>
                <w:tcPr>
                  <w:tcW w:w="781" w:type="pct"/>
                  <w:vMerge w:val="continue"/>
                  <w:tcBorders>
                    <w:tl2br w:val="nil"/>
                    <w:tr2bl w:val="nil"/>
                  </w:tcBorders>
                  <w:shd w:val="clear" w:color="auto" w:fill="auto"/>
                  <w:tcMar>
                    <w:top w:w="0" w:type="dxa"/>
                    <w:left w:w="0" w:type="dxa"/>
                    <w:bottom w:w="0" w:type="dxa"/>
                    <w:right w:w="0" w:type="dxa"/>
                  </w:tcMar>
                  <w:vAlign w:val="center"/>
                </w:tcPr>
                <w:p w14:paraId="6587B36F">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p>
              </w:tc>
              <w:tc>
                <w:tcPr>
                  <w:tcW w:w="895" w:type="pct"/>
                  <w:vMerge w:val="continue"/>
                  <w:tcBorders>
                    <w:tl2br w:val="nil"/>
                    <w:tr2bl w:val="nil"/>
                  </w:tcBorders>
                  <w:shd w:val="clear" w:color="auto" w:fill="auto"/>
                  <w:tcMar>
                    <w:top w:w="0" w:type="dxa"/>
                    <w:left w:w="0" w:type="dxa"/>
                    <w:bottom w:w="0" w:type="dxa"/>
                    <w:right w:w="0" w:type="dxa"/>
                  </w:tcMar>
                  <w:vAlign w:val="center"/>
                </w:tcPr>
                <w:p w14:paraId="21FBA7F5">
                  <w:pPr>
                    <w:pStyle w:val="115"/>
                    <w:spacing w:line="240" w:lineRule="auto"/>
                    <w:rPr>
                      <w:rFonts w:hint="default" w:ascii="Times New Roman" w:hAnsi="Times New Roman" w:eastAsia="宋体" w:cs="Times New Roman"/>
                      <w:b/>
                      <w:bCs/>
                      <w:color w:val="000000" w:themeColor="text1"/>
                      <w14:textFill>
                        <w14:solidFill>
                          <w14:schemeClr w14:val="tx1"/>
                        </w14:solidFill>
                      </w14:textFill>
                    </w:rPr>
                  </w:pPr>
                </w:p>
              </w:tc>
            </w:tr>
            <w:tr w14:paraId="20B8AB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tcBorders>
                    <w:tl2br w:val="nil"/>
                    <w:tr2bl w:val="nil"/>
                  </w:tcBorders>
                  <w:shd w:val="clear" w:color="auto" w:fill="auto"/>
                  <w:tcMar>
                    <w:top w:w="0" w:type="dxa"/>
                    <w:left w:w="0" w:type="dxa"/>
                    <w:bottom w:w="0" w:type="dxa"/>
                    <w:right w:w="0" w:type="dxa"/>
                  </w:tcMar>
                  <w:vAlign w:val="center"/>
                </w:tcPr>
                <w:p w14:paraId="6387A32A">
                  <w:pPr>
                    <w:pStyle w:val="115"/>
                    <w:spacing w:line="240" w:lineRule="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w:t>
                  </w:r>
                </w:p>
              </w:tc>
              <w:tc>
                <w:tcPr>
                  <w:tcW w:w="983" w:type="pct"/>
                  <w:tcBorders>
                    <w:tl2br w:val="nil"/>
                    <w:tr2bl w:val="nil"/>
                  </w:tcBorders>
                  <w:shd w:val="clear" w:color="auto" w:fill="auto"/>
                  <w:tcMar>
                    <w:top w:w="0" w:type="dxa"/>
                    <w:left w:w="0" w:type="dxa"/>
                    <w:bottom w:w="0" w:type="dxa"/>
                    <w:right w:w="0" w:type="dxa"/>
                  </w:tcMar>
                  <w:vAlign w:val="center"/>
                </w:tcPr>
                <w:p w14:paraId="658B6EFA">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二级活性炭吸附装置及配套风机</w:t>
                  </w:r>
                </w:p>
              </w:tc>
              <w:tc>
                <w:tcPr>
                  <w:tcW w:w="435" w:type="pct"/>
                  <w:tcBorders>
                    <w:tl2br w:val="nil"/>
                    <w:tr2bl w:val="nil"/>
                  </w:tcBorders>
                  <w:shd w:val="clear" w:color="auto" w:fill="auto"/>
                  <w:tcMar>
                    <w:top w:w="0" w:type="dxa"/>
                    <w:left w:w="0" w:type="dxa"/>
                    <w:bottom w:w="0" w:type="dxa"/>
                    <w:right w:w="0" w:type="dxa"/>
                  </w:tcMar>
                  <w:vAlign w:val="center"/>
                </w:tcPr>
                <w:p w14:paraId="312D5C2A">
                  <w:pPr>
                    <w:pStyle w:val="115"/>
                    <w:spacing w:line="240" w:lineRule="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cs="Times New Roman"/>
                      <w:color w:val="000000" w:themeColor="text1"/>
                      <w:lang w:val="en-US" w:eastAsia="zh-CN"/>
                      <w14:textFill>
                        <w14:solidFill>
                          <w14:schemeClr w14:val="tx1"/>
                        </w14:solidFill>
                      </w14:textFill>
                    </w:rPr>
                    <w:t>17</w:t>
                  </w:r>
                </w:p>
              </w:tc>
              <w:tc>
                <w:tcPr>
                  <w:tcW w:w="433" w:type="pct"/>
                  <w:tcBorders>
                    <w:tl2br w:val="nil"/>
                    <w:tr2bl w:val="nil"/>
                  </w:tcBorders>
                  <w:shd w:val="clear" w:color="auto" w:fill="auto"/>
                  <w:tcMar>
                    <w:top w:w="0" w:type="dxa"/>
                    <w:left w:w="0" w:type="dxa"/>
                    <w:bottom w:w="0" w:type="dxa"/>
                    <w:right w:w="0" w:type="dxa"/>
                  </w:tcMar>
                  <w:vAlign w:val="center"/>
                </w:tcPr>
                <w:p w14:paraId="34358DF3">
                  <w:pPr>
                    <w:pStyle w:val="115"/>
                    <w:spacing w:line="240" w:lineRule="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cs="Times New Roman"/>
                      <w:color w:val="000000" w:themeColor="text1"/>
                      <w:lang w:val="en-US" w:eastAsia="zh-CN"/>
                      <w14:textFill>
                        <w14:solidFill>
                          <w14:schemeClr w14:val="tx1"/>
                        </w14:solidFill>
                      </w14:textFill>
                    </w:rPr>
                    <w:t>29</w:t>
                  </w:r>
                </w:p>
              </w:tc>
              <w:tc>
                <w:tcPr>
                  <w:tcW w:w="456" w:type="pct"/>
                  <w:tcBorders>
                    <w:tl2br w:val="nil"/>
                    <w:tr2bl w:val="nil"/>
                  </w:tcBorders>
                  <w:shd w:val="clear" w:color="auto" w:fill="auto"/>
                  <w:tcMar>
                    <w:top w:w="0" w:type="dxa"/>
                    <w:left w:w="0" w:type="dxa"/>
                    <w:bottom w:w="0" w:type="dxa"/>
                    <w:right w:w="0" w:type="dxa"/>
                  </w:tcMar>
                  <w:vAlign w:val="center"/>
                </w:tcPr>
                <w:p w14:paraId="05938330">
                  <w:pPr>
                    <w:pStyle w:val="115"/>
                    <w:spacing w:line="240" w:lineRule="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1.2</w:t>
                  </w:r>
                </w:p>
              </w:tc>
              <w:tc>
                <w:tcPr>
                  <w:tcW w:w="634" w:type="pct"/>
                  <w:tcBorders>
                    <w:tl2br w:val="nil"/>
                    <w:tr2bl w:val="nil"/>
                  </w:tcBorders>
                  <w:shd w:val="clear" w:color="auto" w:fill="auto"/>
                  <w:tcMar>
                    <w:top w:w="0" w:type="dxa"/>
                    <w:left w:w="0" w:type="dxa"/>
                    <w:bottom w:w="0" w:type="dxa"/>
                    <w:right w:w="0" w:type="dxa"/>
                  </w:tcMar>
                  <w:vAlign w:val="center"/>
                </w:tcPr>
                <w:p w14:paraId="071C8F19">
                  <w:pPr>
                    <w:pStyle w:val="115"/>
                    <w:spacing w:line="240" w:lineRule="auto"/>
                    <w:rPr>
                      <w:rFonts w:hint="default"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16</w:t>
                  </w:r>
                  <w:r>
                    <w:rPr>
                      <w:rFonts w:hint="default" w:ascii="Times New Roman" w:hAnsi="Times New Roman" w:eastAsia="宋体" w:cs="Times New Roman"/>
                      <w:color w:val="000000" w:themeColor="text1"/>
                      <w14:textFill>
                        <w14:solidFill>
                          <w14:schemeClr w14:val="tx1"/>
                        </w14:solidFill>
                      </w14:textFill>
                    </w:rPr>
                    <w:t>h</w:t>
                  </w:r>
                </w:p>
              </w:tc>
              <w:tc>
                <w:tcPr>
                  <w:tcW w:w="781" w:type="pct"/>
                  <w:tcBorders>
                    <w:tl2br w:val="nil"/>
                    <w:tr2bl w:val="nil"/>
                  </w:tcBorders>
                  <w:shd w:val="clear" w:color="auto" w:fill="auto"/>
                  <w:tcMar>
                    <w:top w:w="0" w:type="dxa"/>
                    <w:left w:w="0" w:type="dxa"/>
                    <w:bottom w:w="0" w:type="dxa"/>
                    <w:right w:w="0" w:type="dxa"/>
                  </w:tcMar>
                  <w:vAlign w:val="center"/>
                </w:tcPr>
                <w:p w14:paraId="6DAA7092">
                  <w:pPr>
                    <w:pStyle w:val="115"/>
                    <w:spacing w:line="240" w:lineRule="auto"/>
                    <w:rPr>
                      <w:rFonts w:hint="eastAsia"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减振、隔声</w:t>
                  </w:r>
                </w:p>
              </w:tc>
              <w:tc>
                <w:tcPr>
                  <w:tcW w:w="895" w:type="pct"/>
                  <w:tcBorders>
                    <w:tl2br w:val="nil"/>
                    <w:tr2bl w:val="nil"/>
                  </w:tcBorders>
                  <w:shd w:val="clear" w:color="auto" w:fill="auto"/>
                  <w:tcMar>
                    <w:top w:w="0" w:type="dxa"/>
                    <w:left w:w="0" w:type="dxa"/>
                    <w:bottom w:w="0" w:type="dxa"/>
                    <w:right w:w="0" w:type="dxa"/>
                  </w:tcMar>
                  <w:vAlign w:val="center"/>
                </w:tcPr>
                <w:p w14:paraId="3EAD7D9C">
                  <w:pPr>
                    <w:pStyle w:val="115"/>
                    <w:spacing w:line="240" w:lineRule="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cs="Times New Roman"/>
                      <w:color w:val="000000" w:themeColor="text1"/>
                      <w:lang w:val="en-US" w:eastAsia="zh-CN"/>
                      <w14:textFill>
                        <w14:solidFill>
                          <w14:schemeClr w14:val="tx1"/>
                        </w14:solidFill>
                      </w14:textFill>
                    </w:rPr>
                    <w:t>90</w:t>
                  </w:r>
                </w:p>
              </w:tc>
            </w:tr>
            <w:tr w14:paraId="1B6ECF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tcBorders>
                    <w:tl2br w:val="nil"/>
                    <w:tr2bl w:val="nil"/>
                  </w:tcBorders>
                  <w:shd w:val="clear" w:color="auto" w:fill="auto"/>
                  <w:tcMar>
                    <w:top w:w="0" w:type="dxa"/>
                    <w:left w:w="0" w:type="dxa"/>
                    <w:bottom w:w="0" w:type="dxa"/>
                    <w:right w:w="0" w:type="dxa"/>
                  </w:tcMar>
                  <w:vAlign w:val="center"/>
                </w:tcPr>
                <w:p w14:paraId="0DA5E7B5">
                  <w:pPr>
                    <w:pStyle w:val="115"/>
                    <w:spacing w:line="240" w:lineRule="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cs="Times New Roman"/>
                      <w:color w:val="000000" w:themeColor="text1"/>
                      <w:lang w:val="en-US" w:eastAsia="zh-CN"/>
                      <w14:textFill>
                        <w14:solidFill>
                          <w14:schemeClr w14:val="tx1"/>
                        </w14:solidFill>
                      </w14:textFill>
                    </w:rPr>
                    <w:t>2</w:t>
                  </w:r>
                </w:p>
              </w:tc>
              <w:tc>
                <w:tcPr>
                  <w:tcW w:w="983" w:type="pct"/>
                  <w:tcBorders>
                    <w:tl2br w:val="nil"/>
                    <w:tr2bl w:val="nil"/>
                  </w:tcBorders>
                  <w:shd w:val="clear" w:color="auto" w:fill="FFFFFF"/>
                  <w:tcMar>
                    <w:top w:w="0" w:type="dxa"/>
                    <w:left w:w="0" w:type="dxa"/>
                    <w:bottom w:w="0" w:type="dxa"/>
                    <w:right w:w="0" w:type="dxa"/>
                  </w:tcMar>
                  <w:vAlign w:val="center"/>
                </w:tcPr>
                <w:p w14:paraId="6F27E4D0">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冷却塔</w:t>
                  </w:r>
                </w:p>
              </w:tc>
              <w:tc>
                <w:tcPr>
                  <w:tcW w:w="435" w:type="pct"/>
                  <w:tcBorders>
                    <w:tl2br w:val="nil"/>
                    <w:tr2bl w:val="nil"/>
                  </w:tcBorders>
                  <w:shd w:val="clear" w:color="auto" w:fill="auto"/>
                  <w:tcMar>
                    <w:top w:w="0" w:type="dxa"/>
                    <w:left w:w="0" w:type="dxa"/>
                    <w:bottom w:w="0" w:type="dxa"/>
                    <w:right w:w="0" w:type="dxa"/>
                  </w:tcMar>
                  <w:vAlign w:val="center"/>
                </w:tcPr>
                <w:p w14:paraId="57CBA7DB">
                  <w:pPr>
                    <w:pStyle w:val="115"/>
                    <w:spacing w:line="240" w:lineRule="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cs="Times New Roman"/>
                      <w:color w:val="000000" w:themeColor="text1"/>
                      <w:lang w:val="en-US" w:eastAsia="zh-CN"/>
                      <w14:textFill>
                        <w14:solidFill>
                          <w14:schemeClr w14:val="tx1"/>
                        </w14:solidFill>
                      </w14:textFill>
                    </w:rPr>
                    <w:t>17</w:t>
                  </w:r>
                </w:p>
              </w:tc>
              <w:tc>
                <w:tcPr>
                  <w:tcW w:w="433" w:type="pct"/>
                  <w:tcBorders>
                    <w:tl2br w:val="nil"/>
                    <w:tr2bl w:val="nil"/>
                  </w:tcBorders>
                  <w:shd w:val="clear" w:color="auto" w:fill="auto"/>
                  <w:tcMar>
                    <w:top w:w="0" w:type="dxa"/>
                    <w:left w:w="0" w:type="dxa"/>
                    <w:bottom w:w="0" w:type="dxa"/>
                    <w:right w:w="0" w:type="dxa"/>
                  </w:tcMar>
                  <w:vAlign w:val="center"/>
                </w:tcPr>
                <w:p w14:paraId="73045300">
                  <w:pPr>
                    <w:pStyle w:val="115"/>
                    <w:spacing w:line="240" w:lineRule="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lang w:val="en-US" w:eastAsia="zh-CN"/>
                      <w14:textFill>
                        <w14:solidFill>
                          <w14:schemeClr w14:val="tx1"/>
                        </w14:solidFill>
                      </w14:textFill>
                    </w:rPr>
                    <w:t>25</w:t>
                  </w:r>
                </w:p>
              </w:tc>
              <w:tc>
                <w:tcPr>
                  <w:tcW w:w="456" w:type="pct"/>
                  <w:tcBorders>
                    <w:tl2br w:val="nil"/>
                    <w:tr2bl w:val="nil"/>
                  </w:tcBorders>
                  <w:shd w:val="clear" w:color="auto" w:fill="auto"/>
                  <w:tcMar>
                    <w:top w:w="0" w:type="dxa"/>
                    <w:left w:w="0" w:type="dxa"/>
                    <w:bottom w:w="0" w:type="dxa"/>
                    <w:right w:w="0" w:type="dxa"/>
                  </w:tcMar>
                  <w:vAlign w:val="center"/>
                </w:tcPr>
                <w:p w14:paraId="27DBF3B8">
                  <w:pPr>
                    <w:pStyle w:val="115"/>
                    <w:spacing w:line="240" w:lineRule="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cs="Times New Roman"/>
                      <w:color w:val="000000" w:themeColor="text1"/>
                      <w:lang w:val="en-US" w:eastAsia="zh-CN"/>
                      <w14:textFill>
                        <w14:solidFill>
                          <w14:schemeClr w14:val="tx1"/>
                        </w14:solidFill>
                      </w14:textFill>
                    </w:rPr>
                    <w:t>1.5</w:t>
                  </w:r>
                </w:p>
              </w:tc>
              <w:tc>
                <w:tcPr>
                  <w:tcW w:w="634" w:type="pct"/>
                  <w:tcBorders>
                    <w:tl2br w:val="nil"/>
                    <w:tr2bl w:val="nil"/>
                  </w:tcBorders>
                  <w:shd w:val="clear" w:color="auto" w:fill="auto"/>
                  <w:tcMar>
                    <w:top w:w="0" w:type="dxa"/>
                    <w:left w:w="0" w:type="dxa"/>
                    <w:bottom w:w="0" w:type="dxa"/>
                    <w:right w:w="0" w:type="dxa"/>
                  </w:tcMar>
                  <w:vAlign w:val="center"/>
                </w:tcPr>
                <w:p w14:paraId="66ECDCC8">
                  <w:pPr>
                    <w:pStyle w:val="115"/>
                    <w:spacing w:line="240" w:lineRule="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16</w:t>
                  </w:r>
                  <w:r>
                    <w:rPr>
                      <w:rFonts w:hint="default" w:ascii="Times New Roman" w:hAnsi="Times New Roman" w:eastAsia="宋体" w:cs="Times New Roman"/>
                      <w:color w:val="000000" w:themeColor="text1"/>
                      <w14:textFill>
                        <w14:solidFill>
                          <w14:schemeClr w14:val="tx1"/>
                        </w14:solidFill>
                      </w14:textFill>
                    </w:rPr>
                    <w:t>h</w:t>
                  </w:r>
                </w:p>
              </w:tc>
              <w:tc>
                <w:tcPr>
                  <w:tcW w:w="781" w:type="pct"/>
                  <w:tcBorders>
                    <w:tl2br w:val="nil"/>
                    <w:tr2bl w:val="nil"/>
                  </w:tcBorders>
                  <w:shd w:val="clear" w:color="auto" w:fill="auto"/>
                  <w:tcMar>
                    <w:top w:w="0" w:type="dxa"/>
                    <w:left w:w="0" w:type="dxa"/>
                    <w:bottom w:w="0" w:type="dxa"/>
                    <w:right w:w="0" w:type="dxa"/>
                  </w:tcMar>
                  <w:vAlign w:val="center"/>
                </w:tcPr>
                <w:p w14:paraId="4D1FDEDE">
                  <w:pPr>
                    <w:pStyle w:val="115"/>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减振、隔声</w:t>
                  </w:r>
                </w:p>
              </w:tc>
              <w:tc>
                <w:tcPr>
                  <w:tcW w:w="895" w:type="pct"/>
                  <w:tcBorders>
                    <w:tl2br w:val="nil"/>
                    <w:tr2bl w:val="nil"/>
                  </w:tcBorders>
                  <w:shd w:val="clear" w:color="auto" w:fill="auto"/>
                  <w:tcMar>
                    <w:top w:w="0" w:type="dxa"/>
                    <w:left w:w="0" w:type="dxa"/>
                    <w:bottom w:w="0" w:type="dxa"/>
                    <w:right w:w="0" w:type="dxa"/>
                  </w:tcMar>
                  <w:vAlign w:val="center"/>
                </w:tcPr>
                <w:p w14:paraId="68C65678">
                  <w:pPr>
                    <w:pStyle w:val="115"/>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cs="Times New Roman"/>
                      <w:color w:val="000000" w:themeColor="text1"/>
                      <w:lang w:val="en-US" w:eastAsia="zh-CN"/>
                      <w14:textFill>
                        <w14:solidFill>
                          <w14:schemeClr w14:val="tx1"/>
                        </w14:solidFill>
                      </w14:textFill>
                    </w:rPr>
                    <w:t>75</w:t>
                  </w:r>
                </w:p>
              </w:tc>
            </w:tr>
          </w:tbl>
          <w:p w14:paraId="750D33E6">
            <w:pPr>
              <w:widowControl/>
              <w:spacing w:line="360" w:lineRule="auto"/>
              <w:jc w:val="left"/>
              <w:rPr>
                <w:rFonts w:hint="eastAsia"/>
                <w:b/>
                <w:bCs/>
                <w:color w:val="000000" w:themeColor="text1"/>
                <w:sz w:val="18"/>
                <w:szCs w:val="18"/>
                <w14:textFill>
                  <w14:solidFill>
                    <w14:schemeClr w14:val="tx1"/>
                  </w14:solidFill>
                </w14:textFill>
              </w:rPr>
            </w:pPr>
            <w:r>
              <w:rPr>
                <w:rFonts w:hint="eastAsia" w:cs="Times New Roman"/>
                <w:b/>
                <w:color w:val="000000" w:themeColor="text1"/>
                <w:kern w:val="0"/>
                <w:szCs w:val="21"/>
                <w:lang w:val="en-US" w:eastAsia="zh-CN"/>
                <w14:textFill>
                  <w14:solidFill>
                    <w14:schemeClr w14:val="tx1"/>
                  </w14:solidFill>
                </w14:textFill>
              </w:rPr>
              <w:t>备注：</w:t>
            </w:r>
            <w:r>
              <w:rPr>
                <w:rFonts w:hint="default" w:ascii="Times New Roman" w:hAnsi="Times New Roman" w:cs="Times New Roman" w:eastAsiaTheme="minorEastAsia"/>
                <w:b w:val="0"/>
                <w:bCs/>
                <w:color w:val="000000" w:themeColor="text1"/>
                <w:sz w:val="21"/>
                <w:szCs w:val="21"/>
                <w:lang w:val="en-US" w:eastAsia="zh-CN"/>
                <w14:textFill>
                  <w14:solidFill>
                    <w14:schemeClr w14:val="tx1"/>
                  </w14:solidFill>
                </w14:textFill>
              </w:rPr>
              <w:t>表中坐标以</w:t>
            </w:r>
            <w:r>
              <w:rPr>
                <w:rFonts w:hint="eastAsia" w:cs="Times New Roman" w:eastAsiaTheme="minorEastAsia"/>
                <w:b w:val="0"/>
                <w:bCs/>
                <w:color w:val="000000" w:themeColor="text1"/>
                <w:sz w:val="21"/>
                <w:szCs w:val="21"/>
                <w:lang w:val="en-US" w:eastAsia="zh-CN"/>
                <w14:textFill>
                  <w14:solidFill>
                    <w14:schemeClr w14:val="tx1"/>
                  </w14:solidFill>
                </w14:textFill>
              </w:rPr>
              <w:t>生产车间西南</w:t>
            </w:r>
            <w:r>
              <w:rPr>
                <w:rFonts w:hint="eastAsia" w:ascii="Times New Roman" w:hAnsi="Times New Roman" w:cs="Times New Roman" w:eastAsiaTheme="minorEastAsia"/>
                <w:b w:val="0"/>
                <w:bCs/>
                <w:color w:val="000000" w:themeColor="text1"/>
                <w:sz w:val="21"/>
                <w:szCs w:val="21"/>
                <w:lang w:val="en-US" w:eastAsia="zh-CN"/>
                <w14:textFill>
                  <w14:solidFill>
                    <w14:schemeClr w14:val="tx1"/>
                  </w14:solidFill>
                </w14:textFill>
              </w:rPr>
              <w:t>角</w:t>
            </w:r>
            <w:r>
              <w:rPr>
                <w:rFonts w:hint="default" w:ascii="Times New Roman" w:hAnsi="Times New Roman" w:cs="Times New Roman" w:eastAsiaTheme="minorEastAsia"/>
                <w:b w:val="0"/>
                <w:bCs/>
                <w:color w:val="000000" w:themeColor="text1"/>
                <w:sz w:val="21"/>
                <w:szCs w:val="21"/>
                <w:lang w:val="en-US" w:eastAsia="zh-CN"/>
                <w14:textFill>
                  <w14:solidFill>
                    <w14:schemeClr w14:val="tx1"/>
                  </w14:solidFill>
                </w14:textFill>
              </w:rPr>
              <w:t>（</w:t>
            </w:r>
            <w:r>
              <w:rPr>
                <w:rFonts w:hint="eastAsia" w:cs="Times New Roman" w:eastAsiaTheme="minorEastAsia"/>
                <w:b w:val="0"/>
                <w:bCs/>
                <w:color w:val="000000" w:themeColor="text1"/>
                <w:sz w:val="21"/>
                <w:szCs w:val="21"/>
                <w:lang w:val="en-US" w:eastAsia="zh-CN"/>
                <w14:textFill>
                  <w14:solidFill>
                    <w14:schemeClr w14:val="tx1"/>
                  </w14:solidFill>
                </w14:textFill>
              </w:rPr>
              <w:t>118.147080,36.790088</w:t>
            </w:r>
            <w:r>
              <w:rPr>
                <w:rFonts w:hint="default" w:ascii="Times New Roman" w:hAnsi="Times New Roman" w:cs="Times New Roman" w:eastAsiaTheme="minorEastAsia"/>
                <w:b w:val="0"/>
                <w:bCs/>
                <w:color w:val="000000" w:themeColor="text1"/>
                <w:sz w:val="21"/>
                <w:szCs w:val="21"/>
                <w:lang w:val="en-US" w:eastAsia="zh-CN"/>
                <w14:textFill>
                  <w14:solidFill>
                    <w14:schemeClr w14:val="tx1"/>
                  </w14:solidFill>
                </w14:textFill>
              </w:rPr>
              <w:t>）为坐标原点，正东向为X轴正方向，正北向为Y轴正方向</w:t>
            </w:r>
            <w:r>
              <w:rPr>
                <w:rFonts w:hint="eastAsia"/>
                <w:b/>
                <w:bCs/>
                <w:color w:val="000000" w:themeColor="text1"/>
                <w:sz w:val="18"/>
                <w:szCs w:val="18"/>
                <w:lang w:val="en-US" w:eastAsia="zh-CN"/>
                <w14:textFill>
                  <w14:solidFill>
                    <w14:schemeClr w14:val="tx1"/>
                  </w14:solidFill>
                </w14:textFill>
              </w:rPr>
              <w:t>。</w:t>
            </w:r>
          </w:p>
          <w:p w14:paraId="2D376E1A">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（2）声环境影响分析</w:t>
            </w:r>
          </w:p>
          <w:p w14:paraId="67B967A4">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本次评价采用《环境影响评价技术导则声环境》（HJ2.4-2021）中工业噪声预测计算模式进行预测，用A声级计算，模式如下</w:t>
            </w:r>
            <w:r>
              <w:rPr>
                <w:rFonts w:hint="eastAsia" w:cs="Times New Roman"/>
                <w:color w:val="000000" w:themeColor="text1"/>
                <w:sz w:val="24"/>
                <w:szCs w:val="24"/>
                <w14:textFill>
                  <w14:solidFill>
                    <w14:schemeClr w14:val="tx1"/>
                  </w14:solidFill>
                </w14:textFill>
              </w:rPr>
              <w:t>：</w:t>
            </w:r>
          </w:p>
          <w:p w14:paraId="16E059D4">
            <w:pPr>
              <w:pStyle w:val="78"/>
              <w:spacing w:line="360" w:lineRule="auto"/>
              <w:ind w:firstLine="482"/>
              <w:rPr>
                <w:rFonts w:cs="Times New Roman"/>
                <w:b/>
                <w:bCs/>
                <w:color w:val="000000" w:themeColor="text1"/>
                <w:sz w:val="24"/>
                <w:szCs w:val="24"/>
                <w14:textFill>
                  <w14:solidFill>
                    <w14:schemeClr w14:val="tx1"/>
                  </w14:solidFill>
                </w14:textFill>
              </w:rPr>
            </w:pPr>
            <w:r>
              <w:rPr>
                <w:rFonts w:cs="Times New Roman"/>
                <w:b/>
                <w:bCs/>
                <w:color w:val="000000" w:themeColor="text1"/>
                <w:sz w:val="24"/>
                <w:szCs w:val="24"/>
                <w14:textFill>
                  <w14:solidFill>
                    <w14:schemeClr w14:val="tx1"/>
                  </w14:solidFill>
                </w14:textFill>
              </w:rPr>
              <w:t>（</w:t>
            </w:r>
            <w:r>
              <w:rPr>
                <w:rFonts w:hint="eastAsia" w:cs="Times New Roman"/>
                <w:b/>
                <w:bCs/>
                <w:color w:val="000000" w:themeColor="text1"/>
                <w:sz w:val="24"/>
                <w:szCs w:val="24"/>
                <w:lang w:val="en-US" w:eastAsia="zh-CN"/>
                <w14:textFill>
                  <w14:solidFill>
                    <w14:schemeClr w14:val="tx1"/>
                  </w14:solidFill>
                </w14:textFill>
              </w:rPr>
              <w:t>2</w:t>
            </w:r>
            <w:r>
              <w:rPr>
                <w:rFonts w:cs="Times New Roman"/>
                <w:b/>
                <w:bCs/>
                <w:color w:val="000000" w:themeColor="text1"/>
                <w:sz w:val="24"/>
                <w:szCs w:val="24"/>
                <w14:textFill>
                  <w14:solidFill>
                    <w14:schemeClr w14:val="tx1"/>
                  </w14:solidFill>
                </w14:textFill>
              </w:rPr>
              <w:t>.</w:t>
            </w:r>
            <w:r>
              <w:rPr>
                <w:rFonts w:hint="eastAsia" w:cs="Times New Roman"/>
                <w:b/>
                <w:bCs/>
                <w:color w:val="000000" w:themeColor="text1"/>
                <w:sz w:val="24"/>
                <w:szCs w:val="24"/>
                <w14:textFill>
                  <w14:solidFill>
                    <w14:schemeClr w14:val="tx1"/>
                  </w14:solidFill>
                </w14:textFill>
              </w:rPr>
              <w:t>1</w:t>
            </w:r>
            <w:r>
              <w:rPr>
                <w:rFonts w:cs="Times New Roman"/>
                <w:b/>
                <w:bCs/>
                <w:color w:val="000000" w:themeColor="text1"/>
                <w:sz w:val="24"/>
                <w:szCs w:val="24"/>
                <w14:textFill>
                  <w14:solidFill>
                    <w14:schemeClr w14:val="tx1"/>
                  </w14:solidFill>
                </w14:textFill>
              </w:rPr>
              <w:t>）工业企业噪声计算</w:t>
            </w:r>
          </w:p>
          <w:p w14:paraId="36214F70">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a）设第i个室外声源在预测点产生的A声级为L</w:t>
            </w:r>
            <w:r>
              <w:rPr>
                <w:rFonts w:cs="Times New Roman"/>
                <w:color w:val="000000" w:themeColor="text1"/>
                <w:sz w:val="24"/>
                <w:szCs w:val="24"/>
                <w:vertAlign w:val="subscript"/>
                <w14:textFill>
                  <w14:solidFill>
                    <w14:schemeClr w14:val="tx1"/>
                  </w14:solidFill>
                </w14:textFill>
              </w:rPr>
              <w:t>Ai</w:t>
            </w:r>
            <w:r>
              <w:rPr>
                <w:rFonts w:cs="Times New Roman"/>
                <w:color w:val="000000" w:themeColor="text1"/>
                <w:sz w:val="24"/>
                <w:szCs w:val="24"/>
                <w14:textFill>
                  <w14:solidFill>
                    <w14:schemeClr w14:val="tx1"/>
                  </w14:solidFill>
                </w14:textFill>
              </w:rPr>
              <w:t>，在T时间内该声源工作时间为t</w:t>
            </w:r>
            <w:r>
              <w:rPr>
                <w:rFonts w:cs="Times New Roman"/>
                <w:color w:val="000000" w:themeColor="text1"/>
                <w:sz w:val="24"/>
                <w:szCs w:val="24"/>
                <w:vertAlign w:val="subscript"/>
                <w14:textFill>
                  <w14:solidFill>
                    <w14:schemeClr w14:val="tx1"/>
                  </w14:solidFill>
                </w14:textFill>
              </w:rPr>
              <w:t>i</w:t>
            </w:r>
            <w:r>
              <w:rPr>
                <w:rFonts w:cs="Times New Roman"/>
                <w:color w:val="000000" w:themeColor="text1"/>
                <w:sz w:val="24"/>
                <w:szCs w:val="24"/>
                <w14:textFill>
                  <w14:solidFill>
                    <w14:schemeClr w14:val="tx1"/>
                  </w14:solidFill>
                </w14:textFill>
              </w:rPr>
              <w:t>；第j个等效室外声源在预测点产生的A声级为L</w:t>
            </w:r>
            <w:r>
              <w:rPr>
                <w:rFonts w:cs="Times New Roman"/>
                <w:color w:val="000000" w:themeColor="text1"/>
                <w:sz w:val="24"/>
                <w:szCs w:val="24"/>
                <w:vertAlign w:val="subscript"/>
                <w14:textFill>
                  <w14:solidFill>
                    <w14:schemeClr w14:val="tx1"/>
                  </w14:solidFill>
                </w14:textFill>
              </w:rPr>
              <w:t>Aj</w:t>
            </w:r>
            <w:r>
              <w:rPr>
                <w:rFonts w:cs="Times New Roman"/>
                <w:color w:val="000000" w:themeColor="text1"/>
                <w:sz w:val="24"/>
                <w:szCs w:val="24"/>
                <w14:textFill>
                  <w14:solidFill>
                    <w14:schemeClr w14:val="tx1"/>
                  </w14:solidFill>
                </w14:textFill>
              </w:rPr>
              <w:t>；在T时间内该声源工作时间为t</w:t>
            </w:r>
            <w:r>
              <w:rPr>
                <w:rFonts w:cs="Times New Roman"/>
                <w:color w:val="000000" w:themeColor="text1"/>
                <w:sz w:val="24"/>
                <w:szCs w:val="24"/>
                <w:vertAlign w:val="subscript"/>
                <w14:textFill>
                  <w14:solidFill>
                    <w14:schemeClr w14:val="tx1"/>
                  </w14:solidFill>
                </w14:textFill>
              </w:rPr>
              <w:t>j</w:t>
            </w:r>
            <w:r>
              <w:rPr>
                <w:rFonts w:cs="Times New Roman"/>
                <w:color w:val="000000" w:themeColor="text1"/>
                <w:sz w:val="24"/>
                <w:szCs w:val="24"/>
                <w14:textFill>
                  <w14:solidFill>
                    <w14:schemeClr w14:val="tx1"/>
                  </w14:solidFill>
                </w14:textFill>
              </w:rPr>
              <w:t>，则拟建工程声源对预测点产生的贡献值（L</w:t>
            </w:r>
            <w:r>
              <w:rPr>
                <w:rFonts w:cs="Times New Roman"/>
                <w:color w:val="000000" w:themeColor="text1"/>
                <w:sz w:val="24"/>
                <w:szCs w:val="24"/>
                <w:vertAlign w:val="subscript"/>
                <w14:textFill>
                  <w14:solidFill>
                    <w14:schemeClr w14:val="tx1"/>
                  </w14:solidFill>
                </w14:textFill>
              </w:rPr>
              <w:t>eqg</w:t>
            </w:r>
            <w:r>
              <w:rPr>
                <w:rFonts w:cs="Times New Roman"/>
                <w:color w:val="000000" w:themeColor="text1"/>
                <w:sz w:val="24"/>
                <w:szCs w:val="24"/>
                <w14:textFill>
                  <w14:solidFill>
                    <w14:schemeClr w14:val="tx1"/>
                  </w14:solidFill>
                </w14:textFill>
              </w:rPr>
              <w:t>）为</w:t>
            </w:r>
            <w:r>
              <w:rPr>
                <w:rFonts w:hint="eastAsia" w:cs="Times New Roman"/>
                <w:color w:val="000000" w:themeColor="text1"/>
                <w:sz w:val="24"/>
                <w:szCs w:val="24"/>
                <w14:textFill>
                  <w14:solidFill>
                    <w14:schemeClr w14:val="tx1"/>
                  </w14:solidFill>
                </w14:textFill>
              </w:rPr>
              <w:t>：</w:t>
            </w:r>
          </w:p>
          <w:p w14:paraId="44893DBC">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drawing>
                <wp:inline distT="0" distB="0" distL="114300" distR="114300">
                  <wp:extent cx="2576195" cy="507365"/>
                  <wp:effectExtent l="0" t="0" r="0" b="5715"/>
                  <wp:docPr id="1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0"/>
                          <pic:cNvPicPr>
                            <a:picLocks noChangeAspect="1"/>
                          </pic:cNvPicPr>
                        </pic:nvPicPr>
                        <pic:blipFill>
                          <a:blip r:embed="rId25">
                            <a:clrChange>
                              <a:clrFrom>
                                <a:srgbClr val="CDDEC2"/>
                              </a:clrFrom>
                              <a:clrTo>
                                <a:srgbClr val="CDDEC2">
                                  <a:alpha val="0"/>
                                </a:srgbClr>
                              </a:clrTo>
                            </a:clrChange>
                          </a:blip>
                          <a:stretch>
                            <a:fillRect/>
                          </a:stretch>
                        </pic:blipFill>
                        <pic:spPr>
                          <a:xfrm>
                            <a:off x="0" y="0"/>
                            <a:ext cx="2576195" cy="507365"/>
                          </a:xfrm>
                          <a:prstGeom prst="rect">
                            <a:avLst/>
                          </a:prstGeom>
                          <a:noFill/>
                          <a:ln>
                            <a:noFill/>
                          </a:ln>
                        </pic:spPr>
                      </pic:pic>
                    </a:graphicData>
                  </a:graphic>
                </wp:inline>
              </w:drawing>
            </w:r>
          </w:p>
          <w:p w14:paraId="5995B25B">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式中</w:t>
            </w:r>
            <w:r>
              <w:rPr>
                <w:rFonts w:hint="eastAsia" w:cs="Times New Roman"/>
                <w:color w:val="000000" w:themeColor="text1"/>
                <w:sz w:val="24"/>
                <w:szCs w:val="24"/>
                <w14:textFill>
                  <w14:solidFill>
                    <w14:schemeClr w14:val="tx1"/>
                  </w14:solidFill>
                </w14:textFill>
              </w:rPr>
              <w:t>：</w:t>
            </w: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eqg</w:t>
            </w:r>
            <w:r>
              <w:rPr>
                <w:rFonts w:cs="Times New Roman"/>
                <w:color w:val="000000" w:themeColor="text1"/>
                <w:sz w:val="24"/>
                <w:szCs w:val="24"/>
                <w14:textFill>
                  <w14:solidFill>
                    <w14:schemeClr w14:val="tx1"/>
                  </w14:solidFill>
                </w14:textFill>
              </w:rPr>
              <w:t>—建设项目声源在预测点的等效声级贡献值，dB（A）；</w:t>
            </w:r>
          </w:p>
          <w:p w14:paraId="327AECDF">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T—用于计算等效声级的时间，s；</w:t>
            </w:r>
          </w:p>
          <w:p w14:paraId="05D3F70C">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N—室外声源个数；</w:t>
            </w:r>
          </w:p>
          <w:p w14:paraId="5B3F5A3F">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t</w:t>
            </w:r>
            <w:r>
              <w:rPr>
                <w:rFonts w:cs="Times New Roman"/>
                <w:color w:val="000000" w:themeColor="text1"/>
                <w:sz w:val="24"/>
                <w:szCs w:val="24"/>
                <w:vertAlign w:val="subscript"/>
                <w14:textFill>
                  <w14:solidFill>
                    <w14:schemeClr w14:val="tx1"/>
                  </w14:solidFill>
                </w14:textFill>
              </w:rPr>
              <w:t>i</w:t>
            </w:r>
            <w:r>
              <w:rPr>
                <w:rFonts w:cs="Times New Roman"/>
                <w:color w:val="000000" w:themeColor="text1"/>
                <w:sz w:val="24"/>
                <w:szCs w:val="24"/>
                <w14:textFill>
                  <w14:solidFill>
                    <w14:schemeClr w14:val="tx1"/>
                  </w14:solidFill>
                </w14:textFill>
              </w:rPr>
              <w:t>—在T时间内i声源工作时间，s；</w:t>
            </w:r>
          </w:p>
          <w:p w14:paraId="1FCBD25D">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M—等效室外声源个数；</w:t>
            </w:r>
          </w:p>
          <w:p w14:paraId="1CB6F125">
            <w:pPr>
              <w:pStyle w:val="78"/>
              <w:spacing w:line="360" w:lineRule="auto"/>
              <w:ind w:firstLine="480"/>
              <w:rPr>
                <w:rFonts w:cs="Times New Roman"/>
                <w:b/>
                <w:bCs/>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t</w:t>
            </w:r>
            <w:r>
              <w:rPr>
                <w:rFonts w:cs="Times New Roman"/>
                <w:color w:val="000000" w:themeColor="text1"/>
                <w:sz w:val="24"/>
                <w:szCs w:val="24"/>
                <w:vertAlign w:val="subscript"/>
                <w14:textFill>
                  <w14:solidFill>
                    <w14:schemeClr w14:val="tx1"/>
                  </w14:solidFill>
                </w14:textFill>
              </w:rPr>
              <w:t>j</w:t>
            </w:r>
            <w:r>
              <w:rPr>
                <w:rFonts w:cs="Times New Roman"/>
                <w:color w:val="000000" w:themeColor="text1"/>
                <w:sz w:val="24"/>
                <w:szCs w:val="24"/>
                <w14:textFill>
                  <w14:solidFill>
                    <w14:schemeClr w14:val="tx1"/>
                  </w14:solidFill>
                </w14:textFill>
              </w:rPr>
              <w:t>—在T时间内j声源工作时间，s。</w:t>
            </w:r>
          </w:p>
          <w:p w14:paraId="342B5BBD">
            <w:pPr>
              <w:overflowPunct w:val="0"/>
              <w:autoSpaceDE w:val="0"/>
              <w:autoSpaceDN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b）预测点的预测等效声级（L</w:t>
            </w:r>
            <w:r>
              <w:rPr>
                <w:color w:val="000000" w:themeColor="text1"/>
                <w:sz w:val="24"/>
                <w:szCs w:val="24"/>
                <w:vertAlign w:val="subscript"/>
                <w14:textFill>
                  <w14:solidFill>
                    <w14:schemeClr w14:val="tx1"/>
                  </w14:solidFill>
                </w14:textFill>
              </w:rPr>
              <w:t>eq</w:t>
            </w:r>
            <w:r>
              <w:rPr>
                <w:color w:val="000000" w:themeColor="text1"/>
                <w:sz w:val="24"/>
                <w:szCs w:val="24"/>
                <w14:textFill>
                  <w14:solidFill>
                    <w14:schemeClr w14:val="tx1"/>
                  </w14:solidFill>
                </w14:textFill>
              </w:rPr>
              <w:t>）计算公式：</w:t>
            </w:r>
          </w:p>
          <w:p w14:paraId="335AE12B">
            <w:pPr>
              <w:overflowPunct w:val="0"/>
              <w:autoSpaceDE w:val="0"/>
              <w:autoSpaceDN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drawing>
                <wp:inline distT="0" distB="0" distL="114300" distR="114300">
                  <wp:extent cx="1791335" cy="266700"/>
                  <wp:effectExtent l="0" t="0" r="18415" b="0"/>
                  <wp:docPr id="1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1"/>
                          <pic:cNvPicPr>
                            <a:picLocks noChangeAspect="1"/>
                          </pic:cNvPicPr>
                        </pic:nvPicPr>
                        <pic:blipFill>
                          <a:blip r:embed="rId26"/>
                          <a:stretch>
                            <a:fillRect/>
                          </a:stretch>
                        </pic:blipFill>
                        <pic:spPr>
                          <a:xfrm>
                            <a:off x="0" y="0"/>
                            <a:ext cx="1791335" cy="266700"/>
                          </a:xfrm>
                          <a:prstGeom prst="rect">
                            <a:avLst/>
                          </a:prstGeom>
                          <a:noFill/>
                          <a:ln>
                            <a:noFill/>
                          </a:ln>
                        </pic:spPr>
                      </pic:pic>
                    </a:graphicData>
                  </a:graphic>
                </wp:inline>
              </w:drawing>
            </w:r>
          </w:p>
          <w:p w14:paraId="1E1ACFD8">
            <w:pPr>
              <w:overflowPunct w:val="0"/>
              <w:autoSpaceDE w:val="0"/>
              <w:autoSpaceDN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式中：L</w:t>
            </w:r>
            <w:r>
              <w:rPr>
                <w:color w:val="000000" w:themeColor="text1"/>
                <w:sz w:val="24"/>
                <w:szCs w:val="24"/>
                <w:vertAlign w:val="subscript"/>
                <w14:textFill>
                  <w14:solidFill>
                    <w14:schemeClr w14:val="tx1"/>
                  </w14:solidFill>
                </w14:textFill>
              </w:rPr>
              <w:t>eqg</w:t>
            </w:r>
            <w:r>
              <w:rPr>
                <w:color w:val="000000" w:themeColor="text1"/>
                <w:sz w:val="24"/>
                <w:szCs w:val="24"/>
                <w14:textFill>
                  <w14:solidFill>
                    <w14:schemeClr w14:val="tx1"/>
                  </w14:solidFill>
                </w14:textFill>
              </w:rPr>
              <w:t>—建设项目声源在预测点的等效声级贡献值，dB（A）；</w:t>
            </w:r>
          </w:p>
          <w:p w14:paraId="0291FDF5">
            <w:pPr>
              <w:pStyle w:val="78"/>
              <w:spacing w:line="360" w:lineRule="auto"/>
              <w:ind w:firstLine="480"/>
              <w:rPr>
                <w:rFonts w:cs="Times New Roman"/>
                <w:b/>
                <w:bCs/>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eqb</w:t>
            </w:r>
            <w:r>
              <w:rPr>
                <w:rFonts w:cs="Times New Roman"/>
                <w:color w:val="000000" w:themeColor="text1"/>
                <w:sz w:val="24"/>
                <w:szCs w:val="24"/>
                <w14:textFill>
                  <w14:solidFill>
                    <w14:schemeClr w14:val="tx1"/>
                  </w14:solidFill>
                </w14:textFill>
              </w:rPr>
              <w:t>—预测点的背景值，dB（A）。</w:t>
            </w:r>
          </w:p>
          <w:p w14:paraId="7F1B53DF">
            <w:pPr>
              <w:pStyle w:val="78"/>
              <w:spacing w:line="360" w:lineRule="auto"/>
              <w:ind w:firstLine="482"/>
              <w:rPr>
                <w:rFonts w:cs="Times New Roman"/>
                <w:b/>
                <w:bCs/>
                <w:color w:val="000000" w:themeColor="text1"/>
                <w:sz w:val="24"/>
                <w:szCs w:val="24"/>
                <w14:textFill>
                  <w14:solidFill>
                    <w14:schemeClr w14:val="tx1"/>
                  </w14:solidFill>
                </w14:textFill>
              </w:rPr>
            </w:pPr>
            <w:r>
              <w:rPr>
                <w:rFonts w:cs="Times New Roman"/>
                <w:b/>
                <w:bCs/>
                <w:color w:val="000000" w:themeColor="text1"/>
                <w:sz w:val="24"/>
                <w:szCs w:val="24"/>
                <w14:textFill>
                  <w14:solidFill>
                    <w14:schemeClr w14:val="tx1"/>
                  </w14:solidFill>
                </w14:textFill>
              </w:rPr>
              <w:t>（</w:t>
            </w:r>
            <w:r>
              <w:rPr>
                <w:rFonts w:hint="eastAsia" w:cs="Times New Roman"/>
                <w:b/>
                <w:bCs/>
                <w:color w:val="000000" w:themeColor="text1"/>
                <w:sz w:val="24"/>
                <w:szCs w:val="24"/>
                <w:lang w:val="en-US" w:eastAsia="zh-CN"/>
                <w14:textFill>
                  <w14:solidFill>
                    <w14:schemeClr w14:val="tx1"/>
                  </w14:solidFill>
                </w14:textFill>
              </w:rPr>
              <w:t>2</w:t>
            </w:r>
            <w:r>
              <w:rPr>
                <w:rFonts w:cs="Times New Roman"/>
                <w:b/>
                <w:bCs/>
                <w:color w:val="000000" w:themeColor="text1"/>
                <w:sz w:val="24"/>
                <w:szCs w:val="24"/>
                <w14:textFill>
                  <w14:solidFill>
                    <w14:schemeClr w14:val="tx1"/>
                  </w14:solidFill>
                </w14:textFill>
              </w:rPr>
              <w:t>.</w:t>
            </w:r>
            <w:r>
              <w:rPr>
                <w:rFonts w:hint="eastAsia" w:cs="Times New Roman"/>
                <w:b/>
                <w:bCs/>
                <w:color w:val="000000" w:themeColor="text1"/>
                <w:sz w:val="24"/>
                <w:szCs w:val="24"/>
                <w14:textFill>
                  <w14:solidFill>
                    <w14:schemeClr w14:val="tx1"/>
                  </w14:solidFill>
                </w14:textFill>
              </w:rPr>
              <w:t>2</w:t>
            </w:r>
            <w:r>
              <w:rPr>
                <w:rFonts w:cs="Times New Roman"/>
                <w:b/>
                <w:bCs/>
                <w:color w:val="000000" w:themeColor="text1"/>
                <w:sz w:val="24"/>
                <w:szCs w:val="24"/>
                <w14:textFill>
                  <w14:solidFill>
                    <w14:schemeClr w14:val="tx1"/>
                  </w14:solidFill>
                </w14:textFill>
              </w:rPr>
              <w:t>）室外声源在预测点产生的声级计算基本公式</w:t>
            </w:r>
          </w:p>
          <w:p w14:paraId="50F0E9C8">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2</w:t>
            </w:r>
            <w:r>
              <w:rPr>
                <w:rFonts w:cs="Times New Roman"/>
                <w:color w:val="000000" w:themeColor="text1"/>
                <w:sz w:val="24"/>
                <w:szCs w:val="24"/>
                <w14:textFill>
                  <w14:solidFill>
                    <w14:schemeClr w14:val="tx1"/>
                  </w14:solidFill>
                </w14:textFill>
              </w:rPr>
              <w:t>.</w:t>
            </w:r>
            <w:r>
              <w:rPr>
                <w:rFonts w:hint="eastAsia" w:cs="Times New Roman"/>
                <w:color w:val="000000" w:themeColor="text1"/>
                <w:sz w:val="24"/>
                <w:szCs w:val="24"/>
                <w14:textFill>
                  <w14:solidFill>
                    <w14:schemeClr w14:val="tx1"/>
                  </w14:solidFill>
                </w14:textFill>
              </w:rPr>
              <w:t>2</w:t>
            </w:r>
            <w:r>
              <w:rPr>
                <w:rFonts w:cs="Times New Roman"/>
                <w:color w:val="000000" w:themeColor="text1"/>
                <w:sz w:val="24"/>
                <w:szCs w:val="24"/>
                <w14:textFill>
                  <w14:solidFill>
                    <w14:schemeClr w14:val="tx1"/>
                  </w14:solidFill>
                </w14:textFill>
              </w:rPr>
              <w:t>.1）在环境影响评价中，应根据声源声功率级或参考位置处的声压级、户外声传播衰减，按下式计算预测点的声级</w:t>
            </w:r>
            <w:r>
              <w:rPr>
                <w:rFonts w:hint="eastAsia" w:cs="Times New Roman"/>
                <w:color w:val="000000" w:themeColor="text1"/>
                <w:sz w:val="24"/>
                <w:szCs w:val="24"/>
                <w14:textFill>
                  <w14:solidFill>
                    <w14:schemeClr w14:val="tx1"/>
                  </w14:solidFill>
                </w14:textFill>
              </w:rPr>
              <w:t>：</w:t>
            </w:r>
          </w:p>
          <w:p w14:paraId="0ADE6960">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w:t>
            </w:r>
            <w:r>
              <w:rPr>
                <w:rFonts w:cs="Times New Roman"/>
                <w:color w:val="000000" w:themeColor="text1"/>
                <w:sz w:val="24"/>
                <w:szCs w:val="24"/>
                <w14:textFill>
                  <w14:solidFill>
                    <w14:schemeClr w14:val="tx1"/>
                  </w14:solidFill>
                </w14:textFill>
              </w:rPr>
              <w:t>（r）=L</w:t>
            </w:r>
            <w:r>
              <w:rPr>
                <w:rFonts w:cs="Times New Roman"/>
                <w:color w:val="000000" w:themeColor="text1"/>
                <w:sz w:val="24"/>
                <w:szCs w:val="24"/>
                <w:vertAlign w:val="subscript"/>
                <w14:textFill>
                  <w14:solidFill>
                    <w14:schemeClr w14:val="tx1"/>
                  </w14:solidFill>
                </w14:textFill>
              </w:rPr>
              <w:t>w</w:t>
            </w:r>
            <w:r>
              <w:rPr>
                <w:rFonts w:cs="Times New Roman"/>
                <w:color w:val="000000" w:themeColor="text1"/>
                <w:sz w:val="24"/>
                <w:szCs w:val="24"/>
                <w14:textFill>
                  <w14:solidFill>
                    <w14:schemeClr w14:val="tx1"/>
                  </w14:solidFill>
                </w14:textFill>
              </w:rPr>
              <w:t>+Dc-（A</w:t>
            </w:r>
            <w:r>
              <w:rPr>
                <w:rFonts w:cs="Times New Roman"/>
                <w:color w:val="000000" w:themeColor="text1"/>
                <w:sz w:val="24"/>
                <w:szCs w:val="24"/>
                <w:vertAlign w:val="subscript"/>
                <w14:textFill>
                  <w14:solidFill>
                    <w14:schemeClr w14:val="tx1"/>
                  </w14:solidFill>
                </w14:textFill>
              </w:rPr>
              <w:t>div</w:t>
            </w:r>
            <w:r>
              <w:rPr>
                <w:rFonts w:cs="Times New Roman"/>
                <w:color w:val="000000" w:themeColor="text1"/>
                <w:sz w:val="24"/>
                <w:szCs w:val="24"/>
                <w14:textFill>
                  <w14:solidFill>
                    <w14:schemeClr w14:val="tx1"/>
                  </w14:solidFill>
                </w14:textFill>
              </w:rPr>
              <w:t>+A</w:t>
            </w:r>
            <w:r>
              <w:rPr>
                <w:rFonts w:cs="Times New Roman"/>
                <w:color w:val="000000" w:themeColor="text1"/>
                <w:sz w:val="24"/>
                <w:szCs w:val="24"/>
                <w:vertAlign w:val="subscript"/>
                <w14:textFill>
                  <w14:solidFill>
                    <w14:schemeClr w14:val="tx1"/>
                  </w14:solidFill>
                </w14:textFill>
              </w:rPr>
              <w:t>atm</w:t>
            </w:r>
            <w:r>
              <w:rPr>
                <w:rFonts w:cs="Times New Roman"/>
                <w:color w:val="000000" w:themeColor="text1"/>
                <w:sz w:val="24"/>
                <w:szCs w:val="24"/>
                <w14:textFill>
                  <w14:solidFill>
                    <w14:schemeClr w14:val="tx1"/>
                  </w14:solidFill>
                </w14:textFill>
              </w:rPr>
              <w:t>+A</w:t>
            </w:r>
            <w:r>
              <w:rPr>
                <w:rFonts w:cs="Times New Roman"/>
                <w:color w:val="000000" w:themeColor="text1"/>
                <w:sz w:val="24"/>
                <w:szCs w:val="24"/>
                <w:vertAlign w:val="subscript"/>
                <w14:textFill>
                  <w14:solidFill>
                    <w14:schemeClr w14:val="tx1"/>
                  </w14:solidFill>
                </w14:textFill>
              </w:rPr>
              <w:t>g</w:t>
            </w:r>
            <w:r>
              <w:rPr>
                <w:rFonts w:hint="eastAsia" w:cs="Times New Roman"/>
                <w:color w:val="000000" w:themeColor="text1"/>
                <w:sz w:val="24"/>
                <w:szCs w:val="24"/>
                <w:vertAlign w:val="subscript"/>
                <w14:textFill>
                  <w14:solidFill>
                    <w14:schemeClr w14:val="tx1"/>
                  </w14:solidFill>
                </w14:textFill>
              </w:rPr>
              <w:t>r</w:t>
            </w:r>
            <w:r>
              <w:rPr>
                <w:rFonts w:cs="Times New Roman"/>
                <w:color w:val="000000" w:themeColor="text1"/>
                <w:sz w:val="24"/>
                <w:szCs w:val="24"/>
                <w14:textFill>
                  <w14:solidFill>
                    <w14:schemeClr w14:val="tx1"/>
                  </w14:solidFill>
                </w14:textFill>
              </w:rPr>
              <w:t>+A</w:t>
            </w:r>
            <w:r>
              <w:rPr>
                <w:rFonts w:cs="Times New Roman"/>
                <w:color w:val="000000" w:themeColor="text1"/>
                <w:sz w:val="24"/>
                <w:szCs w:val="24"/>
                <w:vertAlign w:val="subscript"/>
                <w14:textFill>
                  <w14:solidFill>
                    <w14:schemeClr w14:val="tx1"/>
                  </w14:solidFill>
                </w14:textFill>
              </w:rPr>
              <w:t>bar</w:t>
            </w:r>
            <w:r>
              <w:rPr>
                <w:rFonts w:cs="Times New Roman"/>
                <w:color w:val="000000" w:themeColor="text1"/>
                <w:sz w:val="24"/>
                <w:szCs w:val="24"/>
                <w14:textFill>
                  <w14:solidFill>
                    <w14:schemeClr w14:val="tx1"/>
                  </w14:solidFill>
                </w14:textFill>
              </w:rPr>
              <w:t>+A</w:t>
            </w:r>
            <w:r>
              <w:rPr>
                <w:rFonts w:cs="Times New Roman"/>
                <w:color w:val="000000" w:themeColor="text1"/>
                <w:sz w:val="24"/>
                <w:szCs w:val="24"/>
                <w:vertAlign w:val="subscript"/>
                <w14:textFill>
                  <w14:solidFill>
                    <w14:schemeClr w14:val="tx1"/>
                  </w14:solidFill>
                </w14:textFill>
              </w:rPr>
              <w:t>mis</w:t>
            </w:r>
            <w:r>
              <w:rPr>
                <w:rFonts w:hint="eastAsia" w:cs="Times New Roman"/>
                <w:color w:val="000000" w:themeColor="text1"/>
                <w:sz w:val="24"/>
                <w:szCs w:val="24"/>
                <w:vertAlign w:val="subscript"/>
                <w14:textFill>
                  <w14:solidFill>
                    <w14:schemeClr w14:val="tx1"/>
                  </w14:solidFill>
                </w14:textFill>
              </w:rPr>
              <w:t>c</w:t>
            </w:r>
            <w:r>
              <w:rPr>
                <w:rFonts w:cs="Times New Roman"/>
                <w:color w:val="000000" w:themeColor="text1"/>
                <w:sz w:val="24"/>
                <w:szCs w:val="24"/>
                <w14:textFill>
                  <w14:solidFill>
                    <w14:schemeClr w14:val="tx1"/>
                  </w14:solidFill>
                </w14:textFill>
              </w:rPr>
              <w:t>）</w:t>
            </w:r>
          </w:p>
          <w:p w14:paraId="4EDE1E5C">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w:t>
            </w:r>
            <w:r>
              <w:rPr>
                <w:rFonts w:cs="Times New Roman"/>
                <w:color w:val="000000" w:themeColor="text1"/>
                <w:sz w:val="24"/>
                <w:szCs w:val="24"/>
                <w14:textFill>
                  <w14:solidFill>
                    <w14:schemeClr w14:val="tx1"/>
                  </w14:solidFill>
                </w14:textFill>
              </w:rPr>
              <w:t>（r）=L</w:t>
            </w:r>
            <w:r>
              <w:rPr>
                <w:rFonts w:cs="Times New Roman"/>
                <w:color w:val="000000" w:themeColor="text1"/>
                <w:sz w:val="24"/>
                <w:szCs w:val="24"/>
                <w:vertAlign w:val="subscript"/>
                <w14:textFill>
                  <w14:solidFill>
                    <w14:schemeClr w14:val="tx1"/>
                  </w14:solidFill>
                </w14:textFill>
              </w:rPr>
              <w:t>p</w:t>
            </w:r>
            <w:r>
              <w:rPr>
                <w:rFonts w:cs="Times New Roman"/>
                <w:color w:val="000000" w:themeColor="text1"/>
                <w:sz w:val="24"/>
                <w:szCs w:val="24"/>
                <w14:textFill>
                  <w14:solidFill>
                    <w14:schemeClr w14:val="tx1"/>
                  </w14:solidFill>
                </w14:textFill>
              </w:rPr>
              <w:t>（r</w:t>
            </w:r>
            <w:r>
              <w:rPr>
                <w:rFonts w:cs="Times New Roman"/>
                <w:color w:val="000000" w:themeColor="text1"/>
                <w:sz w:val="24"/>
                <w:szCs w:val="24"/>
                <w:vertAlign w:val="subscript"/>
                <w14:textFill>
                  <w14:solidFill>
                    <w14:schemeClr w14:val="tx1"/>
                  </w14:solidFill>
                </w14:textFill>
              </w:rPr>
              <w:t>0</w:t>
            </w:r>
            <w:r>
              <w:rPr>
                <w:rFonts w:cs="Times New Roman"/>
                <w:color w:val="000000" w:themeColor="text1"/>
                <w:sz w:val="24"/>
                <w:szCs w:val="24"/>
                <w14:textFill>
                  <w14:solidFill>
                    <w14:schemeClr w14:val="tx1"/>
                  </w14:solidFill>
                </w14:textFill>
              </w:rPr>
              <w:t>）+Dc-（A</w:t>
            </w:r>
            <w:r>
              <w:rPr>
                <w:rFonts w:cs="Times New Roman"/>
                <w:color w:val="000000" w:themeColor="text1"/>
                <w:sz w:val="24"/>
                <w:szCs w:val="24"/>
                <w:vertAlign w:val="subscript"/>
                <w14:textFill>
                  <w14:solidFill>
                    <w14:schemeClr w14:val="tx1"/>
                  </w14:solidFill>
                </w14:textFill>
              </w:rPr>
              <w:t>aiv</w:t>
            </w:r>
            <w:r>
              <w:rPr>
                <w:rFonts w:cs="Times New Roman"/>
                <w:color w:val="000000" w:themeColor="text1"/>
                <w:sz w:val="24"/>
                <w:szCs w:val="24"/>
                <w14:textFill>
                  <w14:solidFill>
                    <w14:schemeClr w14:val="tx1"/>
                  </w14:solidFill>
                </w14:textFill>
              </w:rPr>
              <w:t>+A</w:t>
            </w:r>
            <w:r>
              <w:rPr>
                <w:rFonts w:cs="Times New Roman"/>
                <w:color w:val="000000" w:themeColor="text1"/>
                <w:sz w:val="24"/>
                <w:szCs w:val="24"/>
                <w:vertAlign w:val="subscript"/>
                <w14:textFill>
                  <w14:solidFill>
                    <w14:schemeClr w14:val="tx1"/>
                  </w14:solidFill>
                </w14:textFill>
              </w:rPr>
              <w:t>atm</w:t>
            </w:r>
            <w:r>
              <w:rPr>
                <w:rFonts w:cs="Times New Roman"/>
                <w:color w:val="000000" w:themeColor="text1"/>
                <w:sz w:val="24"/>
                <w:szCs w:val="24"/>
                <w14:textFill>
                  <w14:solidFill>
                    <w14:schemeClr w14:val="tx1"/>
                  </w14:solidFill>
                </w14:textFill>
              </w:rPr>
              <w:t>+A</w:t>
            </w:r>
            <w:r>
              <w:rPr>
                <w:rFonts w:cs="Times New Roman"/>
                <w:color w:val="000000" w:themeColor="text1"/>
                <w:sz w:val="24"/>
                <w:szCs w:val="24"/>
                <w:vertAlign w:val="subscript"/>
                <w14:textFill>
                  <w14:solidFill>
                    <w14:schemeClr w14:val="tx1"/>
                  </w14:solidFill>
                </w14:textFill>
              </w:rPr>
              <w:t>g</w:t>
            </w:r>
            <w:r>
              <w:rPr>
                <w:rFonts w:hint="eastAsia" w:cs="Times New Roman"/>
                <w:color w:val="000000" w:themeColor="text1"/>
                <w:sz w:val="24"/>
                <w:szCs w:val="24"/>
                <w:vertAlign w:val="subscript"/>
                <w14:textFill>
                  <w14:solidFill>
                    <w14:schemeClr w14:val="tx1"/>
                  </w14:solidFill>
                </w14:textFill>
              </w:rPr>
              <w:t>r</w:t>
            </w:r>
            <w:r>
              <w:rPr>
                <w:rFonts w:cs="Times New Roman"/>
                <w:color w:val="000000" w:themeColor="text1"/>
                <w:sz w:val="24"/>
                <w:szCs w:val="24"/>
                <w14:textFill>
                  <w14:solidFill>
                    <w14:schemeClr w14:val="tx1"/>
                  </w14:solidFill>
                </w14:textFill>
              </w:rPr>
              <w:t>+A</w:t>
            </w:r>
            <w:r>
              <w:rPr>
                <w:rFonts w:cs="Times New Roman"/>
                <w:color w:val="000000" w:themeColor="text1"/>
                <w:sz w:val="24"/>
                <w:szCs w:val="24"/>
                <w:vertAlign w:val="subscript"/>
                <w14:textFill>
                  <w14:solidFill>
                    <w14:schemeClr w14:val="tx1"/>
                  </w14:solidFill>
                </w14:textFill>
              </w:rPr>
              <w:t>bar</w:t>
            </w:r>
            <w:r>
              <w:rPr>
                <w:rFonts w:cs="Times New Roman"/>
                <w:color w:val="000000" w:themeColor="text1"/>
                <w:sz w:val="24"/>
                <w:szCs w:val="24"/>
                <w14:textFill>
                  <w14:solidFill>
                    <w14:schemeClr w14:val="tx1"/>
                  </w14:solidFill>
                </w14:textFill>
              </w:rPr>
              <w:t>+A</w:t>
            </w:r>
            <w:r>
              <w:rPr>
                <w:rFonts w:cs="Times New Roman"/>
                <w:color w:val="000000" w:themeColor="text1"/>
                <w:sz w:val="24"/>
                <w:szCs w:val="24"/>
                <w:vertAlign w:val="subscript"/>
                <w14:textFill>
                  <w14:solidFill>
                    <w14:schemeClr w14:val="tx1"/>
                  </w14:solidFill>
                </w14:textFill>
              </w:rPr>
              <w:t>misc</w:t>
            </w:r>
            <w:r>
              <w:rPr>
                <w:rFonts w:cs="Times New Roman"/>
                <w:color w:val="000000" w:themeColor="text1"/>
                <w:sz w:val="24"/>
                <w:szCs w:val="24"/>
                <w14:textFill>
                  <w14:solidFill>
                    <w14:schemeClr w14:val="tx1"/>
                  </w14:solidFill>
                </w14:textFill>
              </w:rPr>
              <w:t>）</w:t>
            </w:r>
          </w:p>
          <w:p w14:paraId="3FC659C6">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式中：L</w:t>
            </w:r>
            <w:r>
              <w:rPr>
                <w:rFonts w:cs="Times New Roman"/>
                <w:color w:val="000000" w:themeColor="text1"/>
                <w:sz w:val="24"/>
                <w:szCs w:val="24"/>
                <w:vertAlign w:val="subscript"/>
                <w14:textFill>
                  <w14:solidFill>
                    <w14:schemeClr w14:val="tx1"/>
                  </w14:solidFill>
                </w14:textFill>
              </w:rPr>
              <w:t>p</w:t>
            </w:r>
            <w:r>
              <w:rPr>
                <w:rFonts w:cs="Times New Roman"/>
                <w:color w:val="000000" w:themeColor="text1"/>
                <w:sz w:val="24"/>
                <w:szCs w:val="24"/>
                <w14:textFill>
                  <w14:solidFill>
                    <w14:schemeClr w14:val="tx1"/>
                  </w14:solidFill>
                </w14:textFill>
              </w:rPr>
              <w:t>（r）—预测点处声压级，dB；</w:t>
            </w:r>
          </w:p>
          <w:p w14:paraId="229A1E2D">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w:t>
            </w:r>
            <w:r>
              <w:rPr>
                <w:rFonts w:cs="Times New Roman"/>
                <w:color w:val="000000" w:themeColor="text1"/>
                <w:sz w:val="24"/>
                <w:szCs w:val="24"/>
                <w14:textFill>
                  <w14:solidFill>
                    <w14:schemeClr w14:val="tx1"/>
                  </w14:solidFill>
                </w14:textFill>
              </w:rPr>
              <w:t>（r</w:t>
            </w:r>
            <w:r>
              <w:rPr>
                <w:rFonts w:hint="eastAsia" w:cs="Times New Roman"/>
                <w:color w:val="000000" w:themeColor="text1"/>
                <w:sz w:val="24"/>
                <w:szCs w:val="24"/>
                <w:vertAlign w:val="subscript"/>
                <w14:textFill>
                  <w14:solidFill>
                    <w14:schemeClr w14:val="tx1"/>
                  </w14:solidFill>
                </w14:textFill>
              </w:rPr>
              <w:t>0</w:t>
            </w:r>
            <w:r>
              <w:rPr>
                <w:rFonts w:cs="Times New Roman"/>
                <w:color w:val="000000" w:themeColor="text1"/>
                <w:sz w:val="24"/>
                <w:szCs w:val="24"/>
                <w14:textFill>
                  <w14:solidFill>
                    <w14:schemeClr w14:val="tx1"/>
                  </w14:solidFill>
                </w14:textFill>
              </w:rPr>
              <w:t>）—参考位置</w:t>
            </w:r>
            <w:r>
              <w:rPr>
                <w:rFonts w:hint="eastAsia" w:cs="Times New Roman"/>
                <w:color w:val="000000" w:themeColor="text1"/>
                <w:sz w:val="24"/>
                <w:szCs w:val="24"/>
                <w14:textFill>
                  <w14:solidFill>
                    <w14:schemeClr w14:val="tx1"/>
                  </w14:solidFill>
                </w14:textFill>
              </w:rPr>
              <w:t>r</w:t>
            </w:r>
            <w:r>
              <w:rPr>
                <w:rFonts w:hint="eastAsia" w:cs="Times New Roman"/>
                <w:color w:val="000000" w:themeColor="text1"/>
                <w:sz w:val="24"/>
                <w:szCs w:val="24"/>
                <w:vertAlign w:val="subscript"/>
                <w14:textFill>
                  <w14:solidFill>
                    <w14:schemeClr w14:val="tx1"/>
                  </w14:solidFill>
                </w14:textFill>
              </w:rPr>
              <w:t>0</w:t>
            </w:r>
            <w:r>
              <w:rPr>
                <w:rFonts w:cs="Times New Roman"/>
                <w:color w:val="000000" w:themeColor="text1"/>
                <w:sz w:val="24"/>
                <w:szCs w:val="24"/>
                <w14:textFill>
                  <w14:solidFill>
                    <w14:schemeClr w14:val="tx1"/>
                  </w14:solidFill>
                </w14:textFill>
              </w:rPr>
              <w:t>处的声压级，dB；</w:t>
            </w:r>
          </w:p>
          <w:p w14:paraId="632B4B70">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w</w:t>
            </w:r>
            <w:r>
              <w:rPr>
                <w:rFonts w:cs="Times New Roman"/>
                <w:color w:val="000000" w:themeColor="text1"/>
                <w:sz w:val="24"/>
                <w:szCs w:val="24"/>
                <w14:textFill>
                  <w14:solidFill>
                    <w14:schemeClr w14:val="tx1"/>
                  </w14:solidFill>
                </w14:textFill>
              </w:rPr>
              <w:t>—由点声源产生的声功率级（A计权或倍频带），dB；</w:t>
            </w:r>
          </w:p>
          <w:p w14:paraId="75ACDC5B">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D</w:t>
            </w:r>
            <w:r>
              <w:rPr>
                <w:rFonts w:cs="Times New Roman"/>
                <w:color w:val="000000" w:themeColor="text1"/>
                <w:sz w:val="24"/>
                <w:szCs w:val="24"/>
                <w:vertAlign w:val="subscript"/>
                <w14:textFill>
                  <w14:solidFill>
                    <w14:schemeClr w14:val="tx1"/>
                  </w14:solidFill>
                </w14:textFill>
              </w:rPr>
              <w:t>c</w:t>
            </w:r>
            <w:r>
              <w:rPr>
                <w:rFonts w:cs="Times New Roman"/>
                <w:color w:val="000000" w:themeColor="text1"/>
                <w:sz w:val="24"/>
                <w:szCs w:val="24"/>
                <w14:textFill>
                  <w14:solidFill>
                    <w14:schemeClr w14:val="tx1"/>
                  </w14:solidFill>
                </w14:textFill>
              </w:rPr>
              <w:t>—指向性校正，它描述点声源的等效连续声压级与产生声功率级L</w:t>
            </w:r>
            <w:r>
              <w:rPr>
                <w:rFonts w:cs="Times New Roman"/>
                <w:color w:val="000000" w:themeColor="text1"/>
                <w:sz w:val="24"/>
                <w:szCs w:val="24"/>
                <w:vertAlign w:val="subscript"/>
                <w14:textFill>
                  <w14:solidFill>
                    <w14:schemeClr w14:val="tx1"/>
                  </w14:solidFill>
                </w14:textFill>
              </w:rPr>
              <w:t>w</w:t>
            </w:r>
            <w:r>
              <w:rPr>
                <w:rFonts w:cs="Times New Roman"/>
                <w:color w:val="000000" w:themeColor="text1"/>
                <w:sz w:val="24"/>
                <w:szCs w:val="24"/>
                <w14:textFill>
                  <w14:solidFill>
                    <w14:schemeClr w14:val="tx1"/>
                  </w14:solidFill>
                </w14:textFill>
              </w:rPr>
              <w:t>的全向点声源在规定方向的声级的偏差程度，dB；</w:t>
            </w:r>
          </w:p>
          <w:p w14:paraId="078F2512">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A</w:t>
            </w:r>
            <w:r>
              <w:rPr>
                <w:rFonts w:cs="Times New Roman"/>
                <w:color w:val="000000" w:themeColor="text1"/>
                <w:sz w:val="24"/>
                <w:szCs w:val="24"/>
                <w:vertAlign w:val="subscript"/>
                <w14:textFill>
                  <w14:solidFill>
                    <w14:schemeClr w14:val="tx1"/>
                  </w14:solidFill>
                </w14:textFill>
              </w:rPr>
              <w:t>div</w:t>
            </w:r>
            <w:r>
              <w:rPr>
                <w:rFonts w:cs="Times New Roman"/>
                <w:color w:val="000000" w:themeColor="text1"/>
                <w:sz w:val="24"/>
                <w:szCs w:val="24"/>
                <w14:textFill>
                  <w14:solidFill>
                    <w14:schemeClr w14:val="tx1"/>
                  </w14:solidFill>
                </w14:textFill>
              </w:rPr>
              <w:t>—几何发散引起的衰减，dB；</w:t>
            </w:r>
          </w:p>
          <w:p w14:paraId="24307F6B">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A</w:t>
            </w:r>
            <w:r>
              <w:rPr>
                <w:rFonts w:cs="Times New Roman"/>
                <w:color w:val="000000" w:themeColor="text1"/>
                <w:sz w:val="24"/>
                <w:szCs w:val="24"/>
                <w:vertAlign w:val="subscript"/>
                <w14:textFill>
                  <w14:solidFill>
                    <w14:schemeClr w14:val="tx1"/>
                  </w14:solidFill>
                </w14:textFill>
              </w:rPr>
              <w:t>atm</w:t>
            </w:r>
            <w:r>
              <w:rPr>
                <w:rFonts w:cs="Times New Roman"/>
                <w:color w:val="000000" w:themeColor="text1"/>
                <w:sz w:val="24"/>
                <w:szCs w:val="24"/>
                <w14:textFill>
                  <w14:solidFill>
                    <w14:schemeClr w14:val="tx1"/>
                  </w14:solidFill>
                </w14:textFill>
              </w:rPr>
              <w:t>—大气吸收引起的衰减，dB；</w:t>
            </w:r>
          </w:p>
          <w:p w14:paraId="53D63B53">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A</w:t>
            </w:r>
            <w:r>
              <w:rPr>
                <w:rFonts w:cs="Times New Roman"/>
                <w:color w:val="000000" w:themeColor="text1"/>
                <w:sz w:val="24"/>
                <w:szCs w:val="24"/>
                <w:vertAlign w:val="subscript"/>
                <w14:textFill>
                  <w14:solidFill>
                    <w14:schemeClr w14:val="tx1"/>
                  </w14:solidFill>
                </w14:textFill>
              </w:rPr>
              <w:t>g</w:t>
            </w:r>
            <w:r>
              <w:rPr>
                <w:rFonts w:hint="eastAsia" w:cs="Times New Roman"/>
                <w:color w:val="000000" w:themeColor="text1"/>
                <w:sz w:val="24"/>
                <w:szCs w:val="24"/>
                <w:vertAlign w:val="subscript"/>
                <w14:textFill>
                  <w14:solidFill>
                    <w14:schemeClr w14:val="tx1"/>
                  </w14:solidFill>
                </w14:textFill>
              </w:rPr>
              <w:t>r</w:t>
            </w:r>
            <w:r>
              <w:rPr>
                <w:rFonts w:cs="Times New Roman"/>
                <w:color w:val="000000" w:themeColor="text1"/>
                <w:sz w:val="24"/>
                <w:szCs w:val="24"/>
                <w14:textFill>
                  <w14:solidFill>
                    <w14:schemeClr w14:val="tx1"/>
                  </w14:solidFill>
                </w14:textFill>
              </w:rPr>
              <w:t>—地面效应引起的衰减，dB；</w:t>
            </w:r>
          </w:p>
          <w:p w14:paraId="05B484C2">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A</w:t>
            </w:r>
            <w:r>
              <w:rPr>
                <w:rFonts w:cs="Times New Roman"/>
                <w:color w:val="000000" w:themeColor="text1"/>
                <w:sz w:val="24"/>
                <w:szCs w:val="24"/>
                <w:vertAlign w:val="subscript"/>
                <w14:textFill>
                  <w14:solidFill>
                    <w14:schemeClr w14:val="tx1"/>
                  </w14:solidFill>
                </w14:textFill>
              </w:rPr>
              <w:t>bar</w:t>
            </w:r>
            <w:r>
              <w:rPr>
                <w:rFonts w:cs="Times New Roman"/>
                <w:color w:val="000000" w:themeColor="text1"/>
                <w:sz w:val="24"/>
                <w:szCs w:val="24"/>
                <w14:textFill>
                  <w14:solidFill>
                    <w14:schemeClr w14:val="tx1"/>
                  </w14:solidFill>
                </w14:textFill>
              </w:rPr>
              <w:t>—障碍物屏蔽引起的衰减，dB；</w:t>
            </w:r>
          </w:p>
          <w:p w14:paraId="54D7171D">
            <w:pPr>
              <w:pStyle w:val="78"/>
              <w:spacing w:line="360" w:lineRule="auto"/>
              <w:ind w:firstLine="480"/>
              <w:rPr>
                <w:rFonts w:hint="eastAsia" w:eastAsia="宋体" w:cs="Times New Roman"/>
                <w:color w:val="000000" w:themeColor="text1"/>
                <w:sz w:val="24"/>
                <w:szCs w:val="24"/>
                <w:lang w:eastAsia="zh-CN"/>
                <w14:textFill>
                  <w14:solidFill>
                    <w14:schemeClr w14:val="tx1"/>
                  </w14:solidFill>
                </w14:textFill>
              </w:rPr>
            </w:pPr>
            <w:r>
              <w:rPr>
                <w:rFonts w:cs="Times New Roman"/>
                <w:color w:val="000000" w:themeColor="text1"/>
                <w:sz w:val="24"/>
                <w:szCs w:val="24"/>
                <w14:textFill>
                  <w14:solidFill>
                    <w14:schemeClr w14:val="tx1"/>
                  </w14:solidFill>
                </w14:textFill>
              </w:rPr>
              <w:t>A</w:t>
            </w:r>
            <w:r>
              <w:rPr>
                <w:rFonts w:cs="Times New Roman"/>
                <w:color w:val="000000" w:themeColor="text1"/>
                <w:sz w:val="24"/>
                <w:szCs w:val="24"/>
                <w:vertAlign w:val="subscript"/>
                <w14:textFill>
                  <w14:solidFill>
                    <w14:schemeClr w14:val="tx1"/>
                  </w14:solidFill>
                </w14:textFill>
              </w:rPr>
              <w:t>mis</w:t>
            </w:r>
            <w:r>
              <w:rPr>
                <w:rFonts w:hint="eastAsia" w:cs="Times New Roman"/>
                <w:color w:val="000000" w:themeColor="text1"/>
                <w:sz w:val="24"/>
                <w:szCs w:val="24"/>
                <w:vertAlign w:val="subscript"/>
                <w14:textFill>
                  <w14:solidFill>
                    <w14:schemeClr w14:val="tx1"/>
                  </w14:solidFill>
                </w14:textFill>
              </w:rPr>
              <w:t>c</w:t>
            </w:r>
            <w:r>
              <w:rPr>
                <w:rFonts w:cs="Times New Roman"/>
                <w:color w:val="000000" w:themeColor="text1"/>
                <w:sz w:val="24"/>
                <w:szCs w:val="24"/>
                <w14:textFill>
                  <w14:solidFill>
                    <w14:schemeClr w14:val="tx1"/>
                  </w14:solidFill>
                </w14:textFill>
              </w:rPr>
              <w:t>—其他多方面效应引起的衰减，dB</w:t>
            </w:r>
            <w:r>
              <w:rPr>
                <w:rFonts w:hint="eastAsia" w:cs="Times New Roman"/>
                <w:color w:val="000000" w:themeColor="text1"/>
                <w:sz w:val="24"/>
                <w:szCs w:val="24"/>
                <w:lang w:eastAsia="zh-CN"/>
                <w14:textFill>
                  <w14:solidFill>
                    <w14:schemeClr w14:val="tx1"/>
                  </w14:solidFill>
                </w14:textFill>
              </w:rPr>
              <w:t>。</w:t>
            </w:r>
          </w:p>
          <w:p w14:paraId="2CFDFBDA">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2</w:t>
            </w:r>
            <w:r>
              <w:rPr>
                <w:rFonts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2</w:t>
            </w:r>
            <w:r>
              <w:rPr>
                <w:rFonts w:cs="Times New Roman"/>
                <w:color w:val="000000" w:themeColor="text1"/>
                <w:sz w:val="24"/>
                <w:szCs w:val="24"/>
                <w14:textFill>
                  <w14:solidFill>
                    <w14:schemeClr w14:val="tx1"/>
                  </w14:solidFill>
                </w14:textFill>
              </w:rPr>
              <w:t>.</w:t>
            </w:r>
            <w:r>
              <w:rPr>
                <w:rFonts w:hint="eastAsia" w:cs="Times New Roman"/>
                <w:color w:val="000000" w:themeColor="text1"/>
                <w:sz w:val="24"/>
                <w:szCs w:val="24"/>
                <w14:textFill>
                  <w14:solidFill>
                    <w14:schemeClr w14:val="tx1"/>
                  </w14:solidFill>
                </w14:textFill>
              </w:rPr>
              <w:t>2</w:t>
            </w:r>
            <w:r>
              <w:rPr>
                <w:rFonts w:cs="Times New Roman"/>
                <w:color w:val="000000" w:themeColor="text1"/>
                <w:sz w:val="24"/>
                <w:szCs w:val="24"/>
                <w14:textFill>
                  <w14:solidFill>
                    <w14:schemeClr w14:val="tx1"/>
                  </w14:solidFill>
                </w14:textFill>
              </w:rPr>
              <w:t>）衰减项的计算</w:t>
            </w:r>
          </w:p>
          <w:p w14:paraId="03FD69B5">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①点生源的几何发散衰减</w:t>
            </w:r>
          </w:p>
          <w:p w14:paraId="223D077D">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A、无指向性点声源几何发散衰减</w:t>
            </w:r>
            <w:r>
              <w:rPr>
                <w:rFonts w:hint="eastAsia" w:cs="Times New Roman"/>
                <w:color w:val="000000" w:themeColor="text1"/>
                <w:sz w:val="24"/>
                <w:szCs w:val="24"/>
                <w14:textFill>
                  <w14:solidFill>
                    <w14:schemeClr w14:val="tx1"/>
                  </w14:solidFill>
                </w14:textFill>
              </w:rPr>
              <w:t>：</w:t>
            </w:r>
          </w:p>
          <w:p w14:paraId="0326E602">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w:t>
            </w:r>
            <w:r>
              <w:rPr>
                <w:rFonts w:cs="Times New Roman"/>
                <w:color w:val="000000" w:themeColor="text1"/>
                <w:sz w:val="24"/>
                <w:szCs w:val="24"/>
                <w14:textFill>
                  <w14:solidFill>
                    <w14:schemeClr w14:val="tx1"/>
                  </w14:solidFill>
                </w14:textFill>
              </w:rPr>
              <w:t>（r）=L</w:t>
            </w:r>
            <w:r>
              <w:rPr>
                <w:rFonts w:cs="Times New Roman"/>
                <w:color w:val="000000" w:themeColor="text1"/>
                <w:sz w:val="24"/>
                <w:szCs w:val="24"/>
                <w:vertAlign w:val="subscript"/>
                <w14:textFill>
                  <w14:solidFill>
                    <w14:schemeClr w14:val="tx1"/>
                  </w14:solidFill>
                </w14:textFill>
              </w:rPr>
              <w:t>p</w:t>
            </w:r>
            <w:r>
              <w:rPr>
                <w:rFonts w:cs="Times New Roman"/>
                <w:color w:val="000000" w:themeColor="text1"/>
                <w:sz w:val="24"/>
                <w:szCs w:val="24"/>
                <w14:textFill>
                  <w14:solidFill>
                    <w14:schemeClr w14:val="tx1"/>
                  </w14:solidFill>
                </w14:textFill>
              </w:rPr>
              <w:t>（</w:t>
            </w:r>
            <w:r>
              <w:rPr>
                <w:rFonts w:hint="eastAsia" w:cs="Times New Roman"/>
                <w:color w:val="000000" w:themeColor="text1"/>
                <w:sz w:val="24"/>
                <w:szCs w:val="24"/>
                <w14:textFill>
                  <w14:solidFill>
                    <w14:schemeClr w14:val="tx1"/>
                  </w14:solidFill>
                </w14:textFill>
              </w:rPr>
              <w:t>r</w:t>
            </w:r>
            <w:r>
              <w:rPr>
                <w:rFonts w:hint="eastAsia" w:cs="Times New Roman"/>
                <w:color w:val="000000" w:themeColor="text1"/>
                <w:sz w:val="24"/>
                <w:szCs w:val="24"/>
                <w:vertAlign w:val="subscript"/>
                <w14:textFill>
                  <w14:solidFill>
                    <w14:schemeClr w14:val="tx1"/>
                  </w14:solidFill>
                </w14:textFill>
              </w:rPr>
              <w:t>0</w:t>
            </w:r>
            <w:r>
              <w:rPr>
                <w:rFonts w:cs="Times New Roman"/>
                <w:color w:val="000000" w:themeColor="text1"/>
                <w:sz w:val="24"/>
                <w:szCs w:val="24"/>
                <w14:textFill>
                  <w14:solidFill>
                    <w14:schemeClr w14:val="tx1"/>
                  </w14:solidFill>
                </w14:textFill>
              </w:rPr>
              <w:t>）-20lg（r/</w:t>
            </w:r>
            <w:r>
              <w:rPr>
                <w:rFonts w:hint="eastAsia" w:cs="Times New Roman"/>
                <w:color w:val="000000" w:themeColor="text1"/>
                <w:sz w:val="24"/>
                <w:szCs w:val="24"/>
                <w14:textFill>
                  <w14:solidFill>
                    <w14:schemeClr w14:val="tx1"/>
                  </w14:solidFill>
                </w14:textFill>
              </w:rPr>
              <w:t>r</w:t>
            </w:r>
            <w:r>
              <w:rPr>
                <w:rFonts w:hint="eastAsia" w:cs="Times New Roman"/>
                <w:color w:val="000000" w:themeColor="text1"/>
                <w:sz w:val="24"/>
                <w:szCs w:val="24"/>
                <w:vertAlign w:val="subscript"/>
                <w14:textFill>
                  <w14:solidFill>
                    <w14:schemeClr w14:val="tx1"/>
                  </w14:solidFill>
                </w14:textFill>
              </w:rPr>
              <w:t>0</w:t>
            </w:r>
            <w:r>
              <w:rPr>
                <w:rFonts w:cs="Times New Roman"/>
                <w:color w:val="000000" w:themeColor="text1"/>
                <w:sz w:val="24"/>
                <w:szCs w:val="24"/>
                <w14:textFill>
                  <w14:solidFill>
                    <w14:schemeClr w14:val="tx1"/>
                  </w14:solidFill>
                </w14:textFill>
              </w:rPr>
              <w:t>）</w:t>
            </w:r>
          </w:p>
          <w:p w14:paraId="4F332700">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声源处于自由</w:t>
            </w:r>
            <w:r>
              <w:rPr>
                <w:rFonts w:hint="eastAsia" w:cs="Times New Roman"/>
                <w:color w:val="000000" w:themeColor="text1"/>
                <w:sz w:val="24"/>
                <w:szCs w:val="24"/>
                <w14:textFill>
                  <w14:solidFill>
                    <w14:schemeClr w14:val="tx1"/>
                  </w14:solidFill>
                </w14:textFill>
              </w:rPr>
              <w:t>声场：</w:t>
            </w:r>
          </w:p>
          <w:p w14:paraId="27593072">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A</w:t>
            </w:r>
            <w:r>
              <w:rPr>
                <w:rFonts w:cs="Times New Roman"/>
                <w:color w:val="000000" w:themeColor="text1"/>
                <w:sz w:val="24"/>
                <w:szCs w:val="24"/>
                <w14:textFill>
                  <w14:solidFill>
                    <w14:schemeClr w14:val="tx1"/>
                  </w14:solidFill>
                </w14:textFill>
              </w:rPr>
              <w:t>（r）=L</w:t>
            </w:r>
            <w:r>
              <w:rPr>
                <w:rFonts w:cs="Times New Roman"/>
                <w:color w:val="000000" w:themeColor="text1"/>
                <w:sz w:val="24"/>
                <w:szCs w:val="24"/>
                <w:vertAlign w:val="subscript"/>
                <w14:textFill>
                  <w14:solidFill>
                    <w14:schemeClr w14:val="tx1"/>
                  </w14:solidFill>
                </w14:textFill>
              </w:rPr>
              <w:t>A</w:t>
            </w:r>
            <w:r>
              <w:rPr>
                <w:rFonts w:hint="eastAsia" w:cs="Times New Roman"/>
                <w:color w:val="000000" w:themeColor="text1"/>
                <w:sz w:val="24"/>
                <w:szCs w:val="24"/>
                <w:vertAlign w:val="subscript"/>
                <w14:textFill>
                  <w14:solidFill>
                    <w14:schemeClr w14:val="tx1"/>
                  </w14:solidFill>
                </w14:textFill>
              </w:rPr>
              <w:t>w</w:t>
            </w:r>
            <w:r>
              <w:rPr>
                <w:rFonts w:cs="Times New Roman"/>
                <w:color w:val="000000" w:themeColor="text1"/>
                <w:sz w:val="24"/>
                <w:szCs w:val="24"/>
                <w14:textFill>
                  <w14:solidFill>
                    <w14:schemeClr w14:val="tx1"/>
                  </w14:solidFill>
                </w14:textFill>
              </w:rPr>
              <w:t>-20lg</w:t>
            </w:r>
            <w:r>
              <w:rPr>
                <w:rFonts w:hint="eastAsia" w:cs="Times New Roman"/>
                <w:color w:val="000000" w:themeColor="text1"/>
                <w:sz w:val="24"/>
                <w:szCs w:val="24"/>
                <w14:textFill>
                  <w14:solidFill>
                    <w14:schemeClr w14:val="tx1"/>
                  </w14:solidFill>
                </w14:textFill>
              </w:rPr>
              <w:t>r</w:t>
            </w:r>
            <w:r>
              <w:rPr>
                <w:rFonts w:cs="Times New Roman"/>
                <w:color w:val="000000" w:themeColor="text1"/>
                <w:sz w:val="24"/>
                <w:szCs w:val="24"/>
                <w14:textFill>
                  <w14:solidFill>
                    <w14:schemeClr w14:val="tx1"/>
                  </w14:solidFill>
                </w14:textFill>
              </w:rPr>
              <w:t>-11</w:t>
            </w:r>
          </w:p>
          <w:p w14:paraId="4775FE06">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声源处于半自由</w:t>
            </w:r>
            <w:r>
              <w:rPr>
                <w:rFonts w:hint="eastAsia" w:cs="Times New Roman"/>
                <w:color w:val="000000" w:themeColor="text1"/>
                <w:sz w:val="24"/>
                <w:szCs w:val="24"/>
                <w14:textFill>
                  <w14:solidFill>
                    <w14:schemeClr w14:val="tx1"/>
                  </w14:solidFill>
                </w14:textFill>
              </w:rPr>
              <w:t>声场：</w:t>
            </w:r>
          </w:p>
          <w:p w14:paraId="2347C252">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A</w:t>
            </w:r>
            <w:r>
              <w:rPr>
                <w:rFonts w:cs="Times New Roman"/>
                <w:color w:val="000000" w:themeColor="text1"/>
                <w:sz w:val="24"/>
                <w:szCs w:val="24"/>
                <w14:textFill>
                  <w14:solidFill>
                    <w14:schemeClr w14:val="tx1"/>
                  </w14:solidFill>
                </w14:textFill>
              </w:rPr>
              <w:t>（r）=L</w:t>
            </w:r>
            <w:r>
              <w:rPr>
                <w:rFonts w:cs="Times New Roman"/>
                <w:color w:val="000000" w:themeColor="text1"/>
                <w:sz w:val="24"/>
                <w:szCs w:val="24"/>
                <w:vertAlign w:val="subscript"/>
                <w14:textFill>
                  <w14:solidFill>
                    <w14:schemeClr w14:val="tx1"/>
                  </w14:solidFill>
                </w14:textFill>
              </w:rPr>
              <w:t>A</w:t>
            </w:r>
            <w:r>
              <w:rPr>
                <w:rFonts w:hint="eastAsia" w:cs="Times New Roman"/>
                <w:color w:val="000000" w:themeColor="text1"/>
                <w:sz w:val="24"/>
                <w:szCs w:val="24"/>
                <w:vertAlign w:val="subscript"/>
                <w14:textFill>
                  <w14:solidFill>
                    <w14:schemeClr w14:val="tx1"/>
                  </w14:solidFill>
                </w14:textFill>
              </w:rPr>
              <w:t>w</w:t>
            </w:r>
            <w:r>
              <w:rPr>
                <w:rFonts w:cs="Times New Roman"/>
                <w:color w:val="000000" w:themeColor="text1"/>
                <w:sz w:val="24"/>
                <w:szCs w:val="24"/>
                <w14:textFill>
                  <w14:solidFill>
                    <w14:schemeClr w14:val="tx1"/>
                  </w14:solidFill>
                </w14:textFill>
              </w:rPr>
              <w:t>-20lg</w:t>
            </w:r>
            <w:r>
              <w:rPr>
                <w:rFonts w:hint="eastAsia" w:cs="Times New Roman"/>
                <w:color w:val="000000" w:themeColor="text1"/>
                <w:sz w:val="24"/>
                <w:szCs w:val="24"/>
                <w14:textFill>
                  <w14:solidFill>
                    <w14:schemeClr w14:val="tx1"/>
                  </w14:solidFill>
                </w14:textFill>
              </w:rPr>
              <w:t>r</w:t>
            </w:r>
            <w:r>
              <w:rPr>
                <w:rFonts w:cs="Times New Roman"/>
                <w:color w:val="000000" w:themeColor="text1"/>
                <w:sz w:val="24"/>
                <w:szCs w:val="24"/>
                <w14:textFill>
                  <w14:solidFill>
                    <w14:schemeClr w14:val="tx1"/>
                  </w14:solidFill>
                </w14:textFill>
              </w:rPr>
              <w:t>-8</w:t>
            </w:r>
          </w:p>
          <w:p w14:paraId="2707DB08">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B、指向性点声源几何发散衰减</w:t>
            </w:r>
            <w:r>
              <w:rPr>
                <w:rFonts w:hint="eastAsia" w:cs="Times New Roman"/>
                <w:color w:val="000000" w:themeColor="text1"/>
                <w:sz w:val="24"/>
                <w:szCs w:val="24"/>
                <w14:textFill>
                  <w14:solidFill>
                    <w14:schemeClr w14:val="tx1"/>
                  </w14:solidFill>
                </w14:textFill>
              </w:rPr>
              <w:t>：</w:t>
            </w:r>
          </w:p>
          <w:p w14:paraId="042319AF">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对于自由空间的点声源，其在某一θ方向上距离r处的声压级【L</w:t>
            </w:r>
            <w:r>
              <w:rPr>
                <w:rFonts w:cs="Times New Roman"/>
                <w:color w:val="000000" w:themeColor="text1"/>
                <w:sz w:val="24"/>
                <w:szCs w:val="24"/>
                <w:vertAlign w:val="subscript"/>
                <w14:textFill>
                  <w14:solidFill>
                    <w14:schemeClr w14:val="tx1"/>
                  </w14:solidFill>
                </w14:textFill>
              </w:rPr>
              <w:t>p</w:t>
            </w:r>
            <w:r>
              <w:rPr>
                <w:rFonts w:cs="Times New Roman"/>
                <w:color w:val="000000" w:themeColor="text1"/>
                <w:sz w:val="24"/>
                <w:szCs w:val="24"/>
                <w14:textFill>
                  <w14:solidFill>
                    <w14:schemeClr w14:val="tx1"/>
                  </w14:solidFill>
                </w14:textFill>
              </w:rPr>
              <w:t>（r）θ】</w:t>
            </w:r>
            <w:r>
              <w:rPr>
                <w:rFonts w:hint="eastAsia" w:cs="Times New Roman"/>
                <w:color w:val="000000" w:themeColor="text1"/>
                <w:sz w:val="24"/>
                <w:szCs w:val="24"/>
                <w14:textFill>
                  <w14:solidFill>
                    <w14:schemeClr w14:val="tx1"/>
                  </w14:solidFill>
                </w14:textFill>
              </w:rPr>
              <w:t>：</w:t>
            </w:r>
          </w:p>
          <w:p w14:paraId="42BA9561">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w:t>
            </w:r>
            <w:r>
              <w:rPr>
                <w:rFonts w:hint="eastAsia" w:cs="Times New Roman"/>
                <w:color w:val="000000" w:themeColor="text1"/>
                <w:sz w:val="24"/>
                <w:szCs w:val="24"/>
                <w14:textFill>
                  <w14:solidFill>
                    <w14:schemeClr w14:val="tx1"/>
                  </w14:solidFill>
                </w14:textFill>
              </w:rPr>
              <w:t>(</w:t>
            </w:r>
            <w:r>
              <w:rPr>
                <w:rFonts w:cs="Times New Roman"/>
                <w:color w:val="000000" w:themeColor="text1"/>
                <w:sz w:val="24"/>
                <w:szCs w:val="24"/>
                <w14:textFill>
                  <w14:solidFill>
                    <w14:schemeClr w14:val="tx1"/>
                  </w14:solidFill>
                </w14:textFill>
              </w:rPr>
              <w:t>r</w:t>
            </w:r>
            <w:r>
              <w:rPr>
                <w:rFonts w:hint="eastAsia" w:cs="Times New Roman"/>
                <w:color w:val="000000" w:themeColor="text1"/>
                <w:sz w:val="24"/>
                <w:szCs w:val="24"/>
                <w14:textFill>
                  <w14:solidFill>
                    <w14:schemeClr w14:val="tx1"/>
                  </w14:solidFill>
                </w14:textFill>
              </w:rPr>
              <w:t>)</w:t>
            </w:r>
            <w:r>
              <w:rPr>
                <w:rFonts w:cs="Times New Roman"/>
                <w:color w:val="000000" w:themeColor="text1"/>
                <w:sz w:val="24"/>
                <w:szCs w:val="24"/>
                <w:vertAlign w:val="subscript"/>
                <w14:textFill>
                  <w14:solidFill>
                    <w14:schemeClr w14:val="tx1"/>
                  </w14:solidFill>
                </w14:textFill>
              </w:rPr>
              <w:t>θ</w:t>
            </w: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w</w:t>
            </w:r>
            <w:r>
              <w:rPr>
                <w:rFonts w:cs="Times New Roman"/>
                <w:color w:val="000000" w:themeColor="text1"/>
                <w:sz w:val="24"/>
                <w:szCs w:val="24"/>
                <w14:textFill>
                  <w14:solidFill>
                    <w14:schemeClr w14:val="tx1"/>
                  </w14:solidFill>
                </w14:textFill>
              </w:rPr>
              <w:t>-20lg（r）+D</w:t>
            </w:r>
            <w:r>
              <w:rPr>
                <w:rFonts w:hint="eastAsia" w:cs="Times New Roman"/>
                <w:i/>
                <w:iCs/>
                <w:color w:val="000000" w:themeColor="text1"/>
                <w:sz w:val="24"/>
                <w:szCs w:val="24"/>
                <w:vertAlign w:val="subscript"/>
                <w14:textFill>
                  <w14:solidFill>
                    <w14:schemeClr w14:val="tx1"/>
                  </w14:solidFill>
                </w14:textFill>
              </w:rPr>
              <w:t>I</w:t>
            </w:r>
            <w:r>
              <w:rPr>
                <w:rFonts w:cs="Times New Roman"/>
                <w:i/>
                <w:iCs/>
                <w:color w:val="000000" w:themeColor="text1"/>
                <w:sz w:val="24"/>
                <w:szCs w:val="24"/>
                <w:vertAlign w:val="subscript"/>
                <w14:textFill>
                  <w14:solidFill>
                    <w14:schemeClr w14:val="tx1"/>
                  </w14:solidFill>
                </w14:textFill>
              </w:rPr>
              <w:t>θ</w:t>
            </w:r>
            <w:r>
              <w:rPr>
                <w:rFonts w:cs="Times New Roman"/>
                <w:color w:val="000000" w:themeColor="text1"/>
                <w:sz w:val="24"/>
                <w:szCs w:val="24"/>
                <w14:textFill>
                  <w14:solidFill>
                    <w14:schemeClr w14:val="tx1"/>
                  </w14:solidFill>
                </w14:textFill>
              </w:rPr>
              <w:t>-11</w:t>
            </w:r>
          </w:p>
          <w:p w14:paraId="508C10E2">
            <w:pPr>
              <w:pStyle w:val="78"/>
              <w:spacing w:line="360" w:lineRule="auto"/>
              <w:ind w:firstLine="480"/>
              <w:rPr>
                <w:rFonts w:hint="eastAsia" w:eastAsia="宋体" w:cs="Times New Roman"/>
                <w:color w:val="000000" w:themeColor="text1"/>
                <w:sz w:val="24"/>
                <w:szCs w:val="24"/>
                <w:lang w:eastAsia="zh-CN"/>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w:t>
            </w:r>
            <w:r>
              <w:rPr>
                <w:rFonts w:hint="eastAsia" w:cs="Times New Roman"/>
                <w:color w:val="000000" w:themeColor="text1"/>
                <w:sz w:val="24"/>
                <w:szCs w:val="24"/>
                <w14:textFill>
                  <w14:solidFill>
                    <w14:schemeClr w14:val="tx1"/>
                  </w14:solidFill>
                </w14:textFill>
              </w:rPr>
              <w:t>(</w:t>
            </w:r>
            <w:r>
              <w:rPr>
                <w:rFonts w:cs="Times New Roman"/>
                <w:color w:val="000000" w:themeColor="text1"/>
                <w:sz w:val="24"/>
                <w:szCs w:val="24"/>
                <w14:textFill>
                  <w14:solidFill>
                    <w14:schemeClr w14:val="tx1"/>
                  </w14:solidFill>
                </w14:textFill>
              </w:rPr>
              <w:t>r</w:t>
            </w:r>
            <w:r>
              <w:rPr>
                <w:rFonts w:hint="eastAsia" w:cs="Times New Roman"/>
                <w:color w:val="000000" w:themeColor="text1"/>
                <w:sz w:val="24"/>
                <w:szCs w:val="24"/>
                <w14:textFill>
                  <w14:solidFill>
                    <w14:schemeClr w14:val="tx1"/>
                  </w14:solidFill>
                </w14:textFill>
              </w:rPr>
              <w:t>)</w:t>
            </w:r>
            <w:r>
              <w:rPr>
                <w:rFonts w:cs="Times New Roman"/>
                <w:color w:val="000000" w:themeColor="text1"/>
                <w:sz w:val="24"/>
                <w:szCs w:val="24"/>
                <w:vertAlign w:val="subscript"/>
                <w14:textFill>
                  <w14:solidFill>
                    <w14:schemeClr w14:val="tx1"/>
                  </w14:solidFill>
                </w14:textFill>
              </w:rPr>
              <w:t>θ</w:t>
            </w:r>
            <w:r>
              <w:rPr>
                <w:rFonts w:cs="Times New Roman"/>
                <w:color w:val="000000" w:themeColor="text1"/>
                <w:sz w:val="24"/>
                <w:szCs w:val="24"/>
                <w14:textFill>
                  <w14:solidFill>
                    <w14:schemeClr w14:val="tx1"/>
                  </w14:solidFill>
                </w14:textFill>
              </w:rPr>
              <w:t>—自由空间的点声源在某一θ方向上距离r处的声压级，dB；</w:t>
            </w:r>
          </w:p>
          <w:p w14:paraId="446527C1">
            <w:pPr>
              <w:pStyle w:val="78"/>
              <w:spacing w:line="360" w:lineRule="auto"/>
              <w:ind w:firstLine="480"/>
              <w:rPr>
                <w:rFonts w:hint="eastAsia" w:eastAsia="宋体" w:cs="Times New Roman"/>
                <w:color w:val="000000" w:themeColor="text1"/>
                <w:sz w:val="24"/>
                <w:szCs w:val="24"/>
                <w:lang w:eastAsia="zh-CN"/>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w</w:t>
            </w:r>
            <w:r>
              <w:rPr>
                <w:rFonts w:cs="Times New Roman"/>
                <w:color w:val="000000" w:themeColor="text1"/>
                <w:sz w:val="24"/>
                <w:szCs w:val="24"/>
                <w14:textFill>
                  <w14:solidFill>
                    <w14:schemeClr w14:val="tx1"/>
                  </w14:solidFill>
                </w14:textFill>
              </w:rPr>
              <w:t>—点声源声功率级（A计权或倍频带），dB；</w:t>
            </w:r>
          </w:p>
          <w:p w14:paraId="0CBB16AD">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r—预测点距声源的距离；</w:t>
            </w:r>
          </w:p>
          <w:p w14:paraId="2E2B9821">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D</w:t>
            </w:r>
            <w:r>
              <w:rPr>
                <w:rFonts w:hint="eastAsia" w:cs="Times New Roman"/>
                <w:i/>
                <w:iCs/>
                <w:color w:val="000000" w:themeColor="text1"/>
                <w:sz w:val="24"/>
                <w:szCs w:val="24"/>
                <w:vertAlign w:val="subscript"/>
                <w14:textFill>
                  <w14:solidFill>
                    <w14:schemeClr w14:val="tx1"/>
                  </w14:solidFill>
                </w14:textFill>
              </w:rPr>
              <w:t>I</w:t>
            </w:r>
            <w:r>
              <w:rPr>
                <w:rFonts w:cs="Times New Roman"/>
                <w:i/>
                <w:iCs/>
                <w:color w:val="000000" w:themeColor="text1"/>
                <w:sz w:val="24"/>
                <w:szCs w:val="24"/>
                <w:vertAlign w:val="subscript"/>
                <w14:textFill>
                  <w14:solidFill>
                    <w14:schemeClr w14:val="tx1"/>
                  </w14:solidFill>
                </w14:textFill>
              </w:rPr>
              <w:t>θ</w:t>
            </w:r>
            <w:r>
              <w:rPr>
                <w:rFonts w:cs="Times New Roman"/>
                <w:color w:val="000000" w:themeColor="text1"/>
                <w:sz w:val="24"/>
                <w:szCs w:val="24"/>
                <w14:textFill>
                  <w14:solidFill>
                    <w14:schemeClr w14:val="tx1"/>
                  </w14:solidFill>
                </w14:textFill>
              </w:rPr>
              <w:t>—θ方向上的指向性指数，D</w:t>
            </w:r>
            <w:r>
              <w:rPr>
                <w:rFonts w:hint="eastAsia" w:cs="Times New Roman"/>
                <w:i/>
                <w:iCs/>
                <w:color w:val="000000" w:themeColor="text1"/>
                <w:sz w:val="24"/>
                <w:szCs w:val="24"/>
                <w:vertAlign w:val="subscript"/>
                <w14:textFill>
                  <w14:solidFill>
                    <w14:schemeClr w14:val="tx1"/>
                  </w14:solidFill>
                </w14:textFill>
              </w:rPr>
              <w:t>I</w:t>
            </w:r>
            <w:r>
              <w:rPr>
                <w:rFonts w:cs="Times New Roman"/>
                <w:i/>
                <w:iCs/>
                <w:color w:val="000000" w:themeColor="text1"/>
                <w:sz w:val="24"/>
                <w:szCs w:val="24"/>
                <w:vertAlign w:val="subscript"/>
                <w14:textFill>
                  <w14:solidFill>
                    <w14:schemeClr w14:val="tx1"/>
                  </w14:solidFill>
                </w14:textFill>
              </w:rPr>
              <w:t>θ</w:t>
            </w:r>
            <w:r>
              <w:rPr>
                <w:rFonts w:cs="Times New Roman"/>
                <w:color w:val="000000" w:themeColor="text1"/>
                <w:sz w:val="24"/>
                <w:szCs w:val="24"/>
                <w14:textFill>
                  <w14:solidFill>
                    <w14:schemeClr w14:val="tx1"/>
                  </w14:solidFill>
                </w14:textFill>
              </w:rPr>
              <w:t>=10lgR</w:t>
            </w:r>
            <w:r>
              <w:rPr>
                <w:rFonts w:cs="Times New Roman"/>
                <w:color w:val="000000" w:themeColor="text1"/>
                <w:sz w:val="24"/>
                <w:szCs w:val="24"/>
                <w:vertAlign w:val="subscript"/>
                <w14:textFill>
                  <w14:solidFill>
                    <w14:schemeClr w14:val="tx1"/>
                  </w14:solidFill>
                </w14:textFill>
              </w:rPr>
              <w:t>θ</w:t>
            </w:r>
            <w:r>
              <w:rPr>
                <w:rFonts w:cs="Times New Roman"/>
                <w:color w:val="000000" w:themeColor="text1"/>
                <w:sz w:val="24"/>
                <w:szCs w:val="24"/>
                <w14:textFill>
                  <w14:solidFill>
                    <w14:schemeClr w14:val="tx1"/>
                  </w14:solidFill>
                </w14:textFill>
              </w:rPr>
              <w:t>，其中，R</w:t>
            </w:r>
            <w:r>
              <w:rPr>
                <w:rFonts w:cs="Times New Roman"/>
                <w:color w:val="000000" w:themeColor="text1"/>
                <w:sz w:val="24"/>
                <w:szCs w:val="24"/>
                <w:vertAlign w:val="subscript"/>
                <w14:textFill>
                  <w14:solidFill>
                    <w14:schemeClr w14:val="tx1"/>
                  </w14:solidFill>
                </w14:textFill>
              </w:rPr>
              <w:t>θ</w:t>
            </w:r>
            <w:r>
              <w:rPr>
                <w:rFonts w:cs="Times New Roman"/>
                <w:color w:val="000000" w:themeColor="text1"/>
                <w:sz w:val="24"/>
                <w:szCs w:val="24"/>
                <w14:textFill>
                  <w14:solidFill>
                    <w14:schemeClr w14:val="tx1"/>
                  </w14:solidFill>
                </w14:textFill>
              </w:rPr>
              <w:t>为指向性因数，R</w:t>
            </w:r>
            <w:r>
              <w:rPr>
                <w:rFonts w:cs="Times New Roman"/>
                <w:color w:val="000000" w:themeColor="text1"/>
                <w:sz w:val="24"/>
                <w:szCs w:val="24"/>
                <w:vertAlign w:val="subscript"/>
                <w14:textFill>
                  <w14:solidFill>
                    <w14:schemeClr w14:val="tx1"/>
                  </w14:solidFill>
                </w14:textFill>
              </w:rPr>
              <w:t>θ</w:t>
            </w:r>
            <w:r>
              <w:rPr>
                <w:rFonts w:cs="Times New Roman"/>
                <w:color w:val="000000" w:themeColor="text1"/>
                <w:sz w:val="24"/>
                <w:szCs w:val="24"/>
                <w14:textFill>
                  <w14:solidFill>
                    <w14:schemeClr w14:val="tx1"/>
                  </w14:solidFill>
                </w14:textFill>
              </w:rPr>
              <w:t>=I</w:t>
            </w:r>
            <w:r>
              <w:rPr>
                <w:rFonts w:cs="Times New Roman"/>
                <w:color w:val="000000" w:themeColor="text1"/>
                <w:sz w:val="24"/>
                <w:szCs w:val="24"/>
                <w:vertAlign w:val="subscript"/>
                <w14:textFill>
                  <w14:solidFill>
                    <w14:schemeClr w14:val="tx1"/>
                  </w14:solidFill>
                </w14:textFill>
              </w:rPr>
              <w:t>θ</w:t>
            </w:r>
            <w:r>
              <w:rPr>
                <w:rFonts w:cs="Times New Roman"/>
                <w:color w:val="000000" w:themeColor="text1"/>
                <w:sz w:val="24"/>
                <w:szCs w:val="24"/>
                <w14:textFill>
                  <w14:solidFill>
                    <w14:schemeClr w14:val="tx1"/>
                  </w14:solidFill>
                </w14:textFill>
              </w:rPr>
              <w:t>/I，其中，I为所有方向上的平均声强，W/m</w:t>
            </w:r>
            <w:r>
              <w:rPr>
                <w:rFonts w:cs="Times New Roman"/>
                <w:color w:val="000000" w:themeColor="text1"/>
                <w:sz w:val="24"/>
                <w:szCs w:val="24"/>
                <w:vertAlign w:val="superscript"/>
                <w14:textFill>
                  <w14:solidFill>
                    <w14:schemeClr w14:val="tx1"/>
                  </w14:solidFill>
                </w14:textFill>
              </w:rPr>
              <w:t>2</w:t>
            </w:r>
            <w:r>
              <w:rPr>
                <w:rFonts w:cs="Times New Roman"/>
                <w:color w:val="000000" w:themeColor="text1"/>
                <w:sz w:val="24"/>
                <w:szCs w:val="24"/>
                <w14:textFill>
                  <w14:solidFill>
                    <w14:schemeClr w14:val="tx1"/>
                  </w14:solidFill>
                </w14:textFill>
              </w:rPr>
              <w:t>，I</w:t>
            </w:r>
            <w:r>
              <w:rPr>
                <w:rFonts w:cs="Times New Roman"/>
                <w:color w:val="000000" w:themeColor="text1"/>
                <w:sz w:val="24"/>
                <w:szCs w:val="24"/>
                <w:vertAlign w:val="subscript"/>
                <w14:textFill>
                  <w14:solidFill>
                    <w14:schemeClr w14:val="tx1"/>
                  </w14:solidFill>
                </w14:textFill>
              </w:rPr>
              <w:t>θ</w:t>
            </w:r>
            <w:r>
              <w:rPr>
                <w:rFonts w:cs="Times New Roman"/>
                <w:color w:val="000000" w:themeColor="text1"/>
                <w:sz w:val="24"/>
                <w:szCs w:val="24"/>
                <w14:textFill>
                  <w14:solidFill>
                    <w14:schemeClr w14:val="tx1"/>
                  </w14:solidFill>
                </w14:textFill>
              </w:rPr>
              <w:t>为某一θ方向上的声强，W/m</w:t>
            </w:r>
            <w:r>
              <w:rPr>
                <w:rFonts w:cs="Times New Roman"/>
                <w:color w:val="000000" w:themeColor="text1"/>
                <w:sz w:val="24"/>
                <w:szCs w:val="24"/>
                <w:vertAlign w:val="superscript"/>
                <w14:textFill>
                  <w14:solidFill>
                    <w14:schemeClr w14:val="tx1"/>
                  </w14:solidFill>
                </w14:textFill>
              </w:rPr>
              <w:t>2</w:t>
            </w:r>
            <w:r>
              <w:rPr>
                <w:rFonts w:cs="Times New Roman"/>
                <w:color w:val="000000" w:themeColor="text1"/>
                <w:sz w:val="24"/>
                <w:szCs w:val="24"/>
                <w14:textFill>
                  <w14:solidFill>
                    <w14:schemeClr w14:val="tx1"/>
                  </w14:solidFill>
                </w14:textFill>
              </w:rPr>
              <w:t>。</w:t>
            </w:r>
          </w:p>
          <w:p w14:paraId="1ED05560">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②面声源的几何发散衰减</w:t>
            </w:r>
          </w:p>
          <w:p w14:paraId="3B91C31E">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一个大型机器设备的振动表面，车间透声的墙壁，均可以认为是面声源。如果已知面声源单位面积的声功率为W</w:t>
            </w:r>
            <w:r>
              <w:rPr>
                <w:rFonts w:hint="eastAsia" w:cs="Times New Roman"/>
                <w:color w:val="000000" w:themeColor="text1"/>
                <w:sz w:val="24"/>
                <w:szCs w:val="24"/>
                <w14:textFill>
                  <w14:solidFill>
                    <w14:schemeClr w14:val="tx1"/>
                  </w14:solidFill>
                </w14:textFill>
              </w:rPr>
              <w:t>，</w:t>
            </w:r>
            <w:r>
              <w:rPr>
                <w:rFonts w:cs="Times New Roman"/>
                <w:color w:val="000000" w:themeColor="text1"/>
                <w:sz w:val="24"/>
                <w:szCs w:val="24"/>
                <w14:textFill>
                  <w14:solidFill>
                    <w14:schemeClr w14:val="tx1"/>
                  </w14:solidFill>
                </w14:textFill>
              </w:rPr>
              <w:t>各面积元噪声的位相是随机的，面声源可看作由无数点声源连续分布组合而成，其合成声级可按能量叠加法求出。</w:t>
            </w:r>
          </w:p>
          <w:p w14:paraId="5D4330BB">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当预测点和面声源中心距离r处于以下条件时，可按下述方法近似计算</w:t>
            </w:r>
            <w:r>
              <w:rPr>
                <w:rFonts w:hint="eastAsia" w:cs="Times New Roman"/>
                <w:color w:val="000000" w:themeColor="text1"/>
                <w:sz w:val="24"/>
                <w:szCs w:val="24"/>
                <w14:textFill>
                  <w14:solidFill>
                    <w14:schemeClr w14:val="tx1"/>
                  </w14:solidFill>
                </w14:textFill>
              </w:rPr>
              <w:t>：</w:t>
            </w:r>
            <w:r>
              <w:rPr>
                <w:rFonts w:cs="Times New Roman"/>
                <w:color w:val="000000" w:themeColor="text1"/>
                <w:sz w:val="24"/>
                <w:szCs w:val="24"/>
                <w14:textFill>
                  <w14:solidFill>
                    <w14:schemeClr w14:val="tx1"/>
                  </w14:solidFill>
                </w14:textFill>
              </w:rPr>
              <w:t>r&lt;a/π时，几乎不衰减（A</w:t>
            </w:r>
            <w:r>
              <w:rPr>
                <w:rFonts w:cs="Times New Roman"/>
                <w:color w:val="000000" w:themeColor="text1"/>
                <w:sz w:val="24"/>
                <w:szCs w:val="24"/>
                <w:vertAlign w:val="subscript"/>
                <w14:textFill>
                  <w14:solidFill>
                    <w14:schemeClr w14:val="tx1"/>
                  </w14:solidFill>
                </w14:textFill>
              </w:rPr>
              <w:t>div</w:t>
            </w:r>
            <w:r>
              <w:rPr>
                <w:rFonts w:cs="Times New Roman"/>
                <w:color w:val="000000" w:themeColor="text1"/>
                <w:sz w:val="24"/>
                <w:szCs w:val="24"/>
                <w14:textFill>
                  <w14:solidFill>
                    <w14:schemeClr w14:val="tx1"/>
                  </w14:solidFill>
                </w14:textFill>
              </w:rPr>
              <w:t>=0）；当a/π&lt;r&lt;b/π，距离加倍衰减3dB左右，类似线声源衰减特性（A</w:t>
            </w:r>
            <w:r>
              <w:rPr>
                <w:rFonts w:cs="Times New Roman"/>
                <w:color w:val="000000" w:themeColor="text1"/>
                <w:sz w:val="24"/>
                <w:szCs w:val="24"/>
                <w:vertAlign w:val="subscript"/>
                <w14:textFill>
                  <w14:solidFill>
                    <w14:schemeClr w14:val="tx1"/>
                  </w14:solidFill>
                </w14:textFill>
              </w:rPr>
              <w:t>dir</w:t>
            </w:r>
            <w:r>
              <w:rPr>
                <w:rFonts w:cs="Times New Roman"/>
                <w:color w:val="000000" w:themeColor="text1"/>
                <w:sz w:val="24"/>
                <w:szCs w:val="24"/>
                <w14:textFill>
                  <w14:solidFill>
                    <w14:schemeClr w14:val="tx1"/>
                  </w14:solidFill>
                </w14:textFill>
              </w:rPr>
              <w:t>≈10lg（r/r</w:t>
            </w:r>
            <w:r>
              <w:rPr>
                <w:rFonts w:cs="Times New Roman"/>
                <w:color w:val="000000" w:themeColor="text1"/>
                <w:sz w:val="24"/>
                <w:szCs w:val="24"/>
                <w:vertAlign w:val="subscript"/>
                <w14:textFill>
                  <w14:solidFill>
                    <w14:schemeClr w14:val="tx1"/>
                  </w14:solidFill>
                </w14:textFill>
              </w:rPr>
              <w:t>0</w:t>
            </w:r>
            <w:r>
              <w:rPr>
                <w:rFonts w:cs="Times New Roman"/>
                <w:color w:val="000000" w:themeColor="text1"/>
                <w:sz w:val="24"/>
                <w:szCs w:val="24"/>
                <w14:textFill>
                  <w14:solidFill>
                    <w14:schemeClr w14:val="tx1"/>
                  </w14:solidFill>
                </w14:textFill>
              </w:rPr>
              <w:t>））；当r&gt;b/π时，距离加倍衰减趋近于6dB，类似点声源衰减特性（A</w:t>
            </w:r>
            <w:r>
              <w:rPr>
                <w:rFonts w:cs="Times New Roman"/>
                <w:color w:val="000000" w:themeColor="text1"/>
                <w:sz w:val="24"/>
                <w:szCs w:val="24"/>
                <w:vertAlign w:val="subscript"/>
                <w14:textFill>
                  <w14:solidFill>
                    <w14:schemeClr w14:val="tx1"/>
                  </w14:solidFill>
                </w14:textFill>
              </w:rPr>
              <w:t>div</w:t>
            </w:r>
            <w:r>
              <w:rPr>
                <w:rFonts w:cs="Times New Roman"/>
                <w:color w:val="000000" w:themeColor="text1"/>
                <w:sz w:val="24"/>
                <w:szCs w:val="24"/>
                <w14:textFill>
                  <w14:solidFill>
                    <w14:schemeClr w14:val="tx1"/>
                  </w14:solidFill>
                </w14:textFill>
              </w:rPr>
              <w:t>≈20lg（r/r</w:t>
            </w:r>
            <w:r>
              <w:rPr>
                <w:rFonts w:cs="Times New Roman"/>
                <w:color w:val="000000" w:themeColor="text1"/>
                <w:sz w:val="24"/>
                <w:szCs w:val="24"/>
                <w:vertAlign w:val="subscript"/>
                <w14:textFill>
                  <w14:solidFill>
                    <w14:schemeClr w14:val="tx1"/>
                  </w14:solidFill>
                </w14:textFill>
              </w:rPr>
              <w:t>0</w:t>
            </w:r>
            <w:r>
              <w:rPr>
                <w:rFonts w:cs="Times New Roman"/>
                <w:color w:val="000000" w:themeColor="text1"/>
                <w:sz w:val="24"/>
                <w:szCs w:val="24"/>
                <w14:textFill>
                  <w14:solidFill>
                    <w14:schemeClr w14:val="tx1"/>
                  </w14:solidFill>
                </w14:textFill>
              </w:rPr>
              <w:t>））。其中面声源的b&gt;a。</w:t>
            </w:r>
          </w:p>
          <w:p w14:paraId="210EE3FE">
            <w:pPr>
              <w:pStyle w:val="78"/>
              <w:spacing w:line="360" w:lineRule="auto"/>
              <w:ind w:firstLine="482"/>
              <w:rPr>
                <w:rFonts w:cs="Times New Roman"/>
                <w:b/>
                <w:bCs/>
                <w:color w:val="000000" w:themeColor="text1"/>
                <w:sz w:val="24"/>
                <w:szCs w:val="24"/>
                <w14:textFill>
                  <w14:solidFill>
                    <w14:schemeClr w14:val="tx1"/>
                  </w14:solidFill>
                </w14:textFill>
              </w:rPr>
            </w:pPr>
            <w:r>
              <w:rPr>
                <w:rFonts w:cs="Times New Roman"/>
                <w:b/>
                <w:bCs/>
                <w:color w:val="000000" w:themeColor="text1"/>
                <w:sz w:val="24"/>
                <w:szCs w:val="24"/>
                <w14:textFill>
                  <w14:solidFill>
                    <w14:schemeClr w14:val="tx1"/>
                  </w14:solidFill>
                </w14:textFill>
              </w:rPr>
              <w:t>（</w:t>
            </w:r>
            <w:r>
              <w:rPr>
                <w:rFonts w:hint="eastAsia" w:cs="Times New Roman"/>
                <w:b/>
                <w:bCs/>
                <w:color w:val="000000" w:themeColor="text1"/>
                <w:sz w:val="24"/>
                <w:szCs w:val="24"/>
                <w:lang w:val="en-US" w:eastAsia="zh-CN"/>
                <w14:textFill>
                  <w14:solidFill>
                    <w14:schemeClr w14:val="tx1"/>
                  </w14:solidFill>
                </w14:textFill>
              </w:rPr>
              <w:t>2</w:t>
            </w:r>
            <w:r>
              <w:rPr>
                <w:rFonts w:cs="Times New Roman"/>
                <w:b/>
                <w:bCs/>
                <w:color w:val="000000" w:themeColor="text1"/>
                <w:sz w:val="24"/>
                <w:szCs w:val="24"/>
                <w14:textFill>
                  <w14:solidFill>
                    <w14:schemeClr w14:val="tx1"/>
                  </w14:solidFill>
                </w14:textFill>
              </w:rPr>
              <w:t>.</w:t>
            </w:r>
            <w:r>
              <w:rPr>
                <w:rFonts w:hint="eastAsia" w:cs="Times New Roman"/>
                <w:b/>
                <w:bCs/>
                <w:color w:val="000000" w:themeColor="text1"/>
                <w:sz w:val="24"/>
                <w:szCs w:val="24"/>
                <w14:textFill>
                  <w14:solidFill>
                    <w14:schemeClr w14:val="tx1"/>
                  </w14:solidFill>
                </w14:textFill>
              </w:rPr>
              <w:t>3</w:t>
            </w:r>
            <w:r>
              <w:rPr>
                <w:rFonts w:cs="Times New Roman"/>
                <w:b/>
                <w:bCs/>
                <w:color w:val="000000" w:themeColor="text1"/>
                <w:sz w:val="24"/>
                <w:szCs w:val="24"/>
                <w14:textFill>
                  <w14:solidFill>
                    <w14:schemeClr w14:val="tx1"/>
                  </w14:solidFill>
                </w14:textFill>
              </w:rPr>
              <w:t>）室内声源等效室外声源声功率级计算方法：</w:t>
            </w:r>
          </w:p>
          <w:p w14:paraId="4C3FC020">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声源位于室内，室内声源可采用等效室外声源声功率级法进行计算。设靠近开口处（或窗户）室内、室外某倍频带的声压级分别为L</w:t>
            </w:r>
            <w:r>
              <w:rPr>
                <w:rFonts w:cs="Times New Roman"/>
                <w:color w:val="000000" w:themeColor="text1"/>
                <w:sz w:val="24"/>
                <w:szCs w:val="24"/>
                <w:vertAlign w:val="subscript"/>
                <w14:textFill>
                  <w14:solidFill>
                    <w14:schemeClr w14:val="tx1"/>
                  </w14:solidFill>
                </w14:textFill>
              </w:rPr>
              <w:t>p1</w:t>
            </w:r>
            <w:r>
              <w:rPr>
                <w:rFonts w:cs="Times New Roman"/>
                <w:color w:val="000000" w:themeColor="text1"/>
                <w:sz w:val="24"/>
                <w:szCs w:val="24"/>
                <w14:textFill>
                  <w14:solidFill>
                    <w14:schemeClr w14:val="tx1"/>
                  </w14:solidFill>
                </w14:textFill>
              </w:rPr>
              <w:t>和L</w:t>
            </w:r>
            <w:r>
              <w:rPr>
                <w:rFonts w:cs="Times New Roman"/>
                <w:color w:val="000000" w:themeColor="text1"/>
                <w:sz w:val="24"/>
                <w:szCs w:val="24"/>
                <w:vertAlign w:val="subscript"/>
                <w14:textFill>
                  <w14:solidFill>
                    <w14:schemeClr w14:val="tx1"/>
                  </w14:solidFill>
                </w14:textFill>
              </w:rPr>
              <w:t>p2</w:t>
            </w:r>
            <w:r>
              <w:rPr>
                <w:rFonts w:cs="Times New Roman"/>
                <w:color w:val="000000" w:themeColor="text1"/>
                <w:sz w:val="24"/>
                <w:szCs w:val="24"/>
                <w14:textFill>
                  <w14:solidFill>
                    <w14:schemeClr w14:val="tx1"/>
                  </w14:solidFill>
                </w14:textFill>
              </w:rPr>
              <w:t>。若声源所在室内声场为近似扩散声场，则室外的倍频带声压级可按下列公式近似求出：</w:t>
            </w:r>
          </w:p>
          <w:p w14:paraId="6947D934">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p2</w:t>
            </w: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p1</w:t>
            </w:r>
            <w:r>
              <w:rPr>
                <w:rFonts w:cs="Times New Roman"/>
                <w:color w:val="000000" w:themeColor="text1"/>
                <w:sz w:val="24"/>
                <w:szCs w:val="24"/>
                <w14:textFill>
                  <w14:solidFill>
                    <w14:schemeClr w14:val="tx1"/>
                  </w14:solidFill>
                </w14:textFill>
              </w:rPr>
              <w:t>-（TL+6）</w:t>
            </w:r>
          </w:p>
          <w:p w14:paraId="61019C7C">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p1</w:t>
            </w:r>
            <w:r>
              <w:rPr>
                <w:rFonts w:cs="Times New Roman"/>
                <w:color w:val="000000" w:themeColor="text1"/>
                <w:sz w:val="24"/>
                <w:szCs w:val="24"/>
                <w14:textFill>
                  <w14:solidFill>
                    <w14:schemeClr w14:val="tx1"/>
                  </w14:solidFill>
                </w14:textFill>
              </w:rPr>
              <w:t>—靠近开口处（或窗户）室内某倍频带的声压级或A声级，dB；</w:t>
            </w:r>
          </w:p>
          <w:p w14:paraId="338BF3B0">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w:t>
            </w:r>
            <w:r>
              <w:rPr>
                <w:rFonts w:hint="eastAsia" w:cs="Times New Roman"/>
                <w:color w:val="000000" w:themeColor="text1"/>
                <w:sz w:val="24"/>
                <w:szCs w:val="24"/>
                <w:vertAlign w:val="subscript"/>
                <w14:textFill>
                  <w14:solidFill>
                    <w14:schemeClr w14:val="tx1"/>
                  </w14:solidFill>
                </w14:textFill>
              </w:rPr>
              <w:t>2</w:t>
            </w:r>
            <w:r>
              <w:rPr>
                <w:rFonts w:cs="Times New Roman"/>
                <w:color w:val="000000" w:themeColor="text1"/>
                <w:sz w:val="24"/>
                <w:szCs w:val="24"/>
                <w14:textFill>
                  <w14:solidFill>
                    <w14:schemeClr w14:val="tx1"/>
                  </w14:solidFill>
                </w14:textFill>
              </w:rPr>
              <w:t>—靠近开口处（或窗户）室外某倍频带的声压级或A声级，dB；</w:t>
            </w:r>
          </w:p>
          <w:p w14:paraId="07C19351">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TL—隔墙（或窗户）倍频带或A声级的隔声量，dB.</w:t>
            </w:r>
          </w:p>
          <w:p w14:paraId="6BCE4EDD">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也可按下列公式计算某一室内声源靠近围护结构处产生的倍频带声压级或A声级：</w:t>
            </w:r>
          </w:p>
          <w:p w14:paraId="02D05130">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object>
                <v:shape id="_x0000_i1026" o:spt="75" type="#_x0000_t75" style="height:34.55pt;width:134.2pt;" o:ole="t" filled="f" o:preferrelative="t" stroked="f" coordsize="21600,21600">
                  <v:path/>
                  <v:fill on="f" focussize="0,0"/>
                  <v:stroke on="f"/>
                  <v:imagedata r:id="rId28" o:title=""/>
                  <o:lock v:ext="edit" aspectratio="t"/>
                  <w10:wrap type="none"/>
                  <w10:anchorlock/>
                </v:shape>
                <o:OLEObject Type="Embed" ProgID="Equation.3" ShapeID="_x0000_i1026" DrawAspect="Content" ObjectID="_1468075726" r:id="rId27">
                  <o:LockedField>false</o:LockedField>
                </o:OLEObject>
              </w:object>
            </w:r>
          </w:p>
          <w:p w14:paraId="7CF24CE4">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式中：L</w:t>
            </w:r>
            <w:r>
              <w:rPr>
                <w:rFonts w:cs="Times New Roman"/>
                <w:color w:val="000000" w:themeColor="text1"/>
                <w:sz w:val="24"/>
                <w:szCs w:val="24"/>
                <w:vertAlign w:val="subscript"/>
                <w14:textFill>
                  <w14:solidFill>
                    <w14:schemeClr w14:val="tx1"/>
                  </w14:solidFill>
                </w14:textFill>
              </w:rPr>
              <w:t>p1</w:t>
            </w:r>
            <w:r>
              <w:rPr>
                <w:rFonts w:cs="Times New Roman"/>
                <w:color w:val="000000" w:themeColor="text1"/>
                <w:sz w:val="24"/>
                <w:szCs w:val="24"/>
                <w14:textFill>
                  <w14:solidFill>
                    <w14:schemeClr w14:val="tx1"/>
                  </w14:solidFill>
                </w14:textFill>
              </w:rPr>
              <w:t>—靠近开口处（或窗户）室内某倍频带的声压级或A声级，dB；</w:t>
            </w:r>
          </w:p>
          <w:p w14:paraId="2052CADC">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w</w:t>
            </w:r>
            <w:r>
              <w:rPr>
                <w:rFonts w:cs="Times New Roman"/>
                <w:color w:val="000000" w:themeColor="text1"/>
                <w:sz w:val="24"/>
                <w:szCs w:val="24"/>
                <w14:textFill>
                  <w14:solidFill>
                    <w14:schemeClr w14:val="tx1"/>
                  </w14:solidFill>
                </w14:textFill>
              </w:rPr>
              <w:t>—点声源声功率级（A计权或倍频带），dB；</w:t>
            </w:r>
          </w:p>
          <w:p w14:paraId="09AA6A33">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Q—指向性因数；通常对无指向性声源，当声源放在房间中心时，Q=1；当放在一面墙的中心时，Q=2；当放在两面墙夹角处时，Q=4；当放在三面墙夹角处时，Q=8。</w:t>
            </w:r>
          </w:p>
          <w:p w14:paraId="28CE353F">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R—房间常数；R=Sα/（1-α），S为房间内表面面积，m</w:t>
            </w:r>
            <w:r>
              <w:rPr>
                <w:rFonts w:cs="Times New Roman"/>
                <w:color w:val="000000" w:themeColor="text1"/>
                <w:sz w:val="24"/>
                <w:szCs w:val="24"/>
                <w:vertAlign w:val="superscript"/>
                <w14:textFill>
                  <w14:solidFill>
                    <w14:schemeClr w14:val="tx1"/>
                  </w14:solidFill>
                </w14:textFill>
              </w:rPr>
              <w:t>2</w:t>
            </w:r>
            <w:r>
              <w:rPr>
                <w:rFonts w:cs="Times New Roman"/>
                <w:color w:val="000000" w:themeColor="text1"/>
                <w:sz w:val="24"/>
                <w:szCs w:val="24"/>
                <w14:textFill>
                  <w14:solidFill>
                    <w14:schemeClr w14:val="tx1"/>
                  </w14:solidFill>
                </w14:textFill>
              </w:rPr>
              <w:t>；α为平均吸声系数；</w:t>
            </w:r>
          </w:p>
          <w:p w14:paraId="3FA9A6CF">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r—声源到靠近围护结构某点处的距离，m。</w:t>
            </w:r>
          </w:p>
          <w:p w14:paraId="3218F87F">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然后按下列公式计算出所有室内声源在围护结构处产生的i倍频带叠加声压级</w:t>
            </w:r>
            <w:r>
              <w:rPr>
                <w:rFonts w:hint="eastAsia" w:cs="Times New Roman"/>
                <w:color w:val="000000" w:themeColor="text1"/>
                <w:sz w:val="24"/>
                <w:szCs w:val="24"/>
                <w14:textFill>
                  <w14:solidFill>
                    <w14:schemeClr w14:val="tx1"/>
                  </w14:solidFill>
                </w14:textFill>
              </w:rPr>
              <w:t>：</w:t>
            </w:r>
          </w:p>
          <w:p w14:paraId="097B7C67">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object>
                <v:shape id="_x0000_i1027" o:spt="75" type="#_x0000_t75" style="height:37.45pt;width:129pt;" o:ole="t" filled="f" o:preferrelative="t" stroked="f" coordsize="21600,21600">
                  <v:path/>
                  <v:fill on="f" focussize="0,0"/>
                  <v:stroke on="f"/>
                  <v:imagedata r:id="rId30" o:title=""/>
                  <o:lock v:ext="edit" aspectratio="t"/>
                  <w10:wrap type="none"/>
                  <w10:anchorlock/>
                </v:shape>
                <o:OLEObject Type="Embed" ProgID="Equation.3" ShapeID="_x0000_i1027" DrawAspect="Content" ObjectID="_1468075727" r:id="rId29">
                  <o:LockedField>false</o:LockedField>
                </o:OLEObject>
              </w:object>
            </w:r>
          </w:p>
          <w:p w14:paraId="5BF3D04E">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式中</w:t>
            </w:r>
            <w:r>
              <w:rPr>
                <w:rFonts w:hint="eastAsia" w:cs="Times New Roman"/>
                <w:color w:val="000000" w:themeColor="text1"/>
                <w:sz w:val="24"/>
                <w:szCs w:val="24"/>
                <w14:textFill>
                  <w14:solidFill>
                    <w14:schemeClr w14:val="tx1"/>
                  </w14:solidFill>
                </w14:textFill>
              </w:rPr>
              <w:t>：</w:t>
            </w: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pli</w:t>
            </w:r>
            <w:r>
              <w:rPr>
                <w:rFonts w:cs="Times New Roman"/>
                <w:color w:val="000000" w:themeColor="text1"/>
                <w:sz w:val="24"/>
                <w:szCs w:val="24"/>
                <w14:textFill>
                  <w14:solidFill>
                    <w14:schemeClr w14:val="tx1"/>
                  </w14:solidFill>
                </w14:textFill>
              </w:rPr>
              <w:t>（T）—靠近围护结构处室内N个声源i倍频带的叠加声压级，dB；</w:t>
            </w:r>
          </w:p>
          <w:p w14:paraId="2507EA00">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plj</w:t>
            </w:r>
            <w:r>
              <w:rPr>
                <w:rFonts w:cs="Times New Roman"/>
                <w:color w:val="000000" w:themeColor="text1"/>
                <w:sz w:val="24"/>
                <w:szCs w:val="24"/>
                <w14:textFill>
                  <w14:solidFill>
                    <w14:schemeClr w14:val="tx1"/>
                  </w14:solidFill>
                </w14:textFill>
              </w:rPr>
              <w:t>—室内j声源i倍频带的声压级，dB；</w:t>
            </w:r>
          </w:p>
          <w:p w14:paraId="4C060150">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N—室内声源总数。</w:t>
            </w:r>
          </w:p>
          <w:p w14:paraId="45BAE52F">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在室内近似为扩散声场时，按下列公式计算出靠近室外围护结构处的声压级</w:t>
            </w:r>
            <w:r>
              <w:rPr>
                <w:rFonts w:hint="eastAsia" w:cs="Times New Roman"/>
                <w:color w:val="000000" w:themeColor="text1"/>
                <w:sz w:val="24"/>
                <w:szCs w:val="24"/>
                <w14:textFill>
                  <w14:solidFill>
                    <w14:schemeClr w14:val="tx1"/>
                  </w14:solidFill>
                </w14:textFill>
              </w:rPr>
              <w:t>：</w:t>
            </w:r>
          </w:p>
          <w:p w14:paraId="508E2CFE">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p2i</w:t>
            </w:r>
            <w:r>
              <w:rPr>
                <w:rFonts w:cs="Times New Roman"/>
                <w:color w:val="000000" w:themeColor="text1"/>
                <w:sz w:val="24"/>
                <w:szCs w:val="24"/>
                <w14:textFill>
                  <w14:solidFill>
                    <w14:schemeClr w14:val="tx1"/>
                  </w14:solidFill>
                </w14:textFill>
              </w:rPr>
              <w:t>（T）=L</w:t>
            </w:r>
            <w:r>
              <w:rPr>
                <w:rFonts w:cs="Times New Roman"/>
                <w:color w:val="000000" w:themeColor="text1"/>
                <w:sz w:val="24"/>
                <w:szCs w:val="24"/>
                <w:vertAlign w:val="subscript"/>
                <w14:textFill>
                  <w14:solidFill>
                    <w14:schemeClr w14:val="tx1"/>
                  </w14:solidFill>
                </w14:textFill>
              </w:rPr>
              <w:t>pli</w:t>
            </w:r>
            <w:r>
              <w:rPr>
                <w:rFonts w:cs="Times New Roman"/>
                <w:color w:val="000000" w:themeColor="text1"/>
                <w:sz w:val="24"/>
                <w:szCs w:val="24"/>
                <w14:textFill>
                  <w14:solidFill>
                    <w14:schemeClr w14:val="tx1"/>
                  </w14:solidFill>
                </w14:textFill>
              </w:rPr>
              <w:t>（T）一（TL</w:t>
            </w:r>
            <w:r>
              <w:rPr>
                <w:rFonts w:cs="Times New Roman"/>
                <w:color w:val="000000" w:themeColor="text1"/>
                <w:sz w:val="24"/>
                <w:szCs w:val="24"/>
                <w:vertAlign w:val="subscript"/>
                <w14:textFill>
                  <w14:solidFill>
                    <w14:schemeClr w14:val="tx1"/>
                  </w14:solidFill>
                </w14:textFill>
              </w:rPr>
              <w:t>i</w:t>
            </w:r>
            <w:r>
              <w:rPr>
                <w:rFonts w:cs="Times New Roman"/>
                <w:color w:val="000000" w:themeColor="text1"/>
                <w:sz w:val="24"/>
                <w:szCs w:val="24"/>
                <w14:textFill>
                  <w14:solidFill>
                    <w14:schemeClr w14:val="tx1"/>
                  </w14:solidFill>
                </w14:textFill>
              </w:rPr>
              <w:t>+6）</w:t>
            </w:r>
          </w:p>
          <w:p w14:paraId="2EC4CFF8">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式中</w:t>
            </w:r>
            <w:r>
              <w:rPr>
                <w:rFonts w:hint="eastAsia" w:cs="Times New Roman"/>
                <w:color w:val="000000" w:themeColor="text1"/>
                <w:sz w:val="24"/>
                <w:szCs w:val="24"/>
                <w14:textFill>
                  <w14:solidFill>
                    <w14:schemeClr w14:val="tx1"/>
                  </w14:solidFill>
                </w14:textFill>
              </w:rPr>
              <w:t>：</w:t>
            </w: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p2i</w:t>
            </w:r>
            <w:r>
              <w:rPr>
                <w:rFonts w:cs="Times New Roman"/>
                <w:color w:val="000000" w:themeColor="text1"/>
                <w:sz w:val="24"/>
                <w:szCs w:val="24"/>
                <w14:textFill>
                  <w14:solidFill>
                    <w14:schemeClr w14:val="tx1"/>
                  </w14:solidFill>
                </w14:textFill>
              </w:rPr>
              <w:t>（T）—靠近围护结构处室外N个声源i倍频带的叠加声压级，dB；</w:t>
            </w:r>
          </w:p>
          <w:p w14:paraId="723AF8A3">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pli</w:t>
            </w:r>
            <w:r>
              <w:rPr>
                <w:rFonts w:cs="Times New Roman"/>
                <w:color w:val="000000" w:themeColor="text1"/>
                <w:sz w:val="24"/>
                <w:szCs w:val="24"/>
                <w14:textFill>
                  <w14:solidFill>
                    <w14:schemeClr w14:val="tx1"/>
                  </w14:solidFill>
                </w14:textFill>
              </w:rPr>
              <w:t>（T）—靠近围护结构处室内N个声源i倍频带的叠加声压级，dB；</w:t>
            </w:r>
          </w:p>
          <w:p w14:paraId="3D406E70">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TL</w:t>
            </w:r>
            <w:r>
              <w:rPr>
                <w:rFonts w:cs="Times New Roman"/>
                <w:color w:val="000000" w:themeColor="text1"/>
                <w:sz w:val="24"/>
                <w:szCs w:val="24"/>
                <w:vertAlign w:val="subscript"/>
                <w14:textFill>
                  <w14:solidFill>
                    <w14:schemeClr w14:val="tx1"/>
                  </w14:solidFill>
                </w14:textFill>
              </w:rPr>
              <w:t>i</w:t>
            </w:r>
            <w:r>
              <w:rPr>
                <w:rFonts w:cs="Times New Roman"/>
                <w:color w:val="000000" w:themeColor="text1"/>
                <w:sz w:val="24"/>
                <w:szCs w:val="24"/>
                <w14:textFill>
                  <w14:solidFill>
                    <w14:schemeClr w14:val="tx1"/>
                  </w14:solidFill>
                </w14:textFill>
              </w:rPr>
              <w:t>—围护结构i倍频带的隔声量，dB.</w:t>
            </w:r>
          </w:p>
          <w:p w14:paraId="738B5C77">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然后按下列公式将室外声源的声压级和透过面积换算成等效的室外声源，计算出中心位置位于透声面积（S）处的等效声源的倍频带声功率级。</w:t>
            </w:r>
          </w:p>
          <w:p w14:paraId="5DBC0F5E">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w</w:t>
            </w: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p2</w:t>
            </w:r>
            <w:r>
              <w:rPr>
                <w:rFonts w:cs="Times New Roman"/>
                <w:color w:val="000000" w:themeColor="text1"/>
                <w:sz w:val="24"/>
                <w:szCs w:val="24"/>
                <w14:textFill>
                  <w14:solidFill>
                    <w14:schemeClr w14:val="tx1"/>
                  </w14:solidFill>
                </w14:textFill>
              </w:rPr>
              <w:t>（T）+10lgS</w:t>
            </w:r>
          </w:p>
          <w:p w14:paraId="4F4B3DC4">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式中</w:t>
            </w:r>
            <w:r>
              <w:rPr>
                <w:rFonts w:hint="eastAsia" w:cs="Times New Roman"/>
                <w:color w:val="000000" w:themeColor="text1"/>
                <w:sz w:val="24"/>
                <w:szCs w:val="24"/>
                <w14:textFill>
                  <w14:solidFill>
                    <w14:schemeClr w14:val="tx1"/>
                  </w14:solidFill>
                </w14:textFill>
              </w:rPr>
              <w:t>：</w:t>
            </w: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w</w:t>
            </w:r>
            <w:r>
              <w:rPr>
                <w:rFonts w:cs="Times New Roman"/>
                <w:color w:val="000000" w:themeColor="text1"/>
                <w:sz w:val="24"/>
                <w:szCs w:val="24"/>
                <w14:textFill>
                  <w14:solidFill>
                    <w14:schemeClr w14:val="tx1"/>
                  </w14:solidFill>
                </w14:textFill>
              </w:rPr>
              <w:t>—中心位置位于透声面积（S）处的等效声源的倍频带声功率，dB；</w:t>
            </w:r>
          </w:p>
          <w:p w14:paraId="5BB8954E">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L</w:t>
            </w:r>
            <w:r>
              <w:rPr>
                <w:rFonts w:cs="Times New Roman"/>
                <w:color w:val="000000" w:themeColor="text1"/>
                <w:sz w:val="24"/>
                <w:szCs w:val="24"/>
                <w:vertAlign w:val="subscript"/>
                <w14:textFill>
                  <w14:solidFill>
                    <w14:schemeClr w14:val="tx1"/>
                  </w14:solidFill>
                </w14:textFill>
              </w:rPr>
              <w:t>p2</w:t>
            </w:r>
            <w:r>
              <w:rPr>
                <w:rFonts w:cs="Times New Roman"/>
                <w:color w:val="000000" w:themeColor="text1"/>
                <w:sz w:val="24"/>
                <w:szCs w:val="24"/>
                <w14:textFill>
                  <w14:solidFill>
                    <w14:schemeClr w14:val="tx1"/>
                  </w14:solidFill>
                </w14:textFill>
              </w:rPr>
              <w:t>（T）—靠近围护结构处室外声源的声压级，dB；</w:t>
            </w:r>
          </w:p>
          <w:p w14:paraId="511D531B">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S—透声面积，m</w:t>
            </w:r>
            <w:r>
              <w:rPr>
                <w:rFonts w:cs="Times New Roman"/>
                <w:color w:val="000000" w:themeColor="text1"/>
                <w:sz w:val="24"/>
                <w:szCs w:val="24"/>
                <w:vertAlign w:val="superscript"/>
                <w14:textFill>
                  <w14:solidFill>
                    <w14:schemeClr w14:val="tx1"/>
                  </w14:solidFill>
                </w14:textFill>
              </w:rPr>
              <w:t>2</w:t>
            </w:r>
            <w:r>
              <w:rPr>
                <w:rFonts w:cs="Times New Roman"/>
                <w:color w:val="000000" w:themeColor="text1"/>
                <w:sz w:val="24"/>
                <w:szCs w:val="24"/>
                <w14:textFill>
                  <w14:solidFill>
                    <w14:schemeClr w14:val="tx1"/>
                  </w14:solidFill>
                </w14:textFill>
              </w:rPr>
              <w:t>。</w:t>
            </w:r>
          </w:p>
          <w:p w14:paraId="22498653">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然后按室外声源预测方法计算预测点处的A声级。</w:t>
            </w:r>
          </w:p>
          <w:p w14:paraId="559030EA">
            <w:pPr>
              <w:pStyle w:val="78"/>
              <w:spacing w:line="360" w:lineRule="auto"/>
              <w:ind w:firstLine="482"/>
              <w:rPr>
                <w:rFonts w:cs="Times New Roman"/>
                <w:b/>
                <w:bCs/>
                <w:color w:val="000000" w:themeColor="text1"/>
                <w:sz w:val="24"/>
                <w:szCs w:val="24"/>
                <w14:textFill>
                  <w14:solidFill>
                    <w14:schemeClr w14:val="tx1"/>
                  </w14:solidFill>
                </w14:textFill>
              </w:rPr>
            </w:pPr>
            <w:r>
              <w:rPr>
                <w:rFonts w:cs="Times New Roman"/>
                <w:b/>
                <w:bCs/>
                <w:color w:val="000000" w:themeColor="text1"/>
                <w:sz w:val="24"/>
                <w:szCs w:val="24"/>
                <w14:textFill>
                  <w14:solidFill>
                    <w14:schemeClr w14:val="tx1"/>
                  </w14:solidFill>
                </w14:textFill>
              </w:rPr>
              <w:t>（</w:t>
            </w:r>
            <w:r>
              <w:rPr>
                <w:rFonts w:hint="eastAsia" w:cs="Times New Roman"/>
                <w:b/>
                <w:bCs/>
                <w:color w:val="000000" w:themeColor="text1"/>
                <w:sz w:val="24"/>
                <w:szCs w:val="24"/>
                <w:lang w:val="en-US" w:eastAsia="zh-CN"/>
                <w14:textFill>
                  <w14:solidFill>
                    <w14:schemeClr w14:val="tx1"/>
                  </w14:solidFill>
                </w14:textFill>
              </w:rPr>
              <w:t>2</w:t>
            </w:r>
            <w:r>
              <w:rPr>
                <w:rFonts w:cs="Times New Roman"/>
                <w:b/>
                <w:bCs/>
                <w:color w:val="000000" w:themeColor="text1"/>
                <w:sz w:val="24"/>
                <w:szCs w:val="24"/>
                <w14:textFill>
                  <w14:solidFill>
                    <w14:schemeClr w14:val="tx1"/>
                  </w14:solidFill>
                </w14:textFill>
              </w:rPr>
              <w:t>.</w:t>
            </w:r>
            <w:r>
              <w:rPr>
                <w:rFonts w:hint="eastAsia" w:cs="Times New Roman"/>
                <w:b/>
                <w:bCs/>
                <w:color w:val="000000" w:themeColor="text1"/>
                <w:sz w:val="24"/>
                <w:szCs w:val="24"/>
                <w:lang w:val="en-US" w:eastAsia="zh-CN"/>
                <w14:textFill>
                  <w14:solidFill>
                    <w14:schemeClr w14:val="tx1"/>
                  </w14:solidFill>
                </w14:textFill>
              </w:rPr>
              <w:t>4</w:t>
            </w:r>
            <w:r>
              <w:rPr>
                <w:rFonts w:cs="Times New Roman"/>
                <w:b/>
                <w:bCs/>
                <w:color w:val="000000" w:themeColor="text1"/>
                <w:sz w:val="24"/>
                <w:szCs w:val="24"/>
                <w14:textFill>
                  <w14:solidFill>
                    <w14:schemeClr w14:val="tx1"/>
                  </w14:solidFill>
                </w14:textFill>
              </w:rPr>
              <w:t>）靠近声源处的预测点噪声预测模式</w:t>
            </w:r>
          </w:p>
          <w:p w14:paraId="441F7CC6">
            <w:pPr>
              <w:pStyle w:val="78"/>
              <w:spacing w:line="360" w:lineRule="auto"/>
              <w:ind w:firstLine="480"/>
              <w:rPr>
                <w:rFonts w:cs="Times New Roman"/>
                <w:color w:val="000000" w:themeColor="text1"/>
                <w:sz w:val="24"/>
                <w:szCs w:val="24"/>
                <w14:textFill>
                  <w14:solidFill>
                    <w14:schemeClr w14:val="tx1"/>
                  </w14:solidFill>
                </w14:textFill>
              </w:rPr>
            </w:pPr>
            <w:r>
              <w:rPr>
                <w:rFonts w:cs="Times New Roman"/>
                <w:color w:val="000000" w:themeColor="text1"/>
                <w:sz w:val="24"/>
                <w:szCs w:val="24"/>
                <w14:textFill>
                  <w14:solidFill>
                    <w14:schemeClr w14:val="tx1"/>
                  </w14:solidFill>
                </w14:textFill>
              </w:rPr>
              <w:t>如预测点在靠近声源处，但不能满足点声源条件时，需按线声源或面声源模式计算。</w:t>
            </w:r>
          </w:p>
          <w:p w14:paraId="0301D42C">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预测结果及评价</w:t>
            </w:r>
          </w:p>
          <w:p w14:paraId="4E674E7A">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经预测，各厂界噪声值见下表：</w:t>
            </w:r>
          </w:p>
          <w:p w14:paraId="6C3A70F7">
            <w:pPr>
              <w:jc w:val="center"/>
              <w:rPr>
                <w:rFonts w:hint="default" w:ascii="Times New Roman" w:hAnsi="Times New Roman" w:eastAsia="宋体" w:cs="Times New Roman"/>
                <w:b/>
                <w:color w:val="000000" w:themeColor="text1"/>
                <w:kern w:val="0"/>
                <w:szCs w:val="21"/>
                <w14:textFill>
                  <w14:solidFill>
                    <w14:schemeClr w14:val="tx1"/>
                  </w14:solidFill>
                </w14:textFill>
              </w:rPr>
            </w:pPr>
            <w:r>
              <w:rPr>
                <w:rFonts w:hint="default" w:ascii="Times New Roman" w:hAnsi="Times New Roman" w:eastAsia="宋体" w:cs="Times New Roman"/>
                <w:b/>
                <w:color w:val="000000" w:themeColor="text1"/>
                <w:kern w:val="0"/>
                <w:szCs w:val="21"/>
                <w14:textFill>
                  <w14:solidFill>
                    <w14:schemeClr w14:val="tx1"/>
                  </w14:solidFill>
                </w14:textFill>
              </w:rPr>
              <w:t>表4-1</w:t>
            </w:r>
            <w:r>
              <w:rPr>
                <w:rFonts w:hint="eastAsia" w:cs="Times New Roman"/>
                <w:b/>
                <w:color w:val="000000" w:themeColor="text1"/>
                <w:kern w:val="0"/>
                <w:szCs w:val="21"/>
                <w:lang w:val="en-US" w:eastAsia="zh-CN"/>
                <w14:textFill>
                  <w14:solidFill>
                    <w14:schemeClr w14:val="tx1"/>
                  </w14:solidFill>
                </w14:textFill>
              </w:rPr>
              <w:t xml:space="preserve">3 </w:t>
            </w:r>
            <w:r>
              <w:rPr>
                <w:rFonts w:hint="default" w:ascii="Times New Roman" w:hAnsi="Times New Roman" w:eastAsia="宋体" w:cs="Times New Roman"/>
                <w:b/>
                <w:color w:val="000000" w:themeColor="text1"/>
                <w:kern w:val="0"/>
                <w:szCs w:val="21"/>
                <w14:textFill>
                  <w14:solidFill>
                    <w14:schemeClr w14:val="tx1"/>
                  </w14:solidFill>
                </w14:textFill>
              </w:rPr>
              <w:t>厂界预测结果统计表（单位：dB(A)）</w:t>
            </w:r>
          </w:p>
          <w:tbl>
            <w:tblPr>
              <w:tblStyle w:val="38"/>
              <w:tblW w:w="85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803"/>
              <w:gridCol w:w="803"/>
              <w:gridCol w:w="803"/>
              <w:gridCol w:w="993"/>
              <w:gridCol w:w="1417"/>
              <w:gridCol w:w="1418"/>
              <w:gridCol w:w="1188"/>
            </w:tblGrid>
            <w:tr w14:paraId="4B8C3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exact"/>
                <w:jc w:val="center"/>
              </w:trPr>
              <w:tc>
                <w:tcPr>
                  <w:tcW w:w="1101" w:type="dxa"/>
                  <w:vMerge w:val="restart"/>
                  <w:vAlign w:val="center"/>
                </w:tcPr>
                <w:p w14:paraId="21A07ED5">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预测方位</w:t>
                  </w:r>
                </w:p>
              </w:tc>
              <w:tc>
                <w:tcPr>
                  <w:tcW w:w="2409" w:type="dxa"/>
                  <w:gridSpan w:val="3"/>
                  <w:vAlign w:val="center"/>
                </w:tcPr>
                <w:p w14:paraId="132569FD">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lang w:val="en-US" w:eastAsia="zh-CN"/>
                      <w14:textFill>
                        <w14:solidFill>
                          <w14:schemeClr w14:val="tx1"/>
                        </w14:solidFill>
                      </w14:textFill>
                    </w:rPr>
                    <w:t>最大值点</w:t>
                  </w:r>
                  <w:r>
                    <w:rPr>
                      <w:rFonts w:hint="default" w:ascii="Times New Roman" w:hAnsi="Times New Roman" w:eastAsia="宋体" w:cs="Times New Roman"/>
                      <w:b/>
                      <w:color w:val="000000" w:themeColor="text1"/>
                      <w:sz w:val="21"/>
                      <w:szCs w:val="21"/>
                      <w14:textFill>
                        <w14:solidFill>
                          <w14:schemeClr w14:val="tx1"/>
                        </w14:solidFill>
                      </w14:textFill>
                    </w:rPr>
                    <w:t>空间相对位置/m</w:t>
                  </w:r>
                </w:p>
              </w:tc>
              <w:tc>
                <w:tcPr>
                  <w:tcW w:w="993" w:type="dxa"/>
                  <w:vMerge w:val="restart"/>
                  <w:vAlign w:val="center"/>
                </w:tcPr>
                <w:p w14:paraId="6A7FF579">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时段</w:t>
                  </w:r>
                </w:p>
              </w:tc>
              <w:tc>
                <w:tcPr>
                  <w:tcW w:w="1417" w:type="dxa"/>
                  <w:vMerge w:val="restart"/>
                  <w:vAlign w:val="center"/>
                </w:tcPr>
                <w:p w14:paraId="467117AE">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贡献值（dB(A)）</w:t>
                  </w:r>
                </w:p>
              </w:tc>
              <w:tc>
                <w:tcPr>
                  <w:tcW w:w="1418" w:type="dxa"/>
                  <w:vMerge w:val="restart"/>
                  <w:vAlign w:val="center"/>
                </w:tcPr>
                <w:p w14:paraId="4B5A2834">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标准限值（dB(A)）</w:t>
                  </w:r>
                </w:p>
              </w:tc>
              <w:tc>
                <w:tcPr>
                  <w:tcW w:w="1188" w:type="dxa"/>
                  <w:vMerge w:val="restart"/>
                  <w:vAlign w:val="center"/>
                </w:tcPr>
                <w:p w14:paraId="045340F7">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达标情况</w:t>
                  </w:r>
                </w:p>
              </w:tc>
            </w:tr>
            <w:tr w14:paraId="0A527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101" w:type="dxa"/>
                  <w:vMerge w:val="continue"/>
                  <w:shd w:val="clear" w:color="auto" w:fill="FFFFFF"/>
                  <w:vAlign w:val="center"/>
                </w:tcPr>
                <w:p w14:paraId="47D41B17">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803" w:type="dxa"/>
                  <w:shd w:val="clear" w:color="auto" w:fill="FFFFFF"/>
                  <w:vAlign w:val="center"/>
                </w:tcPr>
                <w:p w14:paraId="6912AB61">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X</w:t>
                  </w:r>
                </w:p>
              </w:tc>
              <w:tc>
                <w:tcPr>
                  <w:tcW w:w="803" w:type="dxa"/>
                  <w:shd w:val="clear" w:color="auto" w:fill="FFFFFF"/>
                  <w:vAlign w:val="center"/>
                </w:tcPr>
                <w:p w14:paraId="79165ED0">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Y</w:t>
                  </w:r>
                </w:p>
              </w:tc>
              <w:tc>
                <w:tcPr>
                  <w:tcW w:w="803" w:type="dxa"/>
                  <w:shd w:val="clear" w:color="auto" w:fill="FFFFFF"/>
                  <w:vAlign w:val="center"/>
                </w:tcPr>
                <w:p w14:paraId="7190359D">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Z</w:t>
                  </w:r>
                </w:p>
              </w:tc>
              <w:tc>
                <w:tcPr>
                  <w:tcW w:w="993" w:type="dxa"/>
                  <w:vMerge w:val="continue"/>
                  <w:shd w:val="clear" w:color="auto" w:fill="FFFFFF"/>
                  <w:vAlign w:val="center"/>
                </w:tcPr>
                <w:p w14:paraId="2C117C86">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417" w:type="dxa"/>
                  <w:vMerge w:val="continue"/>
                  <w:shd w:val="clear" w:color="auto" w:fill="FFFFFF"/>
                  <w:vAlign w:val="center"/>
                </w:tcPr>
                <w:p w14:paraId="2E820AE7">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418" w:type="dxa"/>
                  <w:vMerge w:val="continue"/>
                  <w:shd w:val="clear" w:color="auto" w:fill="FFFFFF"/>
                  <w:vAlign w:val="center"/>
                </w:tcPr>
                <w:p w14:paraId="0A4CE93A">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188" w:type="dxa"/>
                  <w:vMerge w:val="continue"/>
                  <w:shd w:val="clear" w:color="auto" w:fill="FFFFFF"/>
                  <w:vAlign w:val="center"/>
                </w:tcPr>
                <w:p w14:paraId="0562CEDD">
                  <w:pPr>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383C9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restart"/>
                  <w:shd w:val="clear" w:color="auto" w:fill="FFFFFF"/>
                  <w:vAlign w:val="center"/>
                </w:tcPr>
                <w:p w14:paraId="68CFF920">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东侧</w:t>
                  </w:r>
                </w:p>
              </w:tc>
              <w:tc>
                <w:tcPr>
                  <w:tcW w:w="803" w:type="dxa"/>
                  <w:shd w:val="clear" w:color="auto" w:fill="FFFFFF"/>
                  <w:vAlign w:val="center"/>
                </w:tcPr>
                <w:p w14:paraId="546A553E">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17</w:t>
                  </w:r>
                </w:p>
              </w:tc>
              <w:tc>
                <w:tcPr>
                  <w:tcW w:w="803" w:type="dxa"/>
                  <w:shd w:val="clear" w:color="auto" w:fill="FFFFFF"/>
                  <w:vAlign w:val="center"/>
                </w:tcPr>
                <w:p w14:paraId="122A3E77">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26</w:t>
                  </w:r>
                </w:p>
              </w:tc>
              <w:tc>
                <w:tcPr>
                  <w:tcW w:w="803" w:type="dxa"/>
                  <w:shd w:val="clear" w:color="auto" w:fill="FFFFFF"/>
                  <w:vAlign w:val="center"/>
                </w:tcPr>
                <w:p w14:paraId="59765CDD">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993" w:type="dxa"/>
                  <w:shd w:val="clear" w:color="auto" w:fill="FFFFFF"/>
                  <w:vAlign w:val="center"/>
                </w:tcPr>
                <w:p w14:paraId="1D9A25FC">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昼间</w:t>
                  </w:r>
                </w:p>
              </w:tc>
              <w:tc>
                <w:tcPr>
                  <w:tcW w:w="1417" w:type="dxa"/>
                  <w:shd w:val="clear" w:color="auto" w:fill="FFFFFF"/>
                  <w:vAlign w:val="center"/>
                </w:tcPr>
                <w:p w14:paraId="36D84B87">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48.6</w:t>
                  </w:r>
                </w:p>
              </w:tc>
              <w:tc>
                <w:tcPr>
                  <w:tcW w:w="1418" w:type="dxa"/>
                  <w:shd w:val="clear" w:color="auto" w:fill="FFFFFF"/>
                  <w:vAlign w:val="center"/>
                </w:tcPr>
                <w:p w14:paraId="6C09AAFF">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65</w:t>
                  </w:r>
                </w:p>
              </w:tc>
              <w:tc>
                <w:tcPr>
                  <w:tcW w:w="1188" w:type="dxa"/>
                  <w:shd w:val="clear" w:color="auto" w:fill="FFFFFF"/>
                  <w:vAlign w:val="center"/>
                </w:tcPr>
                <w:p w14:paraId="6C501FBC">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37D8A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continue"/>
                  <w:shd w:val="clear" w:color="auto" w:fill="FFFFFF"/>
                  <w:vAlign w:val="center"/>
                </w:tcPr>
                <w:p w14:paraId="4D50B885">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803" w:type="dxa"/>
                  <w:shd w:val="clear" w:color="auto" w:fill="FFFFFF"/>
                  <w:vAlign w:val="center"/>
                </w:tcPr>
                <w:p w14:paraId="7C475782">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17</w:t>
                  </w:r>
                </w:p>
              </w:tc>
              <w:tc>
                <w:tcPr>
                  <w:tcW w:w="803" w:type="dxa"/>
                  <w:shd w:val="clear" w:color="auto" w:fill="FFFFFF"/>
                  <w:vAlign w:val="center"/>
                </w:tcPr>
                <w:p w14:paraId="0605E8B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26</w:t>
                  </w:r>
                </w:p>
              </w:tc>
              <w:tc>
                <w:tcPr>
                  <w:tcW w:w="803" w:type="dxa"/>
                  <w:shd w:val="clear" w:color="auto" w:fill="FFFFFF"/>
                  <w:vAlign w:val="center"/>
                </w:tcPr>
                <w:p w14:paraId="2464E864">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993" w:type="dxa"/>
                  <w:shd w:val="clear" w:color="auto" w:fill="FFFFFF"/>
                  <w:vAlign w:val="center"/>
                </w:tcPr>
                <w:p w14:paraId="76F883C4">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夜间</w:t>
                  </w:r>
                </w:p>
              </w:tc>
              <w:tc>
                <w:tcPr>
                  <w:tcW w:w="1417" w:type="dxa"/>
                  <w:shd w:val="clear" w:color="auto" w:fill="FFFFFF"/>
                  <w:vAlign w:val="center"/>
                </w:tcPr>
                <w:p w14:paraId="015289BE">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48.6</w:t>
                  </w:r>
                </w:p>
              </w:tc>
              <w:tc>
                <w:tcPr>
                  <w:tcW w:w="1418" w:type="dxa"/>
                  <w:shd w:val="clear" w:color="auto" w:fill="FFFFFF"/>
                  <w:vAlign w:val="center"/>
                </w:tcPr>
                <w:p w14:paraId="1BB54BD1">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55</w:t>
                  </w:r>
                </w:p>
              </w:tc>
              <w:tc>
                <w:tcPr>
                  <w:tcW w:w="1188" w:type="dxa"/>
                  <w:shd w:val="clear" w:color="auto" w:fill="FFFFFF"/>
                  <w:vAlign w:val="center"/>
                </w:tcPr>
                <w:p w14:paraId="4EE5D6D9">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6A246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restart"/>
                  <w:shd w:val="clear" w:color="auto" w:fill="FFFFFF"/>
                  <w:vAlign w:val="center"/>
                </w:tcPr>
                <w:p w14:paraId="24029EEE">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南侧</w:t>
                  </w:r>
                </w:p>
              </w:tc>
              <w:tc>
                <w:tcPr>
                  <w:tcW w:w="803" w:type="dxa"/>
                  <w:shd w:val="clear" w:color="auto" w:fill="FFFFFF"/>
                  <w:vAlign w:val="center"/>
                </w:tcPr>
                <w:p w14:paraId="78BC14FD">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w:t>
                  </w:r>
                </w:p>
              </w:tc>
              <w:tc>
                <w:tcPr>
                  <w:tcW w:w="803" w:type="dxa"/>
                  <w:shd w:val="clear" w:color="auto" w:fill="FFFFFF"/>
                  <w:vAlign w:val="center"/>
                </w:tcPr>
                <w:p w14:paraId="243C032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w:t>
                  </w:r>
                </w:p>
              </w:tc>
              <w:tc>
                <w:tcPr>
                  <w:tcW w:w="803" w:type="dxa"/>
                  <w:shd w:val="clear" w:color="auto" w:fill="FFFFFF"/>
                  <w:vAlign w:val="center"/>
                </w:tcPr>
                <w:p w14:paraId="338D0C01">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993" w:type="dxa"/>
                  <w:shd w:val="clear" w:color="auto" w:fill="FFFFFF"/>
                  <w:vAlign w:val="center"/>
                </w:tcPr>
                <w:p w14:paraId="24451F2E">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昼间</w:t>
                  </w:r>
                </w:p>
              </w:tc>
              <w:tc>
                <w:tcPr>
                  <w:tcW w:w="1417" w:type="dxa"/>
                  <w:shd w:val="clear" w:color="auto" w:fill="FFFFFF"/>
                  <w:vAlign w:val="center"/>
                </w:tcPr>
                <w:p w14:paraId="4E983C35">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53.1</w:t>
                  </w:r>
                </w:p>
              </w:tc>
              <w:tc>
                <w:tcPr>
                  <w:tcW w:w="1418" w:type="dxa"/>
                  <w:shd w:val="clear" w:color="auto" w:fill="FFFFFF"/>
                  <w:vAlign w:val="center"/>
                </w:tcPr>
                <w:p w14:paraId="3A0955C3">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65</w:t>
                  </w:r>
                </w:p>
              </w:tc>
              <w:tc>
                <w:tcPr>
                  <w:tcW w:w="1188" w:type="dxa"/>
                  <w:shd w:val="clear" w:color="auto" w:fill="FFFFFF"/>
                  <w:vAlign w:val="center"/>
                </w:tcPr>
                <w:p w14:paraId="180BE6D1">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7DB98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continue"/>
                  <w:shd w:val="clear" w:color="auto" w:fill="FFFFFF"/>
                  <w:vAlign w:val="center"/>
                </w:tcPr>
                <w:p w14:paraId="4C36B8BD">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803" w:type="dxa"/>
                  <w:shd w:val="clear" w:color="auto" w:fill="FFFFFF"/>
                  <w:vAlign w:val="center"/>
                </w:tcPr>
                <w:p w14:paraId="7DAB3B1D">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w:t>
                  </w:r>
                </w:p>
              </w:tc>
              <w:tc>
                <w:tcPr>
                  <w:tcW w:w="803" w:type="dxa"/>
                  <w:shd w:val="clear" w:color="auto" w:fill="FFFFFF"/>
                  <w:vAlign w:val="center"/>
                </w:tcPr>
                <w:p w14:paraId="2F7A16AC">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w:t>
                  </w:r>
                </w:p>
              </w:tc>
              <w:tc>
                <w:tcPr>
                  <w:tcW w:w="803" w:type="dxa"/>
                  <w:shd w:val="clear" w:color="auto" w:fill="FFFFFF"/>
                  <w:vAlign w:val="center"/>
                </w:tcPr>
                <w:p w14:paraId="77C5343D">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993" w:type="dxa"/>
                  <w:shd w:val="clear" w:color="auto" w:fill="FFFFFF"/>
                  <w:vAlign w:val="center"/>
                </w:tcPr>
                <w:p w14:paraId="7F35DB49">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夜间</w:t>
                  </w:r>
                </w:p>
              </w:tc>
              <w:tc>
                <w:tcPr>
                  <w:tcW w:w="1417" w:type="dxa"/>
                  <w:shd w:val="clear" w:color="auto" w:fill="FFFFFF"/>
                  <w:vAlign w:val="center"/>
                </w:tcPr>
                <w:p w14:paraId="2AB880C9">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53.1</w:t>
                  </w:r>
                </w:p>
              </w:tc>
              <w:tc>
                <w:tcPr>
                  <w:tcW w:w="1418" w:type="dxa"/>
                  <w:shd w:val="clear" w:color="auto" w:fill="FFFFFF"/>
                  <w:vAlign w:val="center"/>
                </w:tcPr>
                <w:p w14:paraId="011C3979">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55</w:t>
                  </w:r>
                </w:p>
              </w:tc>
              <w:tc>
                <w:tcPr>
                  <w:tcW w:w="1188" w:type="dxa"/>
                  <w:shd w:val="clear" w:color="auto" w:fill="FFFFFF"/>
                  <w:vAlign w:val="center"/>
                </w:tcPr>
                <w:p w14:paraId="76F4FEA7">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79C0F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restart"/>
                  <w:shd w:val="clear" w:color="auto" w:fill="FFFFFF"/>
                  <w:vAlign w:val="center"/>
                </w:tcPr>
                <w:p w14:paraId="175E835F">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西侧</w:t>
                  </w:r>
                </w:p>
              </w:tc>
              <w:tc>
                <w:tcPr>
                  <w:tcW w:w="803" w:type="dxa"/>
                  <w:shd w:val="clear" w:color="auto" w:fill="FFFFFF"/>
                  <w:vAlign w:val="center"/>
                </w:tcPr>
                <w:p w14:paraId="0E4EB64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w:t>
                  </w:r>
                </w:p>
              </w:tc>
              <w:tc>
                <w:tcPr>
                  <w:tcW w:w="803" w:type="dxa"/>
                  <w:shd w:val="clear" w:color="auto" w:fill="FFFFFF"/>
                  <w:vAlign w:val="center"/>
                </w:tcPr>
                <w:p w14:paraId="15305F86">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803" w:type="dxa"/>
                  <w:shd w:val="clear" w:color="auto" w:fill="FFFFFF"/>
                  <w:vAlign w:val="center"/>
                </w:tcPr>
                <w:p w14:paraId="2601D76B">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993" w:type="dxa"/>
                  <w:shd w:val="clear" w:color="auto" w:fill="FFFFFF"/>
                  <w:vAlign w:val="center"/>
                </w:tcPr>
                <w:p w14:paraId="01592EC8">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昼间</w:t>
                  </w:r>
                </w:p>
              </w:tc>
              <w:tc>
                <w:tcPr>
                  <w:tcW w:w="1417" w:type="dxa"/>
                  <w:shd w:val="clear" w:color="auto" w:fill="FFFFFF"/>
                  <w:vAlign w:val="center"/>
                </w:tcPr>
                <w:p w14:paraId="5C7CE96A">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54.8</w:t>
                  </w:r>
                </w:p>
              </w:tc>
              <w:tc>
                <w:tcPr>
                  <w:tcW w:w="1418" w:type="dxa"/>
                  <w:shd w:val="clear" w:color="auto" w:fill="FFFFFF"/>
                  <w:vAlign w:val="center"/>
                </w:tcPr>
                <w:p w14:paraId="2A927664">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65</w:t>
                  </w:r>
                </w:p>
              </w:tc>
              <w:tc>
                <w:tcPr>
                  <w:tcW w:w="1188" w:type="dxa"/>
                  <w:shd w:val="clear" w:color="auto" w:fill="FFFFFF"/>
                  <w:vAlign w:val="center"/>
                </w:tcPr>
                <w:p w14:paraId="28FE96B7">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75B1B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continue"/>
                  <w:shd w:val="clear" w:color="auto" w:fill="FFFFFF"/>
                  <w:vAlign w:val="center"/>
                </w:tcPr>
                <w:p w14:paraId="4395EF92">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803" w:type="dxa"/>
                  <w:shd w:val="clear" w:color="auto" w:fill="FFFFFF"/>
                  <w:vAlign w:val="center"/>
                </w:tcPr>
                <w:p w14:paraId="574E7DE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w:t>
                  </w:r>
                </w:p>
              </w:tc>
              <w:tc>
                <w:tcPr>
                  <w:tcW w:w="803" w:type="dxa"/>
                  <w:shd w:val="clear" w:color="auto" w:fill="FFFFFF"/>
                  <w:vAlign w:val="center"/>
                </w:tcPr>
                <w:p w14:paraId="30471A93">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803" w:type="dxa"/>
                  <w:shd w:val="clear" w:color="auto" w:fill="FFFFFF"/>
                  <w:vAlign w:val="center"/>
                </w:tcPr>
                <w:p w14:paraId="0C4A23AB">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993" w:type="dxa"/>
                  <w:shd w:val="clear" w:color="auto" w:fill="FFFFFF"/>
                  <w:vAlign w:val="center"/>
                </w:tcPr>
                <w:p w14:paraId="054F95DA">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夜间</w:t>
                  </w:r>
                </w:p>
              </w:tc>
              <w:tc>
                <w:tcPr>
                  <w:tcW w:w="1417" w:type="dxa"/>
                  <w:shd w:val="clear" w:color="auto" w:fill="FFFFFF"/>
                  <w:vAlign w:val="center"/>
                </w:tcPr>
                <w:p w14:paraId="3A52BD1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54.8</w:t>
                  </w:r>
                </w:p>
              </w:tc>
              <w:tc>
                <w:tcPr>
                  <w:tcW w:w="1418" w:type="dxa"/>
                  <w:shd w:val="clear" w:color="auto" w:fill="FFFFFF"/>
                  <w:vAlign w:val="center"/>
                </w:tcPr>
                <w:p w14:paraId="7C115D66">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55</w:t>
                  </w:r>
                </w:p>
              </w:tc>
              <w:tc>
                <w:tcPr>
                  <w:tcW w:w="1188" w:type="dxa"/>
                  <w:shd w:val="clear" w:color="auto" w:fill="FFFFFF"/>
                  <w:vAlign w:val="center"/>
                </w:tcPr>
                <w:p w14:paraId="622679C3">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0B657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restart"/>
                  <w:shd w:val="clear" w:color="auto" w:fill="FFFFFF"/>
                  <w:vAlign w:val="center"/>
                </w:tcPr>
                <w:p w14:paraId="4BB173B9">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北侧</w:t>
                  </w:r>
                </w:p>
              </w:tc>
              <w:tc>
                <w:tcPr>
                  <w:tcW w:w="803" w:type="dxa"/>
                  <w:shd w:val="clear" w:color="auto" w:fill="FFFFFF"/>
                  <w:vAlign w:val="center"/>
                </w:tcPr>
                <w:p w14:paraId="44FF1697">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w:t>
                  </w:r>
                </w:p>
              </w:tc>
              <w:tc>
                <w:tcPr>
                  <w:tcW w:w="803" w:type="dxa"/>
                  <w:shd w:val="clear" w:color="auto" w:fill="FFFFFF"/>
                  <w:vAlign w:val="center"/>
                </w:tcPr>
                <w:p w14:paraId="12CF5507">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803" w:type="dxa"/>
                  <w:shd w:val="clear" w:color="auto" w:fill="FFFFFF"/>
                  <w:vAlign w:val="center"/>
                </w:tcPr>
                <w:p w14:paraId="21F5524A">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993" w:type="dxa"/>
                  <w:shd w:val="clear" w:color="auto" w:fill="FFFFFF"/>
                  <w:vAlign w:val="center"/>
                </w:tcPr>
                <w:p w14:paraId="41FAACAC">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昼间</w:t>
                  </w:r>
                </w:p>
              </w:tc>
              <w:tc>
                <w:tcPr>
                  <w:tcW w:w="1417" w:type="dxa"/>
                  <w:shd w:val="clear" w:color="auto" w:fill="FFFFFF"/>
                  <w:vAlign w:val="center"/>
                </w:tcPr>
                <w:p w14:paraId="26AAB6A4">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53.1</w:t>
                  </w:r>
                </w:p>
              </w:tc>
              <w:tc>
                <w:tcPr>
                  <w:tcW w:w="1418" w:type="dxa"/>
                  <w:shd w:val="clear" w:color="auto" w:fill="FFFFFF"/>
                  <w:vAlign w:val="center"/>
                </w:tcPr>
                <w:p w14:paraId="6570E9F0">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65</w:t>
                  </w:r>
                </w:p>
              </w:tc>
              <w:tc>
                <w:tcPr>
                  <w:tcW w:w="1188" w:type="dxa"/>
                  <w:shd w:val="clear" w:color="auto" w:fill="FFFFFF"/>
                  <w:vAlign w:val="center"/>
                </w:tcPr>
                <w:p w14:paraId="164A61BC">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r w14:paraId="63C55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continue"/>
                  <w:shd w:val="clear" w:color="auto" w:fill="FFFFFF"/>
                  <w:vAlign w:val="center"/>
                </w:tcPr>
                <w:p w14:paraId="16757286">
                  <w:pPr>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803" w:type="dxa"/>
                  <w:shd w:val="clear" w:color="auto" w:fill="FFFFFF"/>
                  <w:vAlign w:val="center"/>
                </w:tcPr>
                <w:p w14:paraId="6A677E93">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w:t>
                  </w:r>
                </w:p>
              </w:tc>
              <w:tc>
                <w:tcPr>
                  <w:tcW w:w="803" w:type="dxa"/>
                  <w:shd w:val="clear" w:color="auto" w:fill="FFFFFF"/>
                  <w:vAlign w:val="center"/>
                </w:tcPr>
                <w:p w14:paraId="3D634E38">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803" w:type="dxa"/>
                  <w:shd w:val="clear" w:color="auto" w:fill="FFFFFF"/>
                  <w:vAlign w:val="center"/>
                </w:tcPr>
                <w:p w14:paraId="19C69AF1">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1.2</w:t>
                  </w:r>
                </w:p>
              </w:tc>
              <w:tc>
                <w:tcPr>
                  <w:tcW w:w="993" w:type="dxa"/>
                  <w:shd w:val="clear" w:color="auto" w:fill="FFFFFF"/>
                  <w:vAlign w:val="center"/>
                </w:tcPr>
                <w:p w14:paraId="3E69CEEB">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夜间</w:t>
                  </w:r>
                </w:p>
              </w:tc>
              <w:tc>
                <w:tcPr>
                  <w:tcW w:w="1417" w:type="dxa"/>
                  <w:shd w:val="clear" w:color="auto" w:fill="FFFFFF"/>
                  <w:vAlign w:val="center"/>
                </w:tcPr>
                <w:p w14:paraId="4DC365B7">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53.1</w:t>
                  </w:r>
                </w:p>
              </w:tc>
              <w:tc>
                <w:tcPr>
                  <w:tcW w:w="1418" w:type="dxa"/>
                  <w:shd w:val="clear" w:color="auto" w:fill="FFFFFF"/>
                  <w:vAlign w:val="center"/>
                </w:tcPr>
                <w:p w14:paraId="07AE45DE">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55</w:t>
                  </w:r>
                </w:p>
              </w:tc>
              <w:tc>
                <w:tcPr>
                  <w:tcW w:w="1188" w:type="dxa"/>
                  <w:shd w:val="clear" w:color="auto" w:fill="FFFFFF"/>
                  <w:vAlign w:val="center"/>
                </w:tcPr>
                <w:p w14:paraId="15627154">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r>
          </w:tbl>
          <w:p w14:paraId="34B0D60F">
            <w:pPr>
              <w:adjustRightInd w:val="0"/>
              <w:snapToGrid w:val="0"/>
              <w:spacing w:line="360" w:lineRule="auto"/>
              <w:ind w:firstLine="422" w:firstLineChars="200"/>
              <w:rPr>
                <w:rFonts w:hint="default" w:ascii="Times New Roman" w:hAnsi="Times New Roman" w:eastAsia="宋体" w:cs="Times New Roman"/>
                <w:color w:val="000000" w:themeColor="text1"/>
                <w:sz w:val="24"/>
                <w:lang w:bidi="ar"/>
                <w14:textFill>
                  <w14:solidFill>
                    <w14:schemeClr w14:val="tx1"/>
                  </w14:solidFill>
                </w14:textFill>
              </w:rPr>
            </w:pPr>
            <w:r>
              <w:rPr>
                <w:rFonts w:hint="eastAsia" w:cs="Times New Roman"/>
                <w:b/>
                <w:color w:val="000000" w:themeColor="text1"/>
                <w:kern w:val="0"/>
                <w:szCs w:val="21"/>
                <w:lang w:val="en-US" w:eastAsia="zh-CN"/>
                <w14:textFill>
                  <w14:solidFill>
                    <w14:schemeClr w14:val="tx1"/>
                  </w14:solidFill>
                </w14:textFill>
              </w:rPr>
              <w:t>备注：</w:t>
            </w:r>
            <w:r>
              <w:rPr>
                <w:rFonts w:hint="default" w:ascii="Times New Roman" w:hAnsi="Times New Roman" w:cs="Times New Roman" w:eastAsiaTheme="minorEastAsia"/>
                <w:b w:val="0"/>
                <w:bCs/>
                <w:color w:val="000000" w:themeColor="text1"/>
                <w:sz w:val="21"/>
                <w:szCs w:val="21"/>
                <w:lang w:val="en-US" w:eastAsia="zh-CN"/>
                <w14:textFill>
                  <w14:solidFill>
                    <w14:schemeClr w14:val="tx1"/>
                  </w14:solidFill>
                </w14:textFill>
              </w:rPr>
              <w:t>表中坐标以</w:t>
            </w:r>
            <w:r>
              <w:rPr>
                <w:rFonts w:hint="eastAsia" w:cs="Times New Roman" w:eastAsiaTheme="minorEastAsia"/>
                <w:b w:val="0"/>
                <w:bCs/>
                <w:color w:val="000000" w:themeColor="text1"/>
                <w:sz w:val="21"/>
                <w:szCs w:val="21"/>
                <w:lang w:val="en-US" w:eastAsia="zh-CN"/>
                <w14:textFill>
                  <w14:solidFill>
                    <w14:schemeClr w14:val="tx1"/>
                  </w14:solidFill>
                </w14:textFill>
              </w:rPr>
              <w:t>生产车间西南</w:t>
            </w:r>
            <w:r>
              <w:rPr>
                <w:rFonts w:hint="eastAsia" w:ascii="Times New Roman" w:hAnsi="Times New Roman" w:cs="Times New Roman" w:eastAsiaTheme="minorEastAsia"/>
                <w:b w:val="0"/>
                <w:bCs/>
                <w:color w:val="000000" w:themeColor="text1"/>
                <w:sz w:val="21"/>
                <w:szCs w:val="21"/>
                <w:lang w:val="en-US" w:eastAsia="zh-CN"/>
                <w14:textFill>
                  <w14:solidFill>
                    <w14:schemeClr w14:val="tx1"/>
                  </w14:solidFill>
                </w14:textFill>
              </w:rPr>
              <w:t>角</w:t>
            </w:r>
            <w:r>
              <w:rPr>
                <w:rFonts w:hint="default" w:ascii="Times New Roman" w:hAnsi="Times New Roman" w:cs="Times New Roman" w:eastAsiaTheme="minorEastAsia"/>
                <w:b w:val="0"/>
                <w:bCs/>
                <w:color w:val="000000" w:themeColor="text1"/>
                <w:sz w:val="21"/>
                <w:szCs w:val="21"/>
                <w:lang w:val="en-US" w:eastAsia="zh-CN"/>
                <w14:textFill>
                  <w14:solidFill>
                    <w14:schemeClr w14:val="tx1"/>
                  </w14:solidFill>
                </w14:textFill>
              </w:rPr>
              <w:t>（</w:t>
            </w:r>
            <w:r>
              <w:rPr>
                <w:rFonts w:hint="eastAsia" w:cs="Times New Roman" w:eastAsiaTheme="minorEastAsia"/>
                <w:b w:val="0"/>
                <w:bCs/>
                <w:color w:val="000000" w:themeColor="text1"/>
                <w:sz w:val="21"/>
                <w:szCs w:val="21"/>
                <w:lang w:val="en-US" w:eastAsia="zh-CN"/>
                <w14:textFill>
                  <w14:solidFill>
                    <w14:schemeClr w14:val="tx1"/>
                  </w14:solidFill>
                </w14:textFill>
              </w:rPr>
              <w:t>118.147080,36.790088</w:t>
            </w:r>
            <w:r>
              <w:rPr>
                <w:rFonts w:hint="default" w:ascii="Times New Roman" w:hAnsi="Times New Roman" w:cs="Times New Roman" w:eastAsiaTheme="minorEastAsia"/>
                <w:b w:val="0"/>
                <w:bCs/>
                <w:color w:val="000000" w:themeColor="text1"/>
                <w:sz w:val="21"/>
                <w:szCs w:val="21"/>
                <w:lang w:val="en-US" w:eastAsia="zh-CN"/>
                <w14:textFill>
                  <w14:solidFill>
                    <w14:schemeClr w14:val="tx1"/>
                  </w14:solidFill>
                </w14:textFill>
              </w:rPr>
              <w:t>）为坐标原点，正东向为X轴正方向，正北向为Y轴正方向</w:t>
            </w:r>
          </w:p>
          <w:p w14:paraId="504F59E0">
            <w:pPr>
              <w:adjustRightInd w:val="0"/>
              <w:snapToGrid w:val="0"/>
              <w:spacing w:line="360" w:lineRule="auto"/>
              <w:ind w:firstLine="480" w:firstLineChars="200"/>
              <w:rPr>
                <w:rFonts w:hint="default" w:ascii="Times New Roman" w:hAnsi="Times New Roman" w:eastAsia="宋体" w:cs="Times New Roman"/>
                <w:color w:val="000000" w:themeColor="text1"/>
                <w:sz w:val="24"/>
                <w:lang w:bidi="ar"/>
                <w14:textFill>
                  <w14:solidFill>
                    <w14:schemeClr w14:val="tx1"/>
                  </w14:solidFill>
                </w14:textFill>
              </w:rPr>
            </w:pPr>
            <w:r>
              <w:rPr>
                <w:rFonts w:hint="default" w:ascii="Times New Roman" w:hAnsi="Times New Roman" w:eastAsia="宋体" w:cs="Times New Roman"/>
                <w:color w:val="000000" w:themeColor="text1"/>
                <w:sz w:val="24"/>
                <w:lang w:bidi="ar"/>
                <w14:textFill>
                  <w14:solidFill>
                    <w14:schemeClr w14:val="tx1"/>
                  </w14:solidFill>
                </w14:textFill>
              </w:rPr>
              <w:t>经过预测，本项目厂区设备噪声采用上述设备减震，厂房隔声后，各厂界噪声</w:t>
            </w:r>
            <w:r>
              <w:rPr>
                <w:rFonts w:hint="eastAsia" w:cs="Times New Roman"/>
                <w:color w:val="000000" w:themeColor="text1"/>
                <w:sz w:val="24"/>
                <w:lang w:val="en-US" w:eastAsia="zh-CN" w:bidi="ar"/>
                <w14:textFill>
                  <w14:solidFill>
                    <w14:schemeClr w14:val="tx1"/>
                  </w14:solidFill>
                </w14:textFill>
              </w:rPr>
              <w:t>贡献值</w:t>
            </w:r>
            <w:r>
              <w:rPr>
                <w:rFonts w:hint="default" w:ascii="Times New Roman" w:hAnsi="Times New Roman" w:eastAsia="宋体" w:cs="Times New Roman"/>
                <w:color w:val="000000" w:themeColor="text1"/>
                <w:sz w:val="24"/>
                <w:lang w:bidi="ar"/>
                <w14:textFill>
                  <w14:solidFill>
                    <w14:schemeClr w14:val="tx1"/>
                  </w14:solidFill>
                </w14:textFill>
              </w:rPr>
              <w:t>满足《工业企业厂界环境噪声排放标准》（GB12348-2008）3类标准（昼间65dB(A)，夜间</w:t>
            </w:r>
            <w:r>
              <w:rPr>
                <w:rFonts w:hint="eastAsia" w:cs="Times New Roman"/>
                <w:color w:val="000000" w:themeColor="text1"/>
                <w:sz w:val="24"/>
                <w:lang w:val="en-US" w:eastAsia="zh-CN" w:bidi="ar"/>
                <w14:textFill>
                  <w14:solidFill>
                    <w14:schemeClr w14:val="tx1"/>
                  </w14:solidFill>
                </w14:textFill>
              </w:rPr>
              <w:t>55</w:t>
            </w:r>
            <w:r>
              <w:rPr>
                <w:rFonts w:hint="default" w:ascii="Times New Roman" w:hAnsi="Times New Roman" w:eastAsia="宋体" w:cs="Times New Roman"/>
                <w:color w:val="000000" w:themeColor="text1"/>
                <w:sz w:val="24"/>
                <w:lang w:bidi="ar"/>
                <w14:textFill>
                  <w14:solidFill>
                    <w14:schemeClr w14:val="tx1"/>
                  </w14:solidFill>
                </w14:textFill>
              </w:rPr>
              <w:t>dB(A)）。因此，本项目在做好噪声治理措施后，设备噪声对周围环境不会造成太大影响。</w:t>
            </w:r>
          </w:p>
          <w:p w14:paraId="0F37BD85">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（4）</w:t>
            </w:r>
            <w:r>
              <w:rPr>
                <w:rFonts w:hint="default" w:ascii="Times New Roman" w:hAnsi="Times New Roman" w:eastAsia="宋体" w:cs="Times New Roman"/>
                <w:color w:val="000000" w:themeColor="text1"/>
                <w:sz w:val="24"/>
                <w14:textFill>
                  <w14:solidFill>
                    <w14:schemeClr w14:val="tx1"/>
                  </w14:solidFill>
                </w14:textFill>
              </w:rPr>
              <w:t>监测要求</w:t>
            </w:r>
          </w:p>
          <w:p w14:paraId="686E544E">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根据《排污许可证申请与核发技术规范工业噪声》（HJ1301-2023）要求及本项目实际情况，制定监测计划。</w:t>
            </w:r>
          </w:p>
          <w:p w14:paraId="6BA52EFE">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kern w:val="16"/>
                <w:szCs w:val="21"/>
                <w14:textFill>
                  <w14:solidFill>
                    <w14:schemeClr w14:val="tx1"/>
                  </w14:solidFill>
                </w14:textFill>
              </w:rPr>
              <w:t>表4-1</w:t>
            </w:r>
            <w:r>
              <w:rPr>
                <w:rFonts w:hint="eastAsia" w:cs="Times New Roman"/>
                <w:b/>
                <w:color w:val="000000" w:themeColor="text1"/>
                <w:kern w:val="16"/>
                <w:szCs w:val="21"/>
                <w:lang w:val="en-US" w:eastAsia="zh-CN"/>
                <w14:textFill>
                  <w14:solidFill>
                    <w14:schemeClr w14:val="tx1"/>
                  </w14:solidFill>
                </w14:textFill>
              </w:rPr>
              <w:t xml:space="preserve">4 </w:t>
            </w:r>
            <w:r>
              <w:rPr>
                <w:rFonts w:hint="default" w:ascii="Times New Roman" w:hAnsi="Times New Roman" w:eastAsia="宋体" w:cs="Times New Roman"/>
                <w:b/>
                <w:color w:val="000000" w:themeColor="text1"/>
                <w:kern w:val="16"/>
                <w:szCs w:val="21"/>
                <w14:textFill>
                  <w14:solidFill>
                    <w14:schemeClr w14:val="tx1"/>
                  </w14:solidFill>
                </w14:textFill>
              </w:rPr>
              <w:t>自行监测方案一</w:t>
            </w:r>
            <w:r>
              <w:rPr>
                <w:rFonts w:hint="default" w:ascii="Times New Roman" w:hAnsi="Times New Roman" w:eastAsia="宋体" w:cs="Times New Roman"/>
                <w:b/>
                <w:color w:val="000000" w:themeColor="text1"/>
                <w:szCs w:val="21"/>
                <w14:textFill>
                  <w14:solidFill>
                    <w14:schemeClr w14:val="tx1"/>
                  </w14:solidFill>
                </w14:textFill>
              </w:rPr>
              <w:t>览表</w:t>
            </w:r>
          </w:p>
          <w:tbl>
            <w:tblPr>
              <w:tblStyle w:val="38"/>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709"/>
              <w:gridCol w:w="1390"/>
              <w:gridCol w:w="1259"/>
              <w:gridCol w:w="1391"/>
              <w:gridCol w:w="4167"/>
            </w:tblGrid>
            <w:tr w14:paraId="1957BE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97" w:type="pct"/>
                  <w:tcBorders>
                    <w:tl2br w:val="nil"/>
                    <w:tr2bl w:val="nil"/>
                  </w:tcBorders>
                  <w:vAlign w:val="center"/>
                </w:tcPr>
                <w:p w14:paraId="3B08AD60">
                  <w:pPr>
                    <w:pStyle w:val="18"/>
                    <w:adjustRightInd w:val="0"/>
                    <w:snapToGrid w:val="0"/>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内容</w:t>
                  </w:r>
                </w:p>
              </w:tc>
              <w:tc>
                <w:tcPr>
                  <w:tcW w:w="779" w:type="pct"/>
                  <w:tcBorders>
                    <w:tl2br w:val="nil"/>
                    <w:tr2bl w:val="nil"/>
                  </w:tcBorders>
                  <w:vAlign w:val="center"/>
                </w:tcPr>
                <w:p w14:paraId="56F01351">
                  <w:pPr>
                    <w:pStyle w:val="18"/>
                    <w:adjustRightInd w:val="0"/>
                    <w:snapToGrid w:val="0"/>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监测项目</w:t>
                  </w:r>
                </w:p>
              </w:tc>
              <w:tc>
                <w:tcPr>
                  <w:tcW w:w="706" w:type="pct"/>
                  <w:tcBorders>
                    <w:tl2br w:val="nil"/>
                    <w:tr2bl w:val="nil"/>
                  </w:tcBorders>
                  <w:vAlign w:val="center"/>
                </w:tcPr>
                <w:p w14:paraId="5321E34A">
                  <w:pPr>
                    <w:pStyle w:val="18"/>
                    <w:adjustRightInd w:val="0"/>
                    <w:snapToGrid w:val="0"/>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监测点</w:t>
                  </w:r>
                </w:p>
              </w:tc>
              <w:tc>
                <w:tcPr>
                  <w:tcW w:w="780" w:type="pct"/>
                  <w:tcBorders>
                    <w:tl2br w:val="nil"/>
                    <w:tr2bl w:val="nil"/>
                  </w:tcBorders>
                  <w:vAlign w:val="center"/>
                </w:tcPr>
                <w:p w14:paraId="5619780E">
                  <w:pPr>
                    <w:pStyle w:val="18"/>
                    <w:adjustRightInd w:val="0"/>
                    <w:snapToGrid w:val="0"/>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监测频次</w:t>
                  </w:r>
                </w:p>
              </w:tc>
              <w:tc>
                <w:tcPr>
                  <w:tcW w:w="2336" w:type="pct"/>
                  <w:tcBorders>
                    <w:tl2br w:val="nil"/>
                    <w:tr2bl w:val="nil"/>
                  </w:tcBorders>
                  <w:vAlign w:val="center"/>
                </w:tcPr>
                <w:p w14:paraId="2A1F99B0">
                  <w:pPr>
                    <w:pStyle w:val="18"/>
                    <w:adjustRightInd w:val="0"/>
                    <w:snapToGrid w:val="0"/>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执行标准</w:t>
                  </w:r>
                </w:p>
              </w:tc>
            </w:tr>
            <w:tr w14:paraId="38F5C7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97" w:type="pct"/>
                  <w:tcBorders>
                    <w:tl2br w:val="nil"/>
                    <w:tr2bl w:val="nil"/>
                  </w:tcBorders>
                  <w:vAlign w:val="center"/>
                </w:tcPr>
                <w:p w14:paraId="562C166A">
                  <w:pPr>
                    <w:pStyle w:val="18"/>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噪声监测</w:t>
                  </w:r>
                </w:p>
              </w:tc>
              <w:tc>
                <w:tcPr>
                  <w:tcW w:w="779" w:type="pct"/>
                  <w:tcBorders>
                    <w:tl2br w:val="nil"/>
                    <w:tr2bl w:val="nil"/>
                  </w:tcBorders>
                  <w:vAlign w:val="center"/>
                </w:tcPr>
                <w:p w14:paraId="7464D22C">
                  <w:pPr>
                    <w:pStyle w:val="18"/>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等效连续A声级</w:t>
                  </w:r>
                </w:p>
              </w:tc>
              <w:tc>
                <w:tcPr>
                  <w:tcW w:w="706" w:type="pct"/>
                  <w:tcBorders>
                    <w:tl2br w:val="nil"/>
                    <w:tr2bl w:val="nil"/>
                  </w:tcBorders>
                  <w:vAlign w:val="center"/>
                </w:tcPr>
                <w:p w14:paraId="5ADFD0E0">
                  <w:pPr>
                    <w:pStyle w:val="18"/>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snapToGrid w:val="0"/>
                      <w:color w:val="000000" w:themeColor="text1"/>
                      <w:szCs w:val="21"/>
                      <w14:textFill>
                        <w14:solidFill>
                          <w14:schemeClr w14:val="tx1"/>
                        </w14:solidFill>
                      </w14:textFill>
                    </w:rPr>
                    <w:t>项目厂界</w:t>
                  </w:r>
                </w:p>
              </w:tc>
              <w:tc>
                <w:tcPr>
                  <w:tcW w:w="780" w:type="pct"/>
                  <w:tcBorders>
                    <w:tl2br w:val="nil"/>
                    <w:tr2bl w:val="nil"/>
                  </w:tcBorders>
                  <w:vAlign w:val="center"/>
                </w:tcPr>
                <w:p w14:paraId="575D1AFC">
                  <w:pPr>
                    <w:pStyle w:val="18"/>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每季度一次</w:t>
                  </w:r>
                </w:p>
              </w:tc>
              <w:tc>
                <w:tcPr>
                  <w:tcW w:w="2336" w:type="pct"/>
                  <w:tcBorders>
                    <w:tl2br w:val="nil"/>
                    <w:tr2bl w:val="nil"/>
                  </w:tcBorders>
                  <w:vAlign w:val="center"/>
                </w:tcPr>
                <w:p w14:paraId="29E107D2">
                  <w:pPr>
                    <w:pStyle w:val="18"/>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《工业企业厂界环境噪声排放标准》（GB12348-2008）中3类标准限值要求</w:t>
                  </w:r>
                </w:p>
              </w:tc>
            </w:tr>
          </w:tbl>
          <w:p w14:paraId="47FAF1A6">
            <w:pPr>
              <w:adjustRightInd w:val="0"/>
              <w:snapToGrid w:val="0"/>
              <w:spacing w:line="360" w:lineRule="auto"/>
              <w:ind w:firstLine="482"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4、固体废物</w:t>
            </w:r>
          </w:p>
          <w:p w14:paraId="01153C0F">
            <w:pPr>
              <w:spacing w:line="360" w:lineRule="auto"/>
              <w:ind w:firstLine="482"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4.1固废产生情况</w:t>
            </w:r>
          </w:p>
          <w:p w14:paraId="65A4EE23">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kern w:val="0"/>
                <w:sz w:val="24"/>
                <w:lang w:bidi="ar"/>
                <w14:textFill>
                  <w14:solidFill>
                    <w14:schemeClr w14:val="tx1"/>
                  </w14:solidFill>
                </w14:textFill>
              </w:rPr>
              <w:t>本项目营运期</w:t>
            </w:r>
            <w:r>
              <w:rPr>
                <w:rFonts w:hint="default" w:ascii="Times New Roman" w:hAnsi="Times New Roman" w:eastAsia="宋体" w:cs="Times New Roman"/>
                <w:color w:val="000000" w:themeColor="text1"/>
                <w:sz w:val="24"/>
                <w14:textFill>
                  <w14:solidFill>
                    <w14:schemeClr w14:val="tx1"/>
                  </w14:solidFill>
                </w14:textFill>
              </w:rPr>
              <w:t>间产生的固体废物主要为废包装袋、</w:t>
            </w:r>
            <w:r>
              <w:rPr>
                <w:rFonts w:hint="eastAsia" w:ascii="Times New Roman" w:hAnsi="Times New Roman" w:eastAsia="宋体" w:cs="Times New Roman"/>
                <w:color w:val="000000" w:themeColor="text1"/>
                <w:sz w:val="24"/>
                <w:lang w:val="en-US" w:eastAsia="zh-CN"/>
                <w14:textFill>
                  <w14:solidFill>
                    <w14:schemeClr w14:val="tx1"/>
                  </w14:solidFill>
                </w14:textFill>
              </w:rPr>
              <w:t>生活垃圾、</w:t>
            </w:r>
            <w:r>
              <w:rPr>
                <w:rFonts w:hint="default" w:ascii="Times New Roman" w:hAnsi="Times New Roman" w:eastAsia="宋体" w:cs="Times New Roman"/>
                <w:color w:val="000000" w:themeColor="text1"/>
                <w:sz w:val="24"/>
                <w14:textFill>
                  <w14:solidFill>
                    <w14:schemeClr w14:val="tx1"/>
                  </w14:solidFill>
                </w14:textFill>
              </w:rPr>
              <w:t>废润滑油、废油桶</w:t>
            </w: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废导热油</w:t>
            </w: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废活性炭</w:t>
            </w:r>
            <w:r>
              <w:rPr>
                <w:rFonts w:hint="default" w:ascii="Times New Roman" w:hAnsi="Times New Roman" w:eastAsia="宋体" w:cs="Times New Roman"/>
                <w:color w:val="000000" w:themeColor="text1"/>
                <w:sz w:val="24"/>
                <w14:textFill>
                  <w14:solidFill>
                    <w14:schemeClr w14:val="tx1"/>
                  </w14:solidFill>
                </w14:textFill>
              </w:rPr>
              <w:t>。</w:t>
            </w:r>
          </w:p>
          <w:p w14:paraId="0CDF91B7">
            <w:pPr>
              <w:spacing w:line="360" w:lineRule="auto"/>
              <w:ind w:firstLine="480" w:firstLineChars="200"/>
              <w:rPr>
                <w:rFonts w:hint="default" w:ascii="Times New Roman" w:hAnsi="Times New Roman" w:eastAsia="宋体" w:cs="Times New Roman"/>
                <w:color w:val="000000" w:themeColor="text1"/>
                <w:kern w:val="0"/>
                <w:sz w:val="24"/>
                <w:lang w:bidi="ar"/>
                <w14:textFill>
                  <w14:solidFill>
                    <w14:schemeClr w14:val="tx1"/>
                  </w14:solidFill>
                </w14:textFill>
              </w:rPr>
            </w:pPr>
            <w:r>
              <w:rPr>
                <w:rFonts w:hint="default" w:ascii="Times New Roman" w:hAnsi="Times New Roman" w:eastAsia="宋体" w:cs="Times New Roman"/>
                <w:color w:val="000000" w:themeColor="text1"/>
                <w:kern w:val="0"/>
                <w:sz w:val="24"/>
                <w:lang w:bidi="ar"/>
                <w14:textFill>
                  <w14:solidFill>
                    <w14:schemeClr w14:val="tx1"/>
                  </w14:solidFill>
                </w14:textFill>
              </w:rPr>
              <w:t>（1）废包装袋</w:t>
            </w:r>
          </w:p>
          <w:p w14:paraId="71F5821B">
            <w:pPr>
              <w:spacing w:line="360" w:lineRule="auto"/>
              <w:ind w:firstLine="480" w:firstLineChars="200"/>
              <w:rPr>
                <w:rFonts w:hint="default" w:ascii="Times New Roman" w:hAnsi="Times New Roman" w:eastAsia="宋体" w:cs="Times New Roman"/>
                <w:color w:val="000000" w:themeColor="text1"/>
                <w:kern w:val="0"/>
                <w:sz w:val="24"/>
                <w:lang w:bidi="ar"/>
                <w14:textFill>
                  <w14:solidFill>
                    <w14:schemeClr w14:val="tx1"/>
                  </w14:solidFill>
                </w14:textFill>
              </w:rPr>
            </w:pPr>
            <w:r>
              <w:rPr>
                <w:rFonts w:hint="default" w:ascii="Times New Roman" w:hAnsi="Times New Roman" w:eastAsia="宋体" w:cs="Times New Roman"/>
                <w:color w:val="000000" w:themeColor="text1"/>
                <w:kern w:val="0"/>
                <w:sz w:val="24"/>
                <w:lang w:bidi="ar"/>
                <w14:textFill>
                  <w14:solidFill>
                    <w14:schemeClr w14:val="tx1"/>
                  </w14:solidFill>
                </w14:textFill>
              </w:rPr>
              <w:t>本项目</w:t>
            </w:r>
            <w:r>
              <w:rPr>
                <w:rFonts w:hint="eastAsia" w:ascii="Times New Roman" w:hAnsi="Times New Roman" w:eastAsia="宋体" w:cs="Times New Roman"/>
                <w:color w:val="000000" w:themeColor="text1"/>
                <w:kern w:val="0"/>
                <w:sz w:val="24"/>
                <w:lang w:val="en-US" w:eastAsia="zh-CN" w:bidi="ar"/>
                <w14:textFill>
                  <w14:solidFill>
                    <w14:schemeClr w14:val="tx1"/>
                  </w14:solidFill>
                </w14:textFill>
              </w:rPr>
              <w:t>部分原料采用吨包袋进行包装，</w:t>
            </w:r>
            <w:r>
              <w:rPr>
                <w:rFonts w:hint="default" w:ascii="Times New Roman" w:hAnsi="Times New Roman" w:eastAsia="宋体" w:cs="Times New Roman"/>
                <w:color w:val="000000" w:themeColor="text1"/>
                <w:kern w:val="0"/>
                <w:sz w:val="24"/>
                <w:lang w:bidi="ar"/>
                <w14:textFill>
                  <w14:solidFill>
                    <w14:schemeClr w14:val="tx1"/>
                  </w14:solidFill>
                </w14:textFill>
              </w:rPr>
              <w:t>使用</w:t>
            </w:r>
            <w:r>
              <w:rPr>
                <w:rFonts w:hint="eastAsia" w:ascii="Times New Roman" w:hAnsi="Times New Roman" w:eastAsia="宋体" w:cs="Times New Roman"/>
                <w:color w:val="000000" w:themeColor="text1"/>
                <w:kern w:val="0"/>
                <w:sz w:val="24"/>
                <w:lang w:val="en-US" w:eastAsia="zh-CN" w:bidi="ar"/>
                <w14:textFill>
                  <w14:solidFill>
                    <w14:schemeClr w14:val="tx1"/>
                  </w14:solidFill>
                </w14:textFill>
              </w:rPr>
              <w:t>过程</w:t>
            </w:r>
            <w:r>
              <w:rPr>
                <w:rFonts w:hint="default" w:ascii="Times New Roman" w:hAnsi="Times New Roman" w:eastAsia="宋体" w:cs="Times New Roman"/>
                <w:color w:val="000000" w:themeColor="text1"/>
                <w:kern w:val="0"/>
                <w:sz w:val="24"/>
                <w:lang w:bidi="ar"/>
                <w14:textFill>
                  <w14:solidFill>
                    <w14:schemeClr w14:val="tx1"/>
                  </w14:solidFill>
                </w14:textFill>
              </w:rPr>
              <w:t>会产生废包装袋，</w:t>
            </w:r>
            <w:r>
              <w:rPr>
                <w:rFonts w:hint="eastAsia" w:ascii="Times New Roman" w:hAnsi="Times New Roman" w:eastAsia="宋体" w:cs="Times New Roman"/>
                <w:color w:val="000000" w:themeColor="text1"/>
                <w:kern w:val="0"/>
                <w:sz w:val="24"/>
                <w:lang w:val="en-US" w:eastAsia="zh-CN" w:bidi="ar"/>
                <w14:textFill>
                  <w14:solidFill>
                    <w14:schemeClr w14:val="tx1"/>
                  </w14:solidFill>
                </w14:textFill>
              </w:rPr>
              <w:t>根据企业提供资料，</w:t>
            </w:r>
            <w:r>
              <w:rPr>
                <w:rFonts w:hint="default" w:ascii="Times New Roman" w:hAnsi="Times New Roman" w:eastAsia="宋体" w:cs="Times New Roman"/>
                <w:color w:val="000000" w:themeColor="text1"/>
                <w:kern w:val="0"/>
                <w:sz w:val="24"/>
                <w:lang w:bidi="ar"/>
                <w14:textFill>
                  <w14:solidFill>
                    <w14:schemeClr w14:val="tx1"/>
                  </w14:solidFill>
                </w14:textFill>
              </w:rPr>
              <w:t>产生量约为</w:t>
            </w:r>
            <w:r>
              <w:rPr>
                <w:rFonts w:hint="eastAsia" w:cs="Times New Roman"/>
                <w:color w:val="000000" w:themeColor="text1"/>
                <w:kern w:val="0"/>
                <w:sz w:val="24"/>
                <w:lang w:val="en-US" w:eastAsia="zh-CN" w:bidi="ar"/>
                <w14:textFill>
                  <w14:solidFill>
                    <w14:schemeClr w14:val="tx1"/>
                  </w14:solidFill>
                </w14:textFill>
              </w:rPr>
              <w:t>1</w:t>
            </w:r>
            <w:r>
              <w:rPr>
                <w:rFonts w:hint="eastAsia" w:ascii="Times New Roman" w:hAnsi="Times New Roman" w:eastAsia="宋体" w:cs="Times New Roman"/>
                <w:color w:val="000000" w:themeColor="text1"/>
                <w:kern w:val="0"/>
                <w:sz w:val="24"/>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 w:val="24"/>
                <w:lang w:bidi="ar"/>
                <w14:textFill>
                  <w14:solidFill>
                    <w14:schemeClr w14:val="tx1"/>
                  </w14:solidFill>
                </w14:textFill>
              </w:rPr>
              <w:t>t/a，根据《固体废物分类与代码目录》</w:t>
            </w:r>
            <w:r>
              <w:rPr>
                <w:rFonts w:hint="eastAsia" w:ascii="Times New Roman" w:hAnsi="Times New Roman" w:eastAsia="宋体" w:cs="Times New Roman"/>
                <w:color w:val="000000" w:themeColor="text1"/>
                <w:kern w:val="0"/>
                <w:sz w:val="24"/>
                <w:lang w:eastAsia="zh-CN" w:bidi="ar"/>
                <w14:textFill>
                  <w14:solidFill>
                    <w14:schemeClr w14:val="tx1"/>
                  </w14:solidFill>
                </w14:textFill>
              </w:rPr>
              <w:t>，</w:t>
            </w:r>
            <w:r>
              <w:rPr>
                <w:rFonts w:hint="default" w:ascii="Times New Roman" w:hAnsi="Times New Roman" w:eastAsia="宋体" w:cs="Times New Roman"/>
                <w:color w:val="000000" w:themeColor="text1"/>
                <w:kern w:val="0"/>
                <w:sz w:val="24"/>
                <w:lang w:bidi="ar"/>
                <w14:textFill>
                  <w14:solidFill>
                    <w14:schemeClr w14:val="tx1"/>
                  </w14:solidFill>
                </w14:textFill>
              </w:rPr>
              <w:t>废物代码为900-003-S17</w:t>
            </w:r>
            <w:r>
              <w:rPr>
                <w:rFonts w:hint="eastAsia" w:ascii="Times New Roman" w:hAnsi="Times New Roman" w:eastAsia="宋体" w:cs="Times New Roman"/>
                <w:color w:val="000000" w:themeColor="text1"/>
                <w:kern w:val="0"/>
                <w:sz w:val="24"/>
                <w:lang w:eastAsia="zh-CN" w:bidi="ar"/>
                <w14:textFill>
                  <w14:solidFill>
                    <w14:schemeClr w14:val="tx1"/>
                  </w14:solidFill>
                </w14:textFill>
              </w:rPr>
              <w:t>，</w:t>
            </w:r>
            <w:r>
              <w:rPr>
                <w:rFonts w:hint="default" w:ascii="Times New Roman" w:hAnsi="Times New Roman" w:eastAsia="宋体" w:cs="Times New Roman"/>
                <w:color w:val="000000" w:themeColor="text1"/>
                <w:kern w:val="0"/>
                <w:sz w:val="24"/>
                <w:lang w:bidi="ar"/>
                <w14:textFill>
                  <w14:solidFill>
                    <w14:schemeClr w14:val="tx1"/>
                  </w14:solidFill>
                </w14:textFill>
              </w:rPr>
              <w:t>集中收集后外售综合利用。</w:t>
            </w:r>
          </w:p>
          <w:p w14:paraId="206F3348">
            <w:pPr>
              <w:pStyle w:val="6"/>
              <w:snapToGrid w:val="0"/>
              <w:spacing w:line="360" w:lineRule="auto"/>
              <w:ind w:firstLine="480"/>
              <w:rPr>
                <w:rFonts w:hint="default" w:ascii="Times New Roman" w:hAnsi="Times New Roman" w:eastAsia="宋体" w:cs="Times New Roman"/>
                <w:snapToGrid w:val="0"/>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lang w:bidi="ar"/>
                <w14:textFill>
                  <w14:solidFill>
                    <w14:schemeClr w14:val="tx1"/>
                  </w14:solidFill>
                </w14:textFill>
              </w:rPr>
              <w:t>（</w:t>
            </w:r>
            <w:r>
              <w:rPr>
                <w:rFonts w:hint="eastAsia" w:ascii="Times New Roman" w:hAnsi="Times New Roman" w:eastAsia="宋体" w:cs="Times New Roman"/>
                <w:color w:val="000000" w:themeColor="text1"/>
                <w:kern w:val="0"/>
                <w:sz w:val="24"/>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lang w:bidi="ar"/>
                <w14:textFill>
                  <w14:solidFill>
                    <w14:schemeClr w14:val="tx1"/>
                  </w14:solidFill>
                </w14:textFill>
              </w:rPr>
              <w:t>）</w:t>
            </w:r>
            <w:r>
              <w:rPr>
                <w:rFonts w:hint="default" w:ascii="Times New Roman" w:hAnsi="Times New Roman" w:eastAsia="宋体" w:cs="Times New Roman"/>
                <w:snapToGrid w:val="0"/>
                <w:color w:val="000000" w:themeColor="text1"/>
                <w:sz w:val="24"/>
                <w:szCs w:val="24"/>
                <w14:textFill>
                  <w14:solidFill>
                    <w14:schemeClr w14:val="tx1"/>
                  </w14:solidFill>
                </w14:textFill>
              </w:rPr>
              <w:t>生活垃圾</w:t>
            </w:r>
          </w:p>
          <w:p w14:paraId="0C644643">
            <w:pPr>
              <w:pStyle w:val="6"/>
              <w:snapToGrid w:val="0"/>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snapToGrid w:val="0"/>
                <w:color w:val="000000" w:themeColor="text1"/>
                <w:sz w:val="24"/>
                <w:szCs w:val="24"/>
                <w14:textFill>
                  <w14:solidFill>
                    <w14:schemeClr w14:val="tx1"/>
                  </w14:solidFill>
                </w14:textFill>
              </w:rPr>
              <w:t>职工定员</w:t>
            </w:r>
            <w:r>
              <w:rPr>
                <w:rFonts w:hint="eastAsia" w:hAnsi="Times New Roman" w:cs="Times New Roman"/>
                <w:snapToGrid w:val="0"/>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snapToGrid w:val="0"/>
                <w:color w:val="000000" w:themeColor="text1"/>
                <w:sz w:val="24"/>
                <w:szCs w:val="24"/>
                <w14:textFill>
                  <w14:solidFill>
                    <w14:schemeClr w14:val="tx1"/>
                  </w14:solidFill>
                </w14:textFill>
              </w:rPr>
              <w:t>人，</w:t>
            </w:r>
            <w:r>
              <w:rPr>
                <w:rFonts w:hint="default" w:ascii="Times New Roman" w:hAnsi="Times New Roman" w:eastAsia="宋体" w:cs="Times New Roman"/>
                <w:color w:val="000000" w:themeColor="text1"/>
                <w:sz w:val="24"/>
                <w:szCs w:val="24"/>
                <w14:textFill>
                  <w14:solidFill>
                    <w14:schemeClr w14:val="tx1"/>
                  </w14:solidFill>
                </w14:textFill>
              </w:rPr>
              <w:t>年工作300天，生活垃圾产生量按0.5kg/人·d计，则本项目生活垃圾产生量约为</w:t>
            </w:r>
            <w:r>
              <w:rPr>
                <w:rFonts w:hint="eastAsia" w:hAnsi="Times New Roman" w:cs="Times New Roman"/>
                <w:color w:val="000000" w:themeColor="text1"/>
                <w:sz w:val="24"/>
                <w:szCs w:val="24"/>
                <w:lang w:val="en-US" w:eastAsia="zh-CN"/>
                <w14:textFill>
                  <w14:solidFill>
                    <w14:schemeClr w14:val="tx1"/>
                  </w14:solidFill>
                </w14:textFill>
              </w:rPr>
              <w:t>0.75</w:t>
            </w:r>
            <w:r>
              <w:rPr>
                <w:rFonts w:hint="default" w:ascii="Times New Roman" w:hAnsi="Times New Roman" w:eastAsia="宋体" w:cs="Times New Roman"/>
                <w:color w:val="000000" w:themeColor="text1"/>
                <w:sz w:val="24"/>
                <w:szCs w:val="24"/>
                <w14:textFill>
                  <w14:solidFill>
                    <w14:schemeClr w14:val="tx1"/>
                  </w14:solidFill>
                </w14:textFill>
              </w:rPr>
              <w:t>t/a，主要为果皮纸屑等，由环卫部门定期清运处理。</w:t>
            </w:r>
          </w:p>
          <w:p w14:paraId="30B3A0BF">
            <w:pPr>
              <w:pStyle w:val="6"/>
              <w:snapToGrid w:val="0"/>
              <w:spacing w:line="360" w:lineRule="auto"/>
              <w:ind w:firstLine="480"/>
              <w:rPr>
                <w:rFonts w:hint="default" w:hAnsi="Times New Roman" w:cs="Times New Roman"/>
                <w:color w:val="000000" w:themeColor="text1"/>
                <w:sz w:val="24"/>
                <w:lang w:val="en-US" w:eastAsia="zh-CN"/>
                <w14:textFill>
                  <w14:solidFill>
                    <w14:schemeClr w14:val="tx1"/>
                  </w14:solidFill>
                </w14:textFill>
              </w:rPr>
            </w:pPr>
            <w:r>
              <w:rPr>
                <w:rFonts w:hint="eastAsia" w:hAnsi="Times New Roman" w:cs="Times New Roman"/>
                <w:color w:val="000000" w:themeColor="text1"/>
                <w:sz w:val="24"/>
                <w:lang w:eastAsia="zh-CN"/>
                <w14:textFill>
                  <w14:solidFill>
                    <w14:schemeClr w14:val="tx1"/>
                  </w14:solidFill>
                </w14:textFill>
              </w:rPr>
              <w:t>（</w:t>
            </w:r>
            <w:r>
              <w:rPr>
                <w:rFonts w:hint="eastAsia" w:hAnsi="Times New Roman" w:cs="Times New Roman"/>
                <w:color w:val="000000" w:themeColor="text1"/>
                <w:sz w:val="24"/>
                <w:lang w:val="en-US" w:eastAsia="zh-CN"/>
                <w14:textFill>
                  <w14:solidFill>
                    <w14:schemeClr w14:val="tx1"/>
                  </w14:solidFill>
                </w14:textFill>
              </w:rPr>
              <w:t>3</w:t>
            </w:r>
            <w:r>
              <w:rPr>
                <w:rFonts w:hint="eastAsia" w:hAnsi="Times New Roman" w:cs="Times New Roman"/>
                <w:color w:val="000000" w:themeColor="text1"/>
                <w:sz w:val="24"/>
                <w:lang w:eastAsia="zh-CN"/>
                <w14:textFill>
                  <w14:solidFill>
                    <w14:schemeClr w14:val="tx1"/>
                  </w14:solidFill>
                </w14:textFill>
              </w:rPr>
              <w:t>）</w:t>
            </w:r>
            <w:r>
              <w:rPr>
                <w:rFonts w:hint="default" w:hAnsi="Times New Roman" w:cs="Times New Roman"/>
                <w:color w:val="000000" w:themeColor="text1"/>
                <w:sz w:val="24"/>
                <w:lang w:val="en-US" w:eastAsia="zh-CN"/>
                <w14:textFill>
                  <w14:solidFill>
                    <w14:schemeClr w14:val="tx1"/>
                  </w14:solidFill>
                </w14:textFill>
              </w:rPr>
              <w:t>废润滑油</w:t>
            </w:r>
          </w:p>
          <w:p w14:paraId="3F3C7C36">
            <w:pPr>
              <w:pStyle w:val="6"/>
              <w:snapToGrid w:val="0"/>
              <w:spacing w:line="360" w:lineRule="auto"/>
              <w:ind w:firstLine="480"/>
              <w:rPr>
                <w:rFonts w:hint="default" w:hAnsi="Times New Roman" w:cs="Times New Roman"/>
                <w:color w:val="000000" w:themeColor="text1"/>
                <w:sz w:val="24"/>
                <w:lang w:val="en-US" w:eastAsia="zh-CN"/>
                <w14:textFill>
                  <w14:solidFill>
                    <w14:schemeClr w14:val="tx1"/>
                  </w14:solidFill>
                </w14:textFill>
              </w:rPr>
            </w:pPr>
            <w:r>
              <w:rPr>
                <w:rFonts w:hint="default" w:hAnsi="Times New Roman" w:cs="Times New Roman"/>
                <w:color w:val="000000" w:themeColor="text1"/>
                <w:sz w:val="24"/>
                <w:lang w:val="en-US" w:eastAsia="zh-CN"/>
                <w14:textFill>
                  <w14:solidFill>
                    <w14:schemeClr w14:val="tx1"/>
                  </w14:solidFill>
                </w14:textFill>
              </w:rPr>
              <w:t>本项目设备使用产生的废润滑油，产生量0.01t/a，属于HW08类危险废物，危废代码为900-214-08，委托有资质的单位处理。</w:t>
            </w:r>
          </w:p>
          <w:p w14:paraId="5FEC7F6B">
            <w:pPr>
              <w:pStyle w:val="6"/>
              <w:snapToGrid w:val="0"/>
              <w:spacing w:line="360" w:lineRule="auto"/>
              <w:ind w:firstLine="480"/>
              <w:rPr>
                <w:rFonts w:hint="default" w:hAnsi="Times New Roman" w:cs="Times New Roman"/>
                <w:color w:val="000000" w:themeColor="text1"/>
                <w:sz w:val="24"/>
                <w:lang w:val="en-US" w:eastAsia="zh-CN"/>
                <w14:textFill>
                  <w14:solidFill>
                    <w14:schemeClr w14:val="tx1"/>
                  </w14:solidFill>
                </w14:textFill>
              </w:rPr>
            </w:pPr>
            <w:r>
              <w:rPr>
                <w:rFonts w:hint="eastAsia" w:hAnsi="Times New Roman" w:cs="Times New Roman"/>
                <w:color w:val="000000" w:themeColor="text1"/>
                <w:sz w:val="24"/>
                <w:lang w:val="en-US" w:eastAsia="zh-CN"/>
                <w14:textFill>
                  <w14:solidFill>
                    <w14:schemeClr w14:val="tx1"/>
                  </w14:solidFill>
                </w14:textFill>
              </w:rPr>
              <w:t>（4）</w:t>
            </w:r>
            <w:r>
              <w:rPr>
                <w:rFonts w:hint="default" w:hAnsi="Times New Roman" w:cs="Times New Roman"/>
                <w:color w:val="000000" w:themeColor="text1"/>
                <w:sz w:val="24"/>
                <w:lang w:val="en-US" w:eastAsia="zh-CN"/>
                <w14:textFill>
                  <w14:solidFill>
                    <w14:schemeClr w14:val="tx1"/>
                  </w14:solidFill>
                </w14:textFill>
              </w:rPr>
              <w:t>废油桶</w:t>
            </w:r>
          </w:p>
          <w:p w14:paraId="75B12BE2">
            <w:pPr>
              <w:pStyle w:val="6"/>
              <w:snapToGrid w:val="0"/>
              <w:spacing w:line="360" w:lineRule="auto"/>
              <w:ind w:firstLine="480"/>
              <w:rPr>
                <w:rFonts w:hint="default" w:hAnsi="Times New Roman" w:cs="Times New Roman"/>
                <w:color w:val="000000" w:themeColor="text1"/>
                <w:sz w:val="24"/>
                <w:lang w:val="en-US" w:eastAsia="zh-CN"/>
                <w14:textFill>
                  <w14:solidFill>
                    <w14:schemeClr w14:val="tx1"/>
                  </w14:solidFill>
                </w14:textFill>
              </w:rPr>
            </w:pPr>
            <w:r>
              <w:rPr>
                <w:rFonts w:hint="default" w:hAnsi="Times New Roman" w:cs="Times New Roman"/>
                <w:color w:val="000000" w:themeColor="text1"/>
                <w:sz w:val="24"/>
                <w:lang w:val="en-US" w:eastAsia="zh-CN"/>
                <w14:textFill>
                  <w14:solidFill>
                    <w14:schemeClr w14:val="tx1"/>
                  </w14:solidFill>
                </w14:textFill>
              </w:rPr>
              <w:t>本项目废油桶产生量0.02t/a，属于HW08类危险废物，危废代码为900-249-08，委托有资质的单位处理。</w:t>
            </w:r>
          </w:p>
          <w:p w14:paraId="2F48CFA3">
            <w:pPr>
              <w:pStyle w:val="6"/>
              <w:snapToGrid w:val="0"/>
              <w:spacing w:line="360" w:lineRule="auto"/>
              <w:ind w:firstLine="480"/>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（5）废导热油</w:t>
            </w:r>
          </w:p>
          <w:p w14:paraId="6E650748">
            <w:pPr>
              <w:pStyle w:val="6"/>
              <w:snapToGrid w:val="0"/>
              <w:spacing w:line="360" w:lineRule="auto"/>
              <w:ind w:firstLine="480"/>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本项目设有</w:t>
            </w:r>
            <w:r>
              <w:rPr>
                <w:rFonts w:hint="default" w:ascii="Times New Roman" w:hAnsi="Times New Roman" w:eastAsia="宋体" w:cs="Times New Roman"/>
                <w:color w:val="000000" w:themeColor="text1"/>
                <w:sz w:val="24"/>
                <w:lang w:val="en-US" w:eastAsia="zh-CN"/>
                <w14:textFill>
                  <w14:solidFill>
                    <w14:schemeClr w14:val="tx1"/>
                  </w14:solidFill>
                </w14:textFill>
              </w:rPr>
              <w:t>2台电加热导热油炉</w:t>
            </w:r>
            <w:r>
              <w:rPr>
                <w:rFonts w:hint="eastAsia" w:ascii="Times New Roman" w:hAnsi="Times New Roman" w:eastAsia="宋体" w:cs="Times New Roman"/>
                <w:color w:val="000000" w:themeColor="text1"/>
                <w:sz w:val="24"/>
                <w:lang w:val="en-US" w:eastAsia="zh-CN"/>
                <w14:textFill>
                  <w14:solidFill>
                    <w14:schemeClr w14:val="tx1"/>
                  </w14:solidFill>
                </w14:textFill>
              </w:rPr>
              <w:t>，根据建设单位提供的资料，</w:t>
            </w:r>
            <w:r>
              <w:rPr>
                <w:rFonts w:hint="default" w:ascii="Times New Roman" w:hAnsi="Times New Roman" w:eastAsia="宋体" w:cs="Times New Roman"/>
                <w:color w:val="000000" w:themeColor="text1"/>
                <w:sz w:val="24"/>
                <w:lang w:val="en-US" w:eastAsia="zh-CN"/>
                <w14:textFill>
                  <w14:solidFill>
                    <w14:schemeClr w14:val="tx1"/>
                  </w14:solidFill>
                </w14:textFill>
              </w:rPr>
              <w:t>电加热导热油炉</w:t>
            </w:r>
            <w:r>
              <w:rPr>
                <w:rFonts w:hint="eastAsia" w:ascii="Times New Roman" w:hAnsi="Times New Roman" w:eastAsia="宋体" w:cs="Times New Roman"/>
                <w:color w:val="000000" w:themeColor="text1"/>
                <w:sz w:val="24"/>
                <w:lang w:val="en-US" w:eastAsia="zh-CN"/>
                <w14:textFill>
                  <w14:solidFill>
                    <w14:schemeClr w14:val="tx1"/>
                  </w14:solidFill>
                </w14:textFill>
              </w:rPr>
              <w:t>内的导热油5年更换一次，废导热油产生量为2t/5a，</w:t>
            </w:r>
            <w:r>
              <w:rPr>
                <w:rFonts w:hint="default" w:ascii="Times New Roman" w:hAnsi="Times New Roman" w:eastAsia="宋体" w:cs="Times New Roman"/>
                <w:color w:val="000000" w:themeColor="text1"/>
                <w:sz w:val="24"/>
                <w:lang w:val="en-US" w:eastAsia="zh-CN"/>
                <w14:textFill>
                  <w14:solidFill>
                    <w14:schemeClr w14:val="tx1"/>
                  </w14:solidFill>
                </w14:textFill>
              </w:rPr>
              <w:t>属于HW</w:t>
            </w:r>
            <w:r>
              <w:rPr>
                <w:rFonts w:hint="eastAsia" w:ascii="Times New Roman" w:hAnsi="Times New Roman" w:eastAsia="宋体" w:cs="Times New Roman"/>
                <w:color w:val="000000" w:themeColor="text1"/>
                <w:sz w:val="24"/>
                <w:lang w:val="en-US" w:eastAsia="zh-CN"/>
                <w14:textFill>
                  <w14:solidFill>
                    <w14:schemeClr w14:val="tx1"/>
                  </w14:solidFill>
                </w14:textFill>
              </w:rPr>
              <w:t>10</w:t>
            </w:r>
            <w:r>
              <w:rPr>
                <w:rFonts w:hint="default" w:ascii="Times New Roman" w:hAnsi="Times New Roman" w:eastAsia="宋体" w:cs="Times New Roman"/>
                <w:color w:val="000000" w:themeColor="text1"/>
                <w:sz w:val="24"/>
                <w:lang w:val="en-US" w:eastAsia="zh-CN"/>
                <w14:textFill>
                  <w14:solidFill>
                    <w14:schemeClr w14:val="tx1"/>
                  </w14:solidFill>
                </w14:textFill>
              </w:rPr>
              <w:t>类危险废物，危废代码为</w:t>
            </w:r>
            <w:r>
              <w:rPr>
                <w:rFonts w:hint="eastAsia" w:ascii="Times New Roman" w:hAnsi="Times New Roman" w:eastAsia="宋体" w:cs="Times New Roman"/>
                <w:color w:val="000000" w:themeColor="text1"/>
                <w:sz w:val="24"/>
                <w:lang w:val="en-US" w:eastAsia="zh-CN"/>
                <w14:textFill>
                  <w14:solidFill>
                    <w14:schemeClr w14:val="tx1"/>
                  </w14:solidFill>
                </w14:textFill>
              </w:rPr>
              <w:t>900-010-10</w:t>
            </w:r>
            <w:r>
              <w:rPr>
                <w:rFonts w:hint="default" w:ascii="Times New Roman" w:hAnsi="Times New Roman" w:eastAsia="宋体" w:cs="Times New Roman"/>
                <w:color w:val="000000" w:themeColor="text1"/>
                <w:sz w:val="24"/>
                <w:lang w:val="en-US" w:eastAsia="zh-CN"/>
                <w14:textFill>
                  <w14:solidFill>
                    <w14:schemeClr w14:val="tx1"/>
                  </w14:solidFill>
                </w14:textFill>
              </w:rPr>
              <w:t>，委托有资质的单位处理</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61D4466E">
            <w:pPr>
              <w:pStyle w:val="6"/>
              <w:snapToGrid w:val="0"/>
              <w:spacing w:line="360" w:lineRule="auto"/>
              <w:ind w:firstLine="480"/>
            </w:pPr>
            <w:r>
              <w:rPr>
                <w:rFonts w:hint="eastAsia" w:hAnsi="Times New Roman" w:cs="Times New Roman"/>
                <w:color w:val="000000" w:themeColor="text1"/>
                <w:sz w:val="24"/>
                <w:lang w:val="en-US" w:eastAsia="zh-CN"/>
                <w14:textFill>
                  <w14:solidFill>
                    <w14:schemeClr w14:val="tx1"/>
                  </w14:solidFill>
                </w14:textFill>
              </w:rPr>
              <w:t>（6）废活性炭</w:t>
            </w:r>
          </w:p>
          <w:p w14:paraId="78F3D165">
            <w:pPr>
              <w:pStyle w:val="6"/>
              <w:snapToGrid w:val="0"/>
              <w:spacing w:line="360" w:lineRule="auto"/>
              <w:ind w:firstLine="48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hAnsi="Times New Roman" w:cs="Times New Roman"/>
                <w:color w:val="000000" w:themeColor="text1"/>
                <w:sz w:val="24"/>
                <w:lang w:val="en-US" w:eastAsia="zh-CN"/>
                <w14:textFill>
                  <w14:solidFill>
                    <w14:schemeClr w14:val="tx1"/>
                  </w14:solidFill>
                </w14:textFill>
              </w:rPr>
              <w:t>本项目采用“二级活性炭吸附”（</w:t>
            </w:r>
            <w:r>
              <w:rPr>
                <w:rFonts w:hint="default" w:hAnsi="Times New Roman" w:cs="Times New Roman"/>
                <w:color w:val="000000" w:themeColor="text1"/>
                <w:sz w:val="24"/>
                <w:lang w:val="en-US" w:eastAsia="zh-CN"/>
                <w14:textFill>
                  <w14:solidFill>
                    <w14:schemeClr w14:val="tx1"/>
                  </w14:solidFill>
                </w14:textFill>
              </w:rPr>
              <w:t>TA001</w:t>
            </w:r>
            <w:r>
              <w:rPr>
                <w:rFonts w:hint="eastAsia" w:hAnsi="Times New Roman" w:cs="Times New Roman"/>
                <w:color w:val="000000" w:themeColor="text1"/>
                <w:sz w:val="24"/>
                <w:lang w:val="en-US" w:eastAsia="zh-CN"/>
                <w14:textFill>
                  <w14:solidFill>
                    <w14:schemeClr w14:val="tx1"/>
                  </w14:solidFill>
                </w14:textFill>
              </w:rPr>
              <w:t>）治理设施处理有机废气，根据工程分析结果可知，本项目加热熔融、搅拌混合、冷却成型工序有机废气有组织收集量为</w:t>
            </w:r>
            <w:r>
              <w:rPr>
                <w:rFonts w:hint="eastAsia" w:cs="Times New Roman"/>
                <w:color w:val="000000" w:themeColor="text1"/>
                <w:sz w:val="24"/>
                <w:lang w:val="en-US" w:eastAsia="zh-CN"/>
                <w14:textFill>
                  <w14:solidFill>
                    <w14:schemeClr w14:val="tx1"/>
                  </w14:solidFill>
                </w14:textFill>
              </w:rPr>
              <w:t>1.54</w:t>
            </w:r>
            <w:r>
              <w:rPr>
                <w:rFonts w:hint="default" w:hAnsi="Times New Roman" w:cs="Times New Roman"/>
                <w:color w:val="000000" w:themeColor="text1"/>
                <w:sz w:val="24"/>
                <w:lang w:val="en-US" w:eastAsia="zh-CN"/>
                <w14:textFill>
                  <w14:solidFill>
                    <w14:schemeClr w14:val="tx1"/>
                  </w14:solidFill>
                </w14:textFill>
              </w:rPr>
              <w:t>t/a</w:t>
            </w:r>
            <w:r>
              <w:rPr>
                <w:rFonts w:hint="eastAsia" w:hAnsi="Times New Roman" w:cs="Times New Roman"/>
                <w:color w:val="000000" w:themeColor="text1"/>
                <w:sz w:val="24"/>
                <w:lang w:val="en-US" w:eastAsia="zh-CN"/>
                <w14:textFill>
                  <w14:solidFill>
                    <w14:schemeClr w14:val="tx1"/>
                  </w14:solidFill>
                </w14:textFill>
              </w:rPr>
              <w:t>，二级活性炭对有机废气的处理效率取90%，则活性炭所需吸附的有机废气量</w:t>
            </w:r>
            <w:r>
              <w:rPr>
                <w:rFonts w:hint="eastAsia" w:ascii="Times New Roman" w:hAnsi="Times New Roman" w:eastAsia="宋体" w:cs="Times New Roman"/>
                <w:color w:val="000000" w:themeColor="text1"/>
                <w:sz w:val="24"/>
                <w:lang w:val="en-US" w:eastAsia="zh-CN"/>
                <w14:textFill>
                  <w14:solidFill>
                    <w14:schemeClr w14:val="tx1"/>
                  </w14:solidFill>
                </w14:textFill>
              </w:rPr>
              <w:t>为</w:t>
            </w:r>
            <w:r>
              <w:rPr>
                <w:rFonts w:hint="eastAsia" w:hAnsi="Times New Roman" w:cs="Times New Roman"/>
                <w:color w:val="000000" w:themeColor="text1"/>
                <w:sz w:val="24"/>
                <w:lang w:val="en-US" w:eastAsia="zh-CN"/>
                <w14:textFill>
                  <w14:solidFill>
                    <w14:schemeClr w14:val="tx1"/>
                  </w14:solidFill>
                </w14:textFill>
              </w:rPr>
              <w:t>1.39</w:t>
            </w:r>
            <w:r>
              <w:rPr>
                <w:rFonts w:hint="eastAsia" w:ascii="Times New Roman" w:hAnsi="Times New Roman" w:eastAsia="宋体" w:cs="Times New Roman"/>
                <w:color w:val="000000" w:themeColor="text1"/>
                <w:sz w:val="24"/>
                <w:lang w:val="en-US" w:eastAsia="zh-CN"/>
                <w14:textFill>
                  <w14:solidFill>
                    <w14:schemeClr w14:val="tx1"/>
                  </w14:solidFill>
                </w14:textFill>
              </w:rPr>
              <w:t>t/a，</w:t>
            </w:r>
            <w:r>
              <w:rPr>
                <w:rFonts w:hint="default" w:ascii="Times New Roman" w:hAnsi="Times New Roman" w:eastAsia="宋体" w:cs="Times New Roman"/>
                <w:color w:val="000000" w:themeColor="text1"/>
                <w:sz w:val="24"/>
                <w:lang w:val="en-US" w:eastAsia="zh-CN"/>
                <w14:textFill>
                  <w14:solidFill>
                    <w14:schemeClr w14:val="tx1"/>
                  </w14:solidFill>
                </w14:textFill>
              </w:rPr>
              <w:t>根据淄博市生态环境局《关于印发&lt;涉V</w:t>
            </w:r>
            <w:r>
              <w:rPr>
                <w:rFonts w:hint="eastAsia" w:ascii="Times New Roman" w:hAnsi="Times New Roman" w:eastAsia="宋体" w:cs="Times New Roman"/>
                <w:color w:val="000000" w:themeColor="text1"/>
                <w:sz w:val="24"/>
                <w:lang w:val="en-US" w:eastAsia="zh-CN"/>
                <w14:textFill>
                  <w14:solidFill>
                    <w14:schemeClr w14:val="tx1"/>
                  </w14:solidFill>
                </w14:textFill>
              </w:rPr>
              <w:t>O</w:t>
            </w:r>
            <w:r>
              <w:rPr>
                <w:rFonts w:hint="default" w:ascii="Times New Roman" w:hAnsi="Times New Roman" w:eastAsia="宋体" w:cs="Times New Roman"/>
                <w:color w:val="000000" w:themeColor="text1"/>
                <w:sz w:val="24"/>
                <w:lang w:val="en-US" w:eastAsia="zh-CN"/>
                <w14:textFill>
                  <w14:solidFill>
                    <w14:schemeClr w14:val="tx1"/>
                  </w14:solidFill>
                </w14:textFill>
              </w:rPr>
              <w:t>Cs企业活性炭吸附法安装、使用规范指南&gt;》的通知</w:t>
            </w:r>
            <w:r>
              <w:rPr>
                <w:rFonts w:hint="eastAsia" w:ascii="Times New Roman" w:hAnsi="Times New Roman" w:eastAsia="宋体" w:cs="Times New Roman"/>
                <w:color w:val="000000" w:themeColor="text1"/>
                <w:sz w:val="24"/>
                <w:lang w:val="en-US" w:eastAsia="zh-CN"/>
                <w14:textFill>
                  <w14:solidFill>
                    <w14:schemeClr w14:val="tx1"/>
                  </w14:solidFill>
                </w14:textFill>
              </w:rPr>
              <w:t>，</w:t>
            </w:r>
            <w:r>
              <w:rPr>
                <w:rFonts w:hint="eastAsia" w:hAnsi="Times New Roman" w:cs="Times New Roman"/>
                <w:color w:val="000000" w:themeColor="text1"/>
                <w:sz w:val="24"/>
                <w:lang w:val="en-US" w:eastAsia="zh-CN"/>
                <w14:textFill>
                  <w14:solidFill>
                    <w14:schemeClr w14:val="tx1"/>
                  </w14:solidFill>
                </w14:textFill>
              </w:rPr>
              <w:t>8.活性炭填装量应根据废气处理量、污染物浓度和动态吸附量确定。活性炭填装量(参考值)计算方法：</w:t>
            </w:r>
          </w:p>
          <w:p w14:paraId="63E30A05">
            <w:pPr>
              <w:pStyle w:val="6"/>
              <w:snapToGrid w:val="0"/>
              <w:spacing w:line="360" w:lineRule="auto"/>
              <w:ind w:firstLine="480"/>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活性炭填装量(kg)=消减</w:t>
            </w:r>
            <w:r>
              <w:rPr>
                <w:rFonts w:hint="default" w:ascii="Times New Roman" w:hAnsi="Times New Roman" w:eastAsia="宋体" w:cs="Times New Roman"/>
                <w:color w:val="000000" w:themeColor="text1"/>
                <w:sz w:val="24"/>
                <w:lang w:val="en-US" w:eastAsia="zh-CN"/>
                <w14:textFill>
                  <w14:solidFill>
                    <w14:schemeClr w14:val="tx1"/>
                  </w14:solidFill>
                </w14:textFill>
              </w:rPr>
              <w:t>V</w:t>
            </w:r>
            <w:r>
              <w:rPr>
                <w:rFonts w:hint="eastAsia" w:ascii="Times New Roman" w:hAnsi="Times New Roman" w:eastAsia="宋体" w:cs="Times New Roman"/>
                <w:color w:val="000000" w:themeColor="text1"/>
                <w:sz w:val="24"/>
                <w:lang w:val="en-US" w:eastAsia="zh-CN"/>
                <w14:textFill>
                  <w14:solidFill>
                    <w14:schemeClr w14:val="tx1"/>
                  </w14:solidFill>
                </w14:textFill>
              </w:rPr>
              <w:t>O</w:t>
            </w:r>
            <w:r>
              <w:rPr>
                <w:rFonts w:hint="default" w:ascii="Times New Roman" w:hAnsi="Times New Roman" w:eastAsia="宋体" w:cs="Times New Roman"/>
                <w:color w:val="000000" w:themeColor="text1"/>
                <w:sz w:val="24"/>
                <w:lang w:val="en-US" w:eastAsia="zh-CN"/>
                <w14:textFill>
                  <w14:solidFill>
                    <w14:schemeClr w14:val="tx1"/>
                  </w14:solidFill>
                </w14:textFill>
              </w:rPr>
              <w:t>Cs</w:t>
            </w:r>
            <w:r>
              <w:rPr>
                <w:rFonts w:hint="eastAsia" w:ascii="Times New Roman" w:hAnsi="Times New Roman" w:eastAsia="宋体" w:cs="Times New Roman"/>
                <w:color w:val="000000" w:themeColor="text1"/>
                <w:sz w:val="24"/>
                <w:lang w:val="en-US" w:eastAsia="zh-CN"/>
                <w14:textFill>
                  <w14:solidFill>
                    <w14:schemeClr w14:val="tx1"/>
                  </w14:solidFill>
                </w14:textFill>
              </w:rPr>
              <w:t>浓度（</w:t>
            </w:r>
            <w:r>
              <w:rPr>
                <w:rStyle w:val="46"/>
                <w:rFonts w:hint="eastAsia"/>
                <w:color w:val="auto"/>
                <w:sz w:val="21"/>
                <w:szCs w:val="21"/>
                <w:lang w:val="en-US" w:eastAsia="zh-CN"/>
              </w:rPr>
              <w:t>mg/m</w:t>
            </w:r>
            <w:r>
              <w:rPr>
                <w:rStyle w:val="46"/>
                <w:rFonts w:hint="eastAsia"/>
                <w:color w:val="auto"/>
                <w:sz w:val="21"/>
                <w:szCs w:val="21"/>
                <w:vertAlign w:val="superscript"/>
                <w:lang w:val="en-US" w:eastAsia="zh-CN"/>
              </w:rPr>
              <w:t>3</w:t>
            </w:r>
            <w:r>
              <w:rPr>
                <w:rFonts w:hint="eastAsia" w:ascii="Times New Roman" w:hAnsi="Times New Roman" w:eastAsia="宋体" w:cs="Times New Roman"/>
                <w:color w:val="000000" w:themeColor="text1"/>
                <w:sz w:val="24"/>
                <w:lang w:val="en-US" w:eastAsia="zh-CN"/>
                <w14:textFill>
                  <w14:solidFill>
                    <w14:schemeClr w14:val="tx1"/>
                  </w14:solidFill>
                </w14:textFill>
              </w:rPr>
              <w:t>）*烟气量（</w:t>
            </w:r>
            <w:r>
              <w:rPr>
                <w:color w:val="auto"/>
                <w:kern w:val="0"/>
                <w:szCs w:val="21"/>
              </w:rPr>
              <w:t>m</w:t>
            </w:r>
            <w:r>
              <w:rPr>
                <w:color w:val="auto"/>
                <w:kern w:val="0"/>
                <w:szCs w:val="21"/>
                <w:vertAlign w:val="superscript"/>
              </w:rPr>
              <w:t>3</w:t>
            </w:r>
            <w:r>
              <w:rPr>
                <w:rFonts w:hint="eastAsia" w:ascii="Times New Roman" w:hAnsi="Times New Roman" w:eastAsia="宋体" w:cs="Times New Roman"/>
                <w:color w:val="000000" w:themeColor="text1"/>
                <w:sz w:val="24"/>
                <w:lang w:val="en-US" w:eastAsia="zh-CN"/>
                <w14:textFill>
                  <w14:solidFill>
                    <w14:schemeClr w14:val="tx1"/>
                  </w14:solidFill>
                </w14:textFill>
              </w:rPr>
              <w:t>/h）/（动态吸附量*10</w:t>
            </w:r>
            <w:r>
              <w:rPr>
                <w:rFonts w:hint="eastAsia" w:ascii="Times New Roman" w:hAnsi="Times New Roman" w:eastAsia="宋体" w:cs="Times New Roman"/>
                <w:color w:val="000000" w:themeColor="text1"/>
                <w:sz w:val="24"/>
                <w:vertAlign w:val="superscript"/>
                <w:lang w:val="en-US" w:eastAsia="zh-CN"/>
                <w14:textFill>
                  <w14:solidFill>
                    <w14:schemeClr w14:val="tx1"/>
                  </w14:solidFill>
                </w14:textFill>
              </w:rPr>
              <w:t>6</w:t>
            </w:r>
            <w:r>
              <w:rPr>
                <w:rFonts w:hint="eastAsia" w:ascii="Times New Roman" w:hAnsi="Times New Roman" w:eastAsia="宋体" w:cs="Times New Roman"/>
                <w:color w:val="000000" w:themeColor="text1"/>
                <w:sz w:val="24"/>
                <w:lang w:val="en-US" w:eastAsia="zh-CN"/>
                <w14:textFill>
                  <w14:solidFill>
                    <w14:schemeClr w14:val="tx1"/>
                  </w14:solidFill>
                </w14:textFill>
              </w:rPr>
              <w:t>）*运行时间（h/d）*更换周期（d）</w:t>
            </w:r>
          </w:p>
          <w:p w14:paraId="175EC029">
            <w:pPr>
              <w:pStyle w:val="6"/>
              <w:snapToGrid w:val="0"/>
              <w:spacing w:line="360" w:lineRule="auto"/>
              <w:ind w:firstLine="480"/>
              <w:rPr>
                <w:rFonts w:hint="eastAsia" w:ascii="Times New Roman" w:hAnsi="Times New Roman" w:eastAsia="宋体" w:cs="Times New Roman"/>
                <w:color w:val="000000" w:themeColor="text1"/>
                <w:sz w:val="22"/>
                <w:szCs w:val="18"/>
                <w:lang w:val="en-US" w:eastAsia="zh-CN"/>
                <w14:textFill>
                  <w14:solidFill>
                    <w14:schemeClr w14:val="tx1"/>
                  </w14:solidFill>
                </w14:textFill>
              </w:rPr>
            </w:pPr>
            <w:r>
              <w:rPr>
                <w:rFonts w:hint="eastAsia" w:ascii="Times New Roman" w:hAnsi="Times New Roman" w:eastAsia="宋体" w:cs="Times New Roman"/>
                <w:color w:val="000000" w:themeColor="text1"/>
                <w:sz w:val="22"/>
                <w:szCs w:val="18"/>
                <w:lang w:val="en-US" w:eastAsia="zh-CN"/>
                <w14:textFill>
                  <w14:solidFill>
                    <w14:schemeClr w14:val="tx1"/>
                  </w14:solidFill>
                </w14:textFill>
              </w:rPr>
              <w:t>式中:减</w:t>
            </w:r>
            <w:r>
              <w:rPr>
                <w:rFonts w:hint="default" w:ascii="Times New Roman" w:hAnsi="Times New Roman" w:eastAsia="宋体" w:cs="Times New Roman"/>
                <w:color w:val="000000" w:themeColor="text1"/>
                <w:sz w:val="22"/>
                <w:szCs w:val="18"/>
                <w:lang w:val="en-US" w:eastAsia="zh-CN"/>
                <w14:textFill>
                  <w14:solidFill>
                    <w14:schemeClr w14:val="tx1"/>
                  </w14:solidFill>
                </w14:textFill>
              </w:rPr>
              <w:t>V</w:t>
            </w:r>
            <w:r>
              <w:rPr>
                <w:rFonts w:hint="eastAsia" w:ascii="Times New Roman" w:hAnsi="Times New Roman" w:eastAsia="宋体" w:cs="Times New Roman"/>
                <w:color w:val="000000" w:themeColor="text1"/>
                <w:sz w:val="22"/>
                <w:szCs w:val="18"/>
                <w:lang w:val="en-US" w:eastAsia="zh-CN"/>
                <w14:textFill>
                  <w14:solidFill>
                    <w14:schemeClr w14:val="tx1"/>
                  </w14:solidFill>
                </w14:textFill>
              </w:rPr>
              <w:t>O</w:t>
            </w:r>
            <w:r>
              <w:rPr>
                <w:rFonts w:hint="default" w:ascii="Times New Roman" w:hAnsi="Times New Roman" w:eastAsia="宋体" w:cs="Times New Roman"/>
                <w:color w:val="000000" w:themeColor="text1"/>
                <w:sz w:val="22"/>
                <w:szCs w:val="18"/>
                <w:lang w:val="en-US" w:eastAsia="zh-CN"/>
                <w14:textFill>
                  <w14:solidFill>
                    <w14:schemeClr w14:val="tx1"/>
                  </w14:solidFill>
                </w14:textFill>
              </w:rPr>
              <w:t>Cs</w:t>
            </w:r>
            <w:r>
              <w:rPr>
                <w:rFonts w:hint="eastAsia" w:ascii="Times New Roman" w:hAnsi="Times New Roman" w:eastAsia="宋体" w:cs="Times New Roman"/>
                <w:color w:val="000000" w:themeColor="text1"/>
                <w:sz w:val="22"/>
                <w:szCs w:val="18"/>
                <w:lang w:val="en-US" w:eastAsia="zh-CN"/>
                <w14:textFill>
                  <w14:solidFill>
                    <w14:schemeClr w14:val="tx1"/>
                  </w14:solidFill>
                </w14:textFill>
              </w:rPr>
              <w:t>浓度=进口</w:t>
            </w:r>
            <w:r>
              <w:rPr>
                <w:rFonts w:hint="default" w:ascii="Times New Roman" w:hAnsi="Times New Roman" w:eastAsia="宋体" w:cs="Times New Roman"/>
                <w:color w:val="000000" w:themeColor="text1"/>
                <w:sz w:val="22"/>
                <w:szCs w:val="18"/>
                <w:lang w:val="en-US" w:eastAsia="zh-CN"/>
                <w14:textFill>
                  <w14:solidFill>
                    <w14:schemeClr w14:val="tx1"/>
                  </w14:solidFill>
                </w14:textFill>
              </w:rPr>
              <w:t>V</w:t>
            </w:r>
            <w:r>
              <w:rPr>
                <w:rFonts w:hint="eastAsia" w:ascii="Times New Roman" w:hAnsi="Times New Roman" w:eastAsia="宋体" w:cs="Times New Roman"/>
                <w:color w:val="000000" w:themeColor="text1"/>
                <w:sz w:val="22"/>
                <w:szCs w:val="18"/>
                <w:lang w:val="en-US" w:eastAsia="zh-CN"/>
                <w14:textFill>
                  <w14:solidFill>
                    <w14:schemeClr w14:val="tx1"/>
                  </w14:solidFill>
                </w14:textFill>
              </w:rPr>
              <w:t>O</w:t>
            </w:r>
            <w:r>
              <w:rPr>
                <w:rFonts w:hint="default" w:ascii="Times New Roman" w:hAnsi="Times New Roman" w:eastAsia="宋体" w:cs="Times New Roman"/>
                <w:color w:val="000000" w:themeColor="text1"/>
                <w:sz w:val="22"/>
                <w:szCs w:val="18"/>
                <w:lang w:val="en-US" w:eastAsia="zh-CN"/>
                <w14:textFill>
                  <w14:solidFill>
                    <w14:schemeClr w14:val="tx1"/>
                  </w14:solidFill>
                </w14:textFill>
              </w:rPr>
              <w:t>Cs</w:t>
            </w:r>
            <w:r>
              <w:rPr>
                <w:rFonts w:hint="eastAsia" w:ascii="Times New Roman" w:hAnsi="Times New Roman" w:eastAsia="宋体" w:cs="Times New Roman"/>
                <w:color w:val="000000" w:themeColor="text1"/>
                <w:sz w:val="22"/>
                <w:szCs w:val="18"/>
                <w:lang w:val="en-US" w:eastAsia="zh-CN"/>
                <w14:textFill>
                  <w14:solidFill>
                    <w14:schemeClr w14:val="tx1"/>
                  </w14:solidFill>
                </w14:textFill>
              </w:rPr>
              <w:t>浓度-出口</w:t>
            </w:r>
            <w:r>
              <w:rPr>
                <w:rFonts w:hint="default" w:ascii="Times New Roman" w:hAnsi="Times New Roman" w:eastAsia="宋体" w:cs="Times New Roman"/>
                <w:color w:val="000000" w:themeColor="text1"/>
                <w:sz w:val="22"/>
                <w:szCs w:val="18"/>
                <w:lang w:val="en-US" w:eastAsia="zh-CN"/>
                <w14:textFill>
                  <w14:solidFill>
                    <w14:schemeClr w14:val="tx1"/>
                  </w14:solidFill>
                </w14:textFill>
              </w:rPr>
              <w:t>V</w:t>
            </w:r>
            <w:r>
              <w:rPr>
                <w:rFonts w:hint="eastAsia" w:ascii="Times New Roman" w:hAnsi="Times New Roman" w:eastAsia="宋体" w:cs="Times New Roman"/>
                <w:color w:val="000000" w:themeColor="text1"/>
                <w:sz w:val="22"/>
                <w:szCs w:val="18"/>
                <w:lang w:val="en-US" w:eastAsia="zh-CN"/>
                <w14:textFill>
                  <w14:solidFill>
                    <w14:schemeClr w14:val="tx1"/>
                  </w14:solidFill>
                </w14:textFill>
              </w:rPr>
              <w:t>O</w:t>
            </w:r>
            <w:r>
              <w:rPr>
                <w:rFonts w:hint="default" w:ascii="Times New Roman" w:hAnsi="Times New Roman" w:eastAsia="宋体" w:cs="Times New Roman"/>
                <w:color w:val="000000" w:themeColor="text1"/>
                <w:sz w:val="22"/>
                <w:szCs w:val="18"/>
                <w:lang w:val="en-US" w:eastAsia="zh-CN"/>
                <w14:textFill>
                  <w14:solidFill>
                    <w14:schemeClr w14:val="tx1"/>
                  </w14:solidFill>
                </w14:textFill>
              </w:rPr>
              <w:t>Cs</w:t>
            </w:r>
            <w:r>
              <w:rPr>
                <w:rFonts w:hint="eastAsia" w:ascii="Times New Roman" w:hAnsi="Times New Roman" w:eastAsia="宋体" w:cs="Times New Roman"/>
                <w:color w:val="000000" w:themeColor="text1"/>
                <w:sz w:val="22"/>
                <w:szCs w:val="18"/>
                <w:lang w:val="en-US" w:eastAsia="zh-CN"/>
                <w14:textFill>
                  <w14:solidFill>
                    <w14:schemeClr w14:val="tx1"/>
                  </w14:solidFill>
                </w14:textFill>
              </w:rPr>
              <w:t>浓度；</w:t>
            </w:r>
          </w:p>
          <w:p w14:paraId="55224D8D">
            <w:pPr>
              <w:pStyle w:val="6"/>
              <w:snapToGrid w:val="0"/>
              <w:spacing w:line="360" w:lineRule="auto"/>
              <w:ind w:firstLine="480"/>
              <w:rPr>
                <w:rFonts w:hint="eastAsia" w:ascii="Times New Roman" w:hAnsi="Times New Roman" w:eastAsia="宋体" w:cs="Times New Roman"/>
                <w:color w:val="000000" w:themeColor="text1"/>
                <w:sz w:val="22"/>
                <w:szCs w:val="18"/>
                <w:lang w:val="en-US" w:eastAsia="zh-CN"/>
                <w14:textFill>
                  <w14:solidFill>
                    <w14:schemeClr w14:val="tx1"/>
                  </w14:solidFill>
                </w14:textFill>
              </w:rPr>
            </w:pPr>
            <w:r>
              <w:rPr>
                <w:rFonts w:hint="eastAsia" w:ascii="Times New Roman" w:hAnsi="Times New Roman" w:eastAsia="宋体" w:cs="Times New Roman"/>
                <w:color w:val="000000" w:themeColor="text1"/>
                <w:sz w:val="22"/>
                <w:szCs w:val="18"/>
                <w:lang w:val="en-US" w:eastAsia="zh-CN"/>
                <w14:textFill>
                  <w14:solidFill>
                    <w14:schemeClr w14:val="tx1"/>
                  </w14:solidFill>
                </w14:textFill>
              </w:rPr>
              <w:t>动态吸附量参考值为15%；</w:t>
            </w:r>
          </w:p>
          <w:p w14:paraId="49BE588D">
            <w:pPr>
              <w:pStyle w:val="6"/>
              <w:snapToGrid w:val="0"/>
              <w:spacing w:line="360" w:lineRule="auto"/>
              <w:ind w:firstLine="480"/>
              <w:rPr>
                <w:rFonts w:hint="eastAsia" w:ascii="Times New Roman" w:hAnsi="Times New Roman" w:eastAsia="宋体" w:cs="Times New Roman"/>
                <w:color w:val="000000" w:themeColor="text1"/>
                <w:sz w:val="22"/>
                <w:szCs w:val="18"/>
                <w:lang w:val="en-US" w:eastAsia="zh-CN"/>
                <w14:textFill>
                  <w14:solidFill>
                    <w14:schemeClr w14:val="tx1"/>
                  </w14:solidFill>
                </w14:textFill>
              </w:rPr>
            </w:pPr>
            <w:r>
              <w:rPr>
                <w:rFonts w:hint="eastAsia" w:ascii="Times New Roman" w:hAnsi="Times New Roman" w:eastAsia="宋体" w:cs="Times New Roman"/>
                <w:color w:val="000000" w:themeColor="text1"/>
                <w:sz w:val="22"/>
                <w:szCs w:val="18"/>
                <w:lang w:val="en-US" w:eastAsia="zh-CN"/>
                <w14:textFill>
                  <w14:solidFill>
                    <w14:schemeClr w14:val="tx1"/>
                  </w14:solidFill>
                </w14:textFill>
              </w:rPr>
              <w:t>更换周期取90d；</w:t>
            </w:r>
          </w:p>
          <w:p w14:paraId="7D3D78A5">
            <w:pPr>
              <w:pStyle w:val="6"/>
              <w:snapToGrid w:val="0"/>
              <w:spacing w:line="360" w:lineRule="auto"/>
              <w:ind w:firstLine="480"/>
              <w:rPr>
                <w:rFonts w:hint="eastAsia" w:hAnsi="Times New Roman" w:cs="Times New Roman"/>
                <w:color w:val="000000" w:themeColor="text1"/>
                <w:sz w:val="24"/>
                <w:lang w:val="en-US" w:eastAsia="zh-CN"/>
                <w14:textFill>
                  <w14:solidFill>
                    <w14:schemeClr w14:val="tx1"/>
                  </w14:solidFill>
                </w14:textFill>
              </w:rPr>
            </w:pPr>
            <w:r>
              <w:rPr>
                <w:rFonts w:hint="eastAsia" w:hAnsi="Times New Roman" w:cs="Times New Roman"/>
                <w:color w:val="000000" w:themeColor="text1"/>
                <w:sz w:val="24"/>
                <w:lang w:val="en-US" w:eastAsia="zh-CN"/>
                <w14:textFill>
                  <w14:solidFill>
                    <w14:schemeClr w14:val="tx1"/>
                  </w14:solidFill>
                </w14:textFill>
              </w:rPr>
              <w:t>则本项目</w:t>
            </w:r>
            <w:r>
              <w:rPr>
                <w:rFonts w:hint="eastAsia" w:ascii="Times New Roman" w:hAnsi="Times New Roman" w:eastAsia="宋体" w:cs="Times New Roman"/>
                <w:color w:val="000000" w:themeColor="text1"/>
                <w:sz w:val="24"/>
                <w:lang w:val="en-US" w:eastAsia="zh-CN"/>
                <w14:textFill>
                  <w14:solidFill>
                    <w14:schemeClr w14:val="tx1"/>
                  </w14:solidFill>
                </w14:textFill>
              </w:rPr>
              <w:t>活性炭填装量=24.03（</w:t>
            </w:r>
            <w:r>
              <w:rPr>
                <w:rStyle w:val="46"/>
                <w:rFonts w:hint="eastAsia"/>
                <w:color w:val="auto"/>
                <w:sz w:val="21"/>
                <w:szCs w:val="21"/>
                <w:lang w:val="en-US" w:eastAsia="zh-CN"/>
              </w:rPr>
              <w:t>mg/m</w:t>
            </w:r>
            <w:r>
              <w:rPr>
                <w:rStyle w:val="46"/>
                <w:rFonts w:hint="eastAsia"/>
                <w:color w:val="auto"/>
                <w:sz w:val="21"/>
                <w:szCs w:val="21"/>
                <w:vertAlign w:val="superscript"/>
                <w:lang w:val="en-US" w:eastAsia="zh-CN"/>
              </w:rPr>
              <w:t>3</w:t>
            </w:r>
            <w:r>
              <w:rPr>
                <w:rFonts w:hint="eastAsia" w:ascii="Times New Roman" w:hAnsi="Times New Roman" w:eastAsia="宋体" w:cs="Times New Roman"/>
                <w:color w:val="000000" w:themeColor="text1"/>
                <w:sz w:val="24"/>
                <w:lang w:val="en-US" w:eastAsia="zh-CN"/>
                <w14:textFill>
                  <w14:solidFill>
                    <w14:schemeClr w14:val="tx1"/>
                  </w14:solidFill>
                </w14:textFill>
              </w:rPr>
              <w:t>）*12000（</w:t>
            </w:r>
            <w:r>
              <w:rPr>
                <w:color w:val="auto"/>
                <w:kern w:val="0"/>
                <w:szCs w:val="21"/>
              </w:rPr>
              <w:t>m</w:t>
            </w:r>
            <w:r>
              <w:rPr>
                <w:color w:val="auto"/>
                <w:kern w:val="0"/>
                <w:szCs w:val="21"/>
                <w:vertAlign w:val="superscript"/>
              </w:rPr>
              <w:t>3</w:t>
            </w:r>
            <w:r>
              <w:rPr>
                <w:rFonts w:hint="eastAsia" w:ascii="Times New Roman" w:hAnsi="Times New Roman" w:eastAsia="宋体" w:cs="Times New Roman"/>
                <w:color w:val="000000" w:themeColor="text1"/>
                <w:sz w:val="24"/>
                <w:lang w:val="en-US" w:eastAsia="zh-CN"/>
                <w14:textFill>
                  <w14:solidFill>
                    <w14:schemeClr w14:val="tx1"/>
                  </w14:solidFill>
                </w14:textFill>
              </w:rPr>
              <w:t>/h）/（0.15*10</w:t>
            </w:r>
            <w:r>
              <w:rPr>
                <w:rFonts w:hint="eastAsia" w:ascii="Times New Roman" w:hAnsi="Times New Roman" w:eastAsia="宋体" w:cs="Times New Roman"/>
                <w:color w:val="000000" w:themeColor="text1"/>
                <w:sz w:val="24"/>
                <w:vertAlign w:val="superscript"/>
                <w:lang w:val="en-US" w:eastAsia="zh-CN"/>
                <w14:textFill>
                  <w14:solidFill>
                    <w14:schemeClr w14:val="tx1"/>
                  </w14:solidFill>
                </w14:textFill>
              </w:rPr>
              <w:t>6</w:t>
            </w:r>
            <w:r>
              <w:rPr>
                <w:rFonts w:hint="eastAsia" w:ascii="Times New Roman" w:hAnsi="Times New Roman" w:eastAsia="宋体" w:cs="Times New Roman"/>
                <w:color w:val="000000" w:themeColor="text1"/>
                <w:sz w:val="24"/>
                <w:lang w:val="en-US" w:eastAsia="zh-CN"/>
                <w14:textFill>
                  <w14:solidFill>
                    <w14:schemeClr w14:val="tx1"/>
                  </w14:solidFill>
                </w14:textFill>
              </w:rPr>
              <w:t>）*16（h/d）*90（d）=</w:t>
            </w:r>
            <w:r>
              <w:rPr>
                <w:rFonts w:hint="eastAsia" w:hAnsi="Times New Roman" w:cs="Times New Roman"/>
                <w:color w:val="000000" w:themeColor="text1"/>
                <w:sz w:val="24"/>
                <w:lang w:val="en-US" w:eastAsia="zh-CN"/>
                <w14:textFill>
                  <w14:solidFill>
                    <w14:schemeClr w14:val="tx1"/>
                  </w14:solidFill>
                </w14:textFill>
              </w:rPr>
              <w:t>2768.3</w:t>
            </w:r>
            <w:r>
              <w:rPr>
                <w:rFonts w:hint="eastAsia" w:ascii="Times New Roman" w:hAnsi="Times New Roman" w:eastAsia="宋体" w:cs="Times New Roman"/>
                <w:color w:val="000000" w:themeColor="text1"/>
                <w:sz w:val="24"/>
                <w:lang w:val="en-US" w:eastAsia="zh-CN"/>
                <w14:textFill>
                  <w14:solidFill>
                    <w14:schemeClr w14:val="tx1"/>
                  </w14:solidFill>
                </w14:textFill>
              </w:rPr>
              <w:t>kg</w:t>
            </w:r>
          </w:p>
          <w:p w14:paraId="0C2593E1">
            <w:pPr>
              <w:pStyle w:val="6"/>
              <w:snapToGrid w:val="0"/>
              <w:spacing w:line="360" w:lineRule="auto"/>
              <w:ind w:firstLine="480"/>
              <w:rPr>
                <w:rFonts w:hint="default" w:hAnsi="Times New Roman" w:cs="Times New Roman"/>
                <w:color w:val="000000" w:themeColor="text1"/>
                <w:sz w:val="24"/>
                <w:lang w:val="en-US" w:eastAsia="zh-CN"/>
                <w14:textFill>
                  <w14:solidFill>
                    <w14:schemeClr w14:val="tx1"/>
                  </w14:solidFill>
                </w14:textFill>
              </w:rPr>
            </w:pPr>
            <w:r>
              <w:rPr>
                <w:rFonts w:hint="eastAsia" w:hAnsi="Times New Roman" w:cs="Times New Roman"/>
                <w:color w:val="000000" w:themeColor="text1"/>
                <w:sz w:val="24"/>
                <w:lang w:val="en-US" w:eastAsia="zh-CN"/>
                <w14:textFill>
                  <w14:solidFill>
                    <w14:schemeClr w14:val="tx1"/>
                  </w14:solidFill>
                </w14:textFill>
              </w:rPr>
              <w:t>本项目二级活性炭箱填充量为3t，大于理论计算量。</w:t>
            </w:r>
          </w:p>
          <w:p w14:paraId="67A692BF">
            <w:pPr>
              <w:pStyle w:val="6"/>
              <w:snapToGrid w:val="0"/>
              <w:spacing w:line="360" w:lineRule="auto"/>
              <w:ind w:firstLine="480"/>
              <w:rPr>
                <w:rFonts w:hint="default" w:hAnsi="Times New Roman" w:cs="Times New Roman"/>
                <w:color w:val="000000" w:themeColor="text1"/>
                <w:sz w:val="24"/>
                <w:lang w:val="en-US" w:eastAsia="zh-CN"/>
                <w14:textFill>
                  <w14:solidFill>
                    <w14:schemeClr w14:val="tx1"/>
                  </w14:solidFill>
                </w14:textFill>
              </w:rPr>
            </w:pPr>
            <w:r>
              <w:rPr>
                <w:rFonts w:hint="eastAsia" w:hAnsi="Times New Roman" w:cs="Times New Roman"/>
                <w:color w:val="000000" w:themeColor="text1"/>
                <w:sz w:val="24"/>
                <w:lang w:val="en-US" w:eastAsia="zh-CN"/>
                <w14:textFill>
                  <w14:solidFill>
                    <w14:schemeClr w14:val="tx1"/>
                  </w14:solidFill>
                </w14:textFill>
              </w:rPr>
              <w:t>根据《吸附法工业有机废气治理工程技术规范》(HJ2026-2013)，活性炭的吸附容量一般为25%左右，则本项目“二级活性炭吸附”（</w:t>
            </w:r>
            <w:r>
              <w:rPr>
                <w:rFonts w:hint="default" w:hAnsi="Times New Roman" w:cs="Times New Roman"/>
                <w:color w:val="000000" w:themeColor="text1"/>
                <w:sz w:val="24"/>
                <w:lang w:val="en-US" w:eastAsia="zh-CN"/>
                <w14:textFill>
                  <w14:solidFill>
                    <w14:schemeClr w14:val="tx1"/>
                  </w14:solidFill>
                </w14:textFill>
              </w:rPr>
              <w:t>TA001</w:t>
            </w:r>
            <w:r>
              <w:rPr>
                <w:rFonts w:hint="eastAsia" w:hAnsi="Times New Roman" w:cs="Times New Roman"/>
                <w:color w:val="000000" w:themeColor="text1"/>
                <w:sz w:val="24"/>
                <w:lang w:val="en-US" w:eastAsia="zh-CN"/>
                <w14:textFill>
                  <w14:solidFill>
                    <w14:schemeClr w14:val="tx1"/>
                  </w14:solidFill>
                </w14:textFill>
              </w:rPr>
              <w:t>）治理设施活性炭理论用量为5.56</w:t>
            </w:r>
            <w:r>
              <w:rPr>
                <w:rFonts w:hint="default" w:hAnsi="Times New Roman" w:cs="Times New Roman"/>
                <w:color w:val="000000" w:themeColor="text1"/>
                <w:sz w:val="24"/>
                <w:lang w:val="en-US" w:eastAsia="zh-CN"/>
                <w14:textFill>
                  <w14:solidFill>
                    <w14:schemeClr w14:val="tx1"/>
                  </w14:solidFill>
                </w14:textFill>
              </w:rPr>
              <w:t>t/a</w:t>
            </w:r>
            <w:r>
              <w:rPr>
                <w:rFonts w:hint="eastAsia" w:hAnsi="Times New Roman" w:cs="Times New Roman"/>
                <w:color w:val="000000" w:themeColor="text1"/>
                <w:sz w:val="24"/>
                <w:lang w:val="en-US" w:eastAsia="zh-CN"/>
                <w14:textFill>
                  <w14:solidFill>
                    <w14:schemeClr w14:val="tx1"/>
                  </w14:solidFill>
                </w14:textFill>
              </w:rPr>
              <w:t>，本项目二级活性炭箱填充量为3</w:t>
            </w:r>
            <w:r>
              <w:rPr>
                <w:rFonts w:hint="default" w:hAnsi="Times New Roman" w:cs="Times New Roman"/>
                <w:color w:val="000000" w:themeColor="text1"/>
                <w:sz w:val="24"/>
                <w:lang w:val="en-US" w:eastAsia="zh-CN"/>
                <w14:textFill>
                  <w14:solidFill>
                    <w14:schemeClr w14:val="tx1"/>
                  </w14:solidFill>
                </w14:textFill>
              </w:rPr>
              <w:t>t</w:t>
            </w:r>
            <w:r>
              <w:rPr>
                <w:rFonts w:hint="eastAsia" w:hAnsi="Times New Roman" w:cs="Times New Roman"/>
                <w:color w:val="000000" w:themeColor="text1"/>
                <w:sz w:val="24"/>
                <w:lang w:val="en-US" w:eastAsia="zh-CN"/>
                <w14:textFill>
                  <w14:solidFill>
                    <w14:schemeClr w14:val="tx1"/>
                  </w14:solidFill>
                </w14:textFill>
              </w:rPr>
              <w:t>，更换频率为每180天更换</w:t>
            </w:r>
            <w:r>
              <w:rPr>
                <w:rFonts w:hint="default" w:hAnsi="Times New Roman" w:cs="Times New Roman"/>
                <w:color w:val="000000" w:themeColor="text1"/>
                <w:sz w:val="24"/>
                <w:lang w:val="en-US" w:eastAsia="zh-CN"/>
                <w14:textFill>
                  <w14:solidFill>
                    <w14:schemeClr w14:val="tx1"/>
                  </w14:solidFill>
                </w14:textFill>
              </w:rPr>
              <w:t>1</w:t>
            </w:r>
            <w:r>
              <w:rPr>
                <w:rFonts w:hint="eastAsia" w:hAnsi="Times New Roman" w:cs="Times New Roman"/>
                <w:color w:val="000000" w:themeColor="text1"/>
                <w:sz w:val="24"/>
                <w:lang w:val="en-US" w:eastAsia="zh-CN"/>
                <w14:textFill>
                  <w14:solidFill>
                    <w14:schemeClr w14:val="tx1"/>
                  </w14:solidFill>
                </w14:textFill>
              </w:rPr>
              <w:t>次，年更换2次，则</w:t>
            </w:r>
            <w:r>
              <w:rPr>
                <w:rFonts w:hint="eastAsia" w:ascii="Times New Roman" w:hAnsi="Times New Roman" w:eastAsia="宋体" w:cs="Times New Roman"/>
                <w:color w:val="000000" w:themeColor="text1"/>
                <w:sz w:val="24"/>
                <w:lang w:val="en-US" w:eastAsia="zh-CN"/>
                <w14:textFill>
                  <w14:solidFill>
                    <w14:schemeClr w14:val="tx1"/>
                  </w14:solidFill>
                </w14:textFill>
              </w:rPr>
              <w:t>本项目活性炭总更换量为</w:t>
            </w:r>
            <w:r>
              <w:rPr>
                <w:rFonts w:hint="eastAsia" w:hAnsi="Times New Roman" w:cs="Times New Roman"/>
                <w:color w:val="000000" w:themeColor="text1"/>
                <w:sz w:val="24"/>
                <w:lang w:val="en-US" w:eastAsia="zh-CN"/>
                <w14:textFill>
                  <w14:solidFill>
                    <w14:schemeClr w14:val="tx1"/>
                  </w14:solidFill>
                </w14:textFill>
              </w:rPr>
              <w:t>6</w:t>
            </w:r>
            <w:r>
              <w:rPr>
                <w:rFonts w:hint="default" w:ascii="Times New Roman" w:hAnsi="Times New Roman" w:eastAsia="宋体" w:cs="Times New Roman"/>
                <w:color w:val="000000" w:themeColor="text1"/>
                <w:sz w:val="24"/>
                <w:lang w:val="en-US" w:eastAsia="zh-CN"/>
                <w14:textFill>
                  <w14:solidFill>
                    <w14:schemeClr w14:val="tx1"/>
                  </w14:solidFill>
                </w14:textFill>
              </w:rPr>
              <w:t>t/a</w:t>
            </w:r>
            <w:r>
              <w:rPr>
                <w:rFonts w:hint="eastAsia" w:ascii="Times New Roman" w:hAnsi="Times New Roman" w:eastAsia="宋体" w:cs="Times New Roman"/>
                <w:color w:val="000000" w:themeColor="text1"/>
                <w:sz w:val="24"/>
                <w:lang w:val="en-US" w:eastAsia="zh-CN"/>
                <w14:textFill>
                  <w14:solidFill>
                    <w14:schemeClr w14:val="tx1"/>
                  </w14:solidFill>
                </w14:textFill>
              </w:rPr>
              <w:t>，大于理论活性炭的量</w:t>
            </w:r>
            <w:r>
              <w:rPr>
                <w:rFonts w:hint="eastAsia" w:hAnsi="Times New Roman" w:cs="Times New Roman"/>
                <w:color w:val="000000" w:themeColor="text1"/>
                <w:sz w:val="24"/>
                <w:lang w:val="en-US" w:eastAsia="zh-CN"/>
                <w14:textFill>
                  <w14:solidFill>
                    <w14:schemeClr w14:val="tx1"/>
                  </w14:solidFill>
                </w14:textFill>
              </w:rPr>
              <w:t>5.56</w:t>
            </w:r>
            <w:r>
              <w:rPr>
                <w:rFonts w:hint="default" w:ascii="Times New Roman" w:hAnsi="Times New Roman" w:eastAsia="宋体" w:cs="Times New Roman"/>
                <w:color w:val="000000" w:themeColor="text1"/>
                <w:sz w:val="24"/>
                <w:lang w:val="en-US" w:eastAsia="zh-CN"/>
                <w14:textFill>
                  <w14:solidFill>
                    <w14:schemeClr w14:val="tx1"/>
                  </w14:solidFill>
                </w14:textFill>
              </w:rPr>
              <w:t>t/a</w:t>
            </w:r>
            <w:r>
              <w:rPr>
                <w:rFonts w:hint="eastAsia" w:ascii="Times New Roman" w:hAnsi="Times New Roman" w:eastAsia="宋体" w:cs="Times New Roman"/>
                <w:color w:val="000000" w:themeColor="text1"/>
                <w:sz w:val="24"/>
                <w:lang w:val="en-US" w:eastAsia="zh-CN"/>
                <w14:textFill>
                  <w14:solidFill>
                    <w14:schemeClr w14:val="tx1"/>
                  </w14:solidFill>
                </w14:textFill>
              </w:rPr>
              <w:t>，可满足有机废气的吸附要求，加上被吸附的有机废气量为</w:t>
            </w:r>
            <w:r>
              <w:rPr>
                <w:rFonts w:hint="eastAsia" w:hAnsi="Times New Roman" w:cs="Times New Roman"/>
                <w:color w:val="000000" w:themeColor="text1"/>
                <w:sz w:val="24"/>
                <w:lang w:val="en-US" w:eastAsia="zh-CN"/>
                <w14:textFill>
                  <w14:solidFill>
                    <w14:schemeClr w14:val="tx1"/>
                  </w14:solidFill>
                </w14:textFill>
              </w:rPr>
              <w:t>1.39</w:t>
            </w:r>
            <w:r>
              <w:rPr>
                <w:rFonts w:hint="default" w:ascii="Times New Roman" w:hAnsi="Times New Roman" w:eastAsia="宋体" w:cs="Times New Roman"/>
                <w:color w:val="000000" w:themeColor="text1"/>
                <w:sz w:val="24"/>
                <w:lang w:val="en-US" w:eastAsia="zh-CN"/>
                <w14:textFill>
                  <w14:solidFill>
                    <w14:schemeClr w14:val="tx1"/>
                  </w14:solidFill>
                </w14:textFill>
              </w:rPr>
              <w:t>t/a</w:t>
            </w:r>
            <w:r>
              <w:rPr>
                <w:rFonts w:hint="eastAsia" w:ascii="Times New Roman" w:hAnsi="Times New Roman" w:eastAsia="宋体" w:cs="Times New Roman"/>
                <w:color w:val="000000" w:themeColor="text1"/>
                <w:sz w:val="24"/>
                <w:lang w:val="en-US" w:eastAsia="zh-CN"/>
                <w14:textFill>
                  <w14:solidFill>
                    <w14:schemeClr w14:val="tx1"/>
                  </w14:solidFill>
                </w14:textFill>
              </w:rPr>
              <w:t>，则废活性炭的量为</w:t>
            </w:r>
            <w:r>
              <w:rPr>
                <w:rFonts w:hint="eastAsia" w:hAnsi="Times New Roman" w:cs="Times New Roman"/>
                <w:color w:val="000000" w:themeColor="text1"/>
                <w:sz w:val="24"/>
                <w:lang w:val="en-US" w:eastAsia="zh-CN"/>
                <w14:textFill>
                  <w14:solidFill>
                    <w14:schemeClr w14:val="tx1"/>
                  </w14:solidFill>
                </w14:textFill>
              </w:rPr>
              <w:t>7.39</w:t>
            </w:r>
            <w:r>
              <w:rPr>
                <w:rFonts w:hint="default" w:ascii="Times New Roman" w:hAnsi="Times New Roman" w:eastAsia="宋体" w:cs="Times New Roman"/>
                <w:color w:val="000000" w:themeColor="text1"/>
                <w:sz w:val="24"/>
                <w:lang w:val="en-US" w:eastAsia="zh-CN"/>
                <w14:textFill>
                  <w14:solidFill>
                    <w14:schemeClr w14:val="tx1"/>
                  </w14:solidFill>
                </w14:textFill>
              </w:rPr>
              <w:t>t/a</w:t>
            </w:r>
            <w:r>
              <w:rPr>
                <w:rFonts w:hint="eastAsia" w:ascii="Times New Roman" w:hAnsi="Times New Roman" w:eastAsia="宋体" w:cs="Times New Roman"/>
                <w:color w:val="000000" w:themeColor="text1"/>
                <w:sz w:val="24"/>
                <w:lang w:val="en-US" w:eastAsia="zh-CN"/>
                <w14:textFill>
                  <w14:solidFill>
                    <w14:schemeClr w14:val="tx1"/>
                  </w14:solidFill>
                </w14:textFill>
              </w:rPr>
              <w:t>，每次更换</w:t>
            </w:r>
            <w:r>
              <w:rPr>
                <w:rFonts w:hint="eastAsia" w:hAnsi="Times New Roman"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lang w:val="en-US" w:eastAsia="zh-CN"/>
                <w14:textFill>
                  <w14:solidFill>
                    <w14:schemeClr w14:val="tx1"/>
                  </w14:solidFill>
                </w14:textFill>
              </w:rPr>
              <w:t>t</w:t>
            </w:r>
            <w:r>
              <w:rPr>
                <w:rFonts w:hint="eastAsia" w:ascii="Times New Roman" w:hAnsi="Times New Roman" w:eastAsia="宋体" w:cs="Times New Roman"/>
                <w:color w:val="000000" w:themeColor="text1"/>
                <w:sz w:val="24"/>
                <w:lang w:val="en-US" w:eastAsia="zh-CN"/>
                <w14:textFill>
                  <w14:solidFill>
                    <w14:schemeClr w14:val="tx1"/>
                  </w14:solidFill>
                </w14:textFill>
              </w:rPr>
              <w:t>，属于</w:t>
            </w:r>
            <w:r>
              <w:rPr>
                <w:rFonts w:hint="eastAsia" w:hAnsi="Times New Roman" w:cs="Times New Roman"/>
                <w:color w:val="000000" w:themeColor="text1"/>
                <w:sz w:val="24"/>
                <w:lang w:val="en-US" w:eastAsia="zh-CN"/>
                <w14:textFill>
                  <w14:solidFill>
                    <w14:schemeClr w14:val="tx1"/>
                  </w14:solidFill>
                </w14:textFill>
              </w:rPr>
              <w:t>《国家危险废物名录（</w:t>
            </w:r>
            <w:r>
              <w:rPr>
                <w:rFonts w:hint="default" w:hAnsi="Times New Roman" w:cs="Times New Roman"/>
                <w:color w:val="000000" w:themeColor="text1"/>
                <w:sz w:val="24"/>
                <w:lang w:val="en-US" w:eastAsia="zh-CN"/>
                <w14:textFill>
                  <w14:solidFill>
                    <w14:schemeClr w14:val="tx1"/>
                  </w14:solidFill>
                </w14:textFill>
              </w:rPr>
              <w:t>202</w:t>
            </w:r>
            <w:r>
              <w:rPr>
                <w:rFonts w:hint="eastAsia" w:hAnsi="Times New Roman" w:cs="Times New Roman"/>
                <w:color w:val="000000" w:themeColor="text1"/>
                <w:sz w:val="24"/>
                <w:lang w:val="en-US" w:eastAsia="zh-CN"/>
                <w14:textFill>
                  <w14:solidFill>
                    <w14:schemeClr w14:val="tx1"/>
                  </w14:solidFill>
                </w14:textFill>
              </w:rPr>
              <w:t>5年版）》中</w:t>
            </w:r>
            <w:r>
              <w:rPr>
                <w:rFonts w:hint="default" w:hAnsi="Times New Roman" w:cs="Times New Roman"/>
                <w:color w:val="000000" w:themeColor="text1"/>
                <w:sz w:val="24"/>
                <w:lang w:val="en-US" w:eastAsia="zh-CN"/>
                <w14:textFill>
                  <w14:solidFill>
                    <w14:schemeClr w14:val="tx1"/>
                  </w14:solidFill>
                </w14:textFill>
              </w:rPr>
              <w:t>HW49</w:t>
            </w:r>
            <w:r>
              <w:rPr>
                <w:rFonts w:hint="eastAsia" w:hAnsi="Times New Roman" w:cs="Times New Roman"/>
                <w:color w:val="000000" w:themeColor="text1"/>
                <w:sz w:val="24"/>
                <w:lang w:val="en-US" w:eastAsia="zh-CN"/>
                <w14:textFill>
                  <w14:solidFill>
                    <w14:schemeClr w14:val="tx1"/>
                  </w14:solidFill>
                </w14:textFill>
              </w:rPr>
              <w:t>其他废物，代码为“</w:t>
            </w:r>
            <w:r>
              <w:rPr>
                <w:rFonts w:hint="default" w:hAnsi="Times New Roman" w:cs="Times New Roman"/>
                <w:color w:val="000000" w:themeColor="text1"/>
                <w:sz w:val="24"/>
                <w:lang w:val="en-US" w:eastAsia="zh-CN"/>
                <w14:textFill>
                  <w14:solidFill>
                    <w14:schemeClr w14:val="tx1"/>
                  </w14:solidFill>
                </w14:textFill>
              </w:rPr>
              <w:t>900-039-49</w:t>
            </w:r>
            <w:r>
              <w:rPr>
                <w:rFonts w:hint="eastAsia" w:hAnsi="Times New Roman" w:cs="Times New Roman"/>
                <w:color w:val="000000" w:themeColor="text1"/>
                <w:sz w:val="24"/>
                <w:lang w:val="en-US" w:eastAsia="zh-CN"/>
                <w14:textFill>
                  <w14:solidFill>
                    <w14:schemeClr w14:val="tx1"/>
                  </w14:solidFill>
                </w14:textFill>
              </w:rPr>
              <w:t>”，应委托有资质的危废处理单位进行回收处理。</w:t>
            </w:r>
          </w:p>
          <w:p w14:paraId="5DDA1693">
            <w:pPr>
              <w:pStyle w:val="11"/>
              <w:snapToGrid w:val="0"/>
              <w:spacing w:line="240" w:lineRule="auto"/>
              <w:jc w:val="center"/>
              <w:rPr>
                <w:rFonts w:hint="default" w:ascii="Times New Roman" w:hAnsi="Times New Roman" w:eastAsia="宋体" w:cs="Times New Roman"/>
                <w:b/>
                <w:bCs w:val="0"/>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表4-1</w:t>
            </w:r>
            <w:r>
              <w:rPr>
                <w:rFonts w:hint="eastAsia" w:ascii="Times New Roman" w:cs="Times New Roman"/>
                <w:b/>
                <w:bCs w:val="0"/>
                <w:color w:val="000000" w:themeColor="text1"/>
                <w:sz w:val="21"/>
                <w:szCs w:val="21"/>
                <w:lang w:val="en-US" w:eastAsia="zh-CN"/>
                <w14:textFill>
                  <w14:solidFill>
                    <w14:schemeClr w14:val="tx1"/>
                  </w14:solidFill>
                </w14:textFill>
              </w:rPr>
              <w:t xml:space="preserve">5 </w:t>
            </w:r>
            <w:r>
              <w:rPr>
                <w:rFonts w:hint="default" w:ascii="Times New Roman" w:hAnsi="Times New Roman" w:eastAsia="宋体" w:cs="Times New Roman"/>
                <w:b/>
                <w:bCs w:val="0"/>
                <w:color w:val="000000" w:themeColor="text1"/>
                <w:sz w:val="21"/>
                <w:szCs w:val="21"/>
                <w14:textFill>
                  <w14:solidFill>
                    <w14:schemeClr w14:val="tx1"/>
                  </w14:solidFill>
                </w14:textFill>
              </w:rPr>
              <w:t>本项目主要固废产生情况及处理措施</w:t>
            </w:r>
          </w:p>
          <w:tbl>
            <w:tblPr>
              <w:tblStyle w:val="38"/>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21"/>
              <w:gridCol w:w="1252"/>
              <w:gridCol w:w="1252"/>
              <w:gridCol w:w="1190"/>
              <w:gridCol w:w="1223"/>
              <w:gridCol w:w="775"/>
              <w:gridCol w:w="731"/>
              <w:gridCol w:w="1968"/>
            </w:tblGrid>
            <w:tr w14:paraId="765237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pct"/>
                  <w:tcBorders>
                    <w:tl2br w:val="nil"/>
                    <w:tr2bl w:val="nil"/>
                  </w:tcBorders>
                  <w:vAlign w:val="center"/>
                </w:tcPr>
                <w:p w14:paraId="12A0E324">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序号</w:t>
                  </w:r>
                </w:p>
              </w:tc>
              <w:tc>
                <w:tcPr>
                  <w:tcW w:w="702" w:type="pct"/>
                  <w:tcBorders>
                    <w:tl2br w:val="nil"/>
                    <w:tr2bl w:val="nil"/>
                  </w:tcBorders>
                  <w:vAlign w:val="center"/>
                </w:tcPr>
                <w:p w14:paraId="41369878">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固废名称</w:t>
                  </w:r>
                </w:p>
              </w:tc>
              <w:tc>
                <w:tcPr>
                  <w:tcW w:w="702" w:type="pct"/>
                  <w:tcBorders>
                    <w:tl2br w:val="nil"/>
                    <w:tr2bl w:val="nil"/>
                  </w:tcBorders>
                  <w:vAlign w:val="center"/>
                </w:tcPr>
                <w:p w14:paraId="66841CDE">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废物类别</w:t>
                  </w:r>
                </w:p>
              </w:tc>
              <w:tc>
                <w:tcPr>
                  <w:tcW w:w="667" w:type="pct"/>
                  <w:tcBorders>
                    <w:tl2br w:val="nil"/>
                    <w:tr2bl w:val="nil"/>
                  </w:tcBorders>
                  <w:vAlign w:val="center"/>
                </w:tcPr>
                <w:p w14:paraId="7554525A">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产生量</w:t>
                  </w:r>
                </w:p>
              </w:tc>
              <w:tc>
                <w:tcPr>
                  <w:tcW w:w="686" w:type="pct"/>
                  <w:tcBorders>
                    <w:tl2br w:val="nil"/>
                    <w:tr2bl w:val="nil"/>
                  </w:tcBorders>
                  <w:vAlign w:val="center"/>
                </w:tcPr>
                <w:p w14:paraId="3EE84181">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生产工序</w:t>
                  </w:r>
                </w:p>
              </w:tc>
              <w:tc>
                <w:tcPr>
                  <w:tcW w:w="434" w:type="pct"/>
                  <w:tcBorders>
                    <w:tl2br w:val="nil"/>
                    <w:tr2bl w:val="nil"/>
                  </w:tcBorders>
                  <w:vAlign w:val="center"/>
                </w:tcPr>
                <w:p w14:paraId="6F25C09C">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形态</w:t>
                  </w:r>
                </w:p>
              </w:tc>
              <w:tc>
                <w:tcPr>
                  <w:tcW w:w="410" w:type="pct"/>
                  <w:tcBorders>
                    <w:tl2br w:val="nil"/>
                    <w:tr2bl w:val="nil"/>
                  </w:tcBorders>
                  <w:vAlign w:val="center"/>
                </w:tcPr>
                <w:p w14:paraId="165B1D35">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危险特性</w:t>
                  </w:r>
                </w:p>
              </w:tc>
              <w:tc>
                <w:tcPr>
                  <w:tcW w:w="1104" w:type="pct"/>
                  <w:tcBorders>
                    <w:tl2br w:val="nil"/>
                    <w:tr2bl w:val="nil"/>
                  </w:tcBorders>
                  <w:vAlign w:val="center"/>
                </w:tcPr>
                <w:p w14:paraId="407C2989">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污染防治措施</w:t>
                  </w:r>
                </w:p>
              </w:tc>
            </w:tr>
            <w:tr w14:paraId="3AD6C2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pct"/>
                  <w:tcBorders>
                    <w:tl2br w:val="nil"/>
                    <w:tr2bl w:val="nil"/>
                  </w:tcBorders>
                  <w:vAlign w:val="center"/>
                </w:tcPr>
                <w:p w14:paraId="4B3559D2">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w:t>
                  </w:r>
                </w:p>
              </w:tc>
              <w:tc>
                <w:tcPr>
                  <w:tcW w:w="702" w:type="pct"/>
                  <w:tcBorders>
                    <w:tl2br w:val="nil"/>
                    <w:tr2bl w:val="nil"/>
                  </w:tcBorders>
                  <w:shd w:val="clear" w:color="auto" w:fill="auto"/>
                  <w:vAlign w:val="center"/>
                </w:tcPr>
                <w:p w14:paraId="58C3ACF9">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废包装袋</w:t>
                  </w:r>
                </w:p>
              </w:tc>
              <w:tc>
                <w:tcPr>
                  <w:tcW w:w="702" w:type="pct"/>
                  <w:tcBorders>
                    <w:tl2br w:val="nil"/>
                    <w:tr2bl w:val="nil"/>
                  </w:tcBorders>
                  <w:shd w:val="clear" w:color="auto" w:fill="auto"/>
                  <w:vAlign w:val="center"/>
                </w:tcPr>
                <w:p w14:paraId="65CFA492">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一般固废</w:t>
                  </w:r>
                </w:p>
              </w:tc>
              <w:tc>
                <w:tcPr>
                  <w:tcW w:w="667" w:type="pct"/>
                  <w:tcBorders>
                    <w:tl2br w:val="nil"/>
                    <w:tr2bl w:val="nil"/>
                  </w:tcBorders>
                  <w:shd w:val="clear" w:color="auto" w:fill="auto"/>
                  <w:vAlign w:val="center"/>
                </w:tcPr>
                <w:p w14:paraId="69E96641">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1.5</w:t>
                  </w:r>
                  <w:r>
                    <w:rPr>
                      <w:rFonts w:hint="default" w:ascii="Times New Roman" w:hAnsi="Times New Roman" w:eastAsia="宋体" w:cs="Times New Roman"/>
                      <w:color w:val="000000" w:themeColor="text1"/>
                      <w:szCs w:val="21"/>
                      <w14:textFill>
                        <w14:solidFill>
                          <w14:schemeClr w14:val="tx1"/>
                        </w14:solidFill>
                      </w14:textFill>
                    </w:rPr>
                    <w:t>t/a</w:t>
                  </w:r>
                </w:p>
              </w:tc>
              <w:tc>
                <w:tcPr>
                  <w:tcW w:w="686" w:type="pct"/>
                  <w:tcBorders>
                    <w:tl2br w:val="nil"/>
                    <w:tr2bl w:val="nil"/>
                  </w:tcBorders>
                  <w:shd w:val="clear" w:color="auto" w:fill="auto"/>
                  <w:vAlign w:val="center"/>
                </w:tcPr>
                <w:p w14:paraId="3A04B710">
                  <w:pPr>
                    <w:pStyle w:val="18"/>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原料拆包</w:t>
                  </w:r>
                </w:p>
              </w:tc>
              <w:tc>
                <w:tcPr>
                  <w:tcW w:w="434" w:type="pct"/>
                  <w:tcBorders>
                    <w:tl2br w:val="nil"/>
                    <w:tr2bl w:val="nil"/>
                  </w:tcBorders>
                  <w:shd w:val="clear" w:color="auto" w:fill="auto"/>
                  <w:vAlign w:val="center"/>
                </w:tcPr>
                <w:p w14:paraId="61EFA66B">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固态</w:t>
                  </w:r>
                </w:p>
              </w:tc>
              <w:tc>
                <w:tcPr>
                  <w:tcW w:w="410" w:type="pct"/>
                  <w:tcBorders>
                    <w:tl2br w:val="nil"/>
                    <w:tr2bl w:val="nil"/>
                  </w:tcBorders>
                  <w:vAlign w:val="center"/>
                </w:tcPr>
                <w:p w14:paraId="41D04D42">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104" w:type="pct"/>
                  <w:tcBorders>
                    <w:tl2br w:val="nil"/>
                    <w:tr2bl w:val="nil"/>
                  </w:tcBorders>
                  <w:vAlign w:val="center"/>
                </w:tcPr>
                <w:p w14:paraId="6F30B683">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集中收集外售综合利用</w:t>
                  </w:r>
                </w:p>
              </w:tc>
            </w:tr>
            <w:tr w14:paraId="53ED7D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292" w:type="pct"/>
                  <w:tcBorders>
                    <w:tl2br w:val="nil"/>
                    <w:tr2bl w:val="nil"/>
                  </w:tcBorders>
                  <w:shd w:val="clear" w:color="auto" w:fill="auto"/>
                  <w:vAlign w:val="center"/>
                </w:tcPr>
                <w:p w14:paraId="2784FCBF">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w:t>
                  </w:r>
                </w:p>
              </w:tc>
              <w:tc>
                <w:tcPr>
                  <w:tcW w:w="702" w:type="pct"/>
                  <w:tcBorders>
                    <w:tl2br w:val="nil"/>
                    <w:tr2bl w:val="nil"/>
                  </w:tcBorders>
                  <w:shd w:val="clear" w:color="auto" w:fill="auto"/>
                  <w:vAlign w:val="center"/>
                </w:tcPr>
                <w:p w14:paraId="2463F76B">
                  <w:pPr>
                    <w:adjustRightInd w:val="0"/>
                    <w:snapToGrid w:val="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职工生活垃圾</w:t>
                  </w:r>
                </w:p>
              </w:tc>
              <w:tc>
                <w:tcPr>
                  <w:tcW w:w="702" w:type="pct"/>
                  <w:tcBorders>
                    <w:tl2br w:val="nil"/>
                    <w:tr2bl w:val="nil"/>
                  </w:tcBorders>
                  <w:shd w:val="clear" w:color="auto" w:fill="auto"/>
                  <w:vAlign w:val="center"/>
                </w:tcPr>
                <w:p w14:paraId="76E3F248">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一般固废</w:t>
                  </w:r>
                </w:p>
              </w:tc>
              <w:tc>
                <w:tcPr>
                  <w:tcW w:w="667" w:type="pct"/>
                  <w:tcBorders>
                    <w:tl2br w:val="nil"/>
                    <w:tr2bl w:val="nil"/>
                  </w:tcBorders>
                  <w:shd w:val="clear" w:color="auto" w:fill="auto"/>
                  <w:vAlign w:val="center"/>
                </w:tcPr>
                <w:p w14:paraId="19EAE2C3">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0.75</w:t>
                  </w:r>
                  <w:r>
                    <w:rPr>
                      <w:rFonts w:hint="default" w:ascii="Times New Roman" w:hAnsi="Times New Roman" w:eastAsia="宋体" w:cs="Times New Roman"/>
                      <w:color w:val="000000" w:themeColor="text1"/>
                      <w:szCs w:val="21"/>
                      <w14:textFill>
                        <w14:solidFill>
                          <w14:schemeClr w14:val="tx1"/>
                        </w14:solidFill>
                      </w14:textFill>
                    </w:rPr>
                    <w:t>t/a</w:t>
                  </w:r>
                </w:p>
              </w:tc>
              <w:tc>
                <w:tcPr>
                  <w:tcW w:w="686" w:type="pct"/>
                  <w:tcBorders>
                    <w:tl2br w:val="nil"/>
                    <w:tr2bl w:val="nil"/>
                  </w:tcBorders>
                  <w:shd w:val="clear" w:color="auto" w:fill="auto"/>
                  <w:vAlign w:val="center"/>
                </w:tcPr>
                <w:p w14:paraId="0AF08638">
                  <w:pPr>
                    <w:pStyle w:val="18"/>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职工生活</w:t>
                  </w:r>
                </w:p>
              </w:tc>
              <w:tc>
                <w:tcPr>
                  <w:tcW w:w="434" w:type="pct"/>
                  <w:tcBorders>
                    <w:tl2br w:val="nil"/>
                    <w:tr2bl w:val="nil"/>
                  </w:tcBorders>
                  <w:shd w:val="clear" w:color="auto" w:fill="auto"/>
                  <w:vAlign w:val="center"/>
                </w:tcPr>
                <w:p w14:paraId="1451A81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固态</w:t>
                  </w:r>
                </w:p>
              </w:tc>
              <w:tc>
                <w:tcPr>
                  <w:tcW w:w="410" w:type="pct"/>
                  <w:tcBorders>
                    <w:tl2br w:val="nil"/>
                    <w:tr2bl w:val="nil"/>
                  </w:tcBorders>
                  <w:shd w:val="clear" w:color="auto" w:fill="auto"/>
                  <w:vAlign w:val="center"/>
                </w:tcPr>
                <w:p w14:paraId="64715B82">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104" w:type="pct"/>
                  <w:tcBorders>
                    <w:tl2br w:val="nil"/>
                    <w:tr2bl w:val="nil"/>
                  </w:tcBorders>
                  <w:shd w:val="clear" w:color="auto" w:fill="auto"/>
                  <w:vAlign w:val="center"/>
                </w:tcPr>
                <w:p w14:paraId="12094315">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集中收集委托环卫部门定期清运</w:t>
                  </w:r>
                </w:p>
              </w:tc>
            </w:tr>
            <w:tr w14:paraId="30BA88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pct"/>
                  <w:tcBorders>
                    <w:tl2br w:val="nil"/>
                    <w:tr2bl w:val="nil"/>
                  </w:tcBorders>
                  <w:shd w:val="clear" w:color="auto" w:fill="auto"/>
                  <w:vAlign w:val="center"/>
                </w:tcPr>
                <w:p w14:paraId="17CDB0D7">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3</w:t>
                  </w:r>
                </w:p>
              </w:tc>
              <w:tc>
                <w:tcPr>
                  <w:tcW w:w="702" w:type="pct"/>
                  <w:tcBorders>
                    <w:tl2br w:val="nil"/>
                    <w:tr2bl w:val="nil"/>
                  </w:tcBorders>
                  <w:shd w:val="clear" w:color="auto" w:fill="auto"/>
                  <w:vAlign w:val="center"/>
                </w:tcPr>
                <w:p w14:paraId="4905E878">
                  <w:pPr>
                    <w:adjustRightInd w:val="0"/>
                    <w:snapToGrid w:val="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废润滑油</w:t>
                  </w:r>
                </w:p>
              </w:tc>
              <w:tc>
                <w:tcPr>
                  <w:tcW w:w="702" w:type="pct"/>
                  <w:tcBorders>
                    <w:tl2br w:val="nil"/>
                    <w:tr2bl w:val="nil"/>
                  </w:tcBorders>
                  <w:shd w:val="clear" w:color="auto" w:fill="auto"/>
                  <w:vAlign w:val="center"/>
                </w:tcPr>
                <w:p w14:paraId="02B41E9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危险废物</w:t>
                  </w:r>
                </w:p>
              </w:tc>
              <w:tc>
                <w:tcPr>
                  <w:tcW w:w="667" w:type="pct"/>
                  <w:tcBorders>
                    <w:tl2br w:val="nil"/>
                    <w:tr2bl w:val="nil"/>
                  </w:tcBorders>
                  <w:shd w:val="clear" w:color="auto" w:fill="auto"/>
                  <w:vAlign w:val="center"/>
                </w:tcPr>
                <w:p w14:paraId="53051B0E">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0.01</w:t>
                  </w:r>
                  <w:r>
                    <w:rPr>
                      <w:rFonts w:hint="default" w:ascii="Times New Roman" w:hAnsi="Times New Roman" w:eastAsia="宋体" w:cs="Times New Roman"/>
                      <w:color w:val="000000" w:themeColor="text1"/>
                      <w:szCs w:val="21"/>
                      <w14:textFill>
                        <w14:solidFill>
                          <w14:schemeClr w14:val="tx1"/>
                        </w14:solidFill>
                      </w14:textFill>
                    </w:rPr>
                    <w:t>t/a</w:t>
                  </w:r>
                </w:p>
              </w:tc>
              <w:tc>
                <w:tcPr>
                  <w:tcW w:w="686" w:type="pct"/>
                  <w:tcBorders>
                    <w:tl2br w:val="nil"/>
                    <w:tr2bl w:val="nil"/>
                  </w:tcBorders>
                  <w:shd w:val="clear" w:color="auto" w:fill="auto"/>
                  <w:vAlign w:val="center"/>
                </w:tcPr>
                <w:p w14:paraId="05EBD064">
                  <w:pPr>
                    <w:pStyle w:val="18"/>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设备</w:t>
                  </w:r>
                </w:p>
              </w:tc>
              <w:tc>
                <w:tcPr>
                  <w:tcW w:w="434" w:type="pct"/>
                  <w:tcBorders>
                    <w:tl2br w:val="nil"/>
                    <w:tr2bl w:val="nil"/>
                  </w:tcBorders>
                  <w:shd w:val="clear" w:color="auto" w:fill="auto"/>
                  <w:vAlign w:val="center"/>
                </w:tcPr>
                <w:p w14:paraId="42A650D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液态</w:t>
                  </w:r>
                </w:p>
              </w:tc>
              <w:tc>
                <w:tcPr>
                  <w:tcW w:w="410" w:type="pct"/>
                  <w:tcBorders>
                    <w:tl2br w:val="nil"/>
                    <w:tr2bl w:val="nil"/>
                  </w:tcBorders>
                  <w:shd w:val="clear" w:color="auto" w:fill="auto"/>
                  <w:vAlign w:val="center"/>
                </w:tcPr>
                <w:p w14:paraId="01771628">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T/I</w:t>
                  </w:r>
                </w:p>
              </w:tc>
              <w:tc>
                <w:tcPr>
                  <w:tcW w:w="1104" w:type="pct"/>
                  <w:vMerge w:val="restart"/>
                  <w:tcBorders>
                    <w:tl2br w:val="nil"/>
                    <w:tr2bl w:val="nil"/>
                  </w:tcBorders>
                  <w:shd w:val="clear" w:color="auto" w:fill="auto"/>
                  <w:vAlign w:val="center"/>
                </w:tcPr>
                <w:p w14:paraId="5099A0C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委托资质单位处理</w:t>
                  </w:r>
                </w:p>
              </w:tc>
            </w:tr>
            <w:tr w14:paraId="2CE884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pct"/>
                  <w:tcBorders>
                    <w:tl2br w:val="nil"/>
                    <w:tr2bl w:val="nil"/>
                  </w:tcBorders>
                  <w:shd w:val="clear" w:color="auto" w:fill="auto"/>
                  <w:vAlign w:val="center"/>
                </w:tcPr>
                <w:p w14:paraId="7F194C1A">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4</w:t>
                  </w:r>
                </w:p>
              </w:tc>
              <w:tc>
                <w:tcPr>
                  <w:tcW w:w="702" w:type="pct"/>
                  <w:tcBorders>
                    <w:tl2br w:val="nil"/>
                    <w:tr2bl w:val="nil"/>
                  </w:tcBorders>
                  <w:shd w:val="clear" w:color="auto" w:fill="auto"/>
                  <w:vAlign w:val="center"/>
                </w:tcPr>
                <w:p w14:paraId="08896EB2">
                  <w:pPr>
                    <w:adjustRightInd w:val="0"/>
                    <w:snapToGrid w:val="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废油桶</w:t>
                  </w:r>
                </w:p>
              </w:tc>
              <w:tc>
                <w:tcPr>
                  <w:tcW w:w="702" w:type="pct"/>
                  <w:tcBorders>
                    <w:tl2br w:val="nil"/>
                    <w:tr2bl w:val="nil"/>
                  </w:tcBorders>
                  <w:shd w:val="clear" w:color="auto" w:fill="auto"/>
                  <w:vAlign w:val="center"/>
                </w:tcPr>
                <w:p w14:paraId="1B684FD9">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危险废物</w:t>
                  </w:r>
                </w:p>
              </w:tc>
              <w:tc>
                <w:tcPr>
                  <w:tcW w:w="667" w:type="pct"/>
                  <w:tcBorders>
                    <w:tl2br w:val="nil"/>
                    <w:tr2bl w:val="nil"/>
                  </w:tcBorders>
                  <w:shd w:val="clear" w:color="auto" w:fill="auto"/>
                  <w:vAlign w:val="center"/>
                </w:tcPr>
                <w:p w14:paraId="0BCBFF9E">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0.02</w:t>
                  </w:r>
                  <w:r>
                    <w:rPr>
                      <w:rFonts w:hint="default" w:ascii="Times New Roman" w:hAnsi="Times New Roman" w:eastAsia="宋体" w:cs="Times New Roman"/>
                      <w:color w:val="000000" w:themeColor="text1"/>
                      <w:szCs w:val="21"/>
                      <w14:textFill>
                        <w14:solidFill>
                          <w14:schemeClr w14:val="tx1"/>
                        </w14:solidFill>
                      </w14:textFill>
                    </w:rPr>
                    <w:t>t/a</w:t>
                  </w:r>
                </w:p>
              </w:tc>
              <w:tc>
                <w:tcPr>
                  <w:tcW w:w="686" w:type="pct"/>
                  <w:tcBorders>
                    <w:tl2br w:val="nil"/>
                    <w:tr2bl w:val="nil"/>
                  </w:tcBorders>
                  <w:shd w:val="clear" w:color="auto" w:fill="auto"/>
                  <w:vAlign w:val="center"/>
                </w:tcPr>
                <w:p w14:paraId="2C1A0453">
                  <w:pPr>
                    <w:pStyle w:val="18"/>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设备</w:t>
                  </w:r>
                </w:p>
              </w:tc>
              <w:tc>
                <w:tcPr>
                  <w:tcW w:w="434" w:type="pct"/>
                  <w:tcBorders>
                    <w:tl2br w:val="nil"/>
                    <w:tr2bl w:val="nil"/>
                  </w:tcBorders>
                  <w:shd w:val="clear" w:color="auto" w:fill="auto"/>
                  <w:vAlign w:val="center"/>
                </w:tcPr>
                <w:p w14:paraId="7D24B944">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固态</w:t>
                  </w:r>
                </w:p>
              </w:tc>
              <w:tc>
                <w:tcPr>
                  <w:tcW w:w="410" w:type="pct"/>
                  <w:tcBorders>
                    <w:tl2br w:val="nil"/>
                    <w:tr2bl w:val="nil"/>
                  </w:tcBorders>
                  <w:shd w:val="clear" w:color="auto" w:fill="auto"/>
                  <w:vAlign w:val="center"/>
                </w:tcPr>
                <w:p w14:paraId="04E47319">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T/I</w:t>
                  </w:r>
                </w:p>
              </w:tc>
              <w:tc>
                <w:tcPr>
                  <w:tcW w:w="1104" w:type="pct"/>
                  <w:vMerge w:val="continue"/>
                  <w:tcBorders>
                    <w:tl2br w:val="nil"/>
                    <w:tr2bl w:val="nil"/>
                  </w:tcBorders>
                  <w:vAlign w:val="center"/>
                </w:tcPr>
                <w:p w14:paraId="4B203044">
                  <w:pPr>
                    <w:jc w:val="center"/>
                    <w:rPr>
                      <w:rFonts w:hint="default" w:ascii="Times New Roman" w:hAnsi="Times New Roman" w:eastAsia="宋体" w:cs="Times New Roman"/>
                      <w:color w:val="000000" w:themeColor="text1"/>
                      <w:szCs w:val="21"/>
                      <w14:textFill>
                        <w14:solidFill>
                          <w14:schemeClr w14:val="tx1"/>
                        </w14:solidFill>
                      </w14:textFill>
                    </w:rPr>
                  </w:pPr>
                </w:p>
              </w:tc>
            </w:tr>
            <w:tr w14:paraId="1EE69A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pct"/>
                  <w:tcBorders>
                    <w:tl2br w:val="nil"/>
                    <w:tr2bl w:val="nil"/>
                  </w:tcBorders>
                  <w:shd w:val="clear" w:color="auto" w:fill="auto"/>
                  <w:vAlign w:val="center"/>
                </w:tcPr>
                <w:p w14:paraId="3002E0F7">
                  <w:pPr>
                    <w:jc w:val="center"/>
                    <w:rPr>
                      <w:rFonts w:hint="default"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w:t>
                  </w:r>
                </w:p>
              </w:tc>
              <w:tc>
                <w:tcPr>
                  <w:tcW w:w="702" w:type="pct"/>
                  <w:tcBorders>
                    <w:tl2br w:val="nil"/>
                    <w:tr2bl w:val="nil"/>
                  </w:tcBorders>
                  <w:shd w:val="clear" w:color="auto" w:fill="auto"/>
                  <w:vAlign w:val="center"/>
                </w:tcPr>
                <w:p w14:paraId="3B259371">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Cs w:val="21"/>
                      <w14:textFill>
                        <w14:solidFill>
                          <w14:schemeClr w14:val="tx1"/>
                        </w14:solidFill>
                      </w14:textFill>
                    </w:rPr>
                    <w:t>废导热油</w:t>
                  </w:r>
                </w:p>
              </w:tc>
              <w:tc>
                <w:tcPr>
                  <w:tcW w:w="702" w:type="pct"/>
                  <w:tcBorders>
                    <w:tl2br w:val="nil"/>
                    <w:tr2bl w:val="nil"/>
                  </w:tcBorders>
                  <w:shd w:val="clear" w:color="auto" w:fill="auto"/>
                  <w:vAlign w:val="center"/>
                </w:tcPr>
                <w:p w14:paraId="5511173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危险废物</w:t>
                  </w:r>
                </w:p>
              </w:tc>
              <w:tc>
                <w:tcPr>
                  <w:tcW w:w="667" w:type="pct"/>
                  <w:tcBorders>
                    <w:tl2br w:val="nil"/>
                    <w:tr2bl w:val="nil"/>
                  </w:tcBorders>
                  <w:shd w:val="clear" w:color="auto" w:fill="auto"/>
                  <w:vAlign w:val="center"/>
                </w:tcPr>
                <w:p w14:paraId="58C34C6A">
                  <w:pPr>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w:t>
                  </w:r>
                  <w:r>
                    <w:rPr>
                      <w:rFonts w:hint="default" w:ascii="Times New Roman" w:hAnsi="Times New Roman" w:eastAsia="宋体" w:cs="Times New Roman"/>
                      <w:color w:val="000000" w:themeColor="text1"/>
                      <w:szCs w:val="21"/>
                      <w14:textFill>
                        <w14:solidFill>
                          <w14:schemeClr w14:val="tx1"/>
                        </w14:solidFill>
                      </w14:textFill>
                    </w:rPr>
                    <w:t>t/</w:t>
                  </w:r>
                  <w:r>
                    <w:rPr>
                      <w:rFonts w:hint="eastAsia" w:ascii="Times New Roman" w:hAnsi="Times New Roman" w:eastAsia="宋体" w:cs="Times New Roman"/>
                      <w:color w:val="000000" w:themeColor="text1"/>
                      <w:szCs w:val="21"/>
                      <w:lang w:val="en-US" w:eastAsia="zh-CN"/>
                      <w14:textFill>
                        <w14:solidFill>
                          <w14:schemeClr w14:val="tx1"/>
                        </w14:solidFill>
                      </w14:textFill>
                    </w:rPr>
                    <w:t>5</w:t>
                  </w:r>
                  <w:r>
                    <w:rPr>
                      <w:rFonts w:hint="default" w:ascii="Times New Roman" w:hAnsi="Times New Roman" w:eastAsia="宋体" w:cs="Times New Roman"/>
                      <w:color w:val="000000" w:themeColor="text1"/>
                      <w:szCs w:val="21"/>
                      <w14:textFill>
                        <w14:solidFill>
                          <w14:schemeClr w14:val="tx1"/>
                        </w14:solidFill>
                      </w14:textFill>
                    </w:rPr>
                    <w:t>a</w:t>
                  </w:r>
                </w:p>
              </w:tc>
              <w:tc>
                <w:tcPr>
                  <w:tcW w:w="686" w:type="pct"/>
                  <w:tcBorders>
                    <w:tl2br w:val="nil"/>
                    <w:tr2bl w:val="nil"/>
                  </w:tcBorders>
                  <w:shd w:val="clear" w:color="auto" w:fill="auto"/>
                  <w:vAlign w:val="center"/>
                </w:tcPr>
                <w:p w14:paraId="0AF4C76C">
                  <w:pPr>
                    <w:pStyle w:val="18"/>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设备</w:t>
                  </w:r>
                </w:p>
              </w:tc>
              <w:tc>
                <w:tcPr>
                  <w:tcW w:w="434" w:type="pct"/>
                  <w:tcBorders>
                    <w:tl2br w:val="nil"/>
                    <w:tr2bl w:val="nil"/>
                  </w:tcBorders>
                  <w:shd w:val="clear" w:color="auto" w:fill="auto"/>
                  <w:vAlign w:val="center"/>
                </w:tcPr>
                <w:p w14:paraId="461F9F7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液态</w:t>
                  </w:r>
                </w:p>
              </w:tc>
              <w:tc>
                <w:tcPr>
                  <w:tcW w:w="410" w:type="pct"/>
                  <w:tcBorders>
                    <w:tl2br w:val="nil"/>
                    <w:tr2bl w:val="nil"/>
                  </w:tcBorders>
                  <w:shd w:val="clear" w:color="auto" w:fill="auto"/>
                  <w:vAlign w:val="center"/>
                </w:tcPr>
                <w:p w14:paraId="7D9CC57C">
                  <w:pPr>
                    <w:adjustRightInd w:val="0"/>
                    <w:snapToGrid w:val="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T</w:t>
                  </w:r>
                </w:p>
              </w:tc>
              <w:tc>
                <w:tcPr>
                  <w:tcW w:w="1104" w:type="pct"/>
                  <w:vMerge w:val="continue"/>
                  <w:tcBorders>
                    <w:tl2br w:val="nil"/>
                    <w:tr2bl w:val="nil"/>
                  </w:tcBorders>
                  <w:vAlign w:val="center"/>
                </w:tcPr>
                <w:p w14:paraId="0E656AE9">
                  <w:pPr>
                    <w:jc w:val="center"/>
                    <w:rPr>
                      <w:rFonts w:hint="default" w:ascii="Times New Roman" w:hAnsi="Times New Roman" w:eastAsia="宋体" w:cs="Times New Roman"/>
                      <w:color w:val="000000" w:themeColor="text1"/>
                      <w:szCs w:val="21"/>
                      <w14:textFill>
                        <w14:solidFill>
                          <w14:schemeClr w14:val="tx1"/>
                        </w14:solidFill>
                      </w14:textFill>
                    </w:rPr>
                  </w:pPr>
                </w:p>
              </w:tc>
            </w:tr>
            <w:tr w14:paraId="17343E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2" w:type="pct"/>
                  <w:tcBorders>
                    <w:tl2br w:val="nil"/>
                    <w:tr2bl w:val="nil"/>
                  </w:tcBorders>
                  <w:shd w:val="clear" w:color="auto" w:fill="auto"/>
                  <w:vAlign w:val="center"/>
                </w:tcPr>
                <w:p w14:paraId="56D8CB0B">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6</w:t>
                  </w:r>
                </w:p>
              </w:tc>
              <w:tc>
                <w:tcPr>
                  <w:tcW w:w="702" w:type="pct"/>
                  <w:tcBorders>
                    <w:tl2br w:val="nil"/>
                    <w:tr2bl w:val="nil"/>
                  </w:tcBorders>
                  <w:shd w:val="clear" w:color="auto" w:fill="auto"/>
                  <w:vAlign w:val="center"/>
                </w:tcPr>
                <w:p w14:paraId="1BD878F3">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废活性炭</w:t>
                  </w:r>
                </w:p>
              </w:tc>
              <w:tc>
                <w:tcPr>
                  <w:tcW w:w="702" w:type="pct"/>
                  <w:tcBorders>
                    <w:tl2br w:val="nil"/>
                    <w:tr2bl w:val="nil"/>
                  </w:tcBorders>
                  <w:shd w:val="clear" w:color="auto" w:fill="auto"/>
                  <w:vAlign w:val="center"/>
                </w:tcPr>
                <w:p w14:paraId="6CF0392B">
                  <w:pPr>
                    <w:adjustRightInd w:val="0"/>
                    <w:snapToGrid w:val="0"/>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危险废物</w:t>
                  </w:r>
                </w:p>
              </w:tc>
              <w:tc>
                <w:tcPr>
                  <w:tcW w:w="667" w:type="pct"/>
                  <w:tcBorders>
                    <w:tl2br w:val="nil"/>
                    <w:tr2bl w:val="nil"/>
                  </w:tcBorders>
                  <w:shd w:val="clear" w:color="auto" w:fill="auto"/>
                  <w:vAlign w:val="center"/>
                </w:tcPr>
                <w:p w14:paraId="6B6477A8">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7.39</w:t>
                  </w:r>
                  <w:r>
                    <w:rPr>
                      <w:rFonts w:hint="default" w:ascii="Times New Roman" w:hAnsi="Times New Roman" w:eastAsia="宋体" w:cs="Times New Roman"/>
                      <w:color w:val="000000" w:themeColor="text1"/>
                      <w:szCs w:val="21"/>
                      <w14:textFill>
                        <w14:solidFill>
                          <w14:schemeClr w14:val="tx1"/>
                        </w14:solidFill>
                      </w14:textFill>
                    </w:rPr>
                    <w:t>t/a</w:t>
                  </w:r>
                </w:p>
              </w:tc>
              <w:tc>
                <w:tcPr>
                  <w:tcW w:w="686" w:type="pct"/>
                  <w:tcBorders>
                    <w:tl2br w:val="nil"/>
                    <w:tr2bl w:val="nil"/>
                  </w:tcBorders>
                  <w:shd w:val="clear" w:color="auto" w:fill="auto"/>
                  <w:vAlign w:val="center"/>
                </w:tcPr>
                <w:p w14:paraId="1E79F6F5">
                  <w:pPr>
                    <w:adjustRightInd w:val="0"/>
                    <w:snapToGrid w:val="0"/>
                    <w:jc w:val="center"/>
                    <w:rPr>
                      <w:rFonts w:hint="eastAsia"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cs="Times New Roman"/>
                      <w:color w:val="000000" w:themeColor="text1"/>
                      <w:kern w:val="0"/>
                      <w:szCs w:val="21"/>
                      <w:lang w:val="en-US" w:eastAsia="zh-CN"/>
                      <w14:textFill>
                        <w14:solidFill>
                          <w14:schemeClr w14:val="tx1"/>
                        </w14:solidFill>
                      </w14:textFill>
                    </w:rPr>
                    <w:t>设备</w:t>
                  </w:r>
                </w:p>
              </w:tc>
              <w:tc>
                <w:tcPr>
                  <w:tcW w:w="434" w:type="pct"/>
                  <w:tcBorders>
                    <w:tl2br w:val="nil"/>
                    <w:tr2bl w:val="nil"/>
                  </w:tcBorders>
                  <w:shd w:val="clear" w:color="auto" w:fill="auto"/>
                  <w:vAlign w:val="center"/>
                </w:tcPr>
                <w:p w14:paraId="5CE1ED55">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固态</w:t>
                  </w:r>
                </w:p>
              </w:tc>
              <w:tc>
                <w:tcPr>
                  <w:tcW w:w="410" w:type="pct"/>
                  <w:tcBorders>
                    <w:tl2br w:val="nil"/>
                    <w:tr2bl w:val="nil"/>
                  </w:tcBorders>
                  <w:shd w:val="clear" w:color="auto" w:fill="auto"/>
                  <w:vAlign w:val="center"/>
                </w:tcPr>
                <w:p w14:paraId="55B7C96F">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T</w:t>
                  </w:r>
                </w:p>
              </w:tc>
              <w:tc>
                <w:tcPr>
                  <w:tcW w:w="1104" w:type="pct"/>
                  <w:vMerge w:val="continue"/>
                  <w:tcBorders>
                    <w:tl2br w:val="nil"/>
                    <w:tr2bl w:val="nil"/>
                  </w:tcBorders>
                  <w:vAlign w:val="center"/>
                </w:tcPr>
                <w:p w14:paraId="5B92D12A">
                  <w:pPr>
                    <w:jc w:val="center"/>
                    <w:rPr>
                      <w:rFonts w:hint="default" w:ascii="Times New Roman" w:hAnsi="Times New Roman" w:eastAsia="宋体" w:cs="Times New Roman"/>
                      <w:color w:val="000000" w:themeColor="text1"/>
                      <w:szCs w:val="21"/>
                      <w14:textFill>
                        <w14:solidFill>
                          <w14:schemeClr w14:val="tx1"/>
                        </w14:solidFill>
                      </w14:textFill>
                    </w:rPr>
                  </w:pPr>
                </w:p>
              </w:tc>
            </w:tr>
          </w:tbl>
          <w:p w14:paraId="49D89640">
            <w:pPr>
              <w:pStyle w:val="11"/>
              <w:snapToGrid w:val="0"/>
              <w:spacing w:line="240" w:lineRule="auto"/>
              <w:jc w:val="center"/>
              <w:rPr>
                <w:rFonts w:hint="default" w:ascii="Times New Roman" w:hAnsi="Times New Roman" w:eastAsia="宋体" w:cs="Times New Roman"/>
                <w:b/>
                <w:bCs w:val="0"/>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表4-1</w:t>
            </w:r>
            <w:r>
              <w:rPr>
                <w:rFonts w:hint="eastAsia" w:ascii="Times New Roman" w:cs="Times New Roman"/>
                <w:b/>
                <w:bCs w:val="0"/>
                <w:color w:val="000000" w:themeColor="text1"/>
                <w:sz w:val="21"/>
                <w:szCs w:val="21"/>
                <w:lang w:val="en-US" w:eastAsia="zh-CN"/>
                <w14:textFill>
                  <w14:solidFill>
                    <w14:schemeClr w14:val="tx1"/>
                  </w14:solidFill>
                </w14:textFill>
              </w:rPr>
              <w:t xml:space="preserve">6 </w:t>
            </w:r>
            <w:r>
              <w:rPr>
                <w:rFonts w:hint="default" w:ascii="Times New Roman" w:hAnsi="Times New Roman" w:eastAsia="宋体" w:cs="Times New Roman"/>
                <w:b/>
                <w:bCs w:val="0"/>
                <w:color w:val="000000" w:themeColor="text1"/>
                <w:sz w:val="21"/>
                <w:szCs w:val="21"/>
                <w14:textFill>
                  <w14:solidFill>
                    <w14:schemeClr w14:val="tx1"/>
                  </w14:solidFill>
                </w14:textFill>
              </w:rPr>
              <w:t>本项目危险废物产生情况</w:t>
            </w:r>
          </w:p>
          <w:tbl>
            <w:tblPr>
              <w:tblStyle w:val="38"/>
              <w:tblW w:w="499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2"/>
              <w:gridCol w:w="813"/>
              <w:gridCol w:w="917"/>
              <w:gridCol w:w="1377"/>
              <w:gridCol w:w="1086"/>
              <w:gridCol w:w="598"/>
              <w:gridCol w:w="744"/>
              <w:gridCol w:w="983"/>
              <w:gridCol w:w="730"/>
              <w:gridCol w:w="1195"/>
            </w:tblGrid>
            <w:tr w14:paraId="521FD6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tcBorders>
                    <w:tl2br w:val="nil"/>
                    <w:tr2bl w:val="nil"/>
                  </w:tcBorders>
                  <w:vAlign w:val="center"/>
                </w:tcPr>
                <w:p w14:paraId="1508E68D">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序号</w:t>
                  </w:r>
                </w:p>
              </w:tc>
              <w:tc>
                <w:tcPr>
                  <w:tcW w:w="456" w:type="pct"/>
                  <w:tcBorders>
                    <w:tl2br w:val="nil"/>
                    <w:tr2bl w:val="nil"/>
                  </w:tcBorders>
                  <w:vAlign w:val="center"/>
                </w:tcPr>
                <w:p w14:paraId="118165C6">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危废名称</w:t>
                  </w:r>
                </w:p>
              </w:tc>
              <w:tc>
                <w:tcPr>
                  <w:tcW w:w="514" w:type="pct"/>
                  <w:tcBorders>
                    <w:tl2br w:val="nil"/>
                    <w:tr2bl w:val="nil"/>
                  </w:tcBorders>
                  <w:vAlign w:val="center"/>
                </w:tcPr>
                <w:p w14:paraId="2C2A1966">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危废类别</w:t>
                  </w:r>
                </w:p>
              </w:tc>
              <w:tc>
                <w:tcPr>
                  <w:tcW w:w="773" w:type="pct"/>
                  <w:tcBorders>
                    <w:tl2br w:val="nil"/>
                    <w:tr2bl w:val="nil"/>
                  </w:tcBorders>
                  <w:vAlign w:val="center"/>
                </w:tcPr>
                <w:p w14:paraId="661D27EF">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危废代码</w:t>
                  </w:r>
                </w:p>
              </w:tc>
              <w:tc>
                <w:tcPr>
                  <w:tcW w:w="609" w:type="pct"/>
                  <w:tcBorders>
                    <w:tl2br w:val="nil"/>
                    <w:tr2bl w:val="nil"/>
                  </w:tcBorders>
                  <w:vAlign w:val="center"/>
                </w:tcPr>
                <w:p w14:paraId="0791D96A">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产生工序</w:t>
                  </w:r>
                </w:p>
              </w:tc>
              <w:tc>
                <w:tcPr>
                  <w:tcW w:w="335" w:type="pct"/>
                  <w:tcBorders>
                    <w:tl2br w:val="nil"/>
                    <w:tr2bl w:val="nil"/>
                  </w:tcBorders>
                  <w:vAlign w:val="center"/>
                </w:tcPr>
                <w:p w14:paraId="014E65F8">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形态</w:t>
                  </w:r>
                </w:p>
              </w:tc>
              <w:tc>
                <w:tcPr>
                  <w:tcW w:w="417" w:type="pct"/>
                  <w:tcBorders>
                    <w:tl2br w:val="nil"/>
                    <w:tr2bl w:val="nil"/>
                  </w:tcBorders>
                  <w:vAlign w:val="center"/>
                </w:tcPr>
                <w:p w14:paraId="37AA7FE2">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有害成分</w:t>
                  </w:r>
                </w:p>
              </w:tc>
              <w:tc>
                <w:tcPr>
                  <w:tcW w:w="551" w:type="pct"/>
                  <w:tcBorders>
                    <w:tl2br w:val="nil"/>
                    <w:tr2bl w:val="nil"/>
                  </w:tcBorders>
                  <w:vAlign w:val="center"/>
                </w:tcPr>
                <w:p w14:paraId="22F8E210">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处置量t/a</w:t>
                  </w:r>
                </w:p>
              </w:tc>
              <w:tc>
                <w:tcPr>
                  <w:tcW w:w="409" w:type="pct"/>
                  <w:tcBorders>
                    <w:tl2br w:val="nil"/>
                    <w:tr2bl w:val="nil"/>
                  </w:tcBorders>
                  <w:vAlign w:val="center"/>
                </w:tcPr>
                <w:p w14:paraId="41054067">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危险特性</w:t>
                  </w:r>
                </w:p>
              </w:tc>
              <w:tc>
                <w:tcPr>
                  <w:tcW w:w="670" w:type="pct"/>
                  <w:tcBorders>
                    <w:tl2br w:val="nil"/>
                    <w:tr2bl w:val="nil"/>
                  </w:tcBorders>
                  <w:vAlign w:val="center"/>
                </w:tcPr>
                <w:p w14:paraId="018478ED">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储存及处置措施</w:t>
                  </w:r>
                </w:p>
              </w:tc>
            </w:tr>
            <w:tr w14:paraId="30503B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9" w:type="pct"/>
                  <w:tcBorders>
                    <w:tl2br w:val="nil"/>
                    <w:tr2bl w:val="nil"/>
                  </w:tcBorders>
                  <w:vAlign w:val="center"/>
                </w:tcPr>
                <w:p w14:paraId="2A81DF88">
                  <w:pPr>
                    <w:pStyle w:val="117"/>
                    <w:ind w:firstLine="0" w:firstLineChars="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w:t>
                  </w:r>
                </w:p>
              </w:tc>
              <w:tc>
                <w:tcPr>
                  <w:tcW w:w="456" w:type="pct"/>
                  <w:tcBorders>
                    <w:tl2br w:val="nil"/>
                    <w:tr2bl w:val="nil"/>
                  </w:tcBorders>
                  <w:shd w:val="clear" w:color="auto" w:fill="auto"/>
                  <w:vAlign w:val="center"/>
                </w:tcPr>
                <w:p w14:paraId="53693926">
                  <w:pPr>
                    <w:adjustRightInd w:val="0"/>
                    <w:snapToGrid w:val="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废润滑油</w:t>
                  </w:r>
                </w:p>
              </w:tc>
              <w:tc>
                <w:tcPr>
                  <w:tcW w:w="514" w:type="pct"/>
                  <w:tcBorders>
                    <w:tl2br w:val="nil"/>
                    <w:tr2bl w:val="nil"/>
                  </w:tcBorders>
                  <w:shd w:val="clear" w:color="auto" w:fill="auto"/>
                  <w:vAlign w:val="center"/>
                </w:tcPr>
                <w:p w14:paraId="06C2515B">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HW08</w:t>
                  </w:r>
                </w:p>
              </w:tc>
              <w:tc>
                <w:tcPr>
                  <w:tcW w:w="773" w:type="pct"/>
                  <w:tcBorders>
                    <w:tl2br w:val="nil"/>
                    <w:tr2bl w:val="nil"/>
                  </w:tcBorders>
                  <w:shd w:val="clear" w:color="auto" w:fill="auto"/>
                  <w:vAlign w:val="center"/>
                </w:tcPr>
                <w:p w14:paraId="67B7CEC5">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900-214-08</w:t>
                  </w:r>
                </w:p>
              </w:tc>
              <w:tc>
                <w:tcPr>
                  <w:tcW w:w="609" w:type="pct"/>
                  <w:tcBorders>
                    <w:tl2br w:val="nil"/>
                    <w:tr2bl w:val="nil"/>
                  </w:tcBorders>
                  <w:shd w:val="clear" w:color="auto" w:fill="auto"/>
                  <w:vAlign w:val="center"/>
                </w:tcPr>
                <w:p w14:paraId="11845D0C">
                  <w:pPr>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生产设备</w:t>
                  </w:r>
                </w:p>
              </w:tc>
              <w:tc>
                <w:tcPr>
                  <w:tcW w:w="335" w:type="pct"/>
                  <w:tcBorders>
                    <w:tl2br w:val="nil"/>
                    <w:tr2bl w:val="nil"/>
                  </w:tcBorders>
                  <w:shd w:val="clear" w:color="auto" w:fill="auto"/>
                  <w:vAlign w:val="center"/>
                </w:tcPr>
                <w:p w14:paraId="1DF2440B">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液态</w:t>
                  </w:r>
                </w:p>
              </w:tc>
              <w:tc>
                <w:tcPr>
                  <w:tcW w:w="417" w:type="pct"/>
                  <w:tcBorders>
                    <w:tl2br w:val="nil"/>
                    <w:tr2bl w:val="nil"/>
                  </w:tcBorders>
                  <w:shd w:val="clear" w:color="auto" w:fill="auto"/>
                  <w:vAlign w:val="center"/>
                </w:tcPr>
                <w:p w14:paraId="722913B0">
                  <w:pPr>
                    <w:jc w:val="center"/>
                    <w:rPr>
                      <w:rFonts w:hint="default" w:ascii="Times New Roman" w:hAnsi="Times New Roman" w:eastAsia="宋体" w:cs="Times New Roman"/>
                      <w:color w:val="000000" w:themeColor="text1"/>
                      <w:spacing w:val="-10"/>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10"/>
                      <w:szCs w:val="21"/>
                      <w14:textFill>
                        <w14:solidFill>
                          <w14:schemeClr w14:val="tx1"/>
                        </w14:solidFill>
                      </w14:textFill>
                    </w:rPr>
                    <w:t>有机物</w:t>
                  </w:r>
                </w:p>
              </w:tc>
              <w:tc>
                <w:tcPr>
                  <w:tcW w:w="551" w:type="pct"/>
                  <w:tcBorders>
                    <w:tl2br w:val="nil"/>
                    <w:tr2bl w:val="nil"/>
                  </w:tcBorders>
                  <w:shd w:val="clear" w:color="auto" w:fill="auto"/>
                  <w:vAlign w:val="center"/>
                </w:tcPr>
                <w:p w14:paraId="2CE541E5">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0.0</w:t>
                  </w:r>
                  <w:r>
                    <w:rPr>
                      <w:rFonts w:hint="eastAsia" w:cs="Times New Roman"/>
                      <w:color w:val="000000" w:themeColor="text1"/>
                      <w:szCs w:val="21"/>
                      <w:lang w:val="en-US" w:eastAsia="zh-CN"/>
                      <w14:textFill>
                        <w14:solidFill>
                          <w14:schemeClr w14:val="tx1"/>
                        </w14:solidFill>
                      </w14:textFill>
                    </w:rPr>
                    <w:t>1</w:t>
                  </w:r>
                </w:p>
              </w:tc>
              <w:tc>
                <w:tcPr>
                  <w:tcW w:w="409" w:type="pct"/>
                  <w:tcBorders>
                    <w:tl2br w:val="nil"/>
                    <w:tr2bl w:val="nil"/>
                  </w:tcBorders>
                  <w:shd w:val="clear" w:color="auto" w:fill="auto"/>
                  <w:vAlign w:val="center"/>
                </w:tcPr>
                <w:p w14:paraId="721DCAE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T/I</w:t>
                  </w:r>
                </w:p>
              </w:tc>
              <w:tc>
                <w:tcPr>
                  <w:tcW w:w="670" w:type="pct"/>
                  <w:vMerge w:val="restart"/>
                  <w:tcBorders>
                    <w:tl2br w:val="nil"/>
                    <w:tr2bl w:val="nil"/>
                  </w:tcBorders>
                  <w:vAlign w:val="center"/>
                </w:tcPr>
                <w:p w14:paraId="7BFCE7A9">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妥善收集后暂存于危废仓库定期交由具有相应处理资质的单位处理</w:t>
                  </w:r>
                </w:p>
              </w:tc>
            </w:tr>
            <w:tr w14:paraId="25D9C4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259" w:type="pct"/>
                  <w:tcBorders>
                    <w:tl2br w:val="nil"/>
                    <w:tr2bl w:val="nil"/>
                  </w:tcBorders>
                  <w:vAlign w:val="center"/>
                </w:tcPr>
                <w:p w14:paraId="10F44B8A">
                  <w:pPr>
                    <w:pStyle w:val="117"/>
                    <w:ind w:firstLine="0" w:firstLineChars="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w:t>
                  </w:r>
                </w:p>
              </w:tc>
              <w:tc>
                <w:tcPr>
                  <w:tcW w:w="456" w:type="pct"/>
                  <w:tcBorders>
                    <w:tl2br w:val="nil"/>
                    <w:tr2bl w:val="nil"/>
                  </w:tcBorders>
                  <w:shd w:val="clear" w:color="auto" w:fill="auto"/>
                  <w:vAlign w:val="center"/>
                </w:tcPr>
                <w:p w14:paraId="0702AD20">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废油桶</w:t>
                  </w:r>
                </w:p>
              </w:tc>
              <w:tc>
                <w:tcPr>
                  <w:tcW w:w="514" w:type="pct"/>
                  <w:tcBorders>
                    <w:tl2br w:val="nil"/>
                    <w:tr2bl w:val="nil"/>
                  </w:tcBorders>
                  <w:shd w:val="clear" w:color="auto" w:fill="auto"/>
                  <w:vAlign w:val="center"/>
                </w:tcPr>
                <w:p w14:paraId="0CB85CC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HW08</w:t>
                  </w:r>
                </w:p>
              </w:tc>
              <w:tc>
                <w:tcPr>
                  <w:tcW w:w="773" w:type="pct"/>
                  <w:tcBorders>
                    <w:tl2br w:val="nil"/>
                    <w:tr2bl w:val="nil"/>
                  </w:tcBorders>
                  <w:shd w:val="clear" w:color="auto" w:fill="auto"/>
                  <w:vAlign w:val="center"/>
                </w:tcPr>
                <w:p w14:paraId="17CAE71A">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900-249-08</w:t>
                  </w:r>
                </w:p>
              </w:tc>
              <w:tc>
                <w:tcPr>
                  <w:tcW w:w="609" w:type="pct"/>
                  <w:tcBorders>
                    <w:tl2br w:val="nil"/>
                    <w:tr2bl w:val="nil"/>
                  </w:tcBorders>
                  <w:shd w:val="clear" w:color="auto" w:fill="auto"/>
                  <w:vAlign w:val="center"/>
                </w:tcPr>
                <w:p w14:paraId="5E109082">
                  <w:pPr>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生产设备</w:t>
                  </w:r>
                </w:p>
              </w:tc>
              <w:tc>
                <w:tcPr>
                  <w:tcW w:w="335" w:type="pct"/>
                  <w:tcBorders>
                    <w:tl2br w:val="nil"/>
                    <w:tr2bl w:val="nil"/>
                  </w:tcBorders>
                  <w:shd w:val="clear" w:color="auto" w:fill="auto"/>
                  <w:vAlign w:val="center"/>
                </w:tcPr>
                <w:p w14:paraId="3C84B0AE">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固态</w:t>
                  </w:r>
                </w:p>
              </w:tc>
              <w:tc>
                <w:tcPr>
                  <w:tcW w:w="417" w:type="pct"/>
                  <w:tcBorders>
                    <w:tl2br w:val="nil"/>
                    <w:tr2bl w:val="nil"/>
                  </w:tcBorders>
                  <w:shd w:val="clear" w:color="auto" w:fill="auto"/>
                  <w:vAlign w:val="center"/>
                </w:tcPr>
                <w:p w14:paraId="497ADACD">
                  <w:pPr>
                    <w:jc w:val="center"/>
                    <w:rPr>
                      <w:rFonts w:hint="default" w:ascii="Times New Roman" w:hAnsi="Times New Roman" w:eastAsia="宋体" w:cs="Times New Roman"/>
                      <w:color w:val="000000" w:themeColor="text1"/>
                      <w:spacing w:val="-10"/>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10"/>
                      <w:szCs w:val="21"/>
                      <w14:textFill>
                        <w14:solidFill>
                          <w14:schemeClr w14:val="tx1"/>
                        </w14:solidFill>
                      </w14:textFill>
                    </w:rPr>
                    <w:t>有机物</w:t>
                  </w:r>
                </w:p>
              </w:tc>
              <w:tc>
                <w:tcPr>
                  <w:tcW w:w="551" w:type="pct"/>
                  <w:tcBorders>
                    <w:tl2br w:val="nil"/>
                    <w:tr2bl w:val="nil"/>
                  </w:tcBorders>
                  <w:shd w:val="clear" w:color="auto" w:fill="auto"/>
                  <w:vAlign w:val="center"/>
                </w:tcPr>
                <w:p w14:paraId="0928D147">
                  <w:pPr>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0.02</w:t>
                  </w:r>
                </w:p>
              </w:tc>
              <w:tc>
                <w:tcPr>
                  <w:tcW w:w="409" w:type="pct"/>
                  <w:tcBorders>
                    <w:tl2br w:val="nil"/>
                    <w:tr2bl w:val="nil"/>
                  </w:tcBorders>
                  <w:shd w:val="clear" w:color="auto" w:fill="auto"/>
                  <w:vAlign w:val="center"/>
                </w:tcPr>
                <w:p w14:paraId="7DF14C5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T/I</w:t>
                  </w:r>
                </w:p>
              </w:tc>
              <w:tc>
                <w:tcPr>
                  <w:tcW w:w="670" w:type="pct"/>
                  <w:vMerge w:val="continue"/>
                  <w:tcBorders>
                    <w:tl2br w:val="nil"/>
                    <w:tr2bl w:val="nil"/>
                  </w:tcBorders>
                  <w:vAlign w:val="center"/>
                </w:tcPr>
                <w:p w14:paraId="2D0B4EC6">
                  <w:pPr>
                    <w:jc w:val="center"/>
                    <w:rPr>
                      <w:rFonts w:hint="default" w:ascii="Times New Roman" w:hAnsi="Times New Roman" w:eastAsia="宋体" w:cs="Times New Roman"/>
                      <w:color w:val="000000" w:themeColor="text1"/>
                      <w:szCs w:val="21"/>
                      <w14:textFill>
                        <w14:solidFill>
                          <w14:schemeClr w14:val="tx1"/>
                        </w14:solidFill>
                      </w14:textFill>
                    </w:rPr>
                  </w:pPr>
                </w:p>
              </w:tc>
            </w:tr>
            <w:tr w14:paraId="5D14C1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259" w:type="pct"/>
                  <w:tcBorders>
                    <w:tl2br w:val="nil"/>
                    <w:tr2bl w:val="nil"/>
                  </w:tcBorders>
                  <w:vAlign w:val="center"/>
                </w:tcPr>
                <w:p w14:paraId="56F2918A">
                  <w:pPr>
                    <w:pStyle w:val="117"/>
                    <w:ind w:firstLine="0" w:firstLineChars="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w:t>
                  </w:r>
                </w:p>
              </w:tc>
              <w:tc>
                <w:tcPr>
                  <w:tcW w:w="456" w:type="pct"/>
                  <w:tcBorders>
                    <w:tl2br w:val="nil"/>
                    <w:tr2bl w:val="nil"/>
                  </w:tcBorders>
                  <w:shd w:val="clear" w:color="auto" w:fill="auto"/>
                  <w:vAlign w:val="center"/>
                </w:tcPr>
                <w:p w14:paraId="3AFA31A0">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eastAsia" w:ascii="Times New Roman" w:hAnsi="Times New Roman" w:eastAsia="宋体" w:cs="Times New Roman"/>
                      <w:color w:val="000000" w:themeColor="text1"/>
                      <w:kern w:val="0"/>
                      <w:szCs w:val="21"/>
                      <w14:textFill>
                        <w14:solidFill>
                          <w14:schemeClr w14:val="tx1"/>
                        </w14:solidFill>
                      </w14:textFill>
                    </w:rPr>
                    <w:t>废导热油</w:t>
                  </w:r>
                </w:p>
              </w:tc>
              <w:tc>
                <w:tcPr>
                  <w:tcW w:w="514" w:type="pct"/>
                  <w:tcBorders>
                    <w:tl2br w:val="nil"/>
                    <w:tr2bl w:val="nil"/>
                  </w:tcBorders>
                  <w:shd w:val="clear" w:color="auto" w:fill="auto"/>
                  <w:vAlign w:val="center"/>
                </w:tcPr>
                <w:p w14:paraId="2C01055E">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HW</w:t>
                  </w:r>
                  <w:r>
                    <w:rPr>
                      <w:rFonts w:hint="eastAsia" w:ascii="Times New Roman" w:hAnsi="Times New Roman" w:eastAsia="宋体" w:cs="Times New Roman"/>
                      <w:color w:val="000000" w:themeColor="text1"/>
                      <w:szCs w:val="21"/>
                      <w:lang w:val="en-US" w:eastAsia="zh-CN"/>
                      <w14:textFill>
                        <w14:solidFill>
                          <w14:schemeClr w14:val="tx1"/>
                        </w14:solidFill>
                      </w14:textFill>
                    </w:rPr>
                    <w:t>10</w:t>
                  </w:r>
                </w:p>
              </w:tc>
              <w:tc>
                <w:tcPr>
                  <w:tcW w:w="773" w:type="pct"/>
                  <w:tcBorders>
                    <w:tl2br w:val="nil"/>
                    <w:tr2bl w:val="nil"/>
                  </w:tcBorders>
                  <w:shd w:val="clear" w:color="auto" w:fill="auto"/>
                  <w:vAlign w:val="center"/>
                </w:tcPr>
                <w:p w14:paraId="0BD7281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900-010-10</w:t>
                  </w:r>
                </w:p>
              </w:tc>
              <w:tc>
                <w:tcPr>
                  <w:tcW w:w="609" w:type="pct"/>
                  <w:tcBorders>
                    <w:tl2br w:val="nil"/>
                    <w:tr2bl w:val="nil"/>
                  </w:tcBorders>
                  <w:shd w:val="clear" w:color="auto" w:fill="auto"/>
                  <w:vAlign w:val="center"/>
                </w:tcPr>
                <w:p w14:paraId="46CE3563">
                  <w:pPr>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生产设备</w:t>
                  </w:r>
                </w:p>
              </w:tc>
              <w:tc>
                <w:tcPr>
                  <w:tcW w:w="335" w:type="pct"/>
                  <w:tcBorders>
                    <w:tl2br w:val="nil"/>
                    <w:tr2bl w:val="nil"/>
                  </w:tcBorders>
                  <w:shd w:val="clear" w:color="auto" w:fill="auto"/>
                  <w:vAlign w:val="center"/>
                </w:tcPr>
                <w:p w14:paraId="1629EB55">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液态</w:t>
                  </w:r>
                </w:p>
              </w:tc>
              <w:tc>
                <w:tcPr>
                  <w:tcW w:w="417" w:type="pct"/>
                  <w:tcBorders>
                    <w:tl2br w:val="nil"/>
                    <w:tr2bl w:val="nil"/>
                  </w:tcBorders>
                  <w:shd w:val="clear" w:color="auto" w:fill="auto"/>
                  <w:vAlign w:val="center"/>
                </w:tcPr>
                <w:p w14:paraId="44FD8BA8">
                  <w:pPr>
                    <w:jc w:val="center"/>
                    <w:rPr>
                      <w:rFonts w:hint="default" w:ascii="Times New Roman" w:hAnsi="Times New Roman" w:eastAsia="宋体" w:cs="Times New Roman"/>
                      <w:color w:val="000000" w:themeColor="text1"/>
                      <w:spacing w:val="-10"/>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10"/>
                      <w:szCs w:val="21"/>
                      <w14:textFill>
                        <w14:solidFill>
                          <w14:schemeClr w14:val="tx1"/>
                        </w14:solidFill>
                      </w14:textFill>
                    </w:rPr>
                    <w:t>有机物</w:t>
                  </w:r>
                </w:p>
              </w:tc>
              <w:tc>
                <w:tcPr>
                  <w:tcW w:w="551" w:type="pct"/>
                  <w:tcBorders>
                    <w:tl2br w:val="nil"/>
                    <w:tr2bl w:val="nil"/>
                  </w:tcBorders>
                  <w:shd w:val="clear" w:color="auto" w:fill="auto"/>
                  <w:vAlign w:val="center"/>
                </w:tcPr>
                <w:p w14:paraId="7A3786B5">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2t/5a</w:t>
                  </w:r>
                </w:p>
              </w:tc>
              <w:tc>
                <w:tcPr>
                  <w:tcW w:w="409" w:type="pct"/>
                  <w:tcBorders>
                    <w:tl2br w:val="nil"/>
                    <w:tr2bl w:val="nil"/>
                  </w:tcBorders>
                  <w:shd w:val="clear" w:color="auto" w:fill="auto"/>
                  <w:vAlign w:val="center"/>
                </w:tcPr>
                <w:p w14:paraId="2344324D">
                  <w:pPr>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T</w:t>
                  </w:r>
                </w:p>
              </w:tc>
              <w:tc>
                <w:tcPr>
                  <w:tcW w:w="670" w:type="pct"/>
                  <w:vMerge w:val="continue"/>
                  <w:tcBorders>
                    <w:tl2br w:val="nil"/>
                    <w:tr2bl w:val="nil"/>
                  </w:tcBorders>
                  <w:vAlign w:val="center"/>
                </w:tcPr>
                <w:p w14:paraId="0D283F68">
                  <w:pPr>
                    <w:jc w:val="center"/>
                    <w:rPr>
                      <w:rFonts w:hint="default" w:ascii="Times New Roman" w:hAnsi="Times New Roman" w:eastAsia="宋体" w:cs="Times New Roman"/>
                      <w:color w:val="000000" w:themeColor="text1"/>
                      <w:szCs w:val="21"/>
                      <w14:textFill>
                        <w14:solidFill>
                          <w14:schemeClr w14:val="tx1"/>
                        </w14:solidFill>
                      </w14:textFill>
                    </w:rPr>
                  </w:pPr>
                </w:p>
              </w:tc>
            </w:tr>
            <w:tr w14:paraId="354850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259" w:type="pct"/>
                  <w:tcBorders>
                    <w:tl2br w:val="nil"/>
                    <w:tr2bl w:val="nil"/>
                  </w:tcBorders>
                  <w:vAlign w:val="center"/>
                </w:tcPr>
                <w:p w14:paraId="2E500E97">
                  <w:pPr>
                    <w:pStyle w:val="117"/>
                    <w:ind w:firstLine="0" w:firstLineChars="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4</w:t>
                  </w:r>
                </w:p>
              </w:tc>
              <w:tc>
                <w:tcPr>
                  <w:tcW w:w="456" w:type="pct"/>
                  <w:tcBorders>
                    <w:tl2br w:val="nil"/>
                    <w:tr2bl w:val="nil"/>
                  </w:tcBorders>
                  <w:shd w:val="clear" w:color="auto" w:fill="auto"/>
                  <w:vAlign w:val="center"/>
                </w:tcPr>
                <w:p w14:paraId="504C7DA9">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废活性炭</w:t>
                  </w:r>
                </w:p>
              </w:tc>
              <w:tc>
                <w:tcPr>
                  <w:tcW w:w="514" w:type="pct"/>
                  <w:tcBorders>
                    <w:tl2br w:val="nil"/>
                    <w:tr2bl w:val="nil"/>
                  </w:tcBorders>
                  <w:shd w:val="clear" w:color="auto" w:fill="auto"/>
                  <w:vAlign w:val="center"/>
                </w:tcPr>
                <w:p w14:paraId="217DAF30">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HW49</w:t>
                  </w:r>
                </w:p>
              </w:tc>
              <w:tc>
                <w:tcPr>
                  <w:tcW w:w="773" w:type="pct"/>
                  <w:tcBorders>
                    <w:tl2br w:val="nil"/>
                    <w:tr2bl w:val="nil"/>
                  </w:tcBorders>
                  <w:shd w:val="clear" w:color="auto" w:fill="auto"/>
                  <w:vAlign w:val="center"/>
                </w:tcPr>
                <w:p w14:paraId="6DB68267">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900-039-49</w:t>
                  </w:r>
                </w:p>
              </w:tc>
              <w:tc>
                <w:tcPr>
                  <w:tcW w:w="609" w:type="pct"/>
                  <w:tcBorders>
                    <w:tl2br w:val="nil"/>
                    <w:tr2bl w:val="nil"/>
                  </w:tcBorders>
                  <w:shd w:val="clear" w:color="auto" w:fill="auto"/>
                  <w:vAlign w:val="center"/>
                </w:tcPr>
                <w:p w14:paraId="0DB58B94">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环保设备</w:t>
                  </w:r>
                </w:p>
              </w:tc>
              <w:tc>
                <w:tcPr>
                  <w:tcW w:w="335" w:type="pct"/>
                  <w:tcBorders>
                    <w:tl2br w:val="nil"/>
                    <w:tr2bl w:val="nil"/>
                  </w:tcBorders>
                  <w:shd w:val="clear" w:color="auto" w:fill="auto"/>
                  <w:vAlign w:val="center"/>
                </w:tcPr>
                <w:p w14:paraId="08B85E72">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固态</w:t>
                  </w:r>
                </w:p>
              </w:tc>
              <w:tc>
                <w:tcPr>
                  <w:tcW w:w="417" w:type="pct"/>
                  <w:tcBorders>
                    <w:tl2br w:val="nil"/>
                    <w:tr2bl w:val="nil"/>
                  </w:tcBorders>
                  <w:shd w:val="clear" w:color="auto" w:fill="auto"/>
                  <w:vAlign w:val="center"/>
                </w:tcPr>
                <w:p w14:paraId="240BFF4D">
                  <w:pPr>
                    <w:jc w:val="center"/>
                    <w:rPr>
                      <w:rFonts w:hint="default" w:ascii="Times New Roman" w:hAnsi="Times New Roman" w:eastAsia="宋体" w:cs="Times New Roman"/>
                      <w:color w:val="000000" w:themeColor="text1"/>
                      <w:spacing w:val="-10"/>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pacing w:val="-10"/>
                      <w:szCs w:val="21"/>
                      <w14:textFill>
                        <w14:solidFill>
                          <w14:schemeClr w14:val="tx1"/>
                        </w14:solidFill>
                      </w14:textFill>
                    </w:rPr>
                    <w:t>有机物</w:t>
                  </w:r>
                </w:p>
              </w:tc>
              <w:tc>
                <w:tcPr>
                  <w:tcW w:w="551" w:type="pct"/>
                  <w:tcBorders>
                    <w:tl2br w:val="nil"/>
                    <w:tr2bl w:val="nil"/>
                  </w:tcBorders>
                  <w:shd w:val="clear" w:color="auto" w:fill="auto"/>
                  <w:vAlign w:val="center"/>
                </w:tcPr>
                <w:p w14:paraId="7B4DF62D">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7.39</w:t>
                  </w:r>
                </w:p>
              </w:tc>
              <w:tc>
                <w:tcPr>
                  <w:tcW w:w="409" w:type="pct"/>
                  <w:tcBorders>
                    <w:tl2br w:val="nil"/>
                    <w:tr2bl w:val="nil"/>
                  </w:tcBorders>
                  <w:shd w:val="clear" w:color="auto" w:fill="auto"/>
                  <w:vAlign w:val="center"/>
                </w:tcPr>
                <w:p w14:paraId="78EA07F1">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T</w:t>
                  </w:r>
                </w:p>
              </w:tc>
              <w:tc>
                <w:tcPr>
                  <w:tcW w:w="670" w:type="pct"/>
                  <w:vMerge w:val="continue"/>
                  <w:tcBorders>
                    <w:tl2br w:val="nil"/>
                    <w:tr2bl w:val="nil"/>
                  </w:tcBorders>
                  <w:vAlign w:val="center"/>
                </w:tcPr>
                <w:p w14:paraId="453FA276">
                  <w:pPr>
                    <w:jc w:val="center"/>
                    <w:rPr>
                      <w:rFonts w:hint="default" w:ascii="Times New Roman" w:hAnsi="Times New Roman" w:eastAsia="宋体" w:cs="Times New Roman"/>
                      <w:color w:val="000000" w:themeColor="text1"/>
                      <w:szCs w:val="21"/>
                      <w14:textFill>
                        <w14:solidFill>
                          <w14:schemeClr w14:val="tx1"/>
                        </w14:solidFill>
                      </w14:textFill>
                    </w:rPr>
                  </w:pPr>
                </w:p>
              </w:tc>
            </w:tr>
          </w:tbl>
          <w:p w14:paraId="3DA3BA7F">
            <w:pPr>
              <w:pStyle w:val="11"/>
              <w:snapToGrid w:val="0"/>
              <w:spacing w:line="240" w:lineRule="auto"/>
              <w:jc w:val="center"/>
              <w:rPr>
                <w:rFonts w:hint="default" w:ascii="Times New Roman" w:hAnsi="Times New Roman" w:eastAsia="宋体" w:cs="Times New Roman"/>
                <w:b/>
                <w:bCs w:val="0"/>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表4-1</w:t>
            </w:r>
            <w:r>
              <w:rPr>
                <w:rFonts w:hint="eastAsia" w:ascii="Times New Roman" w:cs="Times New Roman"/>
                <w:b/>
                <w:bCs w:val="0"/>
                <w:color w:val="000000" w:themeColor="text1"/>
                <w:sz w:val="21"/>
                <w:szCs w:val="21"/>
                <w:lang w:val="en-US" w:eastAsia="zh-CN"/>
                <w14:textFill>
                  <w14:solidFill>
                    <w14:schemeClr w14:val="tx1"/>
                  </w14:solidFill>
                </w14:textFill>
              </w:rPr>
              <w:t xml:space="preserve">7 </w:t>
            </w:r>
            <w:r>
              <w:rPr>
                <w:rFonts w:hint="default" w:ascii="Times New Roman" w:hAnsi="Times New Roman" w:eastAsia="宋体" w:cs="Times New Roman"/>
                <w:b/>
                <w:bCs w:val="0"/>
                <w:color w:val="000000" w:themeColor="text1"/>
                <w:sz w:val="21"/>
                <w:szCs w:val="21"/>
                <w14:textFill>
                  <w14:solidFill>
                    <w14:schemeClr w14:val="tx1"/>
                  </w14:solidFill>
                </w14:textFill>
              </w:rPr>
              <w:t>项目危险废物贮存场所（设施）基本情况表</w:t>
            </w:r>
          </w:p>
          <w:tbl>
            <w:tblPr>
              <w:tblStyle w:val="38"/>
              <w:tblW w:w="504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0"/>
              <w:gridCol w:w="875"/>
              <w:gridCol w:w="1132"/>
              <w:gridCol w:w="1010"/>
              <w:gridCol w:w="1398"/>
              <w:gridCol w:w="999"/>
              <w:gridCol w:w="798"/>
              <w:gridCol w:w="665"/>
              <w:gridCol w:w="812"/>
              <w:gridCol w:w="813"/>
            </w:tblGrid>
            <w:tr w14:paraId="161DCF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7" w:type="pct"/>
                  <w:tcBorders>
                    <w:tl2br w:val="nil"/>
                    <w:tr2bl w:val="nil"/>
                  </w:tcBorders>
                  <w:vAlign w:val="center"/>
                </w:tcPr>
                <w:p w14:paraId="53973E68">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序号</w:t>
                  </w:r>
                </w:p>
              </w:tc>
              <w:tc>
                <w:tcPr>
                  <w:tcW w:w="486" w:type="pct"/>
                  <w:tcBorders>
                    <w:tl2br w:val="nil"/>
                    <w:tr2bl w:val="nil"/>
                  </w:tcBorders>
                  <w:vAlign w:val="center"/>
                </w:tcPr>
                <w:p w14:paraId="7FB26A51">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贮存场所名称</w:t>
                  </w:r>
                </w:p>
              </w:tc>
              <w:tc>
                <w:tcPr>
                  <w:tcW w:w="628" w:type="pct"/>
                  <w:tcBorders>
                    <w:tl2br w:val="nil"/>
                    <w:tr2bl w:val="nil"/>
                  </w:tcBorders>
                  <w:vAlign w:val="center"/>
                </w:tcPr>
                <w:p w14:paraId="3FD001F2">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危险废物名称</w:t>
                  </w:r>
                </w:p>
              </w:tc>
              <w:tc>
                <w:tcPr>
                  <w:tcW w:w="560" w:type="pct"/>
                  <w:tcBorders>
                    <w:tl2br w:val="nil"/>
                    <w:tr2bl w:val="nil"/>
                  </w:tcBorders>
                  <w:vAlign w:val="center"/>
                </w:tcPr>
                <w:p w14:paraId="6C4B17B5">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危险废物类别</w:t>
                  </w:r>
                </w:p>
              </w:tc>
              <w:tc>
                <w:tcPr>
                  <w:tcW w:w="776" w:type="pct"/>
                  <w:tcBorders>
                    <w:tl2br w:val="nil"/>
                    <w:tr2bl w:val="nil"/>
                  </w:tcBorders>
                  <w:vAlign w:val="center"/>
                </w:tcPr>
                <w:p w14:paraId="3EBD9BAE">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危险废物代码</w:t>
                  </w:r>
                </w:p>
              </w:tc>
              <w:tc>
                <w:tcPr>
                  <w:tcW w:w="554" w:type="pct"/>
                  <w:tcBorders>
                    <w:tl2br w:val="nil"/>
                    <w:tr2bl w:val="nil"/>
                  </w:tcBorders>
                  <w:vAlign w:val="center"/>
                </w:tcPr>
                <w:p w14:paraId="2A3ADE44">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位置</w:t>
                  </w:r>
                </w:p>
              </w:tc>
              <w:tc>
                <w:tcPr>
                  <w:tcW w:w="443" w:type="pct"/>
                  <w:tcBorders>
                    <w:tl2br w:val="nil"/>
                    <w:tr2bl w:val="nil"/>
                  </w:tcBorders>
                  <w:vAlign w:val="center"/>
                </w:tcPr>
                <w:p w14:paraId="24E3051C">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占地面积</w:t>
                  </w:r>
                </w:p>
              </w:tc>
              <w:tc>
                <w:tcPr>
                  <w:tcW w:w="369" w:type="pct"/>
                  <w:tcBorders>
                    <w:tl2br w:val="nil"/>
                    <w:tr2bl w:val="nil"/>
                  </w:tcBorders>
                  <w:vAlign w:val="center"/>
                </w:tcPr>
                <w:p w14:paraId="6E06E676">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贮存方式</w:t>
                  </w:r>
                </w:p>
              </w:tc>
              <w:tc>
                <w:tcPr>
                  <w:tcW w:w="451" w:type="pct"/>
                  <w:tcBorders>
                    <w:tl2br w:val="nil"/>
                    <w:tr2bl w:val="nil"/>
                  </w:tcBorders>
                  <w:vAlign w:val="center"/>
                </w:tcPr>
                <w:p w14:paraId="49DC9868">
                  <w:pPr>
                    <w:jc w:val="center"/>
                    <w:rPr>
                      <w:rFonts w:hint="default" w:ascii="Times New Roman" w:hAnsi="Times New Roman" w:eastAsia="宋体" w:cs="Times New Roman"/>
                      <w:b/>
                      <w:bCs/>
                      <w:color w:val="000000" w:themeColor="text1"/>
                      <w:szCs w:val="21"/>
                      <w:lang w:val="en-US" w:eastAsia="zh-CN"/>
                      <w14:textFill>
                        <w14:solidFill>
                          <w14:schemeClr w14:val="tx1"/>
                        </w14:solidFill>
                      </w14:textFill>
                    </w:rPr>
                  </w:pPr>
                  <w:r>
                    <w:rPr>
                      <w:rFonts w:hint="eastAsia" w:cs="Times New Roman"/>
                      <w:b/>
                      <w:bCs/>
                      <w:color w:val="000000" w:themeColor="text1"/>
                      <w:szCs w:val="21"/>
                      <w:lang w:val="en-US" w:eastAsia="zh-CN"/>
                      <w14:textFill>
                        <w14:solidFill>
                          <w14:schemeClr w14:val="tx1"/>
                        </w14:solidFill>
                      </w14:textFill>
                    </w:rPr>
                    <w:t>贮存能力</w:t>
                  </w:r>
                </w:p>
              </w:tc>
              <w:tc>
                <w:tcPr>
                  <w:tcW w:w="451" w:type="pct"/>
                  <w:tcBorders>
                    <w:tl2br w:val="nil"/>
                    <w:tr2bl w:val="nil"/>
                  </w:tcBorders>
                  <w:vAlign w:val="center"/>
                </w:tcPr>
                <w:p w14:paraId="6EC62209">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贮存周期</w:t>
                  </w:r>
                </w:p>
              </w:tc>
            </w:tr>
            <w:tr w14:paraId="4DCF47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7" w:type="pct"/>
                  <w:tcBorders>
                    <w:tl2br w:val="nil"/>
                    <w:tr2bl w:val="nil"/>
                  </w:tcBorders>
                  <w:vAlign w:val="center"/>
                </w:tcPr>
                <w:p w14:paraId="1DF7018B">
                  <w:pPr>
                    <w:pStyle w:val="117"/>
                    <w:numPr>
                      <w:ilvl w:val="0"/>
                      <w:numId w:val="5"/>
                    </w:numPr>
                    <w:ind w:firstLineChars="0"/>
                    <w:jc w:val="center"/>
                    <w:rPr>
                      <w:rStyle w:val="128"/>
                      <w:rFonts w:hint="default" w:ascii="Times New Roman" w:hAnsi="Times New Roman" w:eastAsia="宋体" w:cs="Times New Roman"/>
                      <w:color w:val="000000" w:themeColor="text1"/>
                      <w:szCs w:val="21"/>
                      <w14:textFill>
                        <w14:solidFill>
                          <w14:schemeClr w14:val="tx1"/>
                        </w14:solidFill>
                      </w14:textFill>
                    </w:rPr>
                  </w:pPr>
                </w:p>
              </w:tc>
              <w:tc>
                <w:tcPr>
                  <w:tcW w:w="486" w:type="pct"/>
                  <w:vMerge w:val="restart"/>
                  <w:tcBorders>
                    <w:tl2br w:val="nil"/>
                    <w:tr2bl w:val="nil"/>
                  </w:tcBorders>
                  <w:vAlign w:val="center"/>
                </w:tcPr>
                <w:p w14:paraId="6219F943">
                  <w:pPr>
                    <w:jc w:val="center"/>
                    <w:rPr>
                      <w:rStyle w:val="128"/>
                      <w:rFonts w:hint="default" w:ascii="Times New Roman" w:hAnsi="Times New Roman" w:eastAsia="宋体" w:cs="Times New Roman"/>
                      <w:color w:val="000000" w:themeColor="text1"/>
                      <w:kern w:val="0"/>
                      <w:szCs w:val="21"/>
                      <w14:textFill>
                        <w14:solidFill>
                          <w14:schemeClr w14:val="tx1"/>
                        </w14:solidFill>
                      </w14:textFill>
                    </w:rPr>
                  </w:pPr>
                  <w:r>
                    <w:rPr>
                      <w:rStyle w:val="128"/>
                      <w:rFonts w:hint="default" w:ascii="Times New Roman" w:hAnsi="Times New Roman" w:eastAsia="宋体" w:cs="Times New Roman"/>
                      <w:color w:val="000000" w:themeColor="text1"/>
                      <w:kern w:val="0"/>
                      <w:szCs w:val="21"/>
                      <w14:textFill>
                        <w14:solidFill>
                          <w14:schemeClr w14:val="tx1"/>
                        </w14:solidFill>
                      </w14:textFill>
                    </w:rPr>
                    <w:t>危废暂存间</w:t>
                  </w:r>
                </w:p>
              </w:tc>
              <w:tc>
                <w:tcPr>
                  <w:tcW w:w="628" w:type="pct"/>
                  <w:tcBorders>
                    <w:tl2br w:val="nil"/>
                    <w:tr2bl w:val="nil"/>
                  </w:tcBorders>
                  <w:shd w:val="clear" w:color="auto" w:fill="auto"/>
                  <w:vAlign w:val="center"/>
                </w:tcPr>
                <w:p w14:paraId="0934556E">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废润滑油</w:t>
                  </w:r>
                </w:p>
              </w:tc>
              <w:tc>
                <w:tcPr>
                  <w:tcW w:w="560" w:type="pct"/>
                  <w:tcBorders>
                    <w:tl2br w:val="nil"/>
                    <w:tr2bl w:val="nil"/>
                  </w:tcBorders>
                  <w:shd w:val="clear" w:color="auto" w:fill="auto"/>
                  <w:vAlign w:val="center"/>
                </w:tcPr>
                <w:p w14:paraId="2188D3D7">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HW08</w:t>
                  </w:r>
                </w:p>
              </w:tc>
              <w:tc>
                <w:tcPr>
                  <w:tcW w:w="776" w:type="pct"/>
                  <w:tcBorders>
                    <w:tl2br w:val="nil"/>
                    <w:tr2bl w:val="nil"/>
                  </w:tcBorders>
                  <w:shd w:val="clear" w:color="auto" w:fill="auto"/>
                  <w:vAlign w:val="center"/>
                </w:tcPr>
                <w:p w14:paraId="141FC079">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900-214-08</w:t>
                  </w:r>
                </w:p>
              </w:tc>
              <w:tc>
                <w:tcPr>
                  <w:tcW w:w="554" w:type="pct"/>
                  <w:vMerge w:val="restart"/>
                  <w:tcBorders>
                    <w:tl2br w:val="nil"/>
                    <w:tr2bl w:val="nil"/>
                  </w:tcBorders>
                  <w:vAlign w:val="center"/>
                </w:tcPr>
                <w:p w14:paraId="171114CF">
                  <w:pPr>
                    <w:jc w:val="center"/>
                    <w:rPr>
                      <w:rStyle w:val="128"/>
                      <w:rFonts w:hint="default" w:ascii="Times New Roman" w:hAnsi="Times New Roman" w:eastAsia="宋体" w:cs="Times New Roman"/>
                      <w:color w:val="000000" w:themeColor="text1"/>
                      <w:szCs w:val="21"/>
                      <w14:textFill>
                        <w14:solidFill>
                          <w14:schemeClr w14:val="tx1"/>
                        </w14:solidFill>
                      </w14:textFill>
                    </w:rPr>
                  </w:pPr>
                  <w:r>
                    <w:rPr>
                      <w:rStyle w:val="128"/>
                      <w:rFonts w:hint="default" w:ascii="Times New Roman" w:hAnsi="Times New Roman" w:eastAsia="宋体" w:cs="Times New Roman"/>
                      <w:color w:val="000000" w:themeColor="text1"/>
                      <w:szCs w:val="21"/>
                      <w14:textFill>
                        <w14:solidFill>
                          <w14:schemeClr w14:val="tx1"/>
                        </w14:solidFill>
                      </w14:textFill>
                    </w:rPr>
                    <w:t>生产车间</w:t>
                  </w:r>
                  <w:r>
                    <w:rPr>
                      <w:rStyle w:val="128"/>
                      <w:rFonts w:hint="eastAsia" w:cs="Times New Roman"/>
                      <w:color w:val="000000" w:themeColor="text1"/>
                      <w:szCs w:val="21"/>
                      <w:lang w:val="en-US" w:eastAsia="zh-CN"/>
                      <w14:textFill>
                        <w14:solidFill>
                          <w14:schemeClr w14:val="tx1"/>
                        </w14:solidFill>
                      </w14:textFill>
                    </w:rPr>
                    <w:t>东</w:t>
                  </w:r>
                  <w:r>
                    <w:rPr>
                      <w:rStyle w:val="128"/>
                      <w:rFonts w:hint="default" w:ascii="Times New Roman" w:hAnsi="Times New Roman" w:eastAsia="宋体" w:cs="Times New Roman"/>
                      <w:color w:val="000000" w:themeColor="text1"/>
                      <w:szCs w:val="21"/>
                      <w14:textFill>
                        <w14:solidFill>
                          <w14:schemeClr w14:val="tx1"/>
                        </w14:solidFill>
                      </w14:textFill>
                    </w:rPr>
                    <w:t>侧</w:t>
                  </w:r>
                </w:p>
              </w:tc>
              <w:tc>
                <w:tcPr>
                  <w:tcW w:w="443" w:type="pct"/>
                  <w:vMerge w:val="restart"/>
                  <w:tcBorders>
                    <w:tl2br w:val="nil"/>
                    <w:tr2bl w:val="nil"/>
                  </w:tcBorders>
                  <w:vAlign w:val="center"/>
                </w:tcPr>
                <w:p w14:paraId="79CF097C">
                  <w:pPr>
                    <w:jc w:val="center"/>
                    <w:rPr>
                      <w:rStyle w:val="128"/>
                      <w:rFonts w:hint="default" w:ascii="Times New Roman" w:hAnsi="Times New Roman" w:eastAsia="宋体" w:cs="Times New Roman"/>
                      <w:color w:val="000000" w:themeColor="text1"/>
                      <w:szCs w:val="21"/>
                      <w14:textFill>
                        <w14:solidFill>
                          <w14:schemeClr w14:val="tx1"/>
                        </w14:solidFill>
                      </w14:textFill>
                    </w:rPr>
                  </w:pPr>
                  <w:r>
                    <w:rPr>
                      <w:rStyle w:val="128"/>
                      <w:rFonts w:hint="default" w:ascii="Times New Roman" w:hAnsi="Times New Roman" w:eastAsia="宋体" w:cs="Times New Roman"/>
                      <w:color w:val="000000" w:themeColor="text1"/>
                      <w:szCs w:val="21"/>
                      <w14:textFill>
                        <w14:solidFill>
                          <w14:schemeClr w14:val="tx1"/>
                        </w14:solidFill>
                      </w14:textFill>
                    </w:rPr>
                    <w:t>7.5m</w:t>
                  </w:r>
                  <w:r>
                    <w:rPr>
                      <w:rStyle w:val="128"/>
                      <w:rFonts w:hint="default" w:ascii="Times New Roman" w:hAnsi="Times New Roman" w:eastAsia="宋体" w:cs="Times New Roman"/>
                      <w:color w:val="000000" w:themeColor="text1"/>
                      <w:szCs w:val="21"/>
                      <w:vertAlign w:val="superscript"/>
                      <w14:textFill>
                        <w14:solidFill>
                          <w14:schemeClr w14:val="tx1"/>
                        </w14:solidFill>
                      </w14:textFill>
                    </w:rPr>
                    <w:t>2</w:t>
                  </w:r>
                </w:p>
              </w:tc>
              <w:tc>
                <w:tcPr>
                  <w:tcW w:w="369" w:type="pct"/>
                  <w:tcBorders>
                    <w:tl2br w:val="nil"/>
                    <w:tr2bl w:val="nil"/>
                  </w:tcBorders>
                  <w:shd w:val="clear" w:color="auto" w:fill="auto"/>
                  <w:vAlign w:val="center"/>
                </w:tcPr>
                <w:p w14:paraId="7BAABFD3">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桶装</w:t>
                  </w:r>
                </w:p>
              </w:tc>
              <w:tc>
                <w:tcPr>
                  <w:tcW w:w="451" w:type="pct"/>
                  <w:tcBorders>
                    <w:tl2br w:val="nil"/>
                    <w:tr2bl w:val="nil"/>
                  </w:tcBorders>
                  <w:vAlign w:val="center"/>
                </w:tcPr>
                <w:p w14:paraId="3E4F12F4">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0.5t</w:t>
                  </w:r>
                </w:p>
              </w:tc>
              <w:tc>
                <w:tcPr>
                  <w:tcW w:w="451" w:type="pct"/>
                  <w:tcBorders>
                    <w:tl2br w:val="nil"/>
                    <w:tr2bl w:val="nil"/>
                  </w:tcBorders>
                  <w:vAlign w:val="center"/>
                </w:tcPr>
                <w:p w14:paraId="374F8BA8">
                  <w:pPr>
                    <w:jc w:val="center"/>
                    <w:rPr>
                      <w:rStyle w:val="128"/>
                      <w:rFonts w:hint="default" w:ascii="Times New Roman" w:hAnsi="Times New Roman" w:eastAsia="宋体" w:cs="Times New Roman"/>
                      <w:color w:val="000000" w:themeColor="text1"/>
                      <w:szCs w:val="21"/>
                      <w14:textFill>
                        <w14:solidFill>
                          <w14:schemeClr w14:val="tx1"/>
                        </w14:solidFill>
                      </w14:textFill>
                    </w:rPr>
                  </w:pPr>
                  <w:r>
                    <w:rPr>
                      <w:rStyle w:val="128"/>
                      <w:rFonts w:hint="default" w:ascii="Times New Roman" w:hAnsi="Times New Roman" w:eastAsia="宋体" w:cs="Times New Roman"/>
                      <w:color w:val="000000" w:themeColor="text1"/>
                      <w:szCs w:val="21"/>
                      <w14:textFill>
                        <w14:solidFill>
                          <w14:schemeClr w14:val="tx1"/>
                        </w14:solidFill>
                      </w14:textFill>
                    </w:rPr>
                    <w:t>1年</w:t>
                  </w:r>
                </w:p>
              </w:tc>
            </w:tr>
            <w:tr w14:paraId="01B046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7" w:type="pct"/>
                  <w:tcBorders>
                    <w:tl2br w:val="nil"/>
                    <w:tr2bl w:val="nil"/>
                  </w:tcBorders>
                  <w:vAlign w:val="center"/>
                </w:tcPr>
                <w:p w14:paraId="5CAA0019">
                  <w:pPr>
                    <w:pStyle w:val="117"/>
                    <w:numPr>
                      <w:ilvl w:val="0"/>
                      <w:numId w:val="5"/>
                    </w:numPr>
                    <w:ind w:firstLineChars="0"/>
                    <w:jc w:val="center"/>
                    <w:rPr>
                      <w:rStyle w:val="128"/>
                      <w:rFonts w:hint="default" w:ascii="Times New Roman" w:hAnsi="Times New Roman" w:eastAsia="宋体" w:cs="Times New Roman"/>
                      <w:color w:val="000000" w:themeColor="text1"/>
                      <w:szCs w:val="21"/>
                      <w14:textFill>
                        <w14:solidFill>
                          <w14:schemeClr w14:val="tx1"/>
                        </w14:solidFill>
                      </w14:textFill>
                    </w:rPr>
                  </w:pPr>
                </w:p>
              </w:tc>
              <w:tc>
                <w:tcPr>
                  <w:tcW w:w="486" w:type="pct"/>
                  <w:vMerge w:val="continue"/>
                  <w:tcBorders>
                    <w:tl2br w:val="nil"/>
                    <w:tr2bl w:val="nil"/>
                  </w:tcBorders>
                  <w:vAlign w:val="center"/>
                </w:tcPr>
                <w:p w14:paraId="14791678">
                  <w:pPr>
                    <w:jc w:val="center"/>
                    <w:rPr>
                      <w:rStyle w:val="128"/>
                      <w:rFonts w:hint="default" w:ascii="Times New Roman" w:hAnsi="Times New Roman" w:eastAsia="宋体" w:cs="Times New Roman"/>
                      <w:color w:val="000000" w:themeColor="text1"/>
                      <w:kern w:val="0"/>
                      <w:szCs w:val="21"/>
                      <w14:textFill>
                        <w14:solidFill>
                          <w14:schemeClr w14:val="tx1"/>
                        </w14:solidFill>
                      </w14:textFill>
                    </w:rPr>
                  </w:pPr>
                </w:p>
              </w:tc>
              <w:tc>
                <w:tcPr>
                  <w:tcW w:w="628" w:type="pct"/>
                  <w:tcBorders>
                    <w:tl2br w:val="nil"/>
                    <w:tr2bl w:val="nil"/>
                  </w:tcBorders>
                  <w:shd w:val="clear" w:color="auto" w:fill="auto"/>
                  <w:vAlign w:val="center"/>
                </w:tcPr>
                <w:p w14:paraId="0F555E93">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废油桶</w:t>
                  </w:r>
                </w:p>
              </w:tc>
              <w:tc>
                <w:tcPr>
                  <w:tcW w:w="560" w:type="pct"/>
                  <w:tcBorders>
                    <w:tl2br w:val="nil"/>
                    <w:tr2bl w:val="nil"/>
                  </w:tcBorders>
                  <w:shd w:val="clear" w:color="auto" w:fill="auto"/>
                  <w:vAlign w:val="center"/>
                </w:tcPr>
                <w:p w14:paraId="303FA72B">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HW08</w:t>
                  </w:r>
                </w:p>
              </w:tc>
              <w:tc>
                <w:tcPr>
                  <w:tcW w:w="776" w:type="pct"/>
                  <w:tcBorders>
                    <w:tl2br w:val="nil"/>
                    <w:tr2bl w:val="nil"/>
                  </w:tcBorders>
                  <w:shd w:val="clear" w:color="auto" w:fill="auto"/>
                  <w:vAlign w:val="center"/>
                </w:tcPr>
                <w:p w14:paraId="58968D58">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900-249-08</w:t>
                  </w:r>
                </w:p>
              </w:tc>
              <w:tc>
                <w:tcPr>
                  <w:tcW w:w="554" w:type="pct"/>
                  <w:vMerge w:val="continue"/>
                  <w:tcBorders>
                    <w:tl2br w:val="nil"/>
                    <w:tr2bl w:val="nil"/>
                  </w:tcBorders>
                  <w:vAlign w:val="center"/>
                </w:tcPr>
                <w:p w14:paraId="304C4A6E">
                  <w:pPr>
                    <w:jc w:val="center"/>
                    <w:rPr>
                      <w:rStyle w:val="128"/>
                      <w:rFonts w:hint="default" w:ascii="Times New Roman" w:hAnsi="Times New Roman" w:eastAsia="宋体" w:cs="Times New Roman"/>
                      <w:color w:val="000000" w:themeColor="text1"/>
                      <w:szCs w:val="21"/>
                      <w14:textFill>
                        <w14:solidFill>
                          <w14:schemeClr w14:val="tx1"/>
                        </w14:solidFill>
                      </w14:textFill>
                    </w:rPr>
                  </w:pPr>
                </w:p>
              </w:tc>
              <w:tc>
                <w:tcPr>
                  <w:tcW w:w="443" w:type="pct"/>
                  <w:vMerge w:val="continue"/>
                  <w:tcBorders>
                    <w:tl2br w:val="nil"/>
                    <w:tr2bl w:val="nil"/>
                  </w:tcBorders>
                  <w:vAlign w:val="center"/>
                </w:tcPr>
                <w:p w14:paraId="2D9D49D3">
                  <w:pPr>
                    <w:jc w:val="center"/>
                    <w:rPr>
                      <w:rStyle w:val="128"/>
                      <w:rFonts w:hint="default" w:ascii="Times New Roman" w:hAnsi="Times New Roman" w:eastAsia="宋体" w:cs="Times New Roman"/>
                      <w:color w:val="000000" w:themeColor="text1"/>
                      <w:szCs w:val="21"/>
                      <w14:textFill>
                        <w14:solidFill>
                          <w14:schemeClr w14:val="tx1"/>
                        </w14:solidFill>
                      </w14:textFill>
                    </w:rPr>
                  </w:pPr>
                </w:p>
              </w:tc>
              <w:tc>
                <w:tcPr>
                  <w:tcW w:w="369" w:type="pct"/>
                  <w:tcBorders>
                    <w:tl2br w:val="nil"/>
                    <w:tr2bl w:val="nil"/>
                  </w:tcBorders>
                  <w:shd w:val="clear" w:color="auto" w:fill="auto"/>
                  <w:vAlign w:val="center"/>
                </w:tcPr>
                <w:p w14:paraId="37C8C8C3">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桶装</w:t>
                  </w:r>
                </w:p>
              </w:tc>
              <w:tc>
                <w:tcPr>
                  <w:tcW w:w="451" w:type="pct"/>
                  <w:tcBorders>
                    <w:tl2br w:val="nil"/>
                    <w:tr2bl w:val="nil"/>
                  </w:tcBorders>
                  <w:vAlign w:val="center"/>
                </w:tcPr>
                <w:p w14:paraId="59D98AA7">
                  <w:pPr>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0.5t</w:t>
                  </w:r>
                </w:p>
              </w:tc>
              <w:tc>
                <w:tcPr>
                  <w:tcW w:w="451" w:type="pct"/>
                  <w:tcBorders>
                    <w:tl2br w:val="nil"/>
                    <w:tr2bl w:val="nil"/>
                  </w:tcBorders>
                  <w:vAlign w:val="center"/>
                </w:tcPr>
                <w:p w14:paraId="2B7E2381">
                  <w:pPr>
                    <w:jc w:val="center"/>
                    <w:rPr>
                      <w:rStyle w:val="128"/>
                      <w:rFonts w:hint="default" w:ascii="Times New Roman" w:hAnsi="Times New Roman" w:eastAsia="宋体" w:cs="Times New Roman"/>
                      <w:color w:val="000000" w:themeColor="text1"/>
                      <w:szCs w:val="21"/>
                      <w14:textFill>
                        <w14:solidFill>
                          <w14:schemeClr w14:val="tx1"/>
                        </w14:solidFill>
                      </w14:textFill>
                    </w:rPr>
                  </w:pPr>
                  <w:r>
                    <w:rPr>
                      <w:rStyle w:val="128"/>
                      <w:rFonts w:hint="default" w:ascii="Times New Roman" w:hAnsi="Times New Roman" w:eastAsia="宋体" w:cs="Times New Roman"/>
                      <w:color w:val="000000" w:themeColor="text1"/>
                      <w:szCs w:val="21"/>
                      <w14:textFill>
                        <w14:solidFill>
                          <w14:schemeClr w14:val="tx1"/>
                        </w14:solidFill>
                      </w14:textFill>
                    </w:rPr>
                    <w:t>1年</w:t>
                  </w:r>
                </w:p>
              </w:tc>
            </w:tr>
            <w:tr w14:paraId="3B3499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7" w:type="pct"/>
                  <w:tcBorders>
                    <w:tl2br w:val="nil"/>
                    <w:tr2bl w:val="nil"/>
                  </w:tcBorders>
                  <w:vAlign w:val="center"/>
                </w:tcPr>
                <w:p w14:paraId="3985E501">
                  <w:pPr>
                    <w:pStyle w:val="117"/>
                    <w:numPr>
                      <w:ilvl w:val="0"/>
                      <w:numId w:val="5"/>
                    </w:numPr>
                    <w:ind w:firstLineChars="0"/>
                    <w:jc w:val="center"/>
                    <w:rPr>
                      <w:rStyle w:val="128"/>
                      <w:rFonts w:hint="default" w:ascii="Times New Roman" w:hAnsi="Times New Roman" w:eastAsia="宋体" w:cs="Times New Roman"/>
                      <w:color w:val="000000" w:themeColor="text1"/>
                      <w:szCs w:val="21"/>
                      <w14:textFill>
                        <w14:solidFill>
                          <w14:schemeClr w14:val="tx1"/>
                        </w14:solidFill>
                      </w14:textFill>
                    </w:rPr>
                  </w:pPr>
                </w:p>
              </w:tc>
              <w:tc>
                <w:tcPr>
                  <w:tcW w:w="486" w:type="pct"/>
                  <w:vMerge w:val="continue"/>
                  <w:tcBorders>
                    <w:tl2br w:val="nil"/>
                    <w:tr2bl w:val="nil"/>
                  </w:tcBorders>
                  <w:vAlign w:val="center"/>
                </w:tcPr>
                <w:p w14:paraId="3655FAC7">
                  <w:pPr>
                    <w:jc w:val="center"/>
                    <w:rPr>
                      <w:rStyle w:val="128"/>
                      <w:rFonts w:hint="default" w:ascii="Times New Roman" w:hAnsi="Times New Roman" w:eastAsia="宋体" w:cs="Times New Roman"/>
                      <w:color w:val="000000" w:themeColor="text1"/>
                      <w:kern w:val="0"/>
                      <w:szCs w:val="21"/>
                      <w14:textFill>
                        <w14:solidFill>
                          <w14:schemeClr w14:val="tx1"/>
                        </w14:solidFill>
                      </w14:textFill>
                    </w:rPr>
                  </w:pPr>
                </w:p>
              </w:tc>
              <w:tc>
                <w:tcPr>
                  <w:tcW w:w="628" w:type="pct"/>
                  <w:tcBorders>
                    <w:tl2br w:val="nil"/>
                    <w:tr2bl w:val="nil"/>
                  </w:tcBorders>
                  <w:shd w:val="clear" w:color="auto" w:fill="auto"/>
                  <w:vAlign w:val="center"/>
                </w:tcPr>
                <w:p w14:paraId="6115628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Cs w:val="21"/>
                      <w14:textFill>
                        <w14:solidFill>
                          <w14:schemeClr w14:val="tx1"/>
                        </w14:solidFill>
                      </w14:textFill>
                    </w:rPr>
                    <w:t>废导热油</w:t>
                  </w:r>
                </w:p>
              </w:tc>
              <w:tc>
                <w:tcPr>
                  <w:tcW w:w="560" w:type="pct"/>
                  <w:tcBorders>
                    <w:tl2br w:val="nil"/>
                    <w:tr2bl w:val="nil"/>
                  </w:tcBorders>
                  <w:shd w:val="clear" w:color="auto" w:fill="auto"/>
                  <w:vAlign w:val="center"/>
                </w:tcPr>
                <w:p w14:paraId="20529366">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HW</w:t>
                  </w:r>
                  <w:r>
                    <w:rPr>
                      <w:rFonts w:hint="eastAsia" w:ascii="Times New Roman" w:hAnsi="Times New Roman" w:eastAsia="宋体" w:cs="Times New Roman"/>
                      <w:color w:val="000000" w:themeColor="text1"/>
                      <w:szCs w:val="21"/>
                      <w:lang w:val="en-US" w:eastAsia="zh-CN"/>
                      <w14:textFill>
                        <w14:solidFill>
                          <w14:schemeClr w14:val="tx1"/>
                        </w14:solidFill>
                      </w14:textFill>
                    </w:rPr>
                    <w:t>10</w:t>
                  </w:r>
                </w:p>
              </w:tc>
              <w:tc>
                <w:tcPr>
                  <w:tcW w:w="776" w:type="pct"/>
                  <w:tcBorders>
                    <w:tl2br w:val="nil"/>
                    <w:tr2bl w:val="nil"/>
                  </w:tcBorders>
                  <w:shd w:val="clear" w:color="auto" w:fill="auto"/>
                  <w:vAlign w:val="center"/>
                </w:tcPr>
                <w:p w14:paraId="23D5A728">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900-010-10</w:t>
                  </w:r>
                </w:p>
              </w:tc>
              <w:tc>
                <w:tcPr>
                  <w:tcW w:w="554" w:type="pct"/>
                  <w:vMerge w:val="continue"/>
                  <w:tcBorders>
                    <w:tl2br w:val="nil"/>
                    <w:tr2bl w:val="nil"/>
                  </w:tcBorders>
                  <w:vAlign w:val="center"/>
                </w:tcPr>
                <w:p w14:paraId="5711294A">
                  <w:pPr>
                    <w:jc w:val="center"/>
                    <w:rPr>
                      <w:rStyle w:val="128"/>
                      <w:rFonts w:hint="default" w:ascii="Times New Roman" w:hAnsi="Times New Roman" w:eastAsia="宋体" w:cs="Times New Roman"/>
                      <w:color w:val="000000" w:themeColor="text1"/>
                      <w:szCs w:val="21"/>
                      <w14:textFill>
                        <w14:solidFill>
                          <w14:schemeClr w14:val="tx1"/>
                        </w14:solidFill>
                      </w14:textFill>
                    </w:rPr>
                  </w:pPr>
                </w:p>
              </w:tc>
              <w:tc>
                <w:tcPr>
                  <w:tcW w:w="443" w:type="pct"/>
                  <w:vMerge w:val="continue"/>
                  <w:tcBorders>
                    <w:tl2br w:val="nil"/>
                    <w:tr2bl w:val="nil"/>
                  </w:tcBorders>
                  <w:vAlign w:val="center"/>
                </w:tcPr>
                <w:p w14:paraId="5B76331A">
                  <w:pPr>
                    <w:jc w:val="center"/>
                    <w:rPr>
                      <w:rStyle w:val="128"/>
                      <w:rFonts w:hint="default" w:ascii="Times New Roman" w:hAnsi="Times New Roman" w:eastAsia="宋体" w:cs="Times New Roman"/>
                      <w:color w:val="000000" w:themeColor="text1"/>
                      <w:szCs w:val="21"/>
                      <w14:textFill>
                        <w14:solidFill>
                          <w14:schemeClr w14:val="tx1"/>
                        </w14:solidFill>
                      </w14:textFill>
                    </w:rPr>
                  </w:pPr>
                </w:p>
              </w:tc>
              <w:tc>
                <w:tcPr>
                  <w:tcW w:w="369" w:type="pct"/>
                  <w:tcBorders>
                    <w:tl2br w:val="nil"/>
                    <w:tr2bl w:val="nil"/>
                  </w:tcBorders>
                  <w:shd w:val="clear" w:color="auto" w:fill="auto"/>
                  <w:vAlign w:val="center"/>
                </w:tcPr>
                <w:p w14:paraId="6EB83E83">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桶装</w:t>
                  </w:r>
                </w:p>
              </w:tc>
              <w:tc>
                <w:tcPr>
                  <w:tcW w:w="451" w:type="pct"/>
                  <w:tcBorders>
                    <w:tl2br w:val="nil"/>
                    <w:tr2bl w:val="nil"/>
                  </w:tcBorders>
                  <w:vAlign w:val="center"/>
                </w:tcPr>
                <w:p w14:paraId="0738C1CD">
                  <w:pPr>
                    <w:jc w:val="center"/>
                    <w:rPr>
                      <w:rFonts w:hint="default"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2t</w:t>
                  </w:r>
                </w:p>
              </w:tc>
              <w:tc>
                <w:tcPr>
                  <w:tcW w:w="451" w:type="pct"/>
                  <w:tcBorders>
                    <w:tl2br w:val="nil"/>
                    <w:tr2bl w:val="nil"/>
                  </w:tcBorders>
                  <w:vAlign w:val="center"/>
                </w:tcPr>
                <w:p w14:paraId="2A8B8DCE">
                  <w:pPr>
                    <w:jc w:val="center"/>
                    <w:rPr>
                      <w:rStyle w:val="128"/>
                      <w:rFonts w:hint="default" w:ascii="Times New Roman" w:hAnsi="Times New Roman" w:eastAsia="宋体" w:cs="Times New Roman"/>
                      <w:color w:val="000000" w:themeColor="text1"/>
                      <w:szCs w:val="21"/>
                      <w:lang w:val="en-US" w:eastAsia="zh-CN"/>
                      <w14:textFill>
                        <w14:solidFill>
                          <w14:schemeClr w14:val="tx1"/>
                        </w14:solidFill>
                      </w14:textFill>
                    </w:rPr>
                  </w:pPr>
                  <w:r>
                    <w:rPr>
                      <w:rStyle w:val="128"/>
                      <w:rFonts w:hint="eastAsia" w:cs="Times New Roman"/>
                      <w:color w:val="000000" w:themeColor="text1"/>
                      <w:szCs w:val="21"/>
                      <w:lang w:val="en-US" w:eastAsia="zh-CN"/>
                      <w14:textFill>
                        <w14:solidFill>
                          <w14:schemeClr w14:val="tx1"/>
                        </w14:solidFill>
                      </w14:textFill>
                    </w:rPr>
                    <w:t>1年</w:t>
                  </w:r>
                </w:p>
              </w:tc>
            </w:tr>
            <w:tr w14:paraId="2078F7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7" w:type="pct"/>
                  <w:tcBorders>
                    <w:tl2br w:val="nil"/>
                    <w:tr2bl w:val="nil"/>
                  </w:tcBorders>
                  <w:vAlign w:val="center"/>
                </w:tcPr>
                <w:p w14:paraId="33ACF6E1">
                  <w:pPr>
                    <w:pStyle w:val="117"/>
                    <w:numPr>
                      <w:ilvl w:val="0"/>
                      <w:numId w:val="5"/>
                    </w:numPr>
                    <w:ind w:firstLineChars="0"/>
                    <w:jc w:val="center"/>
                    <w:rPr>
                      <w:rStyle w:val="128"/>
                      <w:rFonts w:hint="default" w:ascii="Times New Roman" w:hAnsi="Times New Roman" w:eastAsia="宋体" w:cs="Times New Roman"/>
                      <w:color w:val="000000" w:themeColor="text1"/>
                      <w:szCs w:val="21"/>
                      <w14:textFill>
                        <w14:solidFill>
                          <w14:schemeClr w14:val="tx1"/>
                        </w14:solidFill>
                      </w14:textFill>
                    </w:rPr>
                  </w:pPr>
                </w:p>
              </w:tc>
              <w:tc>
                <w:tcPr>
                  <w:tcW w:w="486" w:type="pct"/>
                  <w:vMerge w:val="continue"/>
                  <w:tcBorders>
                    <w:tl2br w:val="nil"/>
                    <w:tr2bl w:val="nil"/>
                  </w:tcBorders>
                  <w:vAlign w:val="center"/>
                </w:tcPr>
                <w:p w14:paraId="7FA48364">
                  <w:pPr>
                    <w:jc w:val="center"/>
                    <w:rPr>
                      <w:rStyle w:val="128"/>
                      <w:rFonts w:hint="default" w:ascii="Times New Roman" w:hAnsi="Times New Roman" w:eastAsia="宋体" w:cs="Times New Roman"/>
                      <w:color w:val="000000" w:themeColor="text1"/>
                      <w:kern w:val="0"/>
                      <w:szCs w:val="21"/>
                      <w14:textFill>
                        <w14:solidFill>
                          <w14:schemeClr w14:val="tx1"/>
                        </w14:solidFill>
                      </w14:textFill>
                    </w:rPr>
                  </w:pPr>
                </w:p>
              </w:tc>
              <w:tc>
                <w:tcPr>
                  <w:tcW w:w="628" w:type="pct"/>
                  <w:tcBorders>
                    <w:tl2br w:val="nil"/>
                    <w:tr2bl w:val="nil"/>
                  </w:tcBorders>
                  <w:shd w:val="clear" w:color="auto" w:fill="auto"/>
                  <w:vAlign w:val="center"/>
                </w:tcPr>
                <w:p w14:paraId="1F51068E">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废活性炭</w:t>
                  </w:r>
                </w:p>
              </w:tc>
              <w:tc>
                <w:tcPr>
                  <w:tcW w:w="560" w:type="pct"/>
                  <w:tcBorders>
                    <w:tl2br w:val="nil"/>
                    <w:tr2bl w:val="nil"/>
                  </w:tcBorders>
                  <w:shd w:val="clear" w:color="auto" w:fill="auto"/>
                  <w:vAlign w:val="center"/>
                </w:tcPr>
                <w:p w14:paraId="174F335F">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HW49</w:t>
                  </w:r>
                </w:p>
              </w:tc>
              <w:tc>
                <w:tcPr>
                  <w:tcW w:w="776" w:type="pct"/>
                  <w:tcBorders>
                    <w:tl2br w:val="nil"/>
                    <w:tr2bl w:val="nil"/>
                  </w:tcBorders>
                  <w:shd w:val="clear" w:color="auto" w:fill="auto"/>
                  <w:vAlign w:val="center"/>
                </w:tcPr>
                <w:p w14:paraId="4557B2D8">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900-039-49</w:t>
                  </w:r>
                </w:p>
              </w:tc>
              <w:tc>
                <w:tcPr>
                  <w:tcW w:w="554" w:type="pct"/>
                  <w:vMerge w:val="continue"/>
                  <w:tcBorders>
                    <w:tl2br w:val="nil"/>
                    <w:tr2bl w:val="nil"/>
                  </w:tcBorders>
                  <w:shd w:val="clear" w:color="auto" w:fill="auto"/>
                  <w:vAlign w:val="center"/>
                </w:tcPr>
                <w:p w14:paraId="7BB1A553">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43" w:type="pct"/>
                  <w:vMerge w:val="continue"/>
                  <w:tcBorders>
                    <w:tl2br w:val="nil"/>
                    <w:tr2bl w:val="nil"/>
                  </w:tcBorders>
                  <w:shd w:val="clear" w:color="auto" w:fill="auto"/>
                  <w:vAlign w:val="center"/>
                </w:tcPr>
                <w:p w14:paraId="3CA5830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369" w:type="pct"/>
                  <w:tcBorders>
                    <w:tl2br w:val="nil"/>
                    <w:tr2bl w:val="nil"/>
                  </w:tcBorders>
                  <w:shd w:val="clear" w:color="auto" w:fill="auto"/>
                  <w:vAlign w:val="center"/>
                </w:tcPr>
                <w:p w14:paraId="0CDCFC10">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袋装</w:t>
                  </w:r>
                </w:p>
              </w:tc>
              <w:tc>
                <w:tcPr>
                  <w:tcW w:w="451" w:type="pct"/>
                  <w:tcBorders>
                    <w:tl2br w:val="nil"/>
                    <w:tr2bl w:val="nil"/>
                  </w:tcBorders>
                  <w:shd w:val="clear" w:color="auto" w:fill="auto"/>
                  <w:vAlign w:val="center"/>
                </w:tcPr>
                <w:p w14:paraId="2ED76A4C">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3.8t</w:t>
                  </w:r>
                </w:p>
              </w:tc>
              <w:tc>
                <w:tcPr>
                  <w:tcW w:w="451" w:type="pct"/>
                  <w:tcBorders>
                    <w:tl2br w:val="nil"/>
                    <w:tr2bl w:val="nil"/>
                  </w:tcBorders>
                  <w:shd w:val="clear" w:color="auto" w:fill="auto"/>
                  <w:vAlign w:val="center"/>
                </w:tcPr>
                <w:p w14:paraId="38BBE37D">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lang w:val="en-US" w:eastAsia="zh-CN"/>
                    </w:rPr>
                    <w:t>半年</w:t>
                  </w:r>
                </w:p>
              </w:tc>
            </w:tr>
          </w:tbl>
          <w:p w14:paraId="2FB69B83">
            <w:pPr>
              <w:widowControl/>
              <w:spacing w:line="360" w:lineRule="auto"/>
              <w:ind w:firstLine="482" w:firstLineChars="200"/>
              <w:jc w:val="left"/>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4.2</w:t>
            </w:r>
            <w:r>
              <w:rPr>
                <w:rFonts w:hint="default" w:ascii="Times New Roman" w:hAnsi="Times New Roman" w:eastAsia="宋体" w:cs="Times New Roman"/>
                <w:b/>
                <w:bCs/>
                <w:color w:val="000000" w:themeColor="text1"/>
                <w:sz w:val="24"/>
                <w:lang w:val="zh-CN"/>
                <w14:textFill>
                  <w14:solidFill>
                    <w14:schemeClr w14:val="tx1"/>
                  </w14:solidFill>
                </w14:textFill>
              </w:rPr>
              <w:t>环境管理要求</w:t>
            </w:r>
          </w:p>
          <w:p w14:paraId="0B78C45D">
            <w:pPr>
              <w:adjustRightInd w:val="0"/>
              <w:snapToGrid w:val="0"/>
              <w:spacing w:line="360" w:lineRule="auto"/>
              <w:ind w:firstLine="482" w:firstLineChars="200"/>
              <w:rPr>
                <w:rFonts w:hint="default" w:ascii="Times New Roman" w:hAnsi="Times New Roman" w:eastAsia="宋体" w:cs="Times New Roman"/>
                <w:b/>
                <w:bCs/>
                <w:color w:val="000000" w:themeColor="text1"/>
                <w:sz w:val="24"/>
                <w:lang w:bidi="ar"/>
                <w14:textFill>
                  <w14:solidFill>
                    <w14:schemeClr w14:val="tx1"/>
                  </w14:solidFill>
                </w14:textFill>
              </w:rPr>
            </w:pPr>
            <w:r>
              <w:rPr>
                <w:rFonts w:hint="default" w:ascii="Times New Roman" w:hAnsi="Times New Roman" w:eastAsia="宋体" w:cs="Times New Roman"/>
                <w:b/>
                <w:bCs/>
                <w:color w:val="000000" w:themeColor="text1"/>
                <w:sz w:val="24"/>
                <w:lang w:bidi="ar"/>
                <w14:textFill>
                  <w14:solidFill>
                    <w14:schemeClr w14:val="tx1"/>
                  </w14:solidFill>
                </w14:textFill>
              </w:rPr>
              <w:t>一般固废储存要求：</w:t>
            </w:r>
          </w:p>
          <w:p w14:paraId="3311DA1C">
            <w:pPr>
              <w:adjustRightInd w:val="0"/>
              <w:snapToGrid w:val="0"/>
              <w:spacing w:line="360" w:lineRule="auto"/>
              <w:ind w:firstLine="480" w:firstLineChars="200"/>
              <w:rPr>
                <w:rFonts w:hint="default" w:ascii="Times New Roman" w:hAnsi="Times New Roman" w:eastAsia="宋体" w:cs="Times New Roman"/>
                <w:color w:val="000000" w:themeColor="text1"/>
                <w:sz w:val="24"/>
                <w:lang w:bidi="ar"/>
                <w14:textFill>
                  <w14:solidFill>
                    <w14:schemeClr w14:val="tx1"/>
                  </w14:solidFill>
                </w14:textFill>
              </w:rPr>
            </w:pPr>
            <w:r>
              <w:rPr>
                <w:rFonts w:hint="eastAsia" w:cs="Times New Roman"/>
                <w:color w:val="000000" w:themeColor="text1"/>
                <w:sz w:val="24"/>
                <w:lang w:val="en-US" w:eastAsia="zh-CN" w:bidi="ar"/>
                <w14:textFill>
                  <w14:solidFill>
                    <w14:schemeClr w14:val="tx1"/>
                  </w14:solidFill>
                </w14:textFill>
              </w:rPr>
              <w:t>企业在生产车间东侧建设7.5m</w:t>
            </w:r>
            <w:r>
              <w:rPr>
                <w:rFonts w:hint="eastAsia" w:cs="Times New Roman"/>
                <w:color w:val="000000" w:themeColor="text1"/>
                <w:sz w:val="24"/>
                <w:vertAlign w:val="superscript"/>
                <w:lang w:val="en-US" w:eastAsia="zh-CN" w:bidi="ar"/>
                <w14:textFill>
                  <w14:solidFill>
                    <w14:schemeClr w14:val="tx1"/>
                  </w14:solidFill>
                </w14:textFill>
              </w:rPr>
              <w:t>2</w:t>
            </w:r>
            <w:r>
              <w:rPr>
                <w:rFonts w:hint="eastAsia" w:cs="Times New Roman"/>
                <w:color w:val="000000" w:themeColor="text1"/>
                <w:sz w:val="24"/>
                <w:lang w:val="en-US" w:eastAsia="zh-CN" w:bidi="ar"/>
                <w14:textFill>
                  <w14:solidFill>
                    <w14:schemeClr w14:val="tx1"/>
                  </w14:solidFill>
                </w14:textFill>
              </w:rPr>
              <w:t>的一般固废暂存间，最大储存量10t，能够满足项目一般固废的暂存。</w:t>
            </w:r>
            <w:r>
              <w:rPr>
                <w:rFonts w:hint="default" w:ascii="Times New Roman" w:hAnsi="Times New Roman" w:eastAsia="宋体" w:cs="Times New Roman"/>
                <w:color w:val="000000" w:themeColor="text1"/>
                <w:sz w:val="24"/>
                <w:lang w:bidi="ar"/>
                <w14:textFill>
                  <w14:solidFill>
                    <w14:schemeClr w14:val="tx1"/>
                  </w14:solidFill>
                </w14:textFill>
              </w:rPr>
              <w:t>一般固废堆放场所选址、运行、暂存等符合《中华人民共和国固体废物污染环境防治法》相关要求，采取防扬散、防流失、防渗漏或者其他防止污染环境的措施，不得擅自倾倒、堆放、丢弃、遗撒；管理过程中执行《一般工业固体废物管理台账制定指南（试行）》（公告2021年第82号）要求。</w:t>
            </w:r>
          </w:p>
          <w:p w14:paraId="4EE93219">
            <w:pPr>
              <w:adjustRightInd w:val="0"/>
              <w:snapToGrid w:val="0"/>
              <w:spacing w:line="360" w:lineRule="auto"/>
              <w:ind w:firstLine="480" w:firstLineChars="200"/>
              <w:rPr>
                <w:rFonts w:hint="default" w:ascii="Times New Roman" w:hAnsi="Times New Roman" w:eastAsia="宋体" w:cs="Times New Roman"/>
                <w:color w:val="000000" w:themeColor="text1"/>
                <w:sz w:val="24"/>
                <w:lang w:bidi="ar"/>
                <w14:textFill>
                  <w14:solidFill>
                    <w14:schemeClr w14:val="tx1"/>
                  </w14:solidFill>
                </w14:textFill>
              </w:rPr>
            </w:pPr>
            <w:r>
              <w:rPr>
                <w:rFonts w:hint="default" w:ascii="Times New Roman" w:hAnsi="Times New Roman" w:eastAsia="宋体" w:cs="Times New Roman"/>
                <w:color w:val="000000" w:themeColor="text1"/>
                <w:sz w:val="24"/>
                <w:lang w:bidi="ar"/>
                <w14:textFill>
                  <w14:solidFill>
                    <w14:schemeClr w14:val="tx1"/>
                  </w14:solidFill>
                </w14:textFill>
              </w:rPr>
              <w:t>根据《排污许可证申请与核发技术规范工业固体废物（试行）》（HJ1200-2021），拟建项目一般工业固体废物污染防控技术要求如下：</w:t>
            </w:r>
          </w:p>
          <w:p w14:paraId="6333BF53">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①排污单位委托他人运输、利用、处置一般工业固体废物的，应落实《中华人民共和国固体废物污染环境防治法》等法律法规要求，对受托方的主体资格和技术能力进行核实，依法签订书面合同，在合同中约定污染防治要求等。</w:t>
            </w:r>
          </w:p>
          <w:p w14:paraId="533FAF9D">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②采用库房、包装工具（罐、桶、包装袋等）贮存一般工业固体废物的，贮存过程应满足相应防渗漏、防雨淋、防扬尘等环境保护要求；危险废物和生活垃圾不得进入一般工业固体废物贮存场及填埋场；不相容的一般工业固体废物应设置不同的分区进行贮存和填埋作业；贮存场、填埋场应设置清晰、完整的一般工业固体废物标志牌等。</w:t>
            </w:r>
          </w:p>
          <w:p w14:paraId="4D40F96B">
            <w:pPr>
              <w:adjustRightInd w:val="0"/>
              <w:snapToGrid w:val="0"/>
              <w:spacing w:line="360" w:lineRule="auto"/>
              <w:ind w:firstLine="480" w:firstLineChars="200"/>
              <w:rPr>
                <w:rFonts w:hint="default" w:ascii="Times New Roman" w:hAnsi="Times New Roman" w:eastAsia="宋体" w:cs="Times New Roman"/>
                <w:color w:val="000000" w:themeColor="text1"/>
                <w:sz w:val="24"/>
                <w:lang w:bidi="ar"/>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③排污单位生产运营期间一般工业固体废物自行贮存/利用/处置设施的环境管理和相关设施运行维护要求还应符合GB15562.2、GB18599、GB30485和HJ2035等相关标准规范要求</w:t>
            </w:r>
            <w:r>
              <w:rPr>
                <w:rFonts w:hint="default" w:ascii="Times New Roman" w:hAnsi="Times New Roman" w:eastAsia="宋体" w:cs="Times New Roman"/>
                <w:color w:val="000000" w:themeColor="text1"/>
                <w:sz w:val="24"/>
                <w:lang w:bidi="ar"/>
                <w14:textFill>
                  <w14:solidFill>
                    <w14:schemeClr w14:val="tx1"/>
                  </w14:solidFill>
                </w14:textFill>
              </w:rPr>
              <w:t>。</w:t>
            </w:r>
          </w:p>
          <w:p w14:paraId="50AD607A">
            <w:pPr>
              <w:adjustRightInd w:val="0"/>
              <w:snapToGrid w:val="0"/>
              <w:spacing w:line="360" w:lineRule="auto"/>
              <w:ind w:firstLine="482" w:firstLineChars="200"/>
              <w:rPr>
                <w:rFonts w:hint="default" w:ascii="Times New Roman" w:hAnsi="Times New Roman" w:eastAsia="宋体" w:cs="Times New Roman"/>
                <w:b/>
                <w:bCs/>
                <w:color w:val="000000" w:themeColor="text1"/>
                <w:sz w:val="24"/>
                <w:lang w:bidi="ar"/>
                <w14:textFill>
                  <w14:solidFill>
                    <w14:schemeClr w14:val="tx1"/>
                  </w14:solidFill>
                </w14:textFill>
              </w:rPr>
            </w:pPr>
            <w:r>
              <w:rPr>
                <w:rFonts w:hint="default" w:ascii="Times New Roman" w:hAnsi="Times New Roman" w:eastAsia="宋体" w:cs="Times New Roman"/>
                <w:b/>
                <w:bCs/>
                <w:color w:val="000000" w:themeColor="text1"/>
                <w:sz w:val="24"/>
                <w:lang w:bidi="ar"/>
                <w14:textFill>
                  <w14:solidFill>
                    <w14:schemeClr w14:val="tx1"/>
                  </w14:solidFill>
                </w14:textFill>
              </w:rPr>
              <w:t>危险废物储存要求：</w:t>
            </w:r>
          </w:p>
          <w:p w14:paraId="2833E803">
            <w:pPr>
              <w:spacing w:line="360" w:lineRule="auto"/>
              <w:ind w:firstLine="420"/>
              <w:rPr>
                <w:color w:val="000000" w:themeColor="text1"/>
                <w:sz w:val="24"/>
                <w14:textFill>
                  <w14:solidFill>
                    <w14:schemeClr w14:val="tx1"/>
                  </w14:solidFill>
                </w14:textFill>
              </w:rPr>
            </w:pPr>
            <w:r>
              <w:rPr>
                <w:color w:val="000000" w:themeColor="text1"/>
                <w:sz w:val="24"/>
                <w14:textFill>
                  <w14:solidFill>
                    <w14:schemeClr w14:val="tx1"/>
                  </w14:solidFill>
                </w14:textFill>
              </w:rPr>
              <w:t>根据《国家危险废物名录（202</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年版）》中有关规定，危险废物收集后贮存于危险废物临时存放场所。贮存场严格按照《危险废物贮存污染控制标准》（GB18597—2023）相关要求建设。危险废物暂存、转运、处置应严格按照《危险废物收集贮存运输技术规范》（HJ2025-2012）执行。</w:t>
            </w:r>
          </w:p>
          <w:p w14:paraId="7461BCE5">
            <w:pPr>
              <w:spacing w:line="360" w:lineRule="auto"/>
              <w:ind w:firstLine="420"/>
              <w:rPr>
                <w:color w:val="000000" w:themeColor="text1"/>
                <w:sz w:val="24"/>
                <w14:textFill>
                  <w14:solidFill>
                    <w14:schemeClr w14:val="tx1"/>
                  </w14:solidFill>
                </w14:textFill>
              </w:rPr>
            </w:pPr>
            <w:r>
              <w:rPr>
                <w:color w:val="000000" w:themeColor="text1"/>
                <w:sz w:val="24"/>
                <w14:textFill>
                  <w14:solidFill>
                    <w14:schemeClr w14:val="tx1"/>
                  </w14:solidFill>
                </w14:textFill>
              </w:rPr>
              <w:t>（1）危险废物的收集</w:t>
            </w:r>
          </w:p>
          <w:p w14:paraId="35A7BAE3">
            <w:pPr>
              <w:spacing w:line="360" w:lineRule="auto"/>
              <w:ind w:firstLine="420"/>
              <w:rPr>
                <w:color w:val="000000" w:themeColor="text1"/>
                <w:sz w:val="24"/>
                <w14:textFill>
                  <w14:solidFill>
                    <w14:schemeClr w14:val="tx1"/>
                  </w14:solidFill>
                </w14:textFill>
              </w:rPr>
            </w:pPr>
            <w:r>
              <w:rPr>
                <w:color w:val="000000" w:themeColor="text1"/>
                <w:sz w:val="24"/>
                <w14:textFill>
                  <w14:solidFill>
                    <w14:schemeClr w14:val="tx1"/>
                  </w14:solidFill>
                </w14:textFill>
              </w:rPr>
              <w:t>①应根据收集设备、转运车辆以及现场人员等实际情况确定相应作业区域，同时要设置作业界限标志和警示牌。</w:t>
            </w:r>
          </w:p>
          <w:p w14:paraId="5C9996CE">
            <w:pPr>
              <w:spacing w:line="360" w:lineRule="auto"/>
              <w:ind w:firstLine="420"/>
              <w:rPr>
                <w:color w:val="000000" w:themeColor="text1"/>
                <w:sz w:val="24"/>
                <w14:textFill>
                  <w14:solidFill>
                    <w14:schemeClr w14:val="tx1"/>
                  </w14:solidFill>
                </w14:textFill>
              </w:rPr>
            </w:pPr>
            <w:r>
              <w:rPr>
                <w:color w:val="000000" w:themeColor="text1"/>
                <w:sz w:val="24"/>
                <w14:textFill>
                  <w14:solidFill>
                    <w14:schemeClr w14:val="tx1"/>
                  </w14:solidFill>
                </w14:textFill>
              </w:rPr>
              <w:t>②作业区域内应设置危险废物收集专用通道和人员避险通道。</w:t>
            </w:r>
          </w:p>
          <w:p w14:paraId="2E169B69">
            <w:pPr>
              <w:spacing w:line="360" w:lineRule="auto"/>
              <w:ind w:firstLine="420"/>
              <w:rPr>
                <w:color w:val="000000" w:themeColor="text1"/>
                <w:sz w:val="24"/>
                <w14:textFill>
                  <w14:solidFill>
                    <w14:schemeClr w14:val="tx1"/>
                  </w14:solidFill>
                </w14:textFill>
              </w:rPr>
            </w:pPr>
            <w:r>
              <w:rPr>
                <w:color w:val="000000" w:themeColor="text1"/>
                <w:sz w:val="24"/>
                <w14:textFill>
                  <w14:solidFill>
                    <w14:schemeClr w14:val="tx1"/>
                  </w14:solidFill>
                </w14:textFill>
              </w:rPr>
              <w:t>③收集时应配备必要的收集工具和包装物，以及必要的应急监测设备及应急装备。</w:t>
            </w:r>
          </w:p>
          <w:p w14:paraId="4EDCBB3E">
            <w:pPr>
              <w:spacing w:line="360" w:lineRule="auto"/>
              <w:ind w:firstLine="420"/>
              <w:rPr>
                <w:color w:val="000000" w:themeColor="text1"/>
                <w:sz w:val="24"/>
                <w14:textFill>
                  <w14:solidFill>
                    <w14:schemeClr w14:val="tx1"/>
                  </w14:solidFill>
                </w14:textFill>
              </w:rPr>
            </w:pPr>
            <w:r>
              <w:rPr>
                <w:color w:val="000000" w:themeColor="text1"/>
                <w:sz w:val="24"/>
                <w14:textFill>
                  <w14:solidFill>
                    <w14:schemeClr w14:val="tx1"/>
                  </w14:solidFill>
                </w14:textFill>
              </w:rPr>
              <w:t>④危险废物收集应填写《危险废物收集记录表》，并将记录表作为危险废物管理的重要档案妥善保存。</w:t>
            </w:r>
          </w:p>
          <w:p w14:paraId="5A134E50">
            <w:pPr>
              <w:spacing w:line="360" w:lineRule="auto"/>
              <w:ind w:firstLine="420"/>
              <w:rPr>
                <w:color w:val="000000" w:themeColor="text1"/>
                <w:sz w:val="24"/>
                <w14:textFill>
                  <w14:solidFill>
                    <w14:schemeClr w14:val="tx1"/>
                  </w14:solidFill>
                </w14:textFill>
              </w:rPr>
            </w:pPr>
            <w:r>
              <w:rPr>
                <w:color w:val="000000" w:themeColor="text1"/>
                <w:sz w:val="24"/>
                <w14:textFill>
                  <w14:solidFill>
                    <w14:schemeClr w14:val="tx1"/>
                  </w14:solidFill>
                </w14:textFill>
              </w:rPr>
              <w:t>⑤收集结束后应清理和恢复收集作业区域，确保作业区域环境整洁安全。</w:t>
            </w:r>
          </w:p>
          <w:p w14:paraId="790D5153">
            <w:pPr>
              <w:spacing w:line="360" w:lineRule="auto"/>
              <w:ind w:firstLine="420"/>
              <w:rPr>
                <w:color w:val="000000" w:themeColor="text1"/>
                <w:sz w:val="24"/>
                <w14:textFill>
                  <w14:solidFill>
                    <w14:schemeClr w14:val="tx1"/>
                  </w14:solidFill>
                </w14:textFill>
              </w:rPr>
            </w:pPr>
            <w:r>
              <w:rPr>
                <w:color w:val="000000" w:themeColor="text1"/>
                <w:sz w:val="24"/>
                <w14:textFill>
                  <w14:solidFill>
                    <w14:schemeClr w14:val="tx1"/>
                  </w14:solidFill>
                </w14:textFill>
              </w:rPr>
              <w:t>⑥收集过危险废物的容器、设备、设施、场所及其它物品转作它用时，应消除污染，确保其使用安全。</w:t>
            </w:r>
          </w:p>
          <w:p w14:paraId="2DB71FD3">
            <w:pPr>
              <w:spacing w:line="360" w:lineRule="auto"/>
              <w:ind w:firstLine="420"/>
              <w:rPr>
                <w:color w:val="000000" w:themeColor="text1"/>
                <w:sz w:val="24"/>
                <w14:textFill>
                  <w14:solidFill>
                    <w14:schemeClr w14:val="tx1"/>
                  </w14:solidFill>
                </w14:textFill>
              </w:rPr>
            </w:pPr>
            <w:r>
              <w:rPr>
                <w:color w:val="000000" w:themeColor="text1"/>
                <w:sz w:val="24"/>
                <w14:textFill>
                  <w14:solidFill>
                    <w14:schemeClr w14:val="tx1"/>
                  </w14:solidFill>
                </w14:textFill>
              </w:rPr>
              <w:t>（2）危险废物的贮存</w:t>
            </w:r>
          </w:p>
          <w:p w14:paraId="388C9D9E">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t>危险废物在临时储存过程中需要按照危险废物的相关要求进行储存和保管。在废物中转临时贮存场所建设时，应严格按</w:t>
            </w:r>
            <w:r>
              <w:rPr>
                <w:rFonts w:hint="eastAsia" w:ascii="Times New Roman" w:hAnsi="Times New Roman"/>
                <w:color w:val="000000" w:themeColor="text1"/>
                <w:szCs w:val="24"/>
                <w14:textFill>
                  <w14:solidFill>
                    <w14:schemeClr w14:val="tx1"/>
                  </w14:solidFill>
                </w14:textFill>
              </w:rPr>
              <w:t>《危险废物贮存污染控制标准》（GB18597—2023）</w:t>
            </w:r>
            <w:r>
              <w:rPr>
                <w:rFonts w:ascii="Times New Roman" w:hAnsi="Times New Roman"/>
                <w:color w:val="000000" w:themeColor="text1"/>
                <w:szCs w:val="24"/>
                <w14:textFill>
                  <w14:solidFill>
                    <w14:schemeClr w14:val="tx1"/>
                  </w14:solidFill>
                </w14:textFill>
              </w:rPr>
              <w:t>执行</w:t>
            </w:r>
            <w:r>
              <w:rPr>
                <w:rFonts w:hint="eastAsia" w:ascii="Times New Roman" w:hAnsi="Times New Roman"/>
                <w:color w:val="000000" w:themeColor="text1"/>
                <w:szCs w:val="24"/>
                <w14:textFill>
                  <w14:solidFill>
                    <w14:schemeClr w14:val="tx1"/>
                  </w14:solidFill>
                </w14:textFill>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ascii="Times New Roman" w:hAnsi="Times New Roman"/>
                <w:color w:val="000000" w:themeColor="text1"/>
                <w:szCs w:val="24"/>
                <w:vertAlign w:val="superscript"/>
                <w14:textFill>
                  <w14:solidFill>
                    <w14:schemeClr w14:val="tx1"/>
                  </w14:solidFill>
                </w14:textFill>
              </w:rPr>
              <w:t>-7</w:t>
            </w:r>
            <w:r>
              <w:rPr>
                <w:rFonts w:hint="eastAsia" w:ascii="Times New Roman" w:hAnsi="Times New Roman"/>
                <w:color w:val="000000" w:themeColor="text1"/>
                <w:szCs w:val="24"/>
                <w14:textFill>
                  <w14:solidFill>
                    <w14:schemeClr w14:val="tx1"/>
                  </w14:solidFill>
                </w14:textFill>
              </w:rPr>
              <w:t>cm/s），或至少2mm厚高密度聚乙烯膜等人工防渗材料（渗透系数不大于10</w:t>
            </w:r>
            <w:r>
              <w:rPr>
                <w:rFonts w:hint="eastAsia" w:ascii="Times New Roman" w:hAnsi="Times New Roman"/>
                <w:color w:val="000000" w:themeColor="text1"/>
                <w:szCs w:val="24"/>
                <w:vertAlign w:val="superscript"/>
                <w14:textFill>
                  <w14:solidFill>
                    <w14:schemeClr w14:val="tx1"/>
                  </w14:solidFill>
                </w14:textFill>
              </w:rPr>
              <w:t>-10</w:t>
            </w:r>
            <w:r>
              <w:rPr>
                <w:rFonts w:hint="eastAsia" w:ascii="Times New Roman" w:hAnsi="Times New Roman"/>
                <w:color w:val="000000" w:themeColor="text1"/>
                <w:szCs w:val="24"/>
                <w14:textFill>
                  <w14:solidFill>
                    <w14:schemeClr w14:val="tx1"/>
                  </w14:solidFill>
                </w14:textFill>
              </w:rPr>
              <w:t>cm/s），或其他防渗性能等效的材料</w:t>
            </w:r>
            <w:r>
              <w:rPr>
                <w:rFonts w:ascii="Times New Roman" w:hAnsi="Times New Roman"/>
                <w:color w:val="000000" w:themeColor="text1"/>
                <w:szCs w:val="24"/>
                <w14:textFill>
                  <w14:solidFill>
                    <w14:schemeClr w14:val="tx1"/>
                  </w14:solidFill>
                </w14:textFill>
              </w:rPr>
              <w:t>。</w:t>
            </w:r>
          </w:p>
          <w:p w14:paraId="3751FA58">
            <w:pPr>
              <w:pStyle w:val="37"/>
              <w:spacing w:after="0" w:line="360" w:lineRule="auto"/>
              <w:ind w:left="0" w:leftChars="0" w:firstLine="480"/>
              <w:rPr>
                <w:rFonts w:hint="eastAsia"/>
                <w:color w:val="000000" w:themeColor="text1"/>
                <w:kern w:val="2"/>
                <w:sz w:val="24"/>
                <w:lang w:val="en-US" w:eastAsia="zh-CN"/>
                <w14:textFill>
                  <w14:solidFill>
                    <w14:schemeClr w14:val="tx1"/>
                  </w14:solidFill>
                </w14:textFill>
              </w:rPr>
            </w:pPr>
            <w:r>
              <w:rPr>
                <w:rFonts w:hint="eastAsia"/>
                <w:color w:val="000000" w:themeColor="text1"/>
                <w:kern w:val="2"/>
                <w:sz w:val="24"/>
                <w:lang w:val="en-US" w:eastAsia="zh-CN"/>
                <w14:textFill>
                  <w14:solidFill>
                    <w14:schemeClr w14:val="tx1"/>
                  </w14:solidFill>
                </w14:textFill>
              </w:rPr>
              <w:t>危险废物识别标志应严格按照《危险废物识别标志设置技术规范》（HJ1276—2022）进行设置，识别标志设置应具有足够的警示性，应设置在醒目的位置，避免被其他固定物体遮挡，并与周边的环境特点相协调。同一场所内，同一种类危险废物识别标志的尺寸、设置位置、设置方式和设置高度等宜保持一致。</w:t>
            </w:r>
          </w:p>
          <w:p w14:paraId="2D6FBE28">
            <w:pPr>
              <w:pStyle w:val="37"/>
              <w:spacing w:after="0" w:line="360" w:lineRule="auto"/>
              <w:ind w:left="0" w:leftChars="0" w:firstLine="480"/>
              <w:rPr>
                <w:rFonts w:hint="eastAsia"/>
                <w:color w:val="000000" w:themeColor="text1"/>
                <w:kern w:val="2"/>
                <w:sz w:val="24"/>
                <w:lang w:val="en-US" w:eastAsia="zh-CN"/>
                <w14:textFill>
                  <w14:solidFill>
                    <w14:schemeClr w14:val="tx1"/>
                  </w14:solidFill>
                </w14:textFill>
              </w:rPr>
            </w:pPr>
            <w:r>
              <w:rPr>
                <w:rFonts w:hint="eastAsia"/>
                <w:color w:val="000000" w:themeColor="text1"/>
                <w:kern w:val="2"/>
                <w:sz w:val="24"/>
                <w:lang w:val="en-US" w:eastAsia="zh-CN"/>
                <w14:textFill>
                  <w14:solidFill>
                    <w14:schemeClr w14:val="tx1"/>
                  </w14:solidFill>
                </w14:textFill>
              </w:rPr>
              <w:t>危险废物标签应以醒目的字样标注“危险废物”。危险废物标签应包含废物名称、废物类别、废物代码、废物形态、危险特性、主要成分、有害成分、注意事项、产生/收集单位名称、联系人、联系方式、产生日期、废物重量和备注。危险废物标签的设置位置应明显可见且易读，不应被容器、包装物自身的任何部分或其他标签遮挡。对于盛装同一类危险废物的组合包装容器，应在组合包装容器的外表面设置危险废物标签。危险废物标签的固定可采用印刷、粘贴、拴挂、钉附等方式，标签的固定应保证在贮存、转移期间不易脱落和损坏。</w:t>
            </w:r>
          </w:p>
          <w:p w14:paraId="2195DCA3">
            <w:pPr>
              <w:pStyle w:val="37"/>
              <w:spacing w:after="0" w:line="360" w:lineRule="auto"/>
              <w:ind w:left="0" w:leftChars="0" w:firstLine="480"/>
              <w:rPr>
                <w:rFonts w:hint="eastAsia"/>
                <w:color w:val="000000" w:themeColor="text1"/>
                <w:kern w:val="2"/>
                <w:sz w:val="24"/>
                <w:lang w:val="en-US" w:eastAsia="zh-CN"/>
                <w14:textFill>
                  <w14:solidFill>
                    <w14:schemeClr w14:val="tx1"/>
                  </w14:solidFill>
                </w14:textFill>
              </w:rPr>
            </w:pPr>
            <w:r>
              <w:rPr>
                <w:rFonts w:hint="eastAsia"/>
                <w:color w:val="000000" w:themeColor="text1"/>
                <w:kern w:val="2"/>
                <w:sz w:val="24"/>
                <w:lang w:val="en-US" w:eastAsia="zh-CN"/>
                <w14:textFill>
                  <w14:solidFill>
                    <w14:schemeClr w14:val="tx1"/>
                  </w14:solidFill>
                </w14:textFill>
              </w:rPr>
              <w:t>危险废物贮存分区标志应以醒目的方式标注“危险废物贮存分区标志”字样。危险废物贮存分区标志应包含但不限于设施内部所有贮存分区的平面分布、各分区存放的危险废物信息、本贮存分区的具体位置、环境应急物资所在位置以及进出口位置和方向。危险废物贮存单位可根据自身贮存设施建设情况，在危险废物贮存分区标志中添加收集池、导流沟和通道等信息。危险废物贮存分区标志的信息应随着设施内废物贮存情况的变化及时调整。</w:t>
            </w:r>
          </w:p>
          <w:p w14:paraId="5267FA75">
            <w:pPr>
              <w:pStyle w:val="37"/>
              <w:spacing w:after="0" w:line="360" w:lineRule="auto"/>
              <w:ind w:left="0" w:leftChars="0" w:firstLine="480"/>
              <w:rPr>
                <w:rFonts w:hint="eastAsia"/>
                <w:color w:val="000000" w:themeColor="text1"/>
                <w:kern w:val="2"/>
                <w:sz w:val="24"/>
                <w:lang w:val="en-US" w:eastAsia="zh-CN"/>
                <w14:textFill>
                  <w14:solidFill>
                    <w14:schemeClr w14:val="tx1"/>
                  </w14:solidFill>
                </w14:textFill>
              </w:rPr>
            </w:pPr>
            <w:r>
              <w:rPr>
                <w:rFonts w:hint="eastAsia"/>
                <w:color w:val="000000" w:themeColor="text1"/>
                <w:kern w:val="2"/>
                <w:sz w:val="24"/>
                <w:lang w:val="en-US" w:eastAsia="zh-CN"/>
                <w14:textFill>
                  <w14:solidFill>
                    <w14:schemeClr w14:val="tx1"/>
                  </w14:solidFill>
                </w14:textFill>
              </w:rPr>
              <w:t>危险废物贮存、利用、处置设施标志应包含三角形警告性图形标志和文字性辅助标志，其中三角形警告性图形标志应符合GB15562.2中的要求，应以醒目的文字标注危险废物设施的类型，还应包含危险废物设施所属的单位名称、设施编码、负责人及联系方式。危险废物相关单位的每一个贮存、利用、处置设施均应在设施附近或场所的入口处设置相应的危险废物贮存设施标志、危险废物利用设施标志、危险废物处置设施标志。对于有独立场所的危险废物贮存、利用、处置设施，应在场所外入口处的墙壁或栏杆显著位置设置相应的设施标志。位于建筑物内局部区域的危险废物贮存、利用、处置设施，应在其区域边界或入口处显著位置设置相应的标志。危险废物设施标志应稳固固定，不能产生倾斜、卷翘、摆动等现象。</w:t>
            </w:r>
          </w:p>
          <w:p w14:paraId="0A6C2AD8">
            <w:pPr>
              <w:pStyle w:val="37"/>
              <w:snapToGrid w:val="0"/>
              <w:spacing w:after="0"/>
              <w:ind w:left="0" w:leftChars="0" w:firstLine="0"/>
              <w:jc w:val="center"/>
              <w:rPr>
                <w:b/>
                <w:color w:val="000000" w:themeColor="text1"/>
                <w:kern w:val="2"/>
                <w:sz w:val="21"/>
                <w:szCs w:val="21"/>
                <w14:textFill>
                  <w14:solidFill>
                    <w14:schemeClr w14:val="tx1"/>
                  </w14:solidFill>
                </w14:textFill>
              </w:rPr>
            </w:pPr>
            <w:r>
              <w:rPr>
                <w:rFonts w:hint="eastAsia"/>
                <w:b/>
                <w:color w:val="000000" w:themeColor="text1"/>
                <w:kern w:val="2"/>
                <w:sz w:val="21"/>
                <w:szCs w:val="21"/>
                <w14:textFill>
                  <w14:solidFill>
                    <w14:schemeClr w14:val="tx1"/>
                  </w14:solidFill>
                </w14:textFill>
              </w:rPr>
              <w:t>表4-1</w:t>
            </w:r>
            <w:r>
              <w:rPr>
                <w:rFonts w:hint="eastAsia"/>
                <w:b/>
                <w:color w:val="000000" w:themeColor="text1"/>
                <w:kern w:val="2"/>
                <w:sz w:val="21"/>
                <w:szCs w:val="21"/>
                <w:lang w:val="en-US" w:eastAsia="zh-CN"/>
                <w14:textFill>
                  <w14:solidFill>
                    <w14:schemeClr w14:val="tx1"/>
                  </w14:solidFill>
                </w14:textFill>
              </w:rPr>
              <w:t xml:space="preserve">8 </w:t>
            </w:r>
            <w:r>
              <w:rPr>
                <w:rFonts w:hint="eastAsia"/>
                <w:b/>
                <w:color w:val="000000" w:themeColor="text1"/>
                <w:kern w:val="2"/>
                <w:sz w:val="21"/>
                <w:szCs w:val="21"/>
                <w14:textFill>
                  <w14:solidFill>
                    <w14:schemeClr w14:val="tx1"/>
                  </w14:solidFill>
                </w14:textFill>
              </w:rPr>
              <w:t>危废间及危险废物标签示例</w:t>
            </w:r>
          </w:p>
          <w:tbl>
            <w:tblPr>
              <w:tblStyle w:val="38"/>
              <w:tblW w:w="87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8"/>
              <w:gridCol w:w="2968"/>
              <w:gridCol w:w="4365"/>
            </w:tblGrid>
            <w:tr w14:paraId="66F10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388" w:type="dxa"/>
                  <w:noWrap w:val="0"/>
                  <w:vAlign w:val="center"/>
                </w:tcPr>
                <w:p w14:paraId="5143590F">
                  <w:pPr>
                    <w:pStyle w:val="37"/>
                    <w:snapToGrid w:val="0"/>
                    <w:spacing w:after="0"/>
                    <w:ind w:left="0" w:leftChars="0" w:firstLine="0" w:firstLineChars="0"/>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场合</w:t>
                  </w:r>
                </w:p>
              </w:tc>
              <w:tc>
                <w:tcPr>
                  <w:tcW w:w="2968" w:type="dxa"/>
                  <w:noWrap w:val="0"/>
                  <w:vAlign w:val="center"/>
                </w:tcPr>
                <w:p w14:paraId="46A43B88">
                  <w:pPr>
                    <w:pStyle w:val="37"/>
                    <w:snapToGrid w:val="0"/>
                    <w:spacing w:after="0"/>
                    <w:ind w:left="0" w:leftChars="0" w:firstLine="0" w:firstLineChars="0"/>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样式</w:t>
                  </w:r>
                </w:p>
              </w:tc>
              <w:tc>
                <w:tcPr>
                  <w:tcW w:w="4365" w:type="dxa"/>
                  <w:noWrap w:val="0"/>
                  <w:vAlign w:val="center"/>
                </w:tcPr>
                <w:p w14:paraId="31A2F6E0">
                  <w:pPr>
                    <w:pStyle w:val="37"/>
                    <w:snapToGrid w:val="0"/>
                    <w:spacing w:after="0"/>
                    <w:ind w:left="0" w:leftChars="0" w:firstLine="0" w:firstLineChars="0"/>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要求</w:t>
                  </w:r>
                </w:p>
              </w:tc>
            </w:tr>
            <w:tr w14:paraId="5E6E3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388" w:type="dxa"/>
                  <w:noWrap w:val="0"/>
                  <w:vAlign w:val="center"/>
                </w:tcPr>
                <w:p w14:paraId="496B85F8">
                  <w:pPr>
                    <w:pStyle w:val="37"/>
                    <w:snapToGrid w:val="0"/>
                    <w:spacing w:after="0"/>
                    <w:ind w:left="0" w:leftChars="0" w:firstLine="0" w:firstLineChars="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室内外悬挂的危险废物警告标志</w:t>
                  </w:r>
                </w:p>
              </w:tc>
              <w:tc>
                <w:tcPr>
                  <w:tcW w:w="2968" w:type="dxa"/>
                  <w:noWrap w:val="0"/>
                  <w:vAlign w:val="center"/>
                </w:tcPr>
                <w:p w14:paraId="6AFCF8BE">
                  <w:pPr>
                    <w:pStyle w:val="37"/>
                    <w:snapToGrid w:val="0"/>
                    <w:spacing w:after="0"/>
                    <w:ind w:left="0" w:leftChars="0" w:firstLine="0" w:firstLineChars="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114300" distR="114300">
                        <wp:extent cx="1534160" cy="1339215"/>
                        <wp:effectExtent l="0" t="0" r="8890" b="13335"/>
                        <wp:docPr id="132" name="图片 21" descr="C:\Users\Administrator\Documents\WeChat Files\wxid_vt7bqnrx5itn21\FileStorage\Temp\30194c5c184b55d032227b191368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1" descr="C:\Users\Administrator\Documents\WeChat Files\wxid_vt7bqnrx5itn21\FileStorage\Temp\30194c5c184b55d032227b191368632.jpg"/>
                                <pic:cNvPicPr>
                                  <a:picLocks noChangeAspect="1"/>
                                </pic:cNvPicPr>
                              </pic:nvPicPr>
                              <pic:blipFill>
                                <a:blip r:embed="rId31"/>
                                <a:stretch>
                                  <a:fillRect/>
                                </a:stretch>
                              </pic:blipFill>
                              <pic:spPr>
                                <a:xfrm>
                                  <a:off x="0" y="0"/>
                                  <a:ext cx="1534160" cy="1339215"/>
                                </a:xfrm>
                                <a:prstGeom prst="rect">
                                  <a:avLst/>
                                </a:prstGeom>
                                <a:noFill/>
                                <a:ln>
                                  <a:noFill/>
                                </a:ln>
                              </pic:spPr>
                            </pic:pic>
                          </a:graphicData>
                        </a:graphic>
                      </wp:inline>
                    </w:drawing>
                  </w:r>
                </w:p>
              </w:tc>
              <w:tc>
                <w:tcPr>
                  <w:tcW w:w="4365" w:type="dxa"/>
                  <w:noWrap w:val="0"/>
                  <w:vAlign w:val="center"/>
                </w:tcPr>
                <w:p w14:paraId="059F973B">
                  <w:pPr>
                    <w:jc w:val="center"/>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a、危险废物警告标志规格颜色形状：等边三角形，边长40cm；颜色：背景为黄色，图形为黑色。</w:t>
                  </w:r>
                </w:p>
                <w:p w14:paraId="3C7DE846">
                  <w:pPr>
                    <w:jc w:val="center"/>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b、警告标志外檐2.5cm。</w:t>
                  </w:r>
                </w:p>
                <w:p w14:paraId="38370C3C">
                  <w:pPr>
                    <w:jc w:val="center"/>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c、使用于：危险废物贮存设施为房屋的，建有围墙或防护栅栏，且高度高于100</w:t>
                  </w:r>
                  <w:r>
                    <w:rPr>
                      <w:rFonts w:hint="eastAsia" w:ascii="Times New Roman" w:hAnsi="Times New Roman" w:eastAsia="宋体" w:cs="Times New Roman"/>
                      <w:color w:val="000000" w:themeColor="text1"/>
                      <w:szCs w:val="21"/>
                      <w:lang w:val="en-US" w:eastAsia="zh-CN"/>
                      <w14:textFill>
                        <w14:solidFill>
                          <w14:schemeClr w14:val="tx1"/>
                        </w14:solidFill>
                      </w14:textFill>
                    </w:rPr>
                    <w:t>cm</w:t>
                  </w:r>
                  <w:r>
                    <w:rPr>
                      <w:rFonts w:hint="eastAsia" w:ascii="Times New Roman" w:hAnsi="Times New Roman" w:eastAsia="宋体" w:cs="Times New Roman"/>
                      <w:color w:val="000000" w:themeColor="text1"/>
                      <w:szCs w:val="21"/>
                      <w14:textFill>
                        <w14:solidFill>
                          <w14:schemeClr w14:val="tx1"/>
                        </w14:solidFill>
                      </w14:textFill>
                    </w:rPr>
                    <w:t>时；部分危险废物利用、处置场所。</w:t>
                  </w:r>
                </w:p>
              </w:tc>
            </w:tr>
            <w:tr w14:paraId="4C99E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388" w:type="dxa"/>
                  <w:noWrap w:val="0"/>
                  <w:vAlign w:val="center"/>
                </w:tcPr>
                <w:p w14:paraId="05ED0425">
                  <w:pPr>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危险废物标签样式示意图</w:t>
                  </w:r>
                </w:p>
              </w:tc>
              <w:tc>
                <w:tcPr>
                  <w:tcW w:w="2968" w:type="dxa"/>
                  <w:noWrap w:val="0"/>
                  <w:vAlign w:val="center"/>
                </w:tcPr>
                <w:p w14:paraId="5A3C8A7D">
                  <w:pPr>
                    <w:pStyle w:val="37"/>
                    <w:snapToGrid w:val="0"/>
                    <w:spacing w:after="0"/>
                    <w:ind w:left="0" w:leftChars="0" w:firstLine="0" w:firstLineChars="0"/>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drawing>
                      <wp:inline distT="0" distB="0" distL="114300" distR="114300">
                        <wp:extent cx="1659255" cy="1640840"/>
                        <wp:effectExtent l="0" t="0" r="17145" b="16510"/>
                        <wp:docPr id="133" name="图片 22" descr="171730589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2" descr="1717305893144"/>
                                <pic:cNvPicPr>
                                  <a:picLocks noChangeAspect="1"/>
                                </pic:cNvPicPr>
                              </pic:nvPicPr>
                              <pic:blipFill>
                                <a:blip r:embed="rId32"/>
                                <a:stretch>
                                  <a:fillRect/>
                                </a:stretch>
                              </pic:blipFill>
                              <pic:spPr>
                                <a:xfrm>
                                  <a:off x="0" y="0"/>
                                  <a:ext cx="1659255" cy="1640840"/>
                                </a:xfrm>
                                <a:prstGeom prst="rect">
                                  <a:avLst/>
                                </a:prstGeom>
                                <a:noFill/>
                                <a:ln>
                                  <a:noFill/>
                                </a:ln>
                              </pic:spPr>
                            </pic:pic>
                          </a:graphicData>
                        </a:graphic>
                      </wp:inline>
                    </w:drawing>
                  </w:r>
                </w:p>
              </w:tc>
              <w:tc>
                <w:tcPr>
                  <w:tcW w:w="4365" w:type="dxa"/>
                  <w:noWrap w:val="0"/>
                  <w:vAlign w:val="center"/>
                </w:tcPr>
                <w:p w14:paraId="020DA275">
                  <w:pPr>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危险废物标签尺寸颜色</w:t>
                  </w:r>
                  <w:r>
                    <w:rPr>
                      <w:rFonts w:hint="eastAsia" w:cs="Times New Roman"/>
                      <w:color w:val="000000" w:themeColor="text1"/>
                      <w:szCs w:val="21"/>
                      <w:lang w:eastAsia="zh-CN"/>
                      <w14:textFill>
                        <w14:solidFill>
                          <w14:schemeClr w14:val="tx1"/>
                        </w14:solidFill>
                      </w14:textFill>
                    </w:rPr>
                    <w:t>：</w:t>
                  </w:r>
                </w:p>
                <w:p w14:paraId="562E201F">
                  <w:pPr>
                    <w:jc w:val="center"/>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尺寸：100×100mm、150×150mm、200×200mm；</w:t>
                  </w:r>
                </w:p>
                <w:p w14:paraId="71B61CAC">
                  <w:pPr>
                    <w:jc w:val="center"/>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颜色：危险废物标签背景色应采用醒目的橘黄色，RGB颜色值为（255,150,0）。标签边框和字体颜色为黑色，RGB颜色值为（0,0,0）。</w:t>
                  </w:r>
                </w:p>
                <w:p w14:paraId="16A69439">
                  <w:pPr>
                    <w:jc w:val="center"/>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b、材质：危险废物标签所选用的材质宜具有一定的耐用性和防水性。标签可采用不干胶印刷品，或印刷品外加防水塑料袋或塑封等。</w:t>
                  </w:r>
                </w:p>
              </w:tc>
            </w:tr>
            <w:tr w14:paraId="0A4B4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388" w:type="dxa"/>
                  <w:noWrap w:val="0"/>
                  <w:vAlign w:val="center"/>
                </w:tcPr>
                <w:p w14:paraId="5717B2A8">
                  <w:pPr>
                    <w:jc w:val="center"/>
                    <w:rPr>
                      <w:rFonts w:hint="default"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危险废物贮存分区标志样式示意图</w:t>
                  </w:r>
                </w:p>
              </w:tc>
              <w:tc>
                <w:tcPr>
                  <w:tcW w:w="2968" w:type="dxa"/>
                  <w:noWrap w:val="0"/>
                  <w:vAlign w:val="center"/>
                </w:tcPr>
                <w:p w14:paraId="7E9FB752">
                  <w:pPr>
                    <w:pStyle w:val="37"/>
                    <w:snapToGrid w:val="0"/>
                    <w:spacing w:after="0"/>
                    <w:ind w:left="0" w:leftChars="0" w:firstLine="0" w:firstLineChars="0"/>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drawing>
                      <wp:inline distT="0" distB="0" distL="114300" distR="114300">
                        <wp:extent cx="1811020" cy="1527810"/>
                        <wp:effectExtent l="0" t="0" r="17780" b="15240"/>
                        <wp:docPr id="134" name="图片 23" descr="171730621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3" descr="1717306219360"/>
                                <pic:cNvPicPr>
                                  <a:picLocks noChangeAspect="1"/>
                                </pic:cNvPicPr>
                              </pic:nvPicPr>
                              <pic:blipFill>
                                <a:blip r:embed="rId33"/>
                                <a:stretch>
                                  <a:fillRect/>
                                </a:stretch>
                              </pic:blipFill>
                              <pic:spPr>
                                <a:xfrm>
                                  <a:off x="0" y="0"/>
                                  <a:ext cx="1811020" cy="1527810"/>
                                </a:xfrm>
                                <a:prstGeom prst="rect">
                                  <a:avLst/>
                                </a:prstGeom>
                                <a:noFill/>
                                <a:ln>
                                  <a:noFill/>
                                </a:ln>
                              </pic:spPr>
                            </pic:pic>
                          </a:graphicData>
                        </a:graphic>
                      </wp:inline>
                    </w:drawing>
                  </w:r>
                </w:p>
              </w:tc>
              <w:tc>
                <w:tcPr>
                  <w:tcW w:w="4365" w:type="dxa"/>
                  <w:noWrap w:val="0"/>
                  <w:vAlign w:val="center"/>
                </w:tcPr>
                <w:p w14:paraId="19EB07CF">
                  <w:pPr>
                    <w:jc w:val="center"/>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危险废物标签尺寸颜色尺寸：</w:t>
                  </w:r>
                </w:p>
                <w:p w14:paraId="7B10F81A">
                  <w:pPr>
                    <w:jc w:val="center"/>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尺寸：900×558mm、600×372mm、300×186mm；</w:t>
                  </w:r>
                </w:p>
                <w:p w14:paraId="44D05338">
                  <w:pPr>
                    <w:jc w:val="center"/>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颜色：危险废物设施标志背景颜色为黄色，RGB颜色值为（255,255,0）。字体和边框颜色为黑色，RGB颜色值为（0,0,0）。</w:t>
                  </w:r>
                </w:p>
                <w:p w14:paraId="3A9774CF">
                  <w:pPr>
                    <w:jc w:val="center"/>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材质：危险废物贮存、利用、处置设施标志宜采用坚固耐用的材料（如1.5mm～2mm冷轧钢板），并做搪瓷处理或贴膜处理。一般不宜使用遇水变形、变质或易燃的材料。柱式标志牌的立柱可采用38×4无缝钢管或其他坚固耐用的材料，并经过防腐处理。</w:t>
                  </w:r>
                </w:p>
              </w:tc>
            </w:tr>
          </w:tbl>
          <w:p w14:paraId="0F7CFC97">
            <w:pPr>
              <w:pStyle w:val="134"/>
              <w:ind w:firstLine="480"/>
              <w:rPr>
                <w:rFonts w:ascii="Times New Roman" w:hAnsi="Times New Roman"/>
                <w:color w:val="000000" w:themeColor="text1"/>
                <w:szCs w:val="24"/>
                <w14:textFill>
                  <w14:solidFill>
                    <w14:schemeClr w14:val="tx1"/>
                  </w14:solidFill>
                </w14:textFill>
              </w:rPr>
            </w:pPr>
            <w:r>
              <w:rPr>
                <w:rFonts w:hint="eastAsia" w:ascii="Times New Roman" w:hAnsi="Times New Roman"/>
                <w:color w:val="000000" w:themeColor="text1"/>
                <w:szCs w:val="24"/>
                <w14:textFill>
                  <w14:solidFill>
                    <w14:schemeClr w14:val="tx1"/>
                  </w14:solidFill>
                </w14:textFill>
              </w:rPr>
              <w:t>1）</w:t>
            </w:r>
            <w:r>
              <w:rPr>
                <w:rFonts w:ascii="Times New Roman" w:hAnsi="Times New Roman"/>
                <w:color w:val="000000" w:themeColor="text1"/>
                <w:szCs w:val="24"/>
                <w14:textFill>
                  <w14:solidFill>
                    <w14:schemeClr w14:val="tx1"/>
                  </w14:solidFill>
                </w14:textFill>
              </w:rPr>
              <w:t>一般规定</w:t>
            </w:r>
          </w:p>
          <w:p w14:paraId="3526C6C3">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①</w:t>
            </w:r>
            <w:r>
              <w:rPr>
                <w:rFonts w:ascii="Times New Roman" w:hAnsi="Times New Roman"/>
                <w:color w:val="000000" w:themeColor="text1"/>
                <w:szCs w:val="24"/>
                <w14:textFill>
                  <w14:solidFill>
                    <w14:schemeClr w14:val="tx1"/>
                  </w14:solidFill>
                </w14:textFill>
              </w:rPr>
              <w:t>在常温常压下不易水解、不易挥发的固态危险废物可分类堆放贮存，其他固态危险废物应装入容器或包装物内贮存。</w:t>
            </w:r>
          </w:p>
          <w:p w14:paraId="1696B4C5">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②</w:t>
            </w:r>
            <w:r>
              <w:rPr>
                <w:rFonts w:ascii="Times New Roman" w:hAnsi="Times New Roman"/>
                <w:color w:val="000000" w:themeColor="text1"/>
                <w:szCs w:val="24"/>
                <w14:textFill>
                  <w14:solidFill>
                    <w14:schemeClr w14:val="tx1"/>
                  </w14:solidFill>
                </w14:textFill>
              </w:rPr>
              <w:t>液态危险废物应装入容器内贮存，或直接采用贮存池、贮存罐区贮存。</w:t>
            </w:r>
          </w:p>
          <w:p w14:paraId="36CDCC03">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③</w:t>
            </w:r>
            <w:r>
              <w:rPr>
                <w:rFonts w:ascii="Times New Roman" w:hAnsi="Times New Roman"/>
                <w:color w:val="000000" w:themeColor="text1"/>
                <w:szCs w:val="24"/>
                <w14:textFill>
                  <w14:solidFill>
                    <w14:schemeClr w14:val="tx1"/>
                  </w14:solidFill>
                </w14:textFill>
              </w:rPr>
              <w:t>半固态危险废物应装入容器或包装袋内贮存，或直接采用贮存池贮存。</w:t>
            </w:r>
          </w:p>
          <w:p w14:paraId="0C2B7683">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④</w:t>
            </w:r>
            <w:r>
              <w:rPr>
                <w:rFonts w:ascii="Times New Roman" w:hAnsi="Times New Roman"/>
                <w:color w:val="000000" w:themeColor="text1"/>
                <w:szCs w:val="24"/>
                <w14:textFill>
                  <w14:solidFill>
                    <w14:schemeClr w14:val="tx1"/>
                  </w14:solidFill>
                </w14:textFill>
              </w:rPr>
              <w:t>具有热塑性的危险废物应装入容器或包装袋内进行贮存。</w:t>
            </w:r>
          </w:p>
          <w:p w14:paraId="7784012D">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⑤</w:t>
            </w:r>
            <w:r>
              <w:rPr>
                <w:rFonts w:ascii="Times New Roman" w:hAnsi="Times New Roman"/>
                <w:color w:val="000000" w:themeColor="text1"/>
                <w:szCs w:val="24"/>
                <w14:textFill>
                  <w14:solidFill>
                    <w14:schemeClr w14:val="tx1"/>
                  </w14:solidFill>
                </w14:textFill>
              </w:rPr>
              <w:t>易产生粉尘、</w:t>
            </w:r>
            <w:r>
              <w:rPr>
                <w:rFonts w:hint="eastAsia" w:ascii="Times New Roman" w:hAnsi="Times New Roman"/>
                <w:color w:val="000000" w:themeColor="text1"/>
                <w:szCs w:val="24"/>
                <w14:textFill>
                  <w14:solidFill>
                    <w14:schemeClr w14:val="tx1"/>
                  </w14:solidFill>
                </w14:textFill>
              </w:rPr>
              <w:t>VOCs</w:t>
            </w:r>
            <w:r>
              <w:rPr>
                <w:rFonts w:ascii="Times New Roman" w:hAnsi="Times New Roman"/>
                <w:color w:val="000000" w:themeColor="text1"/>
                <w:szCs w:val="24"/>
                <w14:textFill>
                  <w14:solidFill>
                    <w14:schemeClr w14:val="tx1"/>
                  </w14:solidFill>
                </w14:textFill>
              </w:rPr>
              <w:t>、酸雾、有毒有害大气污染物和刺激性气味气体的危险废物应装入闭口容器或包装物内贮存。</w:t>
            </w:r>
          </w:p>
          <w:p w14:paraId="3EA70C43">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⑥</w:t>
            </w:r>
            <w:r>
              <w:rPr>
                <w:rFonts w:ascii="Times New Roman" w:hAnsi="Times New Roman"/>
                <w:color w:val="000000" w:themeColor="text1"/>
                <w:szCs w:val="24"/>
                <w14:textFill>
                  <w14:solidFill>
                    <w14:schemeClr w14:val="tx1"/>
                  </w14:solidFill>
                </w14:textFill>
              </w:rPr>
              <w:t>危险废物贮存过程中易产生粉尘等无组织排放的，应采取抑尘等有效措施。</w:t>
            </w:r>
          </w:p>
          <w:p w14:paraId="34B78991">
            <w:pPr>
              <w:pStyle w:val="134"/>
              <w:ind w:firstLine="480"/>
              <w:rPr>
                <w:rFonts w:ascii="Times New Roman" w:hAnsi="Times New Roman"/>
                <w:color w:val="000000" w:themeColor="text1"/>
                <w:szCs w:val="24"/>
                <w14:textFill>
                  <w14:solidFill>
                    <w14:schemeClr w14:val="tx1"/>
                  </w14:solidFill>
                </w14:textFill>
              </w:rPr>
            </w:pPr>
            <w:r>
              <w:rPr>
                <w:rFonts w:hint="eastAsia" w:ascii="Times New Roman" w:hAnsi="Times New Roman"/>
                <w:color w:val="000000" w:themeColor="text1"/>
                <w:szCs w:val="24"/>
                <w14:textFill>
                  <w14:solidFill>
                    <w14:schemeClr w14:val="tx1"/>
                  </w14:solidFill>
                </w14:textFill>
              </w:rPr>
              <w:t>2）</w:t>
            </w:r>
            <w:r>
              <w:rPr>
                <w:rFonts w:ascii="Times New Roman" w:hAnsi="Times New Roman"/>
                <w:color w:val="000000" w:themeColor="text1"/>
                <w:szCs w:val="24"/>
                <w14:textFill>
                  <w14:solidFill>
                    <w14:schemeClr w14:val="tx1"/>
                  </w14:solidFill>
                </w14:textFill>
              </w:rPr>
              <w:t>贮存设施运行环境管理要求</w:t>
            </w:r>
          </w:p>
          <w:p w14:paraId="32B5C101">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①</w:t>
            </w:r>
            <w:r>
              <w:rPr>
                <w:rFonts w:ascii="Times New Roman" w:hAnsi="Times New Roman"/>
                <w:color w:val="000000" w:themeColor="text1"/>
                <w:szCs w:val="24"/>
                <w14:textFill>
                  <w14:solidFill>
                    <w14:schemeClr w14:val="tx1"/>
                  </w14:solidFill>
                </w14:textFill>
              </w:rPr>
              <w:t>危险废物存入贮存设施前应对危险废物类别和特性与危险废物标签等危险废物识别标志的一致性进行核验，不一致的或类别、特性不明的不应存入。</w:t>
            </w:r>
          </w:p>
          <w:p w14:paraId="05F8E485">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②</w:t>
            </w:r>
            <w:r>
              <w:rPr>
                <w:rFonts w:ascii="Times New Roman" w:hAnsi="Times New Roman"/>
                <w:color w:val="000000" w:themeColor="text1"/>
                <w:szCs w:val="24"/>
                <w14:textFill>
                  <w14:solidFill>
                    <w14:schemeClr w14:val="tx1"/>
                  </w14:solidFill>
                </w14:textFill>
              </w:rPr>
              <w:t>应定期检查危险废物的贮存状况，及时清理贮存设施地面，更换破损泄漏的危险废物贮存容器和包装物，保证堆存危险废物的防雨、防风、防扬尘等设施功能完好。</w:t>
            </w:r>
          </w:p>
          <w:p w14:paraId="0759A557">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③</w:t>
            </w:r>
            <w:r>
              <w:rPr>
                <w:rFonts w:ascii="Times New Roman" w:hAnsi="Times New Roman"/>
                <w:color w:val="000000" w:themeColor="text1"/>
                <w:szCs w:val="24"/>
                <w14:textFill>
                  <w14:solidFill>
                    <w14:schemeClr w14:val="tx1"/>
                  </w14:solidFill>
                </w14:textFill>
              </w:rPr>
              <w:t>作业设备及车辆等结束作业离开贮存设施时，应对其残留的危险废物进行清理，清理的废物或清洗废水应收集处理。</w:t>
            </w:r>
          </w:p>
          <w:p w14:paraId="0E0E0413">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④</w:t>
            </w:r>
            <w:r>
              <w:rPr>
                <w:rFonts w:ascii="Times New Roman" w:hAnsi="Times New Roman"/>
                <w:color w:val="000000" w:themeColor="text1"/>
                <w:szCs w:val="24"/>
                <w14:textFill>
                  <w14:solidFill>
                    <w14:schemeClr w14:val="tx1"/>
                  </w14:solidFill>
                </w14:textFill>
              </w:rPr>
              <w:t>贮存设施运行期间，应按国家有关标准和规定建立危险废物管理台账并保存。</w:t>
            </w:r>
          </w:p>
          <w:p w14:paraId="50837486">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⑤</w:t>
            </w:r>
            <w:r>
              <w:rPr>
                <w:rFonts w:ascii="Times New Roman" w:hAnsi="Times New Roman"/>
                <w:color w:val="000000" w:themeColor="text1"/>
                <w:szCs w:val="24"/>
                <w14:textFill>
                  <w14:solidFill>
                    <w14:schemeClr w14:val="tx1"/>
                  </w14:solidFill>
                </w14:textFill>
              </w:rPr>
              <w:t>贮存设施所有者或运营者应建立贮存设施环境管理制度、管理人员岗位职责制度、设施运行操作制度、人员岗位培训制度等。</w:t>
            </w:r>
          </w:p>
          <w:p w14:paraId="05D32F18">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⑥</w:t>
            </w:r>
            <w:r>
              <w:rPr>
                <w:rFonts w:ascii="Times New Roman" w:hAnsi="Times New Roman"/>
                <w:color w:val="000000" w:themeColor="text1"/>
                <w:szCs w:val="24"/>
                <w14:textFill>
                  <w14:solidFill>
                    <w14:schemeClr w14:val="tx1"/>
                  </w14:solidFill>
                </w14:textFill>
              </w:rPr>
              <w:t>贮存设施所有者或运营者应依据国家土壤和地下水污染防治的有关规定，结合贮存设施特点建立土壤和地下水污染隐患排查制度，并定期开展隐患排查；发现隐患应及时采取措施消除隐患，并建立档案。</w:t>
            </w:r>
          </w:p>
          <w:p w14:paraId="001A9118">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fldChar w:fldCharType="begin"/>
            </w:r>
            <w:r>
              <w:rPr>
                <w:rFonts w:ascii="Times New Roman" w:hAnsi="Times New Roman"/>
                <w:color w:val="000000" w:themeColor="text1"/>
                <w:szCs w:val="24"/>
                <w14:textFill>
                  <w14:solidFill>
                    <w14:schemeClr w14:val="tx1"/>
                  </w14:solidFill>
                </w14:textFill>
              </w:rPr>
              <w:instrText xml:space="preserve"> = 7 \* GB3 \* MERGEFORMAT </w:instrText>
            </w:r>
            <w:r>
              <w:rPr>
                <w:rFonts w:ascii="Times New Roman" w:hAnsi="Times New Roman"/>
                <w:color w:val="000000" w:themeColor="text1"/>
                <w:szCs w:val="24"/>
                <w14:textFill>
                  <w14:solidFill>
                    <w14:schemeClr w14:val="tx1"/>
                  </w14:solidFill>
                </w14:textFill>
              </w:rPr>
              <w:fldChar w:fldCharType="separate"/>
            </w:r>
            <w:r>
              <w:rPr>
                <w:color w:val="000000" w:themeColor="text1"/>
                <w14:textFill>
                  <w14:solidFill>
                    <w14:schemeClr w14:val="tx1"/>
                  </w14:solidFill>
                </w14:textFill>
              </w:rPr>
              <w:t>⑦</w:t>
            </w:r>
            <w:r>
              <w:rPr>
                <w:rFonts w:ascii="Times New Roman" w:hAnsi="Times New Roman"/>
                <w:color w:val="000000" w:themeColor="text1"/>
                <w:szCs w:val="24"/>
                <w14:textFill>
                  <w14:solidFill>
                    <w14:schemeClr w14:val="tx1"/>
                  </w14:solidFill>
                </w14:textFill>
              </w:rPr>
              <w:fldChar w:fldCharType="end"/>
            </w:r>
            <w:r>
              <w:rPr>
                <w:rFonts w:ascii="Times New Roman" w:hAnsi="Times New Roman"/>
                <w:color w:val="000000" w:themeColor="text1"/>
                <w:szCs w:val="24"/>
                <w14:textFill>
                  <w14:solidFill>
                    <w14:schemeClr w14:val="tx1"/>
                  </w14:solidFill>
                </w14:textFill>
              </w:rPr>
              <w:t>贮存设施所有者或运营者应建立贮存设施全部档案，包括设计、施工、验收、运行、监测和环境应急等，应按国家有关档案管理的法律法规进行整理和归档。</w:t>
            </w:r>
          </w:p>
          <w:p w14:paraId="6C3D95CF">
            <w:pPr>
              <w:pStyle w:val="134"/>
              <w:ind w:firstLine="480"/>
              <w:rPr>
                <w:rFonts w:ascii="Times New Roman" w:hAnsi="Times New Roman"/>
                <w:color w:val="000000" w:themeColor="text1"/>
                <w:szCs w:val="24"/>
                <w14:textFill>
                  <w14:solidFill>
                    <w14:schemeClr w14:val="tx1"/>
                  </w14:solidFill>
                </w14:textFill>
              </w:rPr>
            </w:pPr>
            <w:r>
              <w:rPr>
                <w:rFonts w:hint="eastAsia" w:ascii="Times New Roman" w:hAnsi="Times New Roman"/>
                <w:color w:val="000000" w:themeColor="text1"/>
                <w:szCs w:val="24"/>
                <w14:textFill>
                  <w14:solidFill>
                    <w14:schemeClr w14:val="tx1"/>
                  </w14:solidFill>
                </w14:textFill>
              </w:rPr>
              <w:t>3）</w:t>
            </w:r>
            <w:r>
              <w:rPr>
                <w:rFonts w:ascii="Times New Roman" w:hAnsi="Times New Roman"/>
                <w:color w:val="000000" w:themeColor="text1"/>
                <w:szCs w:val="24"/>
                <w14:textFill>
                  <w14:solidFill>
                    <w14:schemeClr w14:val="tx1"/>
                  </w14:solidFill>
                </w14:textFill>
              </w:rPr>
              <w:t>贮存点环境管理要求</w:t>
            </w:r>
          </w:p>
          <w:p w14:paraId="7FE15CDB">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①</w:t>
            </w:r>
            <w:r>
              <w:rPr>
                <w:rFonts w:ascii="Times New Roman" w:hAnsi="Times New Roman"/>
                <w:color w:val="000000" w:themeColor="text1"/>
                <w:szCs w:val="24"/>
                <w14:textFill>
                  <w14:solidFill>
                    <w14:schemeClr w14:val="tx1"/>
                  </w14:solidFill>
                </w14:textFill>
              </w:rPr>
              <w:t>贮存点应具有固定的区域边界，并应采取与其他区域进行隔离的措施。</w:t>
            </w:r>
          </w:p>
          <w:p w14:paraId="34F1AC0A">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②</w:t>
            </w:r>
            <w:r>
              <w:rPr>
                <w:rFonts w:ascii="Times New Roman" w:hAnsi="Times New Roman"/>
                <w:color w:val="000000" w:themeColor="text1"/>
                <w:szCs w:val="24"/>
                <w14:textFill>
                  <w14:solidFill>
                    <w14:schemeClr w14:val="tx1"/>
                  </w14:solidFill>
                </w14:textFill>
              </w:rPr>
              <w:t>贮存点应采取防风、防雨、防晒和防止危险废物流失、扬散等措施。</w:t>
            </w:r>
          </w:p>
          <w:p w14:paraId="08474C6D">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③</w:t>
            </w:r>
            <w:r>
              <w:rPr>
                <w:rFonts w:ascii="Times New Roman" w:hAnsi="Times New Roman"/>
                <w:color w:val="000000" w:themeColor="text1"/>
                <w:szCs w:val="24"/>
                <w14:textFill>
                  <w14:solidFill>
                    <w14:schemeClr w14:val="tx1"/>
                  </w14:solidFill>
                </w14:textFill>
              </w:rPr>
              <w:t>贮存点贮存的危险废物应置于容器或包装物中，不应直接散堆。</w:t>
            </w:r>
          </w:p>
          <w:p w14:paraId="496D2C40">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④</w:t>
            </w:r>
            <w:r>
              <w:rPr>
                <w:rFonts w:ascii="Times New Roman" w:hAnsi="Times New Roman"/>
                <w:color w:val="000000" w:themeColor="text1"/>
                <w:szCs w:val="24"/>
                <w14:textFill>
                  <w14:solidFill>
                    <w14:schemeClr w14:val="tx1"/>
                  </w14:solidFill>
                </w14:textFill>
              </w:rPr>
              <w:t>贮存点应根据危险废物的形态、物理化学性质、包装形式等，采取防渗、防漏等污染防治措施或采用具有相应功能的装置。</w:t>
            </w:r>
          </w:p>
          <w:p w14:paraId="523D24E2">
            <w:pPr>
              <w:pStyle w:val="134"/>
              <w:ind w:firstLine="480"/>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14:textFill>
                  <w14:solidFill>
                    <w14:schemeClr w14:val="tx1"/>
                  </w14:solidFill>
                </w14:textFill>
              </w:rPr>
              <w:t>⑤</w:t>
            </w:r>
            <w:r>
              <w:rPr>
                <w:rFonts w:ascii="Times New Roman" w:hAnsi="Times New Roman"/>
                <w:color w:val="000000" w:themeColor="text1"/>
                <w:szCs w:val="24"/>
                <w14:textFill>
                  <w14:solidFill>
                    <w14:schemeClr w14:val="tx1"/>
                  </w14:solidFill>
                </w14:textFill>
              </w:rPr>
              <w:t>贮存点应及时清运贮存的危险废物，实时贮存量不应超过3吨。</w:t>
            </w:r>
          </w:p>
          <w:p w14:paraId="454E1D41">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（3）危险废物的运输</w:t>
            </w:r>
          </w:p>
          <w:p w14:paraId="1EF0B5B6">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①危险废物运输应由持有危险废物经营许可证的单位按照其许可证的经营范围组织实施，承担危险废物运输的单位应获得交通运输部门颁发的危险货物运输资质。</w:t>
            </w:r>
          </w:p>
          <w:p w14:paraId="6F3F8829">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②危险废物公路运输应按照《道路危险货物运输管理规定》（交通运输部令2016年第36号）执行；危险废物铁路运输应按《铁路危险货物运输管理规则》（铁运【2006】79号）规定执行；危险废物水路运输应按《水路危险货物运输规则》（交通部令【1996年】第10号）规定执行。</w:t>
            </w:r>
          </w:p>
          <w:p w14:paraId="6B3AA6C2">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③废弃危险化学品的运输应执行《危险化学品安全管理条例》有关运输的规定。</w:t>
            </w:r>
          </w:p>
          <w:p w14:paraId="58BE498D">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④运输单位承运危险废物时，应在危险废物包装上按照《危险废物贮存污染控制标准》（GB18597—2023）</w:t>
            </w:r>
            <w:r>
              <w:rPr>
                <w:rFonts w:hint="eastAsia"/>
                <w:bCs/>
                <w:color w:val="000000" w:themeColor="text1"/>
                <w:sz w:val="24"/>
                <w14:textFill>
                  <w14:solidFill>
                    <w14:schemeClr w14:val="tx1"/>
                  </w14:solidFill>
                </w14:textFill>
              </w:rPr>
              <w:t>“7</w:t>
            </w:r>
            <w:r>
              <w:rPr>
                <w:bCs/>
                <w:color w:val="000000" w:themeColor="text1"/>
                <w:sz w:val="24"/>
                <w14:textFill>
                  <w14:solidFill>
                    <w14:schemeClr w14:val="tx1"/>
                  </w14:solidFill>
                </w14:textFill>
              </w:rPr>
              <w:t>容器和包装物污染控制要求</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设置标志。</w:t>
            </w:r>
          </w:p>
          <w:p w14:paraId="1658AFEF">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⑤危险废物公路运输时，运输车辆应按GB13392设置车辆标志。铁路运输和水路运输危险废物时应在集装箱外按GB190规定悬挂标志。</w:t>
            </w:r>
          </w:p>
          <w:p w14:paraId="4A01A371">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⑥危险废物运输时的中转、装卸过程应遵守如下技术要求：</w:t>
            </w:r>
          </w:p>
          <w:p w14:paraId="0EBEE9E3">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a.卸载区的工作人员应熟悉废物的危险特性，并配备适当的个人防护装备，装卸剧毒废物应配备特殊的防护装备。</w:t>
            </w:r>
          </w:p>
          <w:p w14:paraId="02E76BE6">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b.卸载区应配备必要的消防设备和设施，并设置明显的指示标志。</w:t>
            </w:r>
          </w:p>
          <w:p w14:paraId="175917DD">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c.危险废物装卸区应设置隔离设施，液态废物卸载区应设置收集槽和缓冲罐。</w:t>
            </w:r>
          </w:p>
          <w:p w14:paraId="1E9CEA34">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⑦危险废物的运输应采取危险废物转移</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五联单</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制度，保证运输安全，防止非法转移和非法处置，保证危险废物的安全监控，防止危险废物污染事故发生。</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五联单</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中第一联由废物产生者送交生态环境局，第二联由废物产生者保管，第三联由处置场工作人员送交生态环境局，第四联由处置场工作人员保存，第五联由废物运输者保存。</w:t>
            </w:r>
          </w:p>
          <w:p w14:paraId="337FB85D">
            <w:pPr>
              <w:spacing w:line="360" w:lineRule="auto"/>
              <w:ind w:firstLine="482" w:firstLineChars="200"/>
              <w:rPr>
                <w:rFonts w:hint="default" w:ascii="Times New Roman" w:hAnsi="Times New Roman" w:eastAsia="宋体" w:cs="Times New Roman"/>
                <w:b/>
                <w:bCs/>
                <w:color w:val="000000" w:themeColor="text1"/>
                <w:kern w:val="0"/>
                <w:sz w:val="24"/>
                <w:lang w:bidi="ar"/>
                <w14:textFill>
                  <w14:solidFill>
                    <w14:schemeClr w14:val="tx1"/>
                  </w14:solidFill>
                </w14:textFill>
              </w:rPr>
            </w:pPr>
            <w:r>
              <w:rPr>
                <w:rFonts w:hint="default" w:ascii="Times New Roman" w:hAnsi="Times New Roman" w:eastAsia="宋体" w:cs="Times New Roman"/>
                <w:b/>
                <w:bCs/>
                <w:color w:val="000000" w:themeColor="text1"/>
                <w:kern w:val="0"/>
                <w:sz w:val="24"/>
                <w:lang w:bidi="ar"/>
                <w14:textFill>
                  <w14:solidFill>
                    <w14:schemeClr w14:val="tx1"/>
                  </w14:solidFill>
                </w14:textFill>
              </w:rPr>
              <w:t>4.3固废环境影响分析</w:t>
            </w:r>
          </w:p>
          <w:p w14:paraId="45D0A093">
            <w:pPr>
              <w:spacing w:line="360" w:lineRule="auto"/>
              <w:ind w:firstLine="480" w:firstLineChars="200"/>
              <w:rPr>
                <w:rFonts w:hint="default" w:ascii="Times New Roman" w:hAnsi="Times New Roman" w:eastAsia="宋体" w:cs="Times New Roman"/>
                <w:color w:val="000000" w:themeColor="text1"/>
                <w:spacing w:val="-3"/>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采取措施后一般工业固体废弃物处理措施和处置方案满足《中华人民共和国固体废物污染环境防治法》及《一般工业固体废物管理台账制定指南（试行）》（公告2021年第82号）相关要求，危险废物的处理措施和处置方案满足《危险废物贮存污染控制标准》（GB18597-2023）要求，不会对周围环境产生不利影响。</w:t>
            </w:r>
          </w:p>
          <w:p w14:paraId="6FAD0A9B">
            <w:pPr>
              <w:widowControl/>
              <w:spacing w:line="360" w:lineRule="auto"/>
              <w:ind w:firstLine="482" w:firstLineChars="200"/>
              <w:jc w:val="left"/>
              <w:rPr>
                <w:rFonts w:hint="default" w:ascii="Times New Roman" w:hAnsi="Times New Roman" w:eastAsia="宋体" w:cs="Times New Roman"/>
                <w:b/>
                <w:bCs/>
                <w:color w:val="000000" w:themeColor="text1"/>
                <w:kern w:val="0"/>
                <w:sz w:val="24"/>
                <w:lang w:bidi="ar"/>
                <w14:textFill>
                  <w14:solidFill>
                    <w14:schemeClr w14:val="tx1"/>
                  </w14:solidFill>
                </w14:textFill>
              </w:rPr>
            </w:pPr>
            <w:r>
              <w:rPr>
                <w:rFonts w:hint="default" w:ascii="Times New Roman" w:hAnsi="Times New Roman" w:eastAsia="宋体" w:cs="Times New Roman"/>
                <w:b/>
                <w:bCs/>
                <w:color w:val="000000" w:themeColor="text1"/>
                <w:kern w:val="0"/>
                <w:sz w:val="24"/>
                <w:lang w:bidi="ar"/>
                <w14:textFill>
                  <w14:solidFill>
                    <w14:schemeClr w14:val="tx1"/>
                  </w14:solidFill>
                </w14:textFill>
              </w:rPr>
              <w:t>4.4固体废弃物影响分析结论</w:t>
            </w:r>
          </w:p>
          <w:p w14:paraId="5C7CC907">
            <w:pPr>
              <w:widowControl/>
              <w:spacing w:line="360" w:lineRule="auto"/>
              <w:ind w:firstLine="480" w:firstLineChars="200"/>
              <w:jc w:val="left"/>
              <w:rPr>
                <w:rFonts w:hint="default" w:ascii="Times New Roman" w:hAnsi="Times New Roman" w:eastAsia="宋体" w:cs="Times New Roman"/>
                <w:color w:val="000000" w:themeColor="text1"/>
                <w:kern w:val="0"/>
                <w:sz w:val="24"/>
                <w:lang w:bidi="ar"/>
                <w14:textFill>
                  <w14:solidFill>
                    <w14:schemeClr w14:val="tx1"/>
                  </w14:solidFill>
                </w14:textFill>
              </w:rPr>
            </w:pPr>
            <w:r>
              <w:rPr>
                <w:rFonts w:hint="default" w:ascii="Times New Roman" w:hAnsi="Times New Roman" w:eastAsia="宋体" w:cs="Times New Roman"/>
                <w:color w:val="000000" w:themeColor="text1"/>
                <w:kern w:val="0"/>
                <w:sz w:val="24"/>
                <w:lang w:bidi="ar"/>
                <w14:textFill>
                  <w14:solidFill>
                    <w14:schemeClr w14:val="tx1"/>
                  </w14:solidFill>
                </w14:textFill>
              </w:rPr>
              <w:t>本项目产生的各类固体废物均得到有效处理与处置，企业生产过程中要重点做好厂内固废临时贮存堆场的规范化措施；一般工业废物均不得与生活垃圾混放，并置于有防渗漏、防腐蚀处理的专门堆放场所内，堆放场所要做好防风、防雨、防晒措施，防止二次污染发生；堆放场所设置警示标志。</w:t>
            </w:r>
          </w:p>
          <w:p w14:paraId="3A3900F6">
            <w:pPr>
              <w:spacing w:line="360" w:lineRule="auto"/>
              <w:ind w:firstLine="480" w:firstLineChars="200"/>
              <w:jc w:val="left"/>
              <w:rPr>
                <w:rFonts w:hint="default" w:ascii="Times New Roman" w:hAnsi="Times New Roman" w:eastAsia="宋体" w:cs="Times New Roman"/>
                <w:bCs/>
                <w:color w:val="000000" w:themeColor="text1"/>
                <w:spacing w:val="-10"/>
                <w:sz w:val="24"/>
                <w14:textFill>
                  <w14:solidFill>
                    <w14:schemeClr w14:val="tx1"/>
                  </w14:solidFill>
                </w14:textFill>
              </w:rPr>
            </w:pPr>
            <w:r>
              <w:rPr>
                <w:rFonts w:hint="default" w:ascii="Times New Roman" w:hAnsi="Times New Roman" w:eastAsia="宋体" w:cs="Times New Roman"/>
                <w:color w:val="000000" w:themeColor="text1"/>
                <w:kern w:val="0"/>
                <w:sz w:val="24"/>
                <w:lang w:bidi="ar"/>
                <w14:textFill>
                  <w14:solidFill>
                    <w14:schemeClr w14:val="tx1"/>
                  </w14:solidFill>
                </w14:textFill>
              </w:rPr>
              <w:t>综上所述，只要严格执行本环评中提出的各项固废处置措施，本项目固废均能得到有效处置，对周围环境的影响较小</w:t>
            </w:r>
            <w:r>
              <w:rPr>
                <w:rFonts w:hint="default" w:ascii="Times New Roman" w:hAnsi="Times New Roman" w:eastAsia="宋体" w:cs="Times New Roman"/>
                <w:color w:val="000000" w:themeColor="text1"/>
                <w:sz w:val="24"/>
                <w14:textFill>
                  <w14:solidFill>
                    <w14:schemeClr w14:val="tx1"/>
                  </w14:solidFill>
                </w14:textFill>
              </w:rPr>
              <w:t>。</w:t>
            </w:r>
          </w:p>
          <w:p w14:paraId="37E6BB07">
            <w:pPr>
              <w:widowControl/>
              <w:spacing w:line="360" w:lineRule="auto"/>
              <w:ind w:left="420" w:leftChars="200"/>
              <w:jc w:val="left"/>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5、地下水、土壤</w:t>
            </w:r>
          </w:p>
          <w:p w14:paraId="29A1D755">
            <w:pPr>
              <w:tabs>
                <w:tab w:val="left" w:pos="0"/>
              </w:tabs>
              <w:autoSpaceDE w:val="0"/>
              <w:adjustRightInd w:val="0"/>
              <w:snapToGrid w:val="0"/>
              <w:spacing w:line="360" w:lineRule="auto"/>
              <w:ind w:left="420" w:left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bidi="ar"/>
                <w14:textFill>
                  <w14:solidFill>
                    <w14:schemeClr w14:val="tx1"/>
                  </w14:solidFill>
                </w14:textFill>
              </w:rPr>
              <w:t>（1）土壤环境影响分析</w:t>
            </w:r>
          </w:p>
          <w:p w14:paraId="40CE9EE9">
            <w:pPr>
              <w:autoSpaceDE w:val="0"/>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bidi="ar"/>
                <w14:textFill>
                  <w14:solidFill>
                    <w14:schemeClr w14:val="tx1"/>
                  </w14:solidFill>
                </w14:textFill>
              </w:rPr>
              <w:t>土壤污染是指人类活动所产生的物质（污染物），通过各种途径进入土壤，其数量和速度超过了土壤的容纳能力和净化速度的现象。土壤污染可使土壤的性质、组成及性状等发生变化，使污染物质的积累过程逐渐占据优势，破坏土壤的自然动态平衡，从而导致土壤自然正常功能失调，土壤质量恶化，影响作物的生长发育，以致造成产量和质量的下降，并可通过食物链危害生物和人类健康。</w:t>
            </w:r>
          </w:p>
          <w:p w14:paraId="51B331FA">
            <w:pPr>
              <w:autoSpaceDE w:val="0"/>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bidi="ar"/>
                <w14:textFill>
                  <w14:solidFill>
                    <w14:schemeClr w14:val="tx1"/>
                  </w14:solidFill>
                </w14:textFill>
              </w:rPr>
              <w:t>企业排放的污染物对土壤质地性状有一定的影响。厂区全部硬化，并做防渗处理，并且项目运营期所产生的污染物均有妥善的处理处置措施，严格执行各项环保措施，污染物对土壤环境的影响较小。</w:t>
            </w:r>
          </w:p>
          <w:p w14:paraId="62911BC9">
            <w:pPr>
              <w:autoSpaceDE w:val="0"/>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bidi="ar"/>
                <w14:textFill>
                  <w14:solidFill>
                    <w14:schemeClr w14:val="tx1"/>
                  </w14:solidFill>
                </w14:textFill>
              </w:rPr>
              <w:t>（2）地下水环境影响分析</w:t>
            </w:r>
          </w:p>
          <w:p w14:paraId="73E3D14C">
            <w:pPr>
              <w:autoSpaceDE w:val="0"/>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bidi="ar"/>
                <w14:textFill>
                  <w14:solidFill>
                    <w14:schemeClr w14:val="tx1"/>
                  </w14:solidFill>
                </w14:textFill>
              </w:rPr>
              <w:t>地下水污染是指由于人类活动使地下水的物理、化学和生物特征发生了变化，因而限制或妨碍它在各方面的正常使用。</w:t>
            </w:r>
          </w:p>
          <w:p w14:paraId="2E0602D5">
            <w:pPr>
              <w:spacing w:line="360" w:lineRule="auto"/>
              <w:ind w:firstLine="480" w:firstLineChars="200"/>
              <w:rPr>
                <w:rFonts w:hint="default" w:cs="Times New Roman"/>
                <w:color w:val="000000" w:themeColor="text1"/>
                <w:sz w:val="24"/>
                <w:lang w:val="en-US" w:eastAsia="zh-CN"/>
                <w14:textFill>
                  <w14:solidFill>
                    <w14:schemeClr w14:val="tx1"/>
                  </w14:solidFill>
                </w14:textFill>
              </w:rPr>
            </w:pPr>
            <w:r>
              <w:rPr>
                <w:rFonts w:hint="default" w:cs="Times New Roman"/>
                <w:color w:val="000000" w:themeColor="text1"/>
                <w:sz w:val="24"/>
                <w:lang w:val="en-US" w:eastAsia="zh-CN"/>
                <w14:textFill>
                  <w14:solidFill>
                    <w14:schemeClr w14:val="tx1"/>
                  </w14:solidFill>
                </w14:textFill>
              </w:rPr>
              <w:t>根据项目的特点，本项目划分为简单防渗区、一般防渗区和重点防渗区。简单防渗区主要包括办公区等；一般防渗区主要包括</w:t>
            </w:r>
            <w:bookmarkStart w:id="6" w:name="OLE_LINK64"/>
            <w:r>
              <w:rPr>
                <w:rFonts w:hint="default" w:cs="Times New Roman"/>
                <w:color w:val="000000" w:themeColor="text1"/>
                <w:sz w:val="24"/>
                <w:lang w:val="en-US" w:eastAsia="zh-CN"/>
                <w14:textFill>
                  <w14:solidFill>
                    <w14:schemeClr w14:val="tx1"/>
                  </w14:solidFill>
                </w14:textFill>
              </w:rPr>
              <w:t>生产车间</w:t>
            </w:r>
            <w:bookmarkEnd w:id="6"/>
            <w:r>
              <w:rPr>
                <w:rFonts w:hint="default" w:cs="Times New Roman"/>
                <w:color w:val="000000" w:themeColor="text1"/>
                <w:sz w:val="24"/>
                <w:lang w:val="en-US" w:eastAsia="zh-CN"/>
                <w14:textFill>
                  <w14:solidFill>
                    <w14:schemeClr w14:val="tx1"/>
                  </w14:solidFill>
                </w14:textFill>
              </w:rPr>
              <w:t>、一般固废暂存间；重点防渗区主要包括化粪池、危废间。结合场地基础防渗能力，不同区域采取相应的防渗防腐措施，并制定相应的污染应急处理预案。</w:t>
            </w:r>
          </w:p>
          <w:p w14:paraId="37A77C72">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①重点防渗区防渗要求：等效黏土防渗层Mb≥6m，饱和渗透系数≤10</w:t>
            </w:r>
            <w:r>
              <w:rPr>
                <w:rFonts w:hint="default" w:ascii="Times New Roman" w:hAnsi="Times New Roman" w:eastAsia="宋体" w:cs="Times New Roman"/>
                <w:color w:val="000000" w:themeColor="text1"/>
                <w:sz w:val="24"/>
                <w:vertAlign w:val="superscript"/>
                <w14:textFill>
                  <w14:solidFill>
                    <w14:schemeClr w14:val="tx1"/>
                  </w14:solidFill>
                </w14:textFill>
              </w:rPr>
              <w:t>-7</w:t>
            </w:r>
            <w:r>
              <w:rPr>
                <w:rFonts w:hint="default" w:ascii="Times New Roman" w:hAnsi="Times New Roman" w:eastAsia="宋体" w:cs="Times New Roman"/>
                <w:color w:val="000000" w:themeColor="text1"/>
                <w:sz w:val="24"/>
                <w14:textFill>
                  <w14:solidFill>
                    <w14:schemeClr w14:val="tx1"/>
                  </w14:solidFill>
                </w14:textFill>
              </w:rPr>
              <w:t>cm/s，或者参照《危险废物填埋污染控制标准》（GB18598-2019）执行。</w:t>
            </w:r>
          </w:p>
          <w:p w14:paraId="2F5DFDCD">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建议化粪池</w:t>
            </w:r>
            <w:r>
              <w:rPr>
                <w:rFonts w:hint="eastAsia" w:cs="Times New Roman"/>
                <w:color w:val="000000" w:themeColor="text1"/>
                <w:sz w:val="24"/>
                <w:lang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危废间</w:t>
            </w:r>
            <w:r>
              <w:rPr>
                <w:rFonts w:hint="default" w:ascii="Times New Roman" w:hAnsi="Times New Roman" w:eastAsia="宋体" w:cs="Times New Roman"/>
                <w:color w:val="000000" w:themeColor="text1"/>
                <w:sz w:val="24"/>
                <w14:textFill>
                  <w14:solidFill>
                    <w14:schemeClr w14:val="tx1"/>
                  </w14:solidFill>
                </w14:textFill>
              </w:rPr>
              <w:t>四周用水泥硬化，并进行防渗处理，保证防渗层渗透系数≤10</w:t>
            </w:r>
            <w:r>
              <w:rPr>
                <w:rFonts w:hint="default" w:ascii="Times New Roman" w:hAnsi="Times New Roman" w:eastAsia="宋体" w:cs="Times New Roman"/>
                <w:color w:val="000000" w:themeColor="text1"/>
                <w:sz w:val="24"/>
                <w:vertAlign w:val="superscript"/>
                <w14:textFill>
                  <w14:solidFill>
                    <w14:schemeClr w14:val="tx1"/>
                  </w14:solidFill>
                </w14:textFill>
              </w:rPr>
              <w:t>-7</w:t>
            </w:r>
            <w:r>
              <w:rPr>
                <w:rFonts w:hint="default" w:ascii="Times New Roman" w:hAnsi="Times New Roman" w:eastAsia="宋体" w:cs="Times New Roman"/>
                <w:color w:val="000000" w:themeColor="text1"/>
                <w:sz w:val="24"/>
                <w14:textFill>
                  <w14:solidFill>
                    <w14:schemeClr w14:val="tx1"/>
                  </w14:solidFill>
                </w14:textFill>
              </w:rPr>
              <w:t>cm/s。</w:t>
            </w:r>
          </w:p>
          <w:p w14:paraId="43DE79E3">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②一般防渗区防渗要求：等效黏土防渗层Mb≥1.5m，饱和渗透系数≤10</w:t>
            </w:r>
            <w:r>
              <w:rPr>
                <w:rFonts w:hint="default" w:ascii="Times New Roman" w:hAnsi="Times New Roman" w:eastAsia="宋体" w:cs="Times New Roman"/>
                <w:color w:val="000000" w:themeColor="text1"/>
                <w:sz w:val="24"/>
                <w:vertAlign w:val="superscript"/>
                <w14:textFill>
                  <w14:solidFill>
                    <w14:schemeClr w14:val="tx1"/>
                  </w14:solidFill>
                </w14:textFill>
              </w:rPr>
              <w:t>-7</w:t>
            </w:r>
            <w:r>
              <w:rPr>
                <w:rFonts w:hint="default" w:ascii="Times New Roman" w:hAnsi="Times New Roman" w:eastAsia="宋体" w:cs="Times New Roman"/>
                <w:color w:val="000000" w:themeColor="text1"/>
                <w:sz w:val="24"/>
                <w14:textFill>
                  <w14:solidFill>
                    <w14:schemeClr w14:val="tx1"/>
                  </w14:solidFill>
                </w14:textFill>
              </w:rPr>
              <w:t>cm/s，或者参照《生活垃圾填埋场污染控制标准》（GB16889-2024）执行。</w:t>
            </w:r>
          </w:p>
          <w:p w14:paraId="48F6E031">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③简单防渗区要求：对于基本上不产生污染物的非污染防治区，不采取专门针对地下水污染的防治措施，一般地面硬化则可达到防渗技术要求。</w:t>
            </w:r>
          </w:p>
          <w:p w14:paraId="277450D2">
            <w:pPr>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本项目生产车间、化粪池均依托现有，根据现场调查，生产车间采用防渗混凝土做好硬化、防渗等处理措施，可满足一般防渗技术要求（</w:t>
            </w:r>
            <w:r>
              <w:rPr>
                <w:rFonts w:hint="default" w:ascii="Times New Roman" w:hAnsi="Times New Roman" w:eastAsia="宋体" w:cs="Times New Roman"/>
                <w:color w:val="000000" w:themeColor="text1"/>
                <w:sz w:val="24"/>
                <w14:textFill>
                  <w14:solidFill>
                    <w14:schemeClr w14:val="tx1"/>
                  </w14:solidFill>
                </w14:textFill>
              </w:rPr>
              <w:t>等效黏土防渗层Mb≥1.5m，饱和渗透系数≤10</w:t>
            </w:r>
            <w:r>
              <w:rPr>
                <w:rFonts w:hint="default" w:ascii="Times New Roman" w:hAnsi="Times New Roman" w:eastAsia="宋体" w:cs="Times New Roman"/>
                <w:color w:val="000000" w:themeColor="text1"/>
                <w:sz w:val="24"/>
                <w:vertAlign w:val="superscript"/>
                <w14:textFill>
                  <w14:solidFill>
                    <w14:schemeClr w14:val="tx1"/>
                  </w14:solidFill>
                </w14:textFill>
              </w:rPr>
              <w:t>-7</w:t>
            </w:r>
            <w:r>
              <w:rPr>
                <w:rFonts w:hint="default" w:ascii="Times New Roman" w:hAnsi="Times New Roman" w:eastAsia="宋体" w:cs="Times New Roman"/>
                <w:color w:val="000000" w:themeColor="text1"/>
                <w:sz w:val="24"/>
                <w14:textFill>
                  <w14:solidFill>
                    <w14:schemeClr w14:val="tx1"/>
                  </w14:solidFill>
                </w14:textFill>
              </w:rPr>
              <w:t>cm/s</w:t>
            </w:r>
            <w:r>
              <w:rPr>
                <w:rFonts w:hint="eastAsia" w:ascii="Times New Roman" w:hAnsi="Times New Roman" w:eastAsia="宋体" w:cs="Times New Roman"/>
                <w:color w:val="000000" w:themeColor="text1"/>
                <w:sz w:val="24"/>
                <w:lang w:val="en-US" w:eastAsia="zh-CN"/>
                <w14:textFill>
                  <w14:solidFill>
                    <w14:schemeClr w14:val="tx1"/>
                  </w14:solidFill>
                </w14:textFill>
              </w:rPr>
              <w:t>）；化粪池采用防渗混凝土做好硬化、防渗等处理措施，可以满足</w:t>
            </w:r>
            <w:r>
              <w:rPr>
                <w:rFonts w:hint="default" w:ascii="Times New Roman" w:hAnsi="Times New Roman" w:eastAsia="宋体" w:cs="Times New Roman"/>
                <w:color w:val="000000" w:themeColor="text1"/>
                <w:sz w:val="24"/>
                <w14:textFill>
                  <w14:solidFill>
                    <w14:schemeClr w14:val="tx1"/>
                  </w14:solidFill>
                </w14:textFill>
              </w:rPr>
              <w:t>重点防渗</w:t>
            </w:r>
            <w:r>
              <w:rPr>
                <w:rFonts w:hint="eastAsia" w:ascii="Times New Roman" w:hAnsi="Times New Roman" w:eastAsia="宋体" w:cs="Times New Roman"/>
                <w:color w:val="000000" w:themeColor="text1"/>
                <w:sz w:val="24"/>
                <w:lang w:val="en-US" w:eastAsia="zh-CN"/>
                <w14:textFill>
                  <w14:solidFill>
                    <w14:schemeClr w14:val="tx1"/>
                  </w14:solidFill>
                </w14:textFill>
              </w:rPr>
              <w:t>技术要求（</w:t>
            </w:r>
            <w:r>
              <w:rPr>
                <w:rFonts w:hint="default" w:ascii="Times New Roman" w:hAnsi="Times New Roman" w:eastAsia="宋体" w:cs="Times New Roman"/>
                <w:color w:val="000000" w:themeColor="text1"/>
                <w:sz w:val="24"/>
                <w14:textFill>
                  <w14:solidFill>
                    <w14:schemeClr w14:val="tx1"/>
                  </w14:solidFill>
                </w14:textFill>
              </w:rPr>
              <w:t>等效黏土防渗层Mb≥6m，饱和渗透系数≤10</w:t>
            </w:r>
            <w:r>
              <w:rPr>
                <w:rFonts w:hint="default" w:ascii="Times New Roman" w:hAnsi="Times New Roman" w:eastAsia="宋体" w:cs="Times New Roman"/>
                <w:color w:val="000000" w:themeColor="text1"/>
                <w:sz w:val="24"/>
                <w:vertAlign w:val="superscript"/>
                <w14:textFill>
                  <w14:solidFill>
                    <w14:schemeClr w14:val="tx1"/>
                  </w14:solidFill>
                </w14:textFill>
              </w:rPr>
              <w:t>-7</w:t>
            </w:r>
            <w:r>
              <w:rPr>
                <w:rFonts w:hint="default" w:ascii="Times New Roman" w:hAnsi="Times New Roman" w:eastAsia="宋体" w:cs="Times New Roman"/>
                <w:color w:val="000000" w:themeColor="text1"/>
                <w:sz w:val="24"/>
                <w14:textFill>
                  <w14:solidFill>
                    <w14:schemeClr w14:val="tx1"/>
                  </w14:solidFill>
                </w14:textFill>
              </w:rPr>
              <w:t>cm/s</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420392C4">
            <w:pPr>
              <w:pStyle w:val="130"/>
              <w:rPr>
                <w:rFonts w:hint="default" w:ascii="Times New Roman" w:hAnsi="Times New Roman" w:eastAsia="宋体" w:cs="Times New Roman"/>
                <w:b/>
                <w:color w:val="000000" w:themeColor="text1"/>
                <w:szCs w:val="24"/>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综上所述，本项目对可能产生地下水、土壤影响的各项途径均进行有效预防，在确保各项防渗措施得以落实，并加强维护和管理的前提下，可有效控制</w:t>
            </w:r>
            <w:r>
              <w:rPr>
                <w:rFonts w:hint="eastAsia" w:cs="Times New Roman"/>
                <w:color w:val="000000" w:themeColor="text1"/>
                <w:lang w:val="en-US" w:eastAsia="zh-CN"/>
                <w14:textFill>
                  <w14:solidFill>
                    <w14:schemeClr w14:val="tx1"/>
                  </w14:solidFill>
                </w14:textFill>
              </w:rPr>
              <w:t>厂区</w:t>
            </w:r>
            <w:r>
              <w:rPr>
                <w:rFonts w:hint="default" w:ascii="Times New Roman" w:hAnsi="Times New Roman" w:eastAsia="宋体" w:cs="Times New Roman"/>
                <w:color w:val="000000" w:themeColor="text1"/>
                <w14:textFill>
                  <w14:solidFill>
                    <w14:schemeClr w14:val="tx1"/>
                  </w14:solidFill>
                </w14:textFill>
              </w:rPr>
              <w:t>内的污染物下渗现象，避免污染地下水和土壤。因此，本项目不会对区域地下水、土壤环境产生明显影响。</w:t>
            </w:r>
          </w:p>
          <w:p w14:paraId="1E223050">
            <w:pPr>
              <w:widowControl/>
              <w:spacing w:line="360" w:lineRule="auto"/>
              <w:ind w:left="420"/>
              <w:jc w:val="left"/>
              <w:rPr>
                <w:rFonts w:hint="default" w:ascii="Times New Roman" w:hAnsi="Times New Roman" w:eastAsia="宋体" w:cs="Times New Roman"/>
                <w:b/>
                <w:color w:val="000000" w:themeColor="text1"/>
                <w:spacing w:val="-10"/>
                <w:sz w:val="24"/>
                <w14:textFill>
                  <w14:solidFill>
                    <w14:schemeClr w14:val="tx1"/>
                  </w14:solidFill>
                </w14:textFill>
              </w:rPr>
            </w:pPr>
            <w:r>
              <w:rPr>
                <w:rFonts w:hint="default" w:ascii="Times New Roman" w:hAnsi="Times New Roman" w:eastAsia="宋体" w:cs="Times New Roman"/>
                <w:b/>
                <w:color w:val="000000" w:themeColor="text1"/>
                <w:spacing w:val="-10"/>
                <w:sz w:val="24"/>
                <w14:textFill>
                  <w14:solidFill>
                    <w14:schemeClr w14:val="tx1"/>
                  </w14:solidFill>
                </w14:textFill>
              </w:rPr>
              <w:t>6、</w:t>
            </w:r>
            <w:r>
              <w:rPr>
                <w:rFonts w:hint="default" w:ascii="Times New Roman" w:hAnsi="Times New Roman" w:eastAsia="宋体" w:cs="Times New Roman"/>
                <w:b/>
                <w:color w:val="000000" w:themeColor="text1"/>
                <w:sz w:val="24"/>
                <w14:textFill>
                  <w14:solidFill>
                    <w14:schemeClr w14:val="tx1"/>
                  </w14:solidFill>
                </w14:textFill>
              </w:rPr>
              <w:t>生态环境影响分析</w:t>
            </w:r>
          </w:p>
          <w:p w14:paraId="20A42F00">
            <w:pPr>
              <w:adjustRightInd w:val="0"/>
              <w:snapToGrid w:val="0"/>
              <w:spacing w:line="360" w:lineRule="auto"/>
              <w:ind w:firstLine="480" w:firstLineChars="200"/>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本项目租赁现有车间进行建设，不新增用地，且用地范围内无生态环境保护目标，对周边生态基本无影响，本评价不再开展生态环境影响分析。</w:t>
            </w:r>
          </w:p>
          <w:p w14:paraId="55ABE6D8">
            <w:pPr>
              <w:widowControl/>
              <w:spacing w:line="360" w:lineRule="auto"/>
              <w:ind w:firstLine="482"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7、环境风险分析</w:t>
            </w:r>
          </w:p>
          <w:p w14:paraId="3EC3D020">
            <w:pPr>
              <w:tabs>
                <w:tab w:val="left" w:pos="495"/>
              </w:tabs>
              <w:adjustRightInd w:val="0"/>
              <w:snapToGrid w:val="0"/>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环境风险是指突发性事故造成的重大环境污染的事件，其特点是危害大、影响范围广、发生概率具有很大的不确定性。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14:paraId="7914256D">
            <w:pPr>
              <w:tabs>
                <w:tab w:val="left" w:pos="495"/>
              </w:tabs>
              <w:adjustRightInd w:val="0"/>
              <w:snapToGrid w:val="0"/>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环境风险评价以《建设项目环境风险评价技术导则》（HJ169-2018）为指导，对项目营运期过程进行环境风险分析。</w:t>
            </w:r>
          </w:p>
          <w:p w14:paraId="14ECC395">
            <w:pPr>
              <w:tabs>
                <w:tab w:val="left" w:pos="495"/>
              </w:tabs>
              <w:adjustRightInd w:val="0"/>
              <w:snapToGrid w:val="0"/>
              <w:spacing w:line="360" w:lineRule="auto"/>
              <w:ind w:firstLine="480" w:firstLineChars="200"/>
              <w:jc w:val="left"/>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（1）风险调查</w:t>
            </w:r>
          </w:p>
          <w:p w14:paraId="5A17DDB4">
            <w:pPr>
              <w:tabs>
                <w:tab w:val="left" w:pos="495"/>
              </w:tabs>
              <w:adjustRightInd w:val="0"/>
              <w:snapToGrid w:val="0"/>
              <w:spacing w:line="360" w:lineRule="auto"/>
              <w:ind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根据《建设项目环境风险评价技术导则》（HJ169-2018），本项目涉及的危险物质为</w:t>
            </w:r>
            <w:r>
              <w:rPr>
                <w:rFonts w:hint="eastAsia" w:ascii="Times New Roman" w:hAnsi="Times New Roman" w:eastAsia="宋体" w:cs="Times New Roman"/>
                <w:bCs/>
                <w:color w:val="000000" w:themeColor="text1"/>
                <w:sz w:val="24"/>
                <w:lang w:val="en-US" w:eastAsia="zh-CN"/>
                <w14:textFill>
                  <w14:solidFill>
                    <w14:schemeClr w14:val="tx1"/>
                  </w14:solidFill>
                </w14:textFill>
              </w:rPr>
              <w:t>润滑油、</w:t>
            </w:r>
            <w:r>
              <w:rPr>
                <w:rFonts w:hint="default" w:ascii="Times New Roman" w:hAnsi="Times New Roman" w:eastAsia="宋体" w:cs="Times New Roman"/>
                <w:bCs/>
                <w:color w:val="000000" w:themeColor="text1"/>
                <w:sz w:val="24"/>
                <w14:textFill>
                  <w14:solidFill>
                    <w14:schemeClr w14:val="tx1"/>
                  </w14:solidFill>
                </w14:textFill>
              </w:rPr>
              <w:t>废润滑油</w:t>
            </w:r>
            <w:r>
              <w:rPr>
                <w:rFonts w:hint="eastAsia" w:ascii="Times New Roman" w:hAnsi="Times New Roman" w:eastAsia="宋体" w:cs="Times New Roman"/>
                <w:bCs/>
                <w:color w:val="000000" w:themeColor="text1"/>
                <w:sz w:val="24"/>
                <w:lang w:eastAsia="zh-CN"/>
                <w14:textFill>
                  <w14:solidFill>
                    <w14:schemeClr w14:val="tx1"/>
                  </w14:solidFill>
                </w14:textFill>
              </w:rPr>
              <w:t>、</w:t>
            </w:r>
            <w:r>
              <w:rPr>
                <w:rFonts w:hint="eastAsia" w:ascii="Times New Roman" w:hAnsi="Times New Roman" w:eastAsia="宋体" w:cs="Times New Roman"/>
                <w:bCs/>
                <w:color w:val="000000" w:themeColor="text1"/>
                <w:sz w:val="24"/>
                <w:lang w:val="en-US" w:eastAsia="zh-CN"/>
                <w14:textFill>
                  <w14:solidFill>
                    <w14:schemeClr w14:val="tx1"/>
                  </w14:solidFill>
                </w14:textFill>
              </w:rPr>
              <w:t>废导热油</w:t>
            </w:r>
            <w:r>
              <w:rPr>
                <w:rFonts w:hint="default" w:ascii="Times New Roman" w:hAnsi="Times New Roman" w:eastAsia="宋体" w:cs="Times New Roman"/>
                <w:bCs/>
                <w:color w:val="000000" w:themeColor="text1"/>
                <w:sz w:val="24"/>
                <w14:textFill>
                  <w14:solidFill>
                    <w14:schemeClr w14:val="tx1"/>
                  </w14:solidFill>
                </w14:textFill>
              </w:rPr>
              <w:t>。</w:t>
            </w:r>
          </w:p>
          <w:p w14:paraId="60A13388">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kern w:val="0"/>
                <w:szCs w:val="21"/>
                <w14:textFill>
                  <w14:solidFill>
                    <w14:schemeClr w14:val="tx1"/>
                  </w14:solidFill>
                </w14:textFill>
              </w:rPr>
              <w:t>表4</w:t>
            </w:r>
            <w:r>
              <w:rPr>
                <w:rFonts w:hint="eastAsia" w:cs="Times New Roman"/>
                <w:b/>
                <w:color w:val="000000" w:themeColor="text1"/>
                <w:kern w:val="0"/>
                <w:szCs w:val="21"/>
                <w:lang w:val="en-US" w:eastAsia="zh-CN"/>
                <w14:textFill>
                  <w14:solidFill>
                    <w14:schemeClr w14:val="tx1"/>
                  </w14:solidFill>
                </w14:textFill>
              </w:rPr>
              <w:t xml:space="preserve">-19 </w:t>
            </w:r>
            <w:r>
              <w:rPr>
                <w:rFonts w:hint="default" w:ascii="Times New Roman" w:hAnsi="Times New Roman" w:eastAsia="宋体" w:cs="Times New Roman"/>
                <w:b/>
                <w:color w:val="000000" w:themeColor="text1"/>
                <w:szCs w:val="21"/>
                <w14:textFill>
                  <w14:solidFill>
                    <w14:schemeClr w14:val="tx1"/>
                  </w14:solidFill>
                </w14:textFill>
              </w:rPr>
              <w:t>本项目危险物质数量与临界量的比值一览表</w:t>
            </w:r>
          </w:p>
          <w:tbl>
            <w:tblPr>
              <w:tblStyle w:val="38"/>
              <w:tblW w:w="891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29"/>
              <w:gridCol w:w="2228"/>
              <w:gridCol w:w="2228"/>
              <w:gridCol w:w="2231"/>
            </w:tblGrid>
            <w:tr w14:paraId="4293B3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9" w:type="dxa"/>
                  <w:tcBorders>
                    <w:tl2br w:val="nil"/>
                    <w:tr2bl w:val="nil"/>
                  </w:tcBorders>
                  <w:vAlign w:val="center"/>
                </w:tcPr>
                <w:p w14:paraId="2342CCE3">
                  <w:pPr>
                    <w:autoSpaceDE w:val="0"/>
                    <w:autoSpaceDN w:val="0"/>
                    <w:adjustRightInd w:val="0"/>
                    <w:spacing w:line="300" w:lineRule="exact"/>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风险物质</w:t>
                  </w:r>
                </w:p>
              </w:tc>
              <w:tc>
                <w:tcPr>
                  <w:tcW w:w="2228" w:type="dxa"/>
                  <w:tcBorders>
                    <w:tl2br w:val="nil"/>
                    <w:tr2bl w:val="nil"/>
                  </w:tcBorders>
                  <w:vAlign w:val="center"/>
                </w:tcPr>
                <w:p w14:paraId="54BAEA31">
                  <w:pPr>
                    <w:autoSpaceDE w:val="0"/>
                    <w:autoSpaceDN w:val="0"/>
                    <w:adjustRightInd w:val="0"/>
                    <w:spacing w:line="300" w:lineRule="exact"/>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最大储存量t</w:t>
                  </w:r>
                </w:p>
              </w:tc>
              <w:tc>
                <w:tcPr>
                  <w:tcW w:w="2228" w:type="dxa"/>
                  <w:tcBorders>
                    <w:tl2br w:val="nil"/>
                    <w:tr2bl w:val="nil"/>
                  </w:tcBorders>
                  <w:vAlign w:val="center"/>
                </w:tcPr>
                <w:p w14:paraId="21B74FD1">
                  <w:pPr>
                    <w:autoSpaceDE w:val="0"/>
                    <w:autoSpaceDN w:val="0"/>
                    <w:adjustRightInd w:val="0"/>
                    <w:spacing w:line="300" w:lineRule="exact"/>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临界量t</w:t>
                  </w:r>
                </w:p>
              </w:tc>
              <w:tc>
                <w:tcPr>
                  <w:tcW w:w="2231" w:type="dxa"/>
                  <w:tcBorders>
                    <w:tl2br w:val="nil"/>
                    <w:tr2bl w:val="nil"/>
                  </w:tcBorders>
                  <w:vAlign w:val="center"/>
                </w:tcPr>
                <w:p w14:paraId="107DBBA0">
                  <w:pPr>
                    <w:autoSpaceDE w:val="0"/>
                    <w:autoSpaceDN w:val="0"/>
                    <w:adjustRightInd w:val="0"/>
                    <w:spacing w:line="300" w:lineRule="exact"/>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Q值</w:t>
                  </w:r>
                </w:p>
              </w:tc>
            </w:tr>
            <w:tr w14:paraId="0A5478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9" w:type="dxa"/>
                  <w:tcBorders>
                    <w:tl2br w:val="nil"/>
                    <w:tr2bl w:val="nil"/>
                  </w:tcBorders>
                  <w:shd w:val="clear" w:color="auto" w:fill="auto"/>
                  <w:vAlign w:val="center"/>
                </w:tcPr>
                <w:p w14:paraId="2032CE10">
                  <w:pPr>
                    <w:autoSpaceDE w:val="0"/>
                    <w:autoSpaceDN w:val="0"/>
                    <w:adjustRightInd w:val="0"/>
                    <w:spacing w:line="30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废润滑油</w:t>
                  </w:r>
                  <w:r>
                    <w:rPr>
                      <w:rFonts w:hint="eastAsia" w:cs="Times New Roman"/>
                      <w:color w:val="000000" w:themeColor="text1"/>
                      <w:szCs w:val="21"/>
                      <w:lang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润滑油</w:t>
                  </w:r>
                </w:p>
              </w:tc>
              <w:tc>
                <w:tcPr>
                  <w:tcW w:w="2228" w:type="dxa"/>
                  <w:tcBorders>
                    <w:tl2br w:val="nil"/>
                    <w:tr2bl w:val="nil"/>
                  </w:tcBorders>
                  <w:shd w:val="clear" w:color="auto" w:fill="auto"/>
                  <w:vAlign w:val="center"/>
                </w:tcPr>
                <w:p w14:paraId="58180CE2">
                  <w:pPr>
                    <w:autoSpaceDE w:val="0"/>
                    <w:autoSpaceDN w:val="0"/>
                    <w:adjustRightInd w:val="0"/>
                    <w:spacing w:line="3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0.0</w:t>
                  </w:r>
                  <w:r>
                    <w:rPr>
                      <w:rFonts w:hint="eastAsia" w:cs="Times New Roman"/>
                      <w:color w:val="000000" w:themeColor="text1"/>
                      <w:szCs w:val="21"/>
                      <w:lang w:val="en-US" w:eastAsia="zh-CN"/>
                      <w14:textFill>
                        <w14:solidFill>
                          <w14:schemeClr w14:val="tx1"/>
                        </w14:solidFill>
                      </w14:textFill>
                    </w:rPr>
                    <w:t>5</w:t>
                  </w:r>
                </w:p>
              </w:tc>
              <w:tc>
                <w:tcPr>
                  <w:tcW w:w="2228" w:type="dxa"/>
                  <w:tcBorders>
                    <w:tl2br w:val="nil"/>
                    <w:tr2bl w:val="nil"/>
                  </w:tcBorders>
                  <w:shd w:val="clear" w:color="auto" w:fill="auto"/>
                  <w:vAlign w:val="center"/>
                </w:tcPr>
                <w:p w14:paraId="2DB32879">
                  <w:pPr>
                    <w:autoSpaceDE w:val="0"/>
                    <w:autoSpaceDN w:val="0"/>
                    <w:adjustRightInd w:val="0"/>
                    <w:spacing w:line="30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2500</w:t>
                  </w:r>
                </w:p>
              </w:tc>
              <w:tc>
                <w:tcPr>
                  <w:tcW w:w="2231" w:type="dxa"/>
                  <w:tcBorders>
                    <w:tl2br w:val="nil"/>
                    <w:tr2bl w:val="nil"/>
                  </w:tcBorders>
                  <w:shd w:val="clear" w:color="auto" w:fill="auto"/>
                  <w:vAlign w:val="center"/>
                </w:tcPr>
                <w:p w14:paraId="4D2472C9">
                  <w:pPr>
                    <w:autoSpaceDE w:val="0"/>
                    <w:autoSpaceDN w:val="0"/>
                    <w:adjustRightInd w:val="0"/>
                    <w:spacing w:line="300" w:lineRule="exact"/>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0.0000</w:t>
                  </w:r>
                  <w:r>
                    <w:rPr>
                      <w:rFonts w:hint="eastAsia" w:ascii="Times New Roman" w:hAnsi="Times New Roman" w:eastAsia="宋体" w:cs="Times New Roman"/>
                      <w:color w:val="000000" w:themeColor="text1"/>
                      <w:szCs w:val="21"/>
                      <w:lang w:val="en-US" w:eastAsia="zh-CN"/>
                      <w14:textFill>
                        <w14:solidFill>
                          <w14:schemeClr w14:val="tx1"/>
                        </w14:solidFill>
                      </w14:textFill>
                    </w:rPr>
                    <w:t>2</w:t>
                  </w:r>
                </w:p>
              </w:tc>
            </w:tr>
            <w:tr w14:paraId="064D5E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9" w:type="dxa"/>
                  <w:tcBorders>
                    <w:tl2br w:val="nil"/>
                    <w:tr2bl w:val="nil"/>
                  </w:tcBorders>
                  <w:shd w:val="clear" w:color="auto" w:fill="auto"/>
                  <w:vAlign w:val="center"/>
                </w:tcPr>
                <w:p w14:paraId="4ED20CA9">
                  <w:pPr>
                    <w:autoSpaceDE w:val="0"/>
                    <w:autoSpaceDN w:val="0"/>
                    <w:adjustRightInd w:val="0"/>
                    <w:spacing w:line="300" w:lineRule="exact"/>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废导热油</w:t>
                  </w:r>
                </w:p>
              </w:tc>
              <w:tc>
                <w:tcPr>
                  <w:tcW w:w="2228" w:type="dxa"/>
                  <w:tcBorders>
                    <w:tl2br w:val="nil"/>
                    <w:tr2bl w:val="nil"/>
                  </w:tcBorders>
                  <w:shd w:val="clear" w:color="auto" w:fill="auto"/>
                  <w:vAlign w:val="center"/>
                </w:tcPr>
                <w:p w14:paraId="354EE258">
                  <w:pPr>
                    <w:autoSpaceDE w:val="0"/>
                    <w:autoSpaceDN w:val="0"/>
                    <w:adjustRightInd w:val="0"/>
                    <w:spacing w:line="300" w:lineRule="exact"/>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w:t>
                  </w:r>
                </w:p>
              </w:tc>
              <w:tc>
                <w:tcPr>
                  <w:tcW w:w="2228" w:type="dxa"/>
                  <w:tcBorders>
                    <w:tl2br w:val="nil"/>
                    <w:tr2bl w:val="nil"/>
                  </w:tcBorders>
                  <w:shd w:val="clear" w:color="auto" w:fill="auto"/>
                  <w:vAlign w:val="center"/>
                </w:tcPr>
                <w:p w14:paraId="24C82741">
                  <w:pPr>
                    <w:autoSpaceDE w:val="0"/>
                    <w:autoSpaceDN w:val="0"/>
                    <w:adjustRightInd w:val="0"/>
                    <w:spacing w:line="300" w:lineRule="exac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2500</w:t>
                  </w:r>
                </w:p>
              </w:tc>
              <w:tc>
                <w:tcPr>
                  <w:tcW w:w="2231" w:type="dxa"/>
                  <w:tcBorders>
                    <w:tl2br w:val="nil"/>
                    <w:tr2bl w:val="nil"/>
                  </w:tcBorders>
                  <w:shd w:val="clear" w:color="auto" w:fill="auto"/>
                  <w:vAlign w:val="center"/>
                </w:tcPr>
                <w:p w14:paraId="27AA1438">
                  <w:pPr>
                    <w:autoSpaceDE w:val="0"/>
                    <w:autoSpaceDN w:val="0"/>
                    <w:adjustRightInd w:val="0"/>
                    <w:spacing w:line="300" w:lineRule="exac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0.0008</w:t>
                  </w:r>
                </w:p>
              </w:tc>
            </w:tr>
            <w:tr w14:paraId="5D5A15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29" w:type="dxa"/>
                  <w:tcBorders>
                    <w:tl2br w:val="nil"/>
                    <w:tr2bl w:val="nil"/>
                  </w:tcBorders>
                  <w:vAlign w:val="center"/>
                </w:tcPr>
                <w:p w14:paraId="75B77B77">
                  <w:pPr>
                    <w:autoSpaceDE w:val="0"/>
                    <w:autoSpaceDN w:val="0"/>
                    <w:adjustRightInd w:val="0"/>
                    <w:spacing w:line="300" w:lineRule="exac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合计</w:t>
                  </w:r>
                </w:p>
              </w:tc>
              <w:tc>
                <w:tcPr>
                  <w:tcW w:w="2228" w:type="dxa"/>
                  <w:tcBorders>
                    <w:tl2br w:val="nil"/>
                    <w:tr2bl w:val="nil"/>
                  </w:tcBorders>
                  <w:vAlign w:val="center"/>
                </w:tcPr>
                <w:p w14:paraId="1B086D82">
                  <w:pPr>
                    <w:autoSpaceDE w:val="0"/>
                    <w:autoSpaceDN w:val="0"/>
                    <w:adjustRightInd w:val="0"/>
                    <w:spacing w:line="300" w:lineRule="exac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2228" w:type="dxa"/>
                  <w:tcBorders>
                    <w:tl2br w:val="nil"/>
                    <w:tr2bl w:val="nil"/>
                  </w:tcBorders>
                  <w:vAlign w:val="center"/>
                </w:tcPr>
                <w:p w14:paraId="2D5DCFA5">
                  <w:pPr>
                    <w:autoSpaceDE w:val="0"/>
                    <w:autoSpaceDN w:val="0"/>
                    <w:adjustRightInd w:val="0"/>
                    <w:spacing w:line="300" w:lineRule="exact"/>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2231" w:type="dxa"/>
                  <w:tcBorders>
                    <w:tl2br w:val="nil"/>
                    <w:tr2bl w:val="nil"/>
                  </w:tcBorders>
                  <w:vAlign w:val="center"/>
                </w:tcPr>
                <w:p w14:paraId="02F3C85C">
                  <w:pPr>
                    <w:autoSpaceDE w:val="0"/>
                    <w:autoSpaceDN w:val="0"/>
                    <w:adjustRightInd w:val="0"/>
                    <w:spacing w:line="300" w:lineRule="exact"/>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0.00082</w:t>
                  </w:r>
                </w:p>
              </w:tc>
            </w:tr>
          </w:tbl>
          <w:p w14:paraId="63FBF79C">
            <w:pPr>
              <w:spacing w:before="120" w:beforeLines="50"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由上表得知，本项目Q＜1，环境风险潜势为</w:t>
            </w:r>
            <w:r>
              <w:rPr>
                <w:rFonts w:hint="default" w:ascii="Times New Roman" w:hAnsi="Times New Roman" w:eastAsia="宋体" w:cs="Times New Roman"/>
                <w:color w:val="000000" w:themeColor="text1"/>
                <w:sz w:val="24"/>
                <w14:textFill>
                  <w14:solidFill>
                    <w14:schemeClr w14:val="tx1"/>
                  </w14:solidFill>
                </w14:textFill>
              </w:rPr>
              <w:fldChar w:fldCharType="begin"/>
            </w:r>
            <w:r>
              <w:rPr>
                <w:rFonts w:hint="default" w:ascii="Times New Roman" w:hAnsi="Times New Roman" w:eastAsia="宋体" w:cs="Times New Roman"/>
                <w:color w:val="000000" w:themeColor="text1"/>
                <w:sz w:val="24"/>
                <w14:textFill>
                  <w14:solidFill>
                    <w14:schemeClr w14:val="tx1"/>
                  </w14:solidFill>
                </w14:textFill>
              </w:rPr>
              <w:instrText xml:space="preserve"> = 1 \* ROMAN </w:instrText>
            </w:r>
            <w:r>
              <w:rPr>
                <w:rFonts w:hint="default" w:ascii="Times New Roman" w:hAnsi="Times New Roman" w:eastAsia="宋体" w:cs="Times New Roman"/>
                <w:color w:val="000000" w:themeColor="text1"/>
                <w:sz w:val="24"/>
                <w14:textFill>
                  <w14:solidFill>
                    <w14:schemeClr w14:val="tx1"/>
                  </w14:solidFill>
                </w14:textFill>
              </w:rPr>
              <w:fldChar w:fldCharType="separate"/>
            </w:r>
            <w:r>
              <w:rPr>
                <w:rFonts w:hint="default" w:ascii="Times New Roman" w:hAnsi="Times New Roman" w:eastAsia="宋体" w:cs="Times New Roman"/>
                <w:color w:val="000000" w:themeColor="text1"/>
                <w:sz w:val="24"/>
                <w14:textFill>
                  <w14:solidFill>
                    <w14:schemeClr w14:val="tx1"/>
                  </w14:solidFill>
                </w14:textFill>
              </w:rPr>
              <w:t>I</w:t>
            </w:r>
            <w:r>
              <w:rPr>
                <w:rFonts w:hint="default" w:ascii="Times New Roman" w:hAnsi="Times New Roman" w:eastAsia="宋体" w:cs="Times New Roman"/>
                <w:color w:val="000000" w:themeColor="text1"/>
                <w:sz w:val="24"/>
                <w14:textFill>
                  <w14:solidFill>
                    <w14:schemeClr w14:val="tx1"/>
                  </w14:solidFill>
                </w14:textFill>
              </w:rPr>
              <w:fldChar w:fldCharType="end"/>
            </w:r>
            <w:r>
              <w:rPr>
                <w:rFonts w:hint="default" w:ascii="Times New Roman" w:hAnsi="Times New Roman" w:eastAsia="宋体" w:cs="Times New Roman"/>
                <w:color w:val="000000" w:themeColor="text1"/>
                <w:sz w:val="24"/>
                <w14:textFill>
                  <w14:solidFill>
                    <w14:schemeClr w14:val="tx1"/>
                  </w14:solidFill>
                </w14:textFill>
              </w:rPr>
              <w:t>，评价工作等级为简单分析。</w:t>
            </w:r>
          </w:p>
          <w:p w14:paraId="545708C4">
            <w:pPr>
              <w:spacing w:line="360" w:lineRule="auto"/>
              <w:ind w:firstLine="480" w:firstLineChars="200"/>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（2）环境风险识别及分析</w:t>
            </w:r>
          </w:p>
          <w:p w14:paraId="29F83307">
            <w:pPr>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本项目危险物质、风险源分布、影响途径及环境影响情况见下表。</w:t>
            </w:r>
          </w:p>
          <w:p w14:paraId="31CA55A2">
            <w:pPr>
              <w:adjustRightInd w:val="0"/>
              <w:snapToGrid w:val="0"/>
              <w:ind w:firstLine="422" w:firstLineChars="200"/>
              <w:jc w:val="center"/>
              <w:rPr>
                <w:rFonts w:hint="default" w:ascii="Times New Roman" w:hAnsi="Times New Roman" w:eastAsia="宋体" w:cs="Times New Roman"/>
                <w:b/>
                <w:color w:val="000000" w:themeColor="text1"/>
                <w:szCs w:val="21"/>
                <w:lang w:bidi="ar"/>
                <w14:textFill>
                  <w14:solidFill>
                    <w14:schemeClr w14:val="tx1"/>
                  </w14:solidFill>
                </w14:textFill>
              </w:rPr>
            </w:pPr>
            <w:r>
              <w:rPr>
                <w:rFonts w:hint="default" w:ascii="Times New Roman" w:hAnsi="Times New Roman" w:eastAsia="宋体" w:cs="Times New Roman"/>
                <w:b/>
                <w:color w:val="000000" w:themeColor="text1"/>
                <w:kern w:val="0"/>
                <w:szCs w:val="21"/>
                <w14:textFill>
                  <w14:solidFill>
                    <w14:schemeClr w14:val="tx1"/>
                  </w14:solidFill>
                </w14:textFill>
              </w:rPr>
              <w:t>表4-</w:t>
            </w:r>
            <w:r>
              <w:rPr>
                <w:rFonts w:hint="eastAsia" w:cs="Times New Roman"/>
                <w:b/>
                <w:color w:val="000000" w:themeColor="text1"/>
                <w:kern w:val="0"/>
                <w:szCs w:val="21"/>
                <w:lang w:val="en-US" w:eastAsia="zh-CN"/>
                <w14:textFill>
                  <w14:solidFill>
                    <w14:schemeClr w14:val="tx1"/>
                  </w14:solidFill>
                </w14:textFill>
              </w:rPr>
              <w:t xml:space="preserve">20 </w:t>
            </w:r>
            <w:r>
              <w:rPr>
                <w:rFonts w:hint="default" w:ascii="Times New Roman" w:hAnsi="Times New Roman" w:eastAsia="宋体" w:cs="Times New Roman"/>
                <w:b/>
                <w:color w:val="000000" w:themeColor="text1"/>
                <w:kern w:val="0"/>
                <w:szCs w:val="21"/>
                <w14:textFill>
                  <w14:solidFill>
                    <w14:schemeClr w14:val="tx1"/>
                  </w14:solidFill>
                </w14:textFill>
              </w:rPr>
              <w:t>本项目风险物质影响途径一览表</w:t>
            </w:r>
          </w:p>
          <w:tbl>
            <w:tblPr>
              <w:tblStyle w:val="38"/>
              <w:tblW w:w="891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16"/>
              <w:gridCol w:w="891"/>
              <w:gridCol w:w="862"/>
              <w:gridCol w:w="1208"/>
              <w:gridCol w:w="1420"/>
              <w:gridCol w:w="4014"/>
            </w:tblGrid>
            <w:tr w14:paraId="57E343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6" w:type="dxa"/>
                  <w:tcBorders>
                    <w:tl2br w:val="nil"/>
                    <w:tr2bl w:val="nil"/>
                  </w:tcBorders>
                  <w:vAlign w:val="center"/>
                </w:tcPr>
                <w:p w14:paraId="3A43E345">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序号</w:t>
                  </w:r>
                </w:p>
              </w:tc>
              <w:tc>
                <w:tcPr>
                  <w:tcW w:w="891" w:type="dxa"/>
                  <w:tcBorders>
                    <w:tl2br w:val="nil"/>
                    <w:tr2bl w:val="nil"/>
                  </w:tcBorders>
                  <w:vAlign w:val="center"/>
                </w:tcPr>
                <w:p w14:paraId="5972A97A">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危险单元</w:t>
                  </w:r>
                </w:p>
              </w:tc>
              <w:tc>
                <w:tcPr>
                  <w:tcW w:w="862" w:type="dxa"/>
                  <w:tcBorders>
                    <w:tl2br w:val="nil"/>
                    <w:tr2bl w:val="nil"/>
                  </w:tcBorders>
                  <w:vAlign w:val="center"/>
                </w:tcPr>
                <w:p w14:paraId="1EDC9E3D">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风险源</w:t>
                  </w:r>
                </w:p>
              </w:tc>
              <w:tc>
                <w:tcPr>
                  <w:tcW w:w="1208" w:type="dxa"/>
                  <w:tcBorders>
                    <w:tl2br w:val="nil"/>
                    <w:tr2bl w:val="nil"/>
                  </w:tcBorders>
                  <w:vAlign w:val="center"/>
                </w:tcPr>
                <w:p w14:paraId="10AF59BD">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有害物质</w:t>
                  </w:r>
                </w:p>
              </w:tc>
              <w:tc>
                <w:tcPr>
                  <w:tcW w:w="1420" w:type="dxa"/>
                  <w:tcBorders>
                    <w:tl2br w:val="nil"/>
                    <w:tr2bl w:val="nil"/>
                  </w:tcBorders>
                  <w:vAlign w:val="center"/>
                </w:tcPr>
                <w:p w14:paraId="32125764">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环境风险类型</w:t>
                  </w:r>
                </w:p>
              </w:tc>
              <w:tc>
                <w:tcPr>
                  <w:tcW w:w="4014" w:type="dxa"/>
                  <w:tcBorders>
                    <w:tl2br w:val="nil"/>
                    <w:tr2bl w:val="nil"/>
                  </w:tcBorders>
                  <w:vAlign w:val="center"/>
                </w:tcPr>
                <w:p w14:paraId="04AF65DB">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环境影响途径</w:t>
                  </w:r>
                </w:p>
              </w:tc>
            </w:tr>
            <w:tr w14:paraId="1604AC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6" w:type="dxa"/>
                  <w:tcBorders>
                    <w:tl2br w:val="nil"/>
                    <w:tr2bl w:val="nil"/>
                  </w:tcBorders>
                  <w:vAlign w:val="center"/>
                </w:tcPr>
                <w:p w14:paraId="44ADB125">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w:t>
                  </w:r>
                </w:p>
              </w:tc>
              <w:tc>
                <w:tcPr>
                  <w:tcW w:w="891" w:type="dxa"/>
                  <w:tcBorders>
                    <w:tl2br w:val="nil"/>
                    <w:tr2bl w:val="nil"/>
                  </w:tcBorders>
                  <w:vAlign w:val="center"/>
                </w:tcPr>
                <w:p w14:paraId="5671BAD2">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生产车间</w:t>
                  </w:r>
                </w:p>
              </w:tc>
              <w:tc>
                <w:tcPr>
                  <w:tcW w:w="862" w:type="dxa"/>
                  <w:tcBorders>
                    <w:tl2br w:val="nil"/>
                    <w:tr2bl w:val="nil"/>
                  </w:tcBorders>
                  <w:shd w:val="clear" w:color="auto" w:fill="auto"/>
                  <w:vAlign w:val="center"/>
                </w:tcPr>
                <w:p w14:paraId="6418F715">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危废间</w:t>
                  </w:r>
                  <w:r>
                    <w:rPr>
                      <w:rFonts w:hint="eastAsia" w:cs="Times New Roman"/>
                      <w:color w:val="000000" w:themeColor="text1"/>
                      <w:szCs w:val="21"/>
                      <w:lang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生产设备</w:t>
                  </w:r>
                </w:p>
              </w:tc>
              <w:tc>
                <w:tcPr>
                  <w:tcW w:w="1208" w:type="dxa"/>
                  <w:tcBorders>
                    <w:tl2br w:val="nil"/>
                    <w:tr2bl w:val="nil"/>
                  </w:tcBorders>
                  <w:shd w:val="clear" w:color="auto" w:fill="auto"/>
                  <w:vAlign w:val="center"/>
                </w:tcPr>
                <w:p w14:paraId="2CCBD6F1">
                  <w:pPr>
                    <w:autoSpaceDE w:val="0"/>
                    <w:autoSpaceDN w:val="0"/>
                    <w:adjustRightInd w:val="0"/>
                    <w:spacing w:line="30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废润滑油</w:t>
                  </w:r>
                  <w:r>
                    <w:rPr>
                      <w:rFonts w:hint="eastAsia" w:cs="Times New Roman"/>
                      <w:color w:val="000000" w:themeColor="text1"/>
                      <w:szCs w:val="21"/>
                      <w:lang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润滑油</w:t>
                  </w:r>
                </w:p>
              </w:tc>
              <w:tc>
                <w:tcPr>
                  <w:tcW w:w="1420" w:type="dxa"/>
                  <w:tcBorders>
                    <w:tl2br w:val="nil"/>
                    <w:tr2bl w:val="nil"/>
                  </w:tcBorders>
                  <w:shd w:val="clear" w:color="auto" w:fill="auto"/>
                  <w:vAlign w:val="center"/>
                </w:tcPr>
                <w:p w14:paraId="2301AE2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泄漏</w:t>
                  </w:r>
                </w:p>
              </w:tc>
              <w:tc>
                <w:tcPr>
                  <w:tcW w:w="4014" w:type="dxa"/>
                  <w:tcBorders>
                    <w:tl2br w:val="nil"/>
                    <w:tr2bl w:val="nil"/>
                  </w:tcBorders>
                  <w:shd w:val="clear" w:color="auto" w:fill="auto"/>
                  <w:vAlign w:val="center"/>
                </w:tcPr>
                <w:p w14:paraId="1281BB8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泄漏物料通过漫流、下渗等对周围地表水、地下水和土壤环境造成影响</w:t>
                  </w:r>
                </w:p>
              </w:tc>
            </w:tr>
            <w:tr w14:paraId="43C129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6" w:type="dxa"/>
                  <w:tcBorders>
                    <w:tl2br w:val="nil"/>
                    <w:tr2bl w:val="nil"/>
                  </w:tcBorders>
                  <w:vAlign w:val="center"/>
                </w:tcPr>
                <w:p w14:paraId="60C31D33">
                  <w:pPr>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w:t>
                  </w:r>
                </w:p>
              </w:tc>
              <w:tc>
                <w:tcPr>
                  <w:tcW w:w="891" w:type="dxa"/>
                  <w:tcBorders>
                    <w:tl2br w:val="nil"/>
                    <w:tr2bl w:val="nil"/>
                  </w:tcBorders>
                  <w:shd w:val="clear" w:color="auto" w:fill="auto"/>
                  <w:vAlign w:val="center"/>
                </w:tcPr>
                <w:p w14:paraId="42FB494D">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生产车间</w:t>
                  </w:r>
                </w:p>
              </w:tc>
              <w:tc>
                <w:tcPr>
                  <w:tcW w:w="862" w:type="dxa"/>
                  <w:tcBorders>
                    <w:tl2br w:val="nil"/>
                    <w:tr2bl w:val="nil"/>
                  </w:tcBorders>
                  <w:shd w:val="clear" w:color="auto" w:fill="auto"/>
                  <w:vAlign w:val="center"/>
                </w:tcPr>
                <w:p w14:paraId="7518708C">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危废间</w:t>
                  </w:r>
                  <w:r>
                    <w:rPr>
                      <w:rFonts w:hint="eastAsia" w:cs="Times New Roman"/>
                      <w:color w:val="000000" w:themeColor="text1"/>
                      <w:szCs w:val="21"/>
                      <w:lang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生产设备</w:t>
                  </w:r>
                </w:p>
              </w:tc>
              <w:tc>
                <w:tcPr>
                  <w:tcW w:w="1208" w:type="dxa"/>
                  <w:tcBorders>
                    <w:tl2br w:val="nil"/>
                    <w:tr2bl w:val="nil"/>
                  </w:tcBorders>
                  <w:shd w:val="clear" w:color="auto" w:fill="auto"/>
                  <w:vAlign w:val="center"/>
                </w:tcPr>
                <w:p w14:paraId="4CFE5801">
                  <w:pPr>
                    <w:autoSpaceDE w:val="0"/>
                    <w:autoSpaceDN w:val="0"/>
                    <w:adjustRightInd w:val="0"/>
                    <w:spacing w:line="30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废导热油</w:t>
                  </w:r>
                </w:p>
              </w:tc>
              <w:tc>
                <w:tcPr>
                  <w:tcW w:w="1420" w:type="dxa"/>
                  <w:tcBorders>
                    <w:tl2br w:val="nil"/>
                    <w:tr2bl w:val="nil"/>
                  </w:tcBorders>
                  <w:shd w:val="clear" w:color="auto" w:fill="auto"/>
                  <w:vAlign w:val="center"/>
                </w:tcPr>
                <w:p w14:paraId="598C88E0">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泄漏</w:t>
                  </w:r>
                </w:p>
              </w:tc>
              <w:tc>
                <w:tcPr>
                  <w:tcW w:w="4014" w:type="dxa"/>
                  <w:tcBorders>
                    <w:tl2br w:val="nil"/>
                    <w:tr2bl w:val="nil"/>
                  </w:tcBorders>
                  <w:shd w:val="clear" w:color="auto" w:fill="auto"/>
                  <w:vAlign w:val="center"/>
                </w:tcPr>
                <w:p w14:paraId="2ED834AE">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泄漏物料通过漫流、下渗等对周围地表水、地下水和土壤环境造成影响</w:t>
                  </w:r>
                </w:p>
              </w:tc>
            </w:tr>
          </w:tbl>
          <w:p w14:paraId="1A2BD7C5">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（3）环境风险防范措施及应急要求</w:t>
            </w:r>
          </w:p>
          <w:p w14:paraId="1F016B33">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①严格按照工业安全生产规定，设置安全监控点，按中华全国总工会职业危害安全监控法执行；</w:t>
            </w:r>
          </w:p>
          <w:p w14:paraId="147A33B6">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②加强职工安全环保教育，增强操作工人的责任心，防止和减少因人为因素造成的事故，同时也要加强防火安全教育；</w:t>
            </w:r>
          </w:p>
          <w:p w14:paraId="2F1E78BA">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③将原料、成品分区存放，并保证存储区域交通便利、防火、通风、防潮、防霉变等，特别是防火，在</w:t>
            </w:r>
            <w:r>
              <w:rPr>
                <w:rFonts w:hint="eastAsia" w:cs="Times New Roman"/>
                <w:color w:val="000000" w:themeColor="text1"/>
                <w:sz w:val="24"/>
                <w:lang w:val="en-US" w:eastAsia="zh-CN"/>
                <w14:textFill>
                  <w14:solidFill>
                    <w14:schemeClr w14:val="tx1"/>
                  </w14:solidFill>
                </w14:textFill>
              </w:rPr>
              <w:t>生产车间</w:t>
            </w:r>
            <w:r>
              <w:rPr>
                <w:rFonts w:hint="default" w:ascii="Times New Roman" w:hAnsi="Times New Roman" w:eastAsia="宋体" w:cs="Times New Roman"/>
                <w:color w:val="000000" w:themeColor="text1"/>
                <w:sz w:val="24"/>
                <w14:textFill>
                  <w14:solidFill>
                    <w14:schemeClr w14:val="tx1"/>
                  </w14:solidFill>
                </w14:textFill>
              </w:rPr>
              <w:t>内严禁堆放易燃易爆物质，严禁使用明火，定期检查，排除隐患。</w:t>
            </w:r>
          </w:p>
          <w:p w14:paraId="3F0A4678">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④车辆运输入场时必须保持安全车速，保持车距，严禁超车，超速和强行会车。</w:t>
            </w:r>
          </w:p>
          <w:p w14:paraId="083E4DB4">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⑤加强工作人员的安全教育，加大管理力度，及时清扫、检修设备也是不可少的防护措施。</w:t>
            </w:r>
          </w:p>
          <w:p w14:paraId="59379947">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⑥定期对灭火器</w:t>
            </w:r>
            <w:r>
              <w:rPr>
                <w:rFonts w:hint="eastAsia" w:ascii="Times New Roman" w:hAnsi="Times New Roman" w:eastAsia="宋体" w:cs="Times New Roman"/>
                <w:color w:val="000000" w:themeColor="text1"/>
                <w:sz w:val="24"/>
                <w:lang w:val="en-US" w:eastAsia="zh-CN"/>
                <w14:textFill>
                  <w14:solidFill>
                    <w14:schemeClr w14:val="tx1"/>
                  </w14:solidFill>
                </w14:textFill>
              </w:rPr>
              <w:t>等消防设施</w:t>
            </w:r>
            <w:r>
              <w:rPr>
                <w:rFonts w:hint="default" w:ascii="Times New Roman" w:hAnsi="Times New Roman" w:eastAsia="宋体" w:cs="Times New Roman"/>
                <w:color w:val="000000" w:themeColor="text1"/>
                <w:sz w:val="24"/>
                <w14:textFill>
                  <w14:solidFill>
                    <w14:schemeClr w14:val="tx1"/>
                  </w14:solidFill>
                </w14:textFill>
              </w:rPr>
              <w:t>进行检测、维护，确保完整好用。依照企业现有的消防力量对于扑灭大面积火灾有一定难度，建议企业与附近相邻企业建立密切联系，制定更加务实有效的应急救援预案，并定期给予演练。</w:t>
            </w:r>
          </w:p>
          <w:p w14:paraId="2544A524">
            <w:pPr>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⑦环保设施</w:t>
            </w:r>
            <w:r>
              <w:rPr>
                <w:rFonts w:hint="default" w:ascii="Times New Roman" w:hAnsi="Times New Roman" w:eastAsia="宋体" w:cs="Times New Roman"/>
                <w:color w:val="000000" w:themeColor="text1"/>
                <w:sz w:val="24"/>
                <w:lang w:val="en-US" w:eastAsia="zh-CN"/>
                <w14:textFill>
                  <w14:solidFill>
                    <w14:schemeClr w14:val="tx1"/>
                  </w14:solidFill>
                </w14:textFill>
              </w:rPr>
              <w:t>风险防范措施</w:t>
            </w:r>
            <w:r>
              <w:rPr>
                <w:rFonts w:hint="eastAsia" w:ascii="Times New Roman" w:hAnsi="Times New Roman" w:eastAsia="宋体" w:cs="Times New Roman"/>
                <w:color w:val="000000" w:themeColor="text1"/>
                <w:sz w:val="24"/>
                <w:lang w:val="en-US" w:eastAsia="zh-CN"/>
                <w14:textFill>
                  <w14:solidFill>
                    <w14:schemeClr w14:val="tx1"/>
                  </w14:solidFill>
                </w14:textFill>
              </w:rPr>
              <w:t>：</w:t>
            </w:r>
          </w:p>
          <w:p w14:paraId="778F4BEB">
            <w:pPr>
              <w:adjustRightInd w:val="0"/>
              <w:snapToGrid w:val="0"/>
              <w:spacing w:line="360" w:lineRule="auto"/>
              <w:ind w:firstLine="480" w:firstLineChars="200"/>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在</w:t>
            </w:r>
            <w:r>
              <w:rPr>
                <w:rFonts w:hint="eastAsia" w:ascii="Times New Roman" w:hAnsi="Times New Roman" w:eastAsia="宋体" w:cs="Times New Roman"/>
                <w:color w:val="000000" w:themeColor="text1"/>
                <w:sz w:val="24"/>
                <w:lang w:val="en-US" w:eastAsia="zh-CN"/>
                <w14:textFill>
                  <w14:solidFill>
                    <w14:schemeClr w14:val="tx1"/>
                  </w14:solidFill>
                </w14:textFill>
              </w:rPr>
              <w:t>环保设施</w:t>
            </w:r>
            <w:r>
              <w:rPr>
                <w:rFonts w:hint="default" w:ascii="Times New Roman" w:hAnsi="Times New Roman" w:eastAsia="宋体" w:cs="Times New Roman"/>
                <w:color w:val="000000" w:themeColor="text1"/>
                <w:sz w:val="24"/>
                <w14:textFill>
                  <w14:solidFill>
                    <w14:schemeClr w14:val="tx1"/>
                  </w14:solidFill>
                </w14:textFill>
              </w:rPr>
              <w:t>周围设置明显的禁火标志，严禁烟火。定期检查</w:t>
            </w:r>
            <w:r>
              <w:rPr>
                <w:rFonts w:hint="eastAsia" w:ascii="Times New Roman" w:hAnsi="Times New Roman" w:eastAsia="宋体" w:cs="Times New Roman"/>
                <w:color w:val="000000" w:themeColor="text1"/>
                <w:sz w:val="24"/>
                <w:lang w:val="en-US" w:eastAsia="zh-CN"/>
                <w14:textFill>
                  <w14:solidFill>
                    <w14:schemeClr w14:val="tx1"/>
                  </w14:solidFill>
                </w14:textFill>
              </w:rPr>
              <w:t>环保设施</w:t>
            </w:r>
            <w:r>
              <w:rPr>
                <w:rFonts w:hint="default" w:ascii="Times New Roman" w:hAnsi="Times New Roman" w:eastAsia="宋体" w:cs="Times New Roman"/>
                <w:color w:val="000000" w:themeColor="text1"/>
                <w:sz w:val="24"/>
                <w14:textFill>
                  <w14:solidFill>
                    <w14:schemeClr w14:val="tx1"/>
                  </w14:solidFill>
                </w14:textFill>
              </w:rPr>
              <w:t>内部的活性炭状态，确保其不会因过热而引发火灾。配备专用的消防设施和器材，如灭火器、消防栓等，并定期进行消防安全演练，提高员工的应急处理能力。对</w:t>
            </w:r>
            <w:r>
              <w:rPr>
                <w:rFonts w:hint="eastAsia" w:ascii="Times New Roman" w:hAnsi="Times New Roman" w:eastAsia="宋体" w:cs="Times New Roman"/>
                <w:color w:val="000000" w:themeColor="text1"/>
                <w:sz w:val="24"/>
                <w:lang w:val="en-US" w:eastAsia="zh-CN"/>
                <w14:textFill>
                  <w14:solidFill>
                    <w14:schemeClr w14:val="tx1"/>
                  </w14:solidFill>
                </w14:textFill>
              </w:rPr>
              <w:t>环保设施</w:t>
            </w:r>
            <w:r>
              <w:rPr>
                <w:rFonts w:hint="default" w:ascii="Times New Roman" w:hAnsi="Times New Roman" w:eastAsia="宋体" w:cs="Times New Roman"/>
                <w:color w:val="000000" w:themeColor="text1"/>
                <w:sz w:val="24"/>
                <w14:textFill>
                  <w14:solidFill>
                    <w14:schemeClr w14:val="tx1"/>
                  </w14:solidFill>
                </w14:textFill>
              </w:rPr>
              <w:t>的连接部位、阀门等关键部位进行定期检查和维护，确保其密封性能良好。在</w:t>
            </w:r>
            <w:r>
              <w:rPr>
                <w:rFonts w:hint="eastAsia" w:ascii="Times New Roman" w:hAnsi="Times New Roman" w:eastAsia="宋体" w:cs="Times New Roman"/>
                <w:color w:val="000000" w:themeColor="text1"/>
                <w:sz w:val="24"/>
                <w:lang w:val="en-US" w:eastAsia="zh-CN"/>
                <w14:textFill>
                  <w14:solidFill>
                    <w14:schemeClr w14:val="tx1"/>
                  </w14:solidFill>
                </w14:textFill>
              </w:rPr>
              <w:t>环保设施</w:t>
            </w:r>
            <w:r>
              <w:rPr>
                <w:rFonts w:hint="default" w:ascii="Times New Roman" w:hAnsi="Times New Roman" w:eastAsia="宋体" w:cs="Times New Roman"/>
                <w:color w:val="000000" w:themeColor="text1"/>
                <w:sz w:val="24"/>
                <w14:textFill>
                  <w14:solidFill>
                    <w14:schemeClr w14:val="tx1"/>
                  </w14:solidFill>
                </w14:textFill>
              </w:rPr>
              <w:t>运行过程中，实时监测废气流量和压力等数据，一旦发现异常波动，立即进行排查和处理。建立完善的泄漏应急预案，一旦发生泄漏事故，能够迅速响应并控制事态发展。选用耐腐蚀性材料制作设备的关键部件，如不锈钢、玻璃钢等。定期对</w:t>
            </w:r>
            <w:r>
              <w:rPr>
                <w:rFonts w:hint="eastAsia" w:ascii="Times New Roman" w:hAnsi="Times New Roman" w:eastAsia="宋体" w:cs="Times New Roman"/>
                <w:color w:val="000000" w:themeColor="text1"/>
                <w:sz w:val="24"/>
                <w:lang w:val="en-US" w:eastAsia="zh-CN"/>
                <w14:textFill>
                  <w14:solidFill>
                    <w14:schemeClr w14:val="tx1"/>
                  </w14:solidFill>
                </w14:textFill>
              </w:rPr>
              <w:t>环保设施</w:t>
            </w:r>
            <w:r>
              <w:rPr>
                <w:rFonts w:hint="default" w:ascii="Times New Roman" w:hAnsi="Times New Roman" w:eastAsia="宋体" w:cs="Times New Roman"/>
                <w:color w:val="000000" w:themeColor="text1"/>
                <w:sz w:val="24"/>
                <w14:textFill>
                  <w14:solidFill>
                    <w14:schemeClr w14:val="tx1"/>
                  </w14:solidFill>
                </w14:textFill>
              </w:rPr>
              <w:t>进行防腐处理，如涂刷防腐涂料、更换腐蚀严重的部件等。加强</w:t>
            </w:r>
            <w:r>
              <w:rPr>
                <w:rFonts w:hint="eastAsia" w:ascii="Times New Roman" w:hAnsi="Times New Roman" w:eastAsia="宋体" w:cs="Times New Roman"/>
                <w:color w:val="000000" w:themeColor="text1"/>
                <w:sz w:val="24"/>
                <w:lang w:val="en-US" w:eastAsia="zh-CN"/>
                <w14:textFill>
                  <w14:solidFill>
                    <w14:schemeClr w14:val="tx1"/>
                  </w14:solidFill>
                </w14:textFill>
              </w:rPr>
              <w:t>环保设施</w:t>
            </w:r>
            <w:r>
              <w:rPr>
                <w:rFonts w:hint="default" w:ascii="Times New Roman" w:hAnsi="Times New Roman" w:eastAsia="宋体" w:cs="Times New Roman"/>
                <w:color w:val="000000" w:themeColor="text1"/>
                <w:sz w:val="24"/>
                <w14:textFill>
                  <w14:solidFill>
                    <w14:schemeClr w14:val="tx1"/>
                  </w14:solidFill>
                </w14:textFill>
              </w:rPr>
              <w:t>的日常维护和保养，保持其清洁干燥，减少腐蚀因素的产生。</w:t>
            </w:r>
          </w:p>
          <w:p w14:paraId="787F928B">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⑧</w:t>
            </w:r>
            <w:r>
              <w:rPr>
                <w:rFonts w:hint="default" w:ascii="Times New Roman" w:hAnsi="Times New Roman" w:eastAsia="宋体" w:cs="Times New Roman"/>
                <w:color w:val="000000" w:themeColor="text1"/>
                <w:sz w:val="24"/>
                <w14:textFill>
                  <w14:solidFill>
                    <w14:schemeClr w14:val="tx1"/>
                  </w14:solidFill>
                </w14:textFill>
              </w:rPr>
              <w:t>泄漏事故防范措施：</w:t>
            </w:r>
          </w:p>
          <w:p w14:paraId="3067308C">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本项目可能出现的突发环境事件为储存设施泄漏，针对可能发生的风险事件，</w:t>
            </w:r>
            <w:r>
              <w:rPr>
                <w:rFonts w:hint="eastAsia" w:cs="Times New Roman"/>
                <w:color w:val="000000" w:themeColor="text1"/>
                <w:sz w:val="24"/>
                <w:lang w:val="en-US" w:eastAsia="zh-CN"/>
                <w14:textFill>
                  <w14:solidFill>
                    <w14:schemeClr w14:val="tx1"/>
                  </w14:solidFill>
                </w14:textFill>
              </w:rPr>
              <w:t>暂存</w:t>
            </w:r>
            <w:r>
              <w:rPr>
                <w:rFonts w:hint="eastAsia" w:ascii="Times New Roman" w:hAnsi="Times New Roman" w:eastAsia="宋体" w:cs="Times New Roman"/>
                <w:color w:val="000000" w:themeColor="text1"/>
                <w:sz w:val="24"/>
                <w:lang w:val="en-US" w:eastAsia="zh-CN"/>
                <w14:textFill>
                  <w14:solidFill>
                    <w14:schemeClr w14:val="tx1"/>
                  </w14:solidFill>
                </w14:textFill>
              </w:rPr>
              <w:t>区</w:t>
            </w:r>
            <w:r>
              <w:rPr>
                <w:rFonts w:hint="default" w:ascii="Times New Roman" w:hAnsi="Times New Roman" w:eastAsia="宋体" w:cs="Times New Roman"/>
                <w:color w:val="000000" w:themeColor="text1"/>
                <w:sz w:val="24"/>
                <w14:textFill>
                  <w14:solidFill>
                    <w14:schemeClr w14:val="tx1"/>
                  </w14:solidFill>
                </w14:textFill>
              </w:rPr>
              <w:t>以及生产车间地面均进行硬化以及防渗处理，制定巡查制度定期检查</w:t>
            </w:r>
            <w:r>
              <w:rPr>
                <w:rFonts w:hint="eastAsia" w:ascii="Times New Roman" w:hAnsi="Times New Roman" w:eastAsia="宋体" w:cs="Times New Roman"/>
                <w:color w:val="000000" w:themeColor="text1"/>
                <w:sz w:val="24"/>
                <w:lang w:val="en-US" w:eastAsia="zh-CN"/>
                <w14:textFill>
                  <w14:solidFill>
                    <w14:schemeClr w14:val="tx1"/>
                  </w14:solidFill>
                </w14:textFill>
              </w:rPr>
              <w:t>加热搅拌罐</w:t>
            </w:r>
            <w:r>
              <w:rPr>
                <w:rFonts w:hint="default" w:ascii="Times New Roman" w:hAnsi="Times New Roman" w:eastAsia="宋体" w:cs="Times New Roman"/>
                <w:color w:val="000000" w:themeColor="text1"/>
                <w:sz w:val="24"/>
                <w14:textFill>
                  <w14:solidFill>
                    <w14:schemeClr w14:val="tx1"/>
                  </w14:solidFill>
                </w14:textFill>
              </w:rPr>
              <w:t>、管道、阀门的密封情况，避免跑冒滴漏现象。</w:t>
            </w:r>
          </w:p>
          <w:p w14:paraId="01BE46E0">
            <w:pPr>
              <w:adjustRightInd w:val="0"/>
              <w:snapToGrid w:val="0"/>
              <w:spacing w:line="360" w:lineRule="auto"/>
              <w:ind w:firstLine="480" w:firstLineChars="20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（4）环境风险事故应急预案</w:t>
            </w:r>
          </w:p>
          <w:p w14:paraId="7BB1B4F2">
            <w:pPr>
              <w:jc w:val="center"/>
              <w:rPr>
                <w:rFonts w:hint="default" w:ascii="Times New Roman" w:hAnsi="Times New Roman" w:eastAsia="宋体" w:cs="Times New Roman"/>
                <w:b/>
                <w:color w:val="000000" w:themeColor="text1"/>
                <w:kern w:val="0"/>
                <w:szCs w:val="21"/>
                <w:lang w:val="zh-CN"/>
                <w14:textFill>
                  <w14:solidFill>
                    <w14:schemeClr w14:val="tx1"/>
                  </w14:solidFill>
                </w14:textFill>
              </w:rPr>
            </w:pPr>
            <w:r>
              <w:rPr>
                <w:rFonts w:hint="default" w:ascii="Times New Roman" w:hAnsi="Times New Roman" w:eastAsia="宋体" w:cs="Times New Roman"/>
                <w:b/>
                <w:color w:val="000000" w:themeColor="text1"/>
                <w:kern w:val="0"/>
                <w:szCs w:val="21"/>
                <w14:textFill>
                  <w14:solidFill>
                    <w14:schemeClr w14:val="tx1"/>
                  </w14:solidFill>
                </w14:textFill>
              </w:rPr>
              <w:t>表4-</w:t>
            </w:r>
            <w:r>
              <w:rPr>
                <w:rFonts w:hint="eastAsia" w:cs="Times New Roman"/>
                <w:b/>
                <w:color w:val="000000" w:themeColor="text1"/>
                <w:kern w:val="0"/>
                <w:szCs w:val="21"/>
                <w:lang w:val="en-US" w:eastAsia="zh-CN"/>
                <w14:textFill>
                  <w14:solidFill>
                    <w14:schemeClr w14:val="tx1"/>
                  </w14:solidFill>
                </w14:textFill>
              </w:rPr>
              <w:t xml:space="preserve">21 </w:t>
            </w:r>
            <w:r>
              <w:rPr>
                <w:rFonts w:hint="default" w:ascii="Times New Roman" w:hAnsi="Times New Roman" w:eastAsia="宋体" w:cs="Times New Roman"/>
                <w:b/>
                <w:color w:val="000000" w:themeColor="text1"/>
                <w:kern w:val="0"/>
                <w:szCs w:val="21"/>
                <w:lang w:val="zh-CN"/>
                <w14:textFill>
                  <w14:solidFill>
                    <w14:schemeClr w14:val="tx1"/>
                  </w14:solidFill>
                </w14:textFill>
              </w:rPr>
              <w:t>项目应急预案一览表</w:t>
            </w:r>
          </w:p>
          <w:tbl>
            <w:tblPr>
              <w:tblStyle w:val="3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3"/>
              <w:gridCol w:w="2785"/>
              <w:gridCol w:w="5318"/>
            </w:tblGrid>
            <w:tr w14:paraId="39EEDD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56" w:type="pct"/>
                  <w:tcBorders>
                    <w:tl2br w:val="nil"/>
                    <w:tr2bl w:val="nil"/>
                  </w:tcBorders>
                  <w:vAlign w:val="center"/>
                </w:tcPr>
                <w:p w14:paraId="6B77A33F">
                  <w:pPr>
                    <w:adjustRightInd w:val="0"/>
                    <w:snapToGrid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序号</w:t>
                  </w:r>
                </w:p>
              </w:tc>
              <w:tc>
                <w:tcPr>
                  <w:tcW w:w="1562" w:type="pct"/>
                  <w:tcBorders>
                    <w:tl2br w:val="nil"/>
                    <w:tr2bl w:val="nil"/>
                  </w:tcBorders>
                  <w:vAlign w:val="center"/>
                </w:tcPr>
                <w:p w14:paraId="67BE980D">
                  <w:pPr>
                    <w:adjustRightInd w:val="0"/>
                    <w:snapToGrid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项目</w:t>
                  </w:r>
                </w:p>
              </w:tc>
              <w:tc>
                <w:tcPr>
                  <w:tcW w:w="2981" w:type="pct"/>
                  <w:tcBorders>
                    <w:tl2br w:val="nil"/>
                    <w:tr2bl w:val="nil"/>
                  </w:tcBorders>
                  <w:vAlign w:val="center"/>
                </w:tcPr>
                <w:p w14:paraId="15DC27C8">
                  <w:pPr>
                    <w:adjustRightInd w:val="0"/>
                    <w:snapToGrid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内容及要求</w:t>
                  </w:r>
                </w:p>
              </w:tc>
            </w:tr>
            <w:tr w14:paraId="4304C4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56" w:type="pct"/>
                  <w:tcBorders>
                    <w:tl2br w:val="nil"/>
                    <w:tr2bl w:val="nil"/>
                  </w:tcBorders>
                  <w:vAlign w:val="center"/>
                </w:tcPr>
                <w:p w14:paraId="1BA8DA8D">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w:t>
                  </w:r>
                </w:p>
              </w:tc>
              <w:tc>
                <w:tcPr>
                  <w:tcW w:w="1562" w:type="pct"/>
                  <w:tcBorders>
                    <w:tl2br w:val="nil"/>
                    <w:tr2bl w:val="nil"/>
                  </w:tcBorders>
                  <w:vAlign w:val="center"/>
                </w:tcPr>
                <w:p w14:paraId="37D511B7">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应急组织机构、人员</w:t>
                  </w:r>
                </w:p>
              </w:tc>
              <w:tc>
                <w:tcPr>
                  <w:tcW w:w="2981" w:type="pct"/>
                  <w:tcBorders>
                    <w:tl2br w:val="nil"/>
                    <w:tr2bl w:val="nil"/>
                  </w:tcBorders>
                  <w:vAlign w:val="center"/>
                </w:tcPr>
                <w:p w14:paraId="04155FB1">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设立事故应急机构，人员由企业主要领导、安全负责人、环保负责人等主要人员组成</w:t>
                  </w:r>
                </w:p>
              </w:tc>
            </w:tr>
            <w:tr w14:paraId="00FB76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56" w:type="pct"/>
                  <w:tcBorders>
                    <w:tl2br w:val="nil"/>
                    <w:tr2bl w:val="nil"/>
                  </w:tcBorders>
                  <w:vAlign w:val="center"/>
                </w:tcPr>
                <w:p w14:paraId="28ED42E8">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w:t>
                  </w:r>
                </w:p>
              </w:tc>
              <w:tc>
                <w:tcPr>
                  <w:tcW w:w="1562" w:type="pct"/>
                  <w:tcBorders>
                    <w:tl2br w:val="nil"/>
                    <w:tr2bl w:val="nil"/>
                  </w:tcBorders>
                  <w:vAlign w:val="center"/>
                </w:tcPr>
                <w:p w14:paraId="312C7714">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应急救援</w:t>
                  </w:r>
                </w:p>
              </w:tc>
              <w:tc>
                <w:tcPr>
                  <w:tcW w:w="2981" w:type="pct"/>
                  <w:tcBorders>
                    <w:tl2br w:val="nil"/>
                    <w:tr2bl w:val="nil"/>
                  </w:tcBorders>
                  <w:vAlign w:val="center"/>
                </w:tcPr>
                <w:p w14:paraId="11E107F8">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企业应配备必要的应急设施及设备和器材；事故易发的工作岗位配备必需的防护用品等</w:t>
                  </w:r>
                </w:p>
              </w:tc>
            </w:tr>
            <w:tr w14:paraId="6BDADB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56" w:type="pct"/>
                  <w:tcBorders>
                    <w:tl2br w:val="nil"/>
                    <w:tr2bl w:val="nil"/>
                  </w:tcBorders>
                  <w:vAlign w:val="center"/>
                </w:tcPr>
                <w:p w14:paraId="49FB42C9">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w:t>
                  </w:r>
                </w:p>
              </w:tc>
              <w:tc>
                <w:tcPr>
                  <w:tcW w:w="1562" w:type="pct"/>
                  <w:tcBorders>
                    <w:tl2br w:val="nil"/>
                    <w:tr2bl w:val="nil"/>
                  </w:tcBorders>
                  <w:vAlign w:val="center"/>
                </w:tcPr>
                <w:p w14:paraId="473DF748">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报警、通讯联络方式</w:t>
                  </w:r>
                </w:p>
              </w:tc>
              <w:tc>
                <w:tcPr>
                  <w:tcW w:w="2981" w:type="pct"/>
                  <w:tcBorders>
                    <w:tl2br w:val="nil"/>
                    <w:tr2bl w:val="nil"/>
                  </w:tcBorders>
                  <w:vAlign w:val="center"/>
                </w:tcPr>
                <w:p w14:paraId="2F44576E">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建立专用的报警和通讯线路，并保持其畅通</w:t>
                  </w:r>
                </w:p>
              </w:tc>
            </w:tr>
            <w:tr w14:paraId="1564C5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56" w:type="pct"/>
                  <w:tcBorders>
                    <w:tl2br w:val="nil"/>
                    <w:tr2bl w:val="nil"/>
                  </w:tcBorders>
                  <w:vAlign w:val="center"/>
                </w:tcPr>
                <w:p w14:paraId="461E9F22">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4</w:t>
                  </w:r>
                </w:p>
              </w:tc>
              <w:tc>
                <w:tcPr>
                  <w:tcW w:w="1562" w:type="pct"/>
                  <w:tcBorders>
                    <w:tl2br w:val="nil"/>
                    <w:tr2bl w:val="nil"/>
                  </w:tcBorders>
                  <w:vAlign w:val="center"/>
                </w:tcPr>
                <w:p w14:paraId="1FCBAA1A">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应急环境监测、抢救、救援及控制措施</w:t>
                  </w:r>
                </w:p>
              </w:tc>
              <w:tc>
                <w:tcPr>
                  <w:tcW w:w="2981" w:type="pct"/>
                  <w:tcBorders>
                    <w:tl2br w:val="nil"/>
                    <w:tr2bl w:val="nil"/>
                  </w:tcBorders>
                  <w:vAlign w:val="center"/>
                </w:tcPr>
                <w:p w14:paraId="63497D9C">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发生事故时，要保证现场的事故处理设施和全厂的应急处理系统能够紧急启动，并对事故产生的污染物进行有效的控制，同时启动当地的环境应急监测系统</w:t>
                  </w:r>
                </w:p>
              </w:tc>
            </w:tr>
            <w:tr w14:paraId="506573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56" w:type="pct"/>
                  <w:tcBorders>
                    <w:tl2br w:val="nil"/>
                    <w:tr2bl w:val="nil"/>
                  </w:tcBorders>
                  <w:vAlign w:val="center"/>
                </w:tcPr>
                <w:p w14:paraId="55FAAF8C">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5</w:t>
                  </w:r>
                </w:p>
              </w:tc>
              <w:tc>
                <w:tcPr>
                  <w:tcW w:w="1562" w:type="pct"/>
                  <w:tcBorders>
                    <w:tl2br w:val="nil"/>
                    <w:tr2bl w:val="nil"/>
                  </w:tcBorders>
                  <w:vAlign w:val="center"/>
                </w:tcPr>
                <w:p w14:paraId="0D2D7018">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应急监测、防护措施、清除泄漏措施和器材</w:t>
                  </w:r>
                </w:p>
              </w:tc>
              <w:tc>
                <w:tcPr>
                  <w:tcW w:w="2981" w:type="pct"/>
                  <w:tcBorders>
                    <w:tl2br w:val="nil"/>
                    <w:tr2bl w:val="nil"/>
                  </w:tcBorders>
                  <w:vAlign w:val="center"/>
                </w:tcPr>
                <w:p w14:paraId="23320137">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设立必要地控制和清除污染的相应措施。事故发生时，要及时发现事故发生地点和环节，并利用已有的防护措施减少污染物的排放</w:t>
                  </w:r>
                </w:p>
              </w:tc>
            </w:tr>
            <w:tr w14:paraId="3696AA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56" w:type="pct"/>
                  <w:tcBorders>
                    <w:tl2br w:val="nil"/>
                    <w:tr2bl w:val="nil"/>
                  </w:tcBorders>
                  <w:vAlign w:val="center"/>
                </w:tcPr>
                <w:p w14:paraId="5F0030CE">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6</w:t>
                  </w:r>
                </w:p>
              </w:tc>
              <w:tc>
                <w:tcPr>
                  <w:tcW w:w="1562" w:type="pct"/>
                  <w:tcBorders>
                    <w:tl2br w:val="nil"/>
                    <w:tr2bl w:val="nil"/>
                  </w:tcBorders>
                  <w:vAlign w:val="center"/>
                </w:tcPr>
                <w:p w14:paraId="255D362A">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应急培训计划</w:t>
                  </w:r>
                </w:p>
              </w:tc>
              <w:tc>
                <w:tcPr>
                  <w:tcW w:w="2981" w:type="pct"/>
                  <w:tcBorders>
                    <w:tl2br w:val="nil"/>
                    <w:tr2bl w:val="nil"/>
                  </w:tcBorders>
                  <w:vAlign w:val="center"/>
                </w:tcPr>
                <w:p w14:paraId="03F3AF3F">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企业要注意日常工作中对事故应急处理的培训，以提高职工的安全防范意识</w:t>
                  </w:r>
                </w:p>
              </w:tc>
            </w:tr>
            <w:tr w14:paraId="0B70AC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56" w:type="pct"/>
                  <w:tcBorders>
                    <w:tl2br w:val="nil"/>
                    <w:tr2bl w:val="nil"/>
                  </w:tcBorders>
                  <w:vAlign w:val="center"/>
                </w:tcPr>
                <w:p w14:paraId="4D05937A">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7</w:t>
                  </w:r>
                </w:p>
              </w:tc>
              <w:tc>
                <w:tcPr>
                  <w:tcW w:w="1562" w:type="pct"/>
                  <w:tcBorders>
                    <w:tl2br w:val="nil"/>
                    <w:tr2bl w:val="nil"/>
                  </w:tcBorders>
                  <w:vAlign w:val="center"/>
                </w:tcPr>
                <w:p w14:paraId="69F78D5A">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公众教育和信息</w:t>
                  </w:r>
                </w:p>
              </w:tc>
              <w:tc>
                <w:tcPr>
                  <w:tcW w:w="2981" w:type="pct"/>
                  <w:tcBorders>
                    <w:tl2br w:val="nil"/>
                    <w:tr2bl w:val="nil"/>
                  </w:tcBorders>
                  <w:vAlign w:val="center"/>
                </w:tcPr>
                <w:p w14:paraId="58F6B453">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通过各种方式，对周围居民等进行事故防范宣传</w:t>
                  </w:r>
                </w:p>
              </w:tc>
            </w:tr>
          </w:tbl>
          <w:p w14:paraId="7CA77CC1">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（5）分析结论</w:t>
            </w:r>
          </w:p>
          <w:p w14:paraId="4069E4D6">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在落实好本次环评提出的风险防范措施的前提下，本项目存在的风险较小。</w:t>
            </w:r>
            <w:r>
              <w:rPr>
                <w:rFonts w:hint="eastAsia" w:cs="Times New Roman"/>
                <w:color w:val="000000" w:themeColor="text1"/>
                <w:sz w:val="24"/>
                <w:lang w:eastAsia="zh-CN"/>
                <w14:textFill>
                  <w14:solidFill>
                    <w14:schemeClr w14:val="tx1"/>
                  </w14:solidFill>
                </w14:textFill>
              </w:rPr>
              <w:t>本项目</w:t>
            </w:r>
            <w:r>
              <w:rPr>
                <w:rFonts w:hint="default" w:ascii="Times New Roman" w:hAnsi="Times New Roman" w:eastAsia="宋体" w:cs="Times New Roman"/>
                <w:color w:val="000000" w:themeColor="text1"/>
                <w:sz w:val="24"/>
                <w14:textFill>
                  <w14:solidFill>
                    <w14:schemeClr w14:val="tx1"/>
                  </w14:solidFill>
                </w14:textFill>
              </w:rPr>
              <w:t>环境风险可以接受。</w:t>
            </w:r>
          </w:p>
          <w:p w14:paraId="397CAECC">
            <w:pPr>
              <w:adjustRightInd w:val="0"/>
              <w:snapToGrid w:val="0"/>
              <w:spacing w:line="360" w:lineRule="auto"/>
              <w:ind w:firstLine="482"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8、电磁辐射</w:t>
            </w:r>
          </w:p>
          <w:p w14:paraId="7F4AA5C4">
            <w:pPr>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本项目不属于广播电台、差转台、电视塔台、卫星地球上行站、雷达等电磁辐射类项目，本评价不再开展电磁环境影响分析。</w:t>
            </w:r>
          </w:p>
          <w:p w14:paraId="6DC6525A">
            <w:pPr>
              <w:adjustRightInd w:val="0"/>
              <w:snapToGrid w:val="0"/>
              <w:spacing w:line="360" w:lineRule="auto"/>
              <w:ind w:firstLine="482" w:firstLineChars="200"/>
              <w:textAlignment w:val="baseline"/>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9、排污许可管理要求</w:t>
            </w:r>
          </w:p>
          <w:p w14:paraId="6C52342A">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建设项目环境保护管理条例》（国务院令第682号）及《中华人民共和国环境影响评价法》（2016年修订）的有关规定、《国务院办公厅关于印发控制污染物排放许可制实施方案的通知》（国办发[2016]81号）、《排污许可证管理暂行规定》等相关文件要求，建设单位必须按期持证排污、按证排污，不得无证排污，及时申领排污许可证，对申请材料的真实性、准确性和完整性承担法律责任，承诺按照排污许可证的规定排污并严格执行，落实污染物排放控制措施和其他各项环境管理要求，确保污染物排放种类、浓度和排放量等达到许可要求；明确责任人和相关人员环境保护责任，不断提高污染治理和管理水平，自觉接受监督检查。</w:t>
            </w:r>
          </w:p>
          <w:p w14:paraId="02472252">
            <w:pPr>
              <w:adjustRightInd w:val="0"/>
              <w:snapToGrid w:val="0"/>
              <w:spacing w:line="360" w:lineRule="auto"/>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根据《固定污染源排污许可分类管理名录》（2019年版）及山东省生态环境厅《2020年纳入排污许可管理的行业和管理类别表》，</w:t>
            </w:r>
            <w:r>
              <w:rPr>
                <w:rFonts w:hint="eastAsia" w:ascii="Times New Roman" w:hAnsi="Times New Roman" w:eastAsia="宋体" w:cs="Times New Roman"/>
                <w:color w:val="000000" w:themeColor="text1"/>
                <w:sz w:val="24"/>
                <w:lang w:eastAsia="zh-CN"/>
                <w14:textFill>
                  <w14:solidFill>
                    <w14:schemeClr w14:val="tx1"/>
                  </w14:solidFill>
                </w14:textFill>
              </w:rPr>
              <w:t>本项目</w:t>
            </w:r>
            <w:r>
              <w:rPr>
                <w:rFonts w:hint="default" w:ascii="Times New Roman" w:hAnsi="Times New Roman" w:eastAsia="宋体" w:cs="Times New Roman"/>
                <w:color w:val="000000" w:themeColor="text1"/>
                <w:sz w:val="24"/>
                <w:lang w:val="en-US" w:eastAsia="zh-CN"/>
                <w14:textFill>
                  <w14:solidFill>
                    <w14:schemeClr w14:val="tx1"/>
                  </w14:solidFill>
                </w14:textFill>
              </w:rPr>
              <w:t>属“</w:t>
            </w:r>
            <w:r>
              <w:rPr>
                <w:rFonts w:hint="eastAsia" w:ascii="Times New Roman" w:hAnsi="Times New Roman" w:eastAsia="宋体" w:cs="Times New Roman"/>
                <w:color w:val="000000" w:themeColor="text1"/>
                <w:sz w:val="24"/>
                <w:lang w:val="en-US" w:eastAsia="zh-CN"/>
                <w14:textFill>
                  <w14:solidFill>
                    <w14:schemeClr w14:val="tx1"/>
                  </w14:solidFill>
                </w14:textFill>
              </w:rPr>
              <w:t>二十一、化学原料和化学制品制造业 26-50-单纯混合或者分装的</w:t>
            </w:r>
            <w:r>
              <w:rPr>
                <w:rFonts w:hint="default" w:ascii="Times New Roman" w:hAnsi="Times New Roman" w:eastAsia="宋体" w:cs="Times New Roman"/>
                <w:color w:val="000000" w:themeColor="text1"/>
                <w:sz w:val="24"/>
                <w:lang w:val="en-US" w:eastAsia="zh-CN"/>
                <w14:textFill>
                  <w14:solidFill>
                    <w14:schemeClr w14:val="tx1"/>
                  </w14:solidFill>
                </w14:textFill>
              </w:rPr>
              <w:t>”，实行登记管理</w:t>
            </w:r>
            <w:r>
              <w:rPr>
                <w:rFonts w:hint="default" w:ascii="Times New Roman" w:hAnsi="Times New Roman" w:eastAsia="宋体" w:cs="Times New Roman"/>
                <w:color w:val="000000" w:themeColor="text1"/>
                <w:sz w:val="24"/>
                <w14:textFill>
                  <w14:solidFill>
                    <w14:schemeClr w14:val="tx1"/>
                  </w14:solidFill>
                </w14:textFill>
              </w:rPr>
              <w:t>。公司应当按相关规定，在</w:t>
            </w:r>
            <w:r>
              <w:rPr>
                <w:rFonts w:hint="eastAsia" w:ascii="Times New Roman" w:hAnsi="Times New Roman" w:eastAsia="宋体" w:cs="Times New Roman"/>
                <w:color w:val="000000" w:themeColor="text1"/>
                <w:sz w:val="24"/>
                <w:lang w:val="en-US" w:eastAsia="zh-CN"/>
                <w14:textFill>
                  <w14:solidFill>
                    <w14:schemeClr w14:val="tx1"/>
                  </w14:solidFill>
                </w14:textFill>
              </w:rPr>
              <w:t>投产前进行</w:t>
            </w:r>
            <w:r>
              <w:rPr>
                <w:rFonts w:hint="default" w:ascii="Times New Roman" w:hAnsi="Times New Roman" w:eastAsia="宋体" w:cs="Times New Roman"/>
                <w:color w:val="000000" w:themeColor="text1"/>
                <w:sz w:val="24"/>
                <w14:textFill>
                  <w14:solidFill>
                    <w14:schemeClr w14:val="tx1"/>
                  </w14:solidFill>
                </w14:textFill>
              </w:rPr>
              <w:t>排污许可</w:t>
            </w:r>
            <w:r>
              <w:rPr>
                <w:rFonts w:hint="eastAsia" w:ascii="Times New Roman" w:hAnsi="Times New Roman" w:eastAsia="宋体" w:cs="Times New Roman"/>
                <w:color w:val="000000" w:themeColor="text1"/>
                <w:sz w:val="24"/>
                <w:lang w:val="en-US" w:eastAsia="zh-CN"/>
                <w14:textFill>
                  <w14:solidFill>
                    <w14:schemeClr w14:val="tx1"/>
                  </w14:solidFill>
                </w14:textFill>
              </w:rPr>
              <w:t>登记</w:t>
            </w:r>
            <w:r>
              <w:rPr>
                <w:rFonts w:hint="default" w:ascii="Times New Roman" w:hAnsi="Times New Roman" w:eastAsia="宋体" w:cs="Times New Roman"/>
                <w:color w:val="000000" w:themeColor="text1"/>
                <w:sz w:val="24"/>
                <w14:textFill>
                  <w14:solidFill>
                    <w14:schemeClr w14:val="tx1"/>
                  </w14:solidFill>
                </w14:textFill>
              </w:rPr>
              <w:t>，合法排污。</w:t>
            </w:r>
          </w:p>
        </w:tc>
      </w:tr>
    </w:tbl>
    <w:p w14:paraId="53B8485E">
      <w:pPr>
        <w:pStyle w:val="62"/>
        <w:ind w:firstLine="560"/>
        <w:rPr>
          <w:rFonts w:hint="default" w:ascii="Times New Roman" w:hAnsi="Times New Roman" w:eastAsia="宋体" w:cs="Times New Roman"/>
          <w:color w:val="000000" w:themeColor="text1"/>
          <w14:textFill>
            <w14:solidFill>
              <w14:schemeClr w14:val="tx1"/>
            </w14:solidFill>
          </w14:textFill>
        </w:rPr>
        <w:sectPr>
          <w:pgSz w:w="11907" w:h="16840"/>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p w14:paraId="5FBD338F">
      <w:pPr>
        <w:pStyle w:val="33"/>
        <w:jc w:val="center"/>
        <w:outlineLvl w:val="0"/>
        <w:rPr>
          <w:rFonts w:hint="default" w:ascii="Times New Roman" w:hAnsi="Times New Roman" w:eastAsia="宋体" w:cs="Times New Roman"/>
          <w:snapToGrid w:val="0"/>
          <w:color w:val="000000" w:themeColor="text1"/>
          <w:sz w:val="30"/>
          <w:szCs w:val="30"/>
          <w14:textFill>
            <w14:solidFill>
              <w14:schemeClr w14:val="tx1"/>
            </w14:solidFill>
          </w14:textFill>
        </w:rPr>
      </w:pPr>
      <w:r>
        <w:rPr>
          <w:rFonts w:hint="default" w:ascii="Times New Roman" w:hAnsi="Times New Roman" w:eastAsia="宋体" w:cs="Times New Roman"/>
          <w:snapToGrid w:val="0"/>
          <w:color w:val="000000" w:themeColor="text1"/>
          <w:sz w:val="30"/>
          <w:szCs w:val="30"/>
          <w14:textFill>
            <w14:solidFill>
              <w14:schemeClr w14:val="tx1"/>
            </w14:solidFill>
          </w14:textFill>
        </w:rPr>
        <w:t>五、环境保护措施监督检查清单</w:t>
      </w:r>
    </w:p>
    <w:tbl>
      <w:tblPr>
        <w:tblStyle w:val="38"/>
        <w:tblW w:w="953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23"/>
        <w:gridCol w:w="1735"/>
        <w:gridCol w:w="1340"/>
        <w:gridCol w:w="1590"/>
        <w:gridCol w:w="3345"/>
      </w:tblGrid>
      <w:tr w14:paraId="7EBAC2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523" w:type="dxa"/>
            <w:tcBorders>
              <w:tl2br w:val="single" w:color="auto" w:sz="4" w:space="0"/>
            </w:tcBorders>
            <w:vAlign w:val="center"/>
          </w:tcPr>
          <w:p w14:paraId="786FE6FD">
            <w:pPr>
              <w:adjustRightInd w:val="0"/>
              <w:snapToGrid w:val="0"/>
              <w:ind w:firstLine="840" w:firstLineChars="40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内容</w:t>
            </w:r>
          </w:p>
          <w:p w14:paraId="77FD6348">
            <w:pPr>
              <w:adjustRightInd w:val="0"/>
              <w:snapToGrid w:val="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要素</w:t>
            </w:r>
          </w:p>
        </w:tc>
        <w:tc>
          <w:tcPr>
            <w:tcW w:w="1735" w:type="dxa"/>
            <w:vAlign w:val="center"/>
          </w:tcPr>
          <w:p w14:paraId="4ED6A63C">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排放口（编号、</w:t>
            </w:r>
          </w:p>
          <w:p w14:paraId="1BB426FD">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名称）/污染源</w:t>
            </w:r>
          </w:p>
        </w:tc>
        <w:tc>
          <w:tcPr>
            <w:tcW w:w="1340" w:type="dxa"/>
            <w:vAlign w:val="center"/>
          </w:tcPr>
          <w:p w14:paraId="69486D8E">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污染物项目</w:t>
            </w:r>
          </w:p>
        </w:tc>
        <w:tc>
          <w:tcPr>
            <w:tcW w:w="1590" w:type="dxa"/>
            <w:vAlign w:val="center"/>
          </w:tcPr>
          <w:p w14:paraId="1A9FE2E4">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环境保护措施</w:t>
            </w:r>
          </w:p>
        </w:tc>
        <w:tc>
          <w:tcPr>
            <w:tcW w:w="3345" w:type="dxa"/>
            <w:vAlign w:val="center"/>
          </w:tcPr>
          <w:p w14:paraId="02CFF370">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执行标准</w:t>
            </w:r>
          </w:p>
        </w:tc>
      </w:tr>
      <w:tr w14:paraId="522AB3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523" w:type="dxa"/>
            <w:vMerge w:val="restart"/>
            <w:vAlign w:val="center"/>
          </w:tcPr>
          <w:p w14:paraId="5DC13539">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大气环境</w:t>
            </w:r>
          </w:p>
        </w:tc>
        <w:tc>
          <w:tcPr>
            <w:tcW w:w="1735" w:type="dxa"/>
            <w:vAlign w:val="center"/>
          </w:tcPr>
          <w:p w14:paraId="5823BF05">
            <w:pPr>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加热熔融、搅拌混合</w:t>
            </w:r>
            <w:r>
              <w:rPr>
                <w:rFonts w:hint="eastAsia" w:cs="Times New Roman"/>
                <w:color w:val="000000" w:themeColor="text1"/>
                <w:szCs w:val="21"/>
                <w:lang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制片</w:t>
            </w:r>
            <w:r>
              <w:rPr>
                <w:rFonts w:hint="default" w:ascii="Times New Roman" w:hAnsi="Times New Roman" w:eastAsia="宋体" w:cs="Times New Roman"/>
                <w:color w:val="000000" w:themeColor="text1"/>
                <w:szCs w:val="21"/>
                <w14:textFill>
                  <w14:solidFill>
                    <w14:schemeClr w14:val="tx1"/>
                  </w14:solidFill>
                </w14:textFill>
              </w:rPr>
              <w:t>工序</w:t>
            </w:r>
            <w:r>
              <w:rPr>
                <w:rFonts w:hint="eastAsia" w:cs="Times New Roman"/>
                <w:color w:val="000000" w:themeColor="text1"/>
                <w:szCs w:val="21"/>
                <w:lang w:val="en-US" w:eastAsia="zh-CN"/>
                <w14:textFill>
                  <w14:solidFill>
                    <w14:schemeClr w14:val="tx1"/>
                  </w14:solidFill>
                </w14:textFill>
              </w:rPr>
              <w:t>排气筒</w:t>
            </w:r>
            <w:r>
              <w:rPr>
                <w:rFonts w:hint="default" w:ascii="Times New Roman" w:hAnsi="Times New Roman" w:eastAsia="宋体" w:cs="Times New Roman"/>
                <w:color w:val="000000" w:themeColor="text1"/>
                <w:szCs w:val="21"/>
                <w14:textFill>
                  <w14:solidFill>
                    <w14:schemeClr w14:val="tx1"/>
                  </w14:solidFill>
                </w14:textFill>
              </w:rPr>
              <w:t>DA001</w:t>
            </w:r>
          </w:p>
        </w:tc>
        <w:tc>
          <w:tcPr>
            <w:tcW w:w="1340" w:type="dxa"/>
            <w:vAlign w:val="center"/>
          </w:tcPr>
          <w:p w14:paraId="6E64118F">
            <w:pPr>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1590" w:type="dxa"/>
            <w:vAlign w:val="center"/>
          </w:tcPr>
          <w:p w14:paraId="100286A0">
            <w:pPr>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密闭+二级活性炭吸附</w:t>
            </w:r>
          </w:p>
        </w:tc>
        <w:tc>
          <w:tcPr>
            <w:tcW w:w="3345" w:type="dxa"/>
            <w:vAlign w:val="center"/>
          </w:tcPr>
          <w:p w14:paraId="4BF35C5A">
            <w:pPr>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《挥发性有机物排放标准 第6部分：有机化工行业》（DB37/2801.6-2018）表1中其他行业Ⅱ时段排放限值</w:t>
            </w:r>
          </w:p>
        </w:tc>
      </w:tr>
      <w:tr w14:paraId="6096C0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523" w:type="dxa"/>
            <w:vMerge w:val="continue"/>
            <w:vAlign w:val="center"/>
          </w:tcPr>
          <w:p w14:paraId="3E5DA952">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p>
        </w:tc>
        <w:tc>
          <w:tcPr>
            <w:tcW w:w="1735" w:type="dxa"/>
            <w:shd w:val="clear" w:color="auto" w:fill="auto"/>
            <w:vAlign w:val="center"/>
          </w:tcPr>
          <w:p w14:paraId="16EBF1CF">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厂界</w:t>
            </w:r>
          </w:p>
        </w:tc>
        <w:tc>
          <w:tcPr>
            <w:tcW w:w="1340" w:type="dxa"/>
            <w:shd w:val="clear" w:color="auto" w:fill="auto"/>
            <w:vAlign w:val="center"/>
          </w:tcPr>
          <w:p w14:paraId="0AEBE3C3">
            <w:pPr>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1590" w:type="dxa"/>
            <w:shd w:val="clear" w:color="auto" w:fill="auto"/>
            <w:vAlign w:val="center"/>
          </w:tcPr>
          <w:p w14:paraId="50FC8F7E">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车间密闭、加强厂区绿化等</w:t>
            </w:r>
          </w:p>
        </w:tc>
        <w:tc>
          <w:tcPr>
            <w:tcW w:w="3345" w:type="dxa"/>
            <w:vAlign w:val="center"/>
          </w:tcPr>
          <w:p w14:paraId="5EEC5C64">
            <w:pPr>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《挥发性有机物排放标准 第6部分：有机化工行业》（DB37/2801.6-2018）表3厂界监控点浓度限值</w:t>
            </w:r>
          </w:p>
        </w:tc>
      </w:tr>
      <w:tr w14:paraId="0E0BAE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523" w:type="dxa"/>
            <w:vAlign w:val="center"/>
          </w:tcPr>
          <w:p w14:paraId="798C4A67">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地表水环境</w:t>
            </w:r>
          </w:p>
        </w:tc>
        <w:tc>
          <w:tcPr>
            <w:tcW w:w="1735" w:type="dxa"/>
            <w:shd w:val="clear" w:color="auto" w:fill="auto"/>
            <w:vAlign w:val="center"/>
          </w:tcPr>
          <w:p w14:paraId="160F3B5F">
            <w:pPr>
              <w:adjustRightInd w:val="0"/>
              <w:snapToGrid w:val="0"/>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生活污水</w:t>
            </w:r>
          </w:p>
        </w:tc>
        <w:tc>
          <w:tcPr>
            <w:tcW w:w="1340" w:type="dxa"/>
            <w:shd w:val="clear" w:color="auto" w:fill="auto"/>
            <w:vAlign w:val="center"/>
          </w:tcPr>
          <w:p w14:paraId="616558FE">
            <w:pPr>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rPr>
              <w:t>COD、氨氮</w:t>
            </w:r>
          </w:p>
        </w:tc>
        <w:tc>
          <w:tcPr>
            <w:tcW w:w="1590" w:type="dxa"/>
            <w:shd w:val="clear" w:color="auto" w:fill="auto"/>
            <w:vAlign w:val="center"/>
          </w:tcPr>
          <w:p w14:paraId="0813EBEF">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化粪池暂存，环卫部门清运</w:t>
            </w:r>
          </w:p>
        </w:tc>
        <w:tc>
          <w:tcPr>
            <w:tcW w:w="3345" w:type="dxa"/>
            <w:shd w:val="clear" w:color="auto" w:fill="auto"/>
            <w:vAlign w:val="center"/>
          </w:tcPr>
          <w:p w14:paraId="7F4ED343">
            <w:pPr>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w:t>
            </w:r>
          </w:p>
        </w:tc>
      </w:tr>
      <w:tr w14:paraId="668BA8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523" w:type="dxa"/>
            <w:vAlign w:val="center"/>
          </w:tcPr>
          <w:p w14:paraId="712B58BA">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声环境</w:t>
            </w:r>
          </w:p>
        </w:tc>
        <w:tc>
          <w:tcPr>
            <w:tcW w:w="1735" w:type="dxa"/>
            <w:vAlign w:val="center"/>
          </w:tcPr>
          <w:p w14:paraId="26F7C8B7">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生产设备</w:t>
            </w:r>
          </w:p>
        </w:tc>
        <w:tc>
          <w:tcPr>
            <w:tcW w:w="1340" w:type="dxa"/>
            <w:vAlign w:val="center"/>
          </w:tcPr>
          <w:p w14:paraId="0ADBD2C0">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机械噪声</w:t>
            </w:r>
          </w:p>
        </w:tc>
        <w:tc>
          <w:tcPr>
            <w:tcW w:w="1590" w:type="dxa"/>
            <w:vAlign w:val="center"/>
          </w:tcPr>
          <w:p w14:paraId="2E30C10E">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基础减振，厂房隔声、消音等</w:t>
            </w:r>
          </w:p>
        </w:tc>
        <w:tc>
          <w:tcPr>
            <w:tcW w:w="3345" w:type="dxa"/>
            <w:vAlign w:val="center"/>
          </w:tcPr>
          <w:p w14:paraId="1F6AFD7F">
            <w:pPr>
              <w:adjustRightInd w:val="0"/>
              <w:snapToGrid w:val="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《工业企业厂界环境噪声排放标准》（GB12348-2008）3类标准</w:t>
            </w:r>
          </w:p>
        </w:tc>
      </w:tr>
      <w:tr w14:paraId="27B5B5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523" w:type="dxa"/>
            <w:vAlign w:val="center"/>
          </w:tcPr>
          <w:p w14:paraId="16CF45DB">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电磁辐射</w:t>
            </w:r>
          </w:p>
        </w:tc>
        <w:tc>
          <w:tcPr>
            <w:tcW w:w="8010" w:type="dxa"/>
            <w:gridSpan w:val="4"/>
            <w:vAlign w:val="center"/>
          </w:tcPr>
          <w:p w14:paraId="28B7A15A">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r>
      <w:tr w14:paraId="421273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523" w:type="dxa"/>
            <w:vAlign w:val="center"/>
          </w:tcPr>
          <w:p w14:paraId="00FD746F">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固体废物</w:t>
            </w:r>
          </w:p>
        </w:tc>
        <w:tc>
          <w:tcPr>
            <w:tcW w:w="8010" w:type="dxa"/>
            <w:gridSpan w:val="4"/>
            <w:vAlign w:val="center"/>
          </w:tcPr>
          <w:p w14:paraId="16688066">
            <w:pPr>
              <w:pStyle w:val="37"/>
              <w:keepNext w:val="0"/>
              <w:keepLines w:val="0"/>
              <w:pageBreakBefore w:val="0"/>
              <w:widowControl w:val="0"/>
              <w:kinsoku/>
              <w:wordWrap/>
              <w:overflowPunct/>
              <w:topLinePunct w:val="0"/>
              <w:autoSpaceDE/>
              <w:autoSpaceDN/>
              <w:bidi w:val="0"/>
              <w:spacing w:after="0" w:line="360" w:lineRule="auto"/>
              <w:ind w:left="0" w:lef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本项目生产过程产生的固废主要为废包装袋</w:t>
            </w:r>
            <w:r>
              <w:rPr>
                <w:rFonts w:hint="eastAsia" w:cs="Times New Roman"/>
                <w:color w:val="000000" w:themeColor="text1"/>
                <w:szCs w:val="21"/>
                <w:lang w:eastAsia="zh-CN"/>
                <w14:textFill>
                  <w14:solidFill>
                    <w14:schemeClr w14:val="tx1"/>
                  </w14:solidFill>
                </w14:textFill>
              </w:rPr>
              <w:t>、</w:t>
            </w:r>
            <w:r>
              <w:rPr>
                <w:rFonts w:hint="default" w:ascii="Times New Roman" w:hAnsi="Times New Roman" w:eastAsia="宋体" w:cs="Times New Roman"/>
                <w:color w:val="000000" w:themeColor="text1"/>
                <w:szCs w:val="21"/>
                <w14:textFill>
                  <w14:solidFill>
                    <w14:schemeClr w14:val="tx1"/>
                  </w14:solidFill>
                </w14:textFill>
              </w:rPr>
              <w:t>废润滑油、废油桶</w:t>
            </w:r>
            <w:r>
              <w:rPr>
                <w:rFonts w:hint="eastAsia"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kern w:val="0"/>
                <w:szCs w:val="21"/>
                <w14:textFill>
                  <w14:solidFill>
                    <w14:schemeClr w14:val="tx1"/>
                  </w14:solidFill>
                </w14:textFill>
              </w:rPr>
              <w:t>废导热油</w:t>
            </w:r>
            <w:r>
              <w:rPr>
                <w:rFonts w:hint="eastAsia" w:cs="Times New Roman"/>
                <w:color w:val="000000" w:themeColor="text1"/>
                <w:szCs w:val="21"/>
                <w:lang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废活性炭</w:t>
            </w:r>
            <w:r>
              <w:rPr>
                <w:rFonts w:hint="default" w:ascii="Times New Roman" w:hAnsi="Times New Roman" w:eastAsia="宋体" w:cs="Times New Roman"/>
                <w:color w:val="000000" w:themeColor="text1"/>
                <w:szCs w:val="21"/>
                <w14:textFill>
                  <w14:solidFill>
                    <w14:schemeClr w14:val="tx1"/>
                  </w14:solidFill>
                </w14:textFill>
              </w:rPr>
              <w:t>；废包装袋收集后外售综合利用，生活垃圾集中收集后委托环卫部门定期清运；废润滑油、废油桶</w:t>
            </w:r>
            <w:r>
              <w:rPr>
                <w:rFonts w:hint="eastAsia" w:cs="Times New Roman"/>
                <w:color w:val="000000" w:themeColor="text1"/>
                <w:szCs w:val="21"/>
                <w:lang w:eastAsia="zh-CN"/>
                <w14:textFill>
                  <w14:solidFill>
                    <w14:schemeClr w14:val="tx1"/>
                  </w14:solidFill>
                </w14:textFill>
              </w:rPr>
              <w:t>、</w:t>
            </w:r>
            <w:r>
              <w:rPr>
                <w:rFonts w:hint="eastAsia" w:ascii="Times New Roman" w:hAnsi="Times New Roman" w:eastAsia="宋体" w:cs="Times New Roman"/>
                <w:color w:val="000000" w:themeColor="text1"/>
                <w:kern w:val="0"/>
                <w:szCs w:val="21"/>
                <w14:textFill>
                  <w14:solidFill>
                    <w14:schemeClr w14:val="tx1"/>
                  </w14:solidFill>
                </w14:textFill>
              </w:rPr>
              <w:t>废导热油</w:t>
            </w:r>
            <w:r>
              <w:rPr>
                <w:rFonts w:hint="eastAsia" w:ascii="Times New Roman" w:hAnsi="Times New Roman" w:eastAsia="宋体" w:cs="Times New Roman"/>
                <w:color w:val="000000" w:themeColor="text1"/>
                <w:kern w:val="0"/>
                <w:szCs w:val="21"/>
                <w:lang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废活性炭</w:t>
            </w:r>
            <w:r>
              <w:rPr>
                <w:rFonts w:hint="default" w:ascii="Times New Roman" w:hAnsi="Times New Roman" w:eastAsia="宋体" w:cs="Times New Roman"/>
                <w:color w:val="000000" w:themeColor="text1"/>
                <w:szCs w:val="21"/>
                <w14:textFill>
                  <w14:solidFill>
                    <w14:schemeClr w14:val="tx1"/>
                  </w14:solidFill>
                </w14:textFill>
              </w:rPr>
              <w:t>暂存危废间，委托资质单位处理。</w:t>
            </w:r>
          </w:p>
        </w:tc>
      </w:tr>
      <w:tr w14:paraId="6CB7D6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7" w:hRule="atLeast"/>
          <w:jc w:val="center"/>
        </w:trPr>
        <w:tc>
          <w:tcPr>
            <w:tcW w:w="1523" w:type="dxa"/>
            <w:vAlign w:val="center"/>
          </w:tcPr>
          <w:p w14:paraId="58EFF9B6">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土壤及地下水</w:t>
            </w:r>
          </w:p>
          <w:p w14:paraId="094B92A3">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污染防治措施</w:t>
            </w:r>
          </w:p>
        </w:tc>
        <w:tc>
          <w:tcPr>
            <w:tcW w:w="8010" w:type="dxa"/>
            <w:gridSpan w:val="4"/>
            <w:vAlign w:val="center"/>
          </w:tcPr>
          <w:p w14:paraId="334530B0">
            <w:pPr>
              <w:pStyle w:val="37"/>
              <w:keepNext w:val="0"/>
              <w:keepLines w:val="0"/>
              <w:pageBreakBefore w:val="0"/>
              <w:widowControl w:val="0"/>
              <w:kinsoku/>
              <w:wordWrap/>
              <w:overflowPunct/>
              <w:topLinePunct w:val="0"/>
              <w:autoSpaceDE/>
              <w:autoSpaceDN/>
              <w:bidi w:val="0"/>
              <w:spacing w:after="0" w:line="360" w:lineRule="auto"/>
              <w:ind w:left="0" w:lef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1）源头控制措施积极推行实施清洁生产，实现各类废物循环利用，减少污染物的排放量；根据国家现行相关规范加强环境管理，采取防止和降低污染物跑、冒、滴、漏的措施。</w:t>
            </w:r>
          </w:p>
          <w:p w14:paraId="00698FA1">
            <w:pPr>
              <w:pStyle w:val="37"/>
              <w:keepNext w:val="0"/>
              <w:keepLines w:val="0"/>
              <w:pageBreakBefore w:val="0"/>
              <w:widowControl w:val="0"/>
              <w:kinsoku/>
              <w:wordWrap/>
              <w:overflowPunct/>
              <w:topLinePunct w:val="0"/>
              <w:autoSpaceDE/>
              <w:autoSpaceDN/>
              <w:bidi w:val="0"/>
              <w:spacing w:after="0" w:line="360" w:lineRule="auto"/>
              <w:ind w:left="0" w:lef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2）分区防治：按照不同分区要求采取不同等级的防渗措施，并确保其可靠性和有效性。</w:t>
            </w:r>
          </w:p>
        </w:tc>
      </w:tr>
      <w:tr w14:paraId="372946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3" w:type="dxa"/>
            <w:vAlign w:val="center"/>
          </w:tcPr>
          <w:p w14:paraId="639D6947">
            <w:pPr>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生态保护措施</w:t>
            </w:r>
          </w:p>
        </w:tc>
        <w:tc>
          <w:tcPr>
            <w:tcW w:w="8010" w:type="dxa"/>
            <w:gridSpan w:val="4"/>
            <w:vAlign w:val="center"/>
          </w:tcPr>
          <w:p w14:paraId="28DCBC1C">
            <w:pPr>
              <w:pStyle w:val="37"/>
              <w:keepNext w:val="0"/>
              <w:keepLines w:val="0"/>
              <w:pageBreakBefore w:val="0"/>
              <w:widowControl w:val="0"/>
              <w:kinsoku/>
              <w:wordWrap/>
              <w:overflowPunct/>
              <w:topLinePunct w:val="0"/>
              <w:autoSpaceDE/>
              <w:autoSpaceDN/>
              <w:bidi w:val="0"/>
              <w:spacing w:after="0" w:line="360" w:lineRule="auto"/>
              <w:ind w:left="0" w:lef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为了减少对区域生态环境的影响，应加强厂区及其厂界周围环境绿化，绿化以树、灌、草等相结合的形式，起到降低噪声、吸附尘粒、净化空气的作用。另外，应确保项目投产后的各项污染物达标排放，以减少对区域生态环境的影响。</w:t>
            </w:r>
          </w:p>
        </w:tc>
      </w:tr>
      <w:tr w14:paraId="0CFA59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523" w:type="dxa"/>
            <w:vAlign w:val="center"/>
          </w:tcPr>
          <w:p w14:paraId="45847AE5">
            <w:pPr>
              <w:adjustRightInd w:val="0"/>
              <w:snapToGrid w:val="0"/>
              <w:jc w:val="center"/>
              <w:rPr>
                <w:rFonts w:hint="default" w:ascii="Times New Roman" w:hAnsi="Times New Roman" w:eastAsia="宋体" w:cs="Times New Roman"/>
                <w:color w:val="000000" w:themeColor="text1"/>
                <w:spacing w:val="-8"/>
                <w:szCs w:val="21"/>
                <w14:textFill>
                  <w14:solidFill>
                    <w14:schemeClr w14:val="tx1"/>
                  </w14:solidFill>
                </w14:textFill>
              </w:rPr>
            </w:pPr>
            <w:r>
              <w:rPr>
                <w:rFonts w:hint="default" w:ascii="Times New Roman" w:hAnsi="Times New Roman" w:eastAsia="宋体" w:cs="Times New Roman"/>
                <w:color w:val="000000" w:themeColor="text1"/>
                <w:spacing w:val="-8"/>
                <w:szCs w:val="21"/>
                <w14:textFill>
                  <w14:solidFill>
                    <w14:schemeClr w14:val="tx1"/>
                  </w14:solidFill>
                </w14:textFill>
              </w:rPr>
              <w:t>环境风险</w:t>
            </w:r>
          </w:p>
          <w:p w14:paraId="066B7DB5">
            <w:pPr>
              <w:adjustRightInd w:val="0"/>
              <w:snapToGrid w:val="0"/>
              <w:jc w:val="center"/>
              <w:rPr>
                <w:rFonts w:hint="default" w:ascii="Times New Roman" w:hAnsi="Times New Roman" w:eastAsia="宋体" w:cs="Times New Roman"/>
                <w:color w:val="000000" w:themeColor="text1"/>
                <w:spacing w:val="-8"/>
                <w:szCs w:val="21"/>
                <w14:textFill>
                  <w14:solidFill>
                    <w14:schemeClr w14:val="tx1"/>
                  </w14:solidFill>
                </w14:textFill>
              </w:rPr>
            </w:pPr>
            <w:r>
              <w:rPr>
                <w:rFonts w:hint="default" w:ascii="Times New Roman" w:hAnsi="Times New Roman" w:eastAsia="宋体" w:cs="Times New Roman"/>
                <w:color w:val="000000" w:themeColor="text1"/>
                <w:spacing w:val="-8"/>
                <w:szCs w:val="21"/>
                <w14:textFill>
                  <w14:solidFill>
                    <w14:schemeClr w14:val="tx1"/>
                  </w14:solidFill>
                </w14:textFill>
              </w:rPr>
              <w:t>防范措施</w:t>
            </w:r>
          </w:p>
        </w:tc>
        <w:tc>
          <w:tcPr>
            <w:tcW w:w="8010" w:type="dxa"/>
            <w:gridSpan w:val="4"/>
            <w:vAlign w:val="center"/>
          </w:tcPr>
          <w:p w14:paraId="64C24C6A">
            <w:pPr>
              <w:pStyle w:val="79"/>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lang w:val="en-US"/>
                <w14:textFill>
                  <w14:solidFill>
                    <w14:schemeClr w14:val="tx1"/>
                  </w14:solidFill>
                </w14:textFill>
              </w:rPr>
              <w:t>企业制定环境风险事故应急管理制度，配备应急管理物资和设备，定期进行演练。设立风险监控及风险应急监测系统，实现事故预警和快速应急监测。</w:t>
            </w:r>
          </w:p>
        </w:tc>
      </w:tr>
      <w:tr w14:paraId="6E0CD9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523" w:type="dxa"/>
            <w:vAlign w:val="center"/>
          </w:tcPr>
          <w:p w14:paraId="7B3BBE94">
            <w:pPr>
              <w:adjustRightInd w:val="0"/>
              <w:snapToGrid w:val="0"/>
              <w:jc w:val="center"/>
              <w:rPr>
                <w:rFonts w:hint="default" w:ascii="Times New Roman" w:hAnsi="Times New Roman" w:eastAsia="宋体" w:cs="Times New Roman"/>
                <w:color w:val="000000" w:themeColor="text1"/>
                <w:spacing w:val="-8"/>
                <w:szCs w:val="21"/>
                <w14:textFill>
                  <w14:solidFill>
                    <w14:schemeClr w14:val="tx1"/>
                  </w14:solidFill>
                </w14:textFill>
              </w:rPr>
            </w:pPr>
            <w:r>
              <w:rPr>
                <w:rFonts w:hint="default" w:ascii="Times New Roman" w:hAnsi="Times New Roman" w:eastAsia="宋体" w:cs="Times New Roman"/>
                <w:color w:val="000000" w:themeColor="text1"/>
                <w:spacing w:val="-8"/>
                <w:szCs w:val="21"/>
                <w14:textFill>
                  <w14:solidFill>
                    <w14:schemeClr w14:val="tx1"/>
                  </w14:solidFill>
                </w14:textFill>
              </w:rPr>
              <w:t>其他环境</w:t>
            </w:r>
          </w:p>
          <w:p w14:paraId="3E0B2C8D">
            <w:pPr>
              <w:adjustRightInd w:val="0"/>
              <w:snapToGrid w:val="0"/>
              <w:jc w:val="center"/>
              <w:rPr>
                <w:rFonts w:hint="default" w:ascii="Times New Roman" w:hAnsi="Times New Roman" w:eastAsia="宋体" w:cs="Times New Roman"/>
                <w:color w:val="000000" w:themeColor="text1"/>
                <w:spacing w:val="-8"/>
                <w:szCs w:val="21"/>
                <w14:textFill>
                  <w14:solidFill>
                    <w14:schemeClr w14:val="tx1"/>
                  </w14:solidFill>
                </w14:textFill>
              </w:rPr>
            </w:pPr>
            <w:r>
              <w:rPr>
                <w:rFonts w:hint="default" w:ascii="Times New Roman" w:hAnsi="Times New Roman" w:eastAsia="宋体" w:cs="Times New Roman"/>
                <w:color w:val="000000" w:themeColor="text1"/>
                <w:spacing w:val="-8"/>
                <w:szCs w:val="21"/>
                <w14:textFill>
                  <w14:solidFill>
                    <w14:schemeClr w14:val="tx1"/>
                  </w14:solidFill>
                </w14:textFill>
              </w:rPr>
              <w:t>管理要求</w:t>
            </w:r>
          </w:p>
        </w:tc>
        <w:tc>
          <w:tcPr>
            <w:tcW w:w="8010" w:type="dxa"/>
            <w:gridSpan w:val="4"/>
            <w:vAlign w:val="center"/>
          </w:tcPr>
          <w:p w14:paraId="4DB8EF91">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1、环境保护管理体系、制度</w:t>
            </w:r>
          </w:p>
          <w:p w14:paraId="4ACB7F6B">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为做好环境管理工作，公司应建立环境管理体系，将环境管理工作自上而下的贯穿到公司的生产管理中。建立和完善环境管理制度，是公司环境管理体系的重要组成部分，需建立的环境管理制度。</w:t>
            </w:r>
          </w:p>
          <w:p w14:paraId="7BE3FB5E">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2、设置环境保护标识</w:t>
            </w:r>
          </w:p>
          <w:p w14:paraId="742F3AA2">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企业应制定环境管理文件及实施细则，按照《排污口规范化整治技术要求（试行）》、《关于开展排放口规范化整治工作的通知》等文件中有关规定设置与管理噪声与固废排放，噪声排放源、固体废物贮存（处置）场图形符号分别为提示图形符号和警告图形符号两种，图形符号的设置GB15562.1-1995、GB15562.2-1995执行。</w:t>
            </w:r>
          </w:p>
          <w:p w14:paraId="7267CCC9">
            <w:pPr>
              <w:keepNext w:val="0"/>
              <w:keepLines w:val="0"/>
              <w:pageBreakBefore w:val="0"/>
              <w:widowControl/>
              <w:kinsoku w:val="0"/>
              <w:wordWrap/>
              <w:overflowPunct/>
              <w:topLinePunct w:val="0"/>
              <w:autoSpaceDE w:val="0"/>
              <w:autoSpaceDN w:val="0"/>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表5-1</w:t>
            </w:r>
            <w:r>
              <w:rPr>
                <w:rFonts w:hint="eastAsia"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项目排污口要求一览表</w:t>
            </w:r>
          </w:p>
          <w:tbl>
            <w:tblPr>
              <w:tblStyle w:val="124"/>
              <w:tblW w:w="783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84"/>
              <w:gridCol w:w="1831"/>
              <w:gridCol w:w="2259"/>
              <w:gridCol w:w="2364"/>
            </w:tblGrid>
            <w:tr w14:paraId="0EF040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8" w:hRule="atLeast"/>
                <w:jc w:val="center"/>
              </w:trPr>
              <w:tc>
                <w:tcPr>
                  <w:tcW w:w="1384" w:type="dxa"/>
                  <w:noWrap w:val="0"/>
                  <w:vAlign w:val="center"/>
                </w:tcPr>
                <w:p w14:paraId="1E86F483">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类型</w:t>
                  </w:r>
                </w:p>
              </w:tc>
              <w:tc>
                <w:tcPr>
                  <w:tcW w:w="1831" w:type="dxa"/>
                  <w:noWrap w:val="0"/>
                  <w:vAlign w:val="center"/>
                </w:tcPr>
                <w:p w14:paraId="08D10EC4">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排污口</w:t>
                  </w:r>
                </w:p>
              </w:tc>
              <w:tc>
                <w:tcPr>
                  <w:tcW w:w="2259" w:type="dxa"/>
                  <w:noWrap w:val="0"/>
                  <w:vAlign w:val="center"/>
                </w:tcPr>
                <w:p w14:paraId="4609444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提示标志</w:t>
                  </w:r>
                </w:p>
              </w:tc>
              <w:tc>
                <w:tcPr>
                  <w:tcW w:w="2364" w:type="dxa"/>
                  <w:noWrap w:val="0"/>
                  <w:vAlign w:val="center"/>
                </w:tcPr>
                <w:p w14:paraId="5F825CA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警告标志</w:t>
                  </w:r>
                </w:p>
              </w:tc>
            </w:tr>
            <w:tr w14:paraId="7DDA7C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0" w:hRule="atLeast"/>
                <w:jc w:val="center"/>
              </w:trPr>
              <w:tc>
                <w:tcPr>
                  <w:tcW w:w="1384" w:type="dxa"/>
                  <w:noWrap w:val="0"/>
                  <w:vAlign w:val="center"/>
                </w:tcPr>
                <w:p w14:paraId="6E54D29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废气</w:t>
                  </w:r>
                </w:p>
              </w:tc>
              <w:tc>
                <w:tcPr>
                  <w:tcW w:w="1831" w:type="dxa"/>
                  <w:noWrap w:val="0"/>
                  <w:vAlign w:val="center"/>
                </w:tcPr>
                <w:p w14:paraId="3260D02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排气筒</w:t>
                  </w:r>
                </w:p>
              </w:tc>
              <w:tc>
                <w:tcPr>
                  <w:tcW w:w="2259" w:type="dxa"/>
                  <w:noWrap w:val="0"/>
                  <w:vAlign w:val="center"/>
                </w:tcPr>
                <w:p w14:paraId="45126EC5">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drawing>
                      <wp:inline distT="0" distB="0" distL="114300" distR="114300">
                        <wp:extent cx="866775" cy="866140"/>
                        <wp:effectExtent l="0" t="0" r="9525" b="10160"/>
                        <wp:docPr id="126" name="图片 14"/>
                        <wp:cNvGraphicFramePr/>
                        <a:graphic xmlns:a="http://schemas.openxmlformats.org/drawingml/2006/main">
                          <a:graphicData uri="http://schemas.openxmlformats.org/drawingml/2006/picture">
                            <pic:pic xmlns:pic="http://schemas.openxmlformats.org/drawingml/2006/picture">
                              <pic:nvPicPr>
                                <pic:cNvPr id="126" name="图片 14"/>
                                <pic:cNvPicPr/>
                              </pic:nvPicPr>
                              <pic:blipFill>
                                <a:blip r:embed="rId34"/>
                                <a:stretch>
                                  <a:fillRect/>
                                </a:stretch>
                              </pic:blipFill>
                              <pic:spPr>
                                <a:xfrm>
                                  <a:off x="0" y="0"/>
                                  <a:ext cx="866775" cy="866140"/>
                                </a:xfrm>
                                <a:prstGeom prst="rect">
                                  <a:avLst/>
                                </a:prstGeom>
                                <a:noFill/>
                                <a:ln>
                                  <a:noFill/>
                                </a:ln>
                              </pic:spPr>
                            </pic:pic>
                          </a:graphicData>
                        </a:graphic>
                      </wp:inline>
                    </w:drawing>
                  </w:r>
                </w:p>
              </w:tc>
              <w:tc>
                <w:tcPr>
                  <w:tcW w:w="2364" w:type="dxa"/>
                  <w:noWrap w:val="0"/>
                  <w:vAlign w:val="center"/>
                </w:tcPr>
                <w:p w14:paraId="7D22272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drawing>
                      <wp:inline distT="0" distB="0" distL="114300" distR="114300">
                        <wp:extent cx="1037590" cy="860425"/>
                        <wp:effectExtent l="0" t="0" r="10160" b="15875"/>
                        <wp:docPr id="127" name="图片 15"/>
                        <wp:cNvGraphicFramePr/>
                        <a:graphic xmlns:a="http://schemas.openxmlformats.org/drawingml/2006/main">
                          <a:graphicData uri="http://schemas.openxmlformats.org/drawingml/2006/picture">
                            <pic:pic xmlns:pic="http://schemas.openxmlformats.org/drawingml/2006/picture">
                              <pic:nvPicPr>
                                <pic:cNvPr id="127" name="图片 15"/>
                                <pic:cNvPicPr/>
                              </pic:nvPicPr>
                              <pic:blipFill>
                                <a:blip r:embed="rId35"/>
                                <a:stretch>
                                  <a:fillRect/>
                                </a:stretch>
                              </pic:blipFill>
                              <pic:spPr>
                                <a:xfrm>
                                  <a:off x="0" y="0"/>
                                  <a:ext cx="1037590" cy="860425"/>
                                </a:xfrm>
                                <a:prstGeom prst="rect">
                                  <a:avLst/>
                                </a:prstGeom>
                                <a:noFill/>
                                <a:ln>
                                  <a:noFill/>
                                </a:ln>
                              </pic:spPr>
                            </pic:pic>
                          </a:graphicData>
                        </a:graphic>
                      </wp:inline>
                    </w:drawing>
                  </w:r>
                </w:p>
              </w:tc>
            </w:tr>
            <w:tr w14:paraId="1AC755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1" w:hRule="atLeast"/>
                <w:jc w:val="center"/>
              </w:trPr>
              <w:tc>
                <w:tcPr>
                  <w:tcW w:w="1384" w:type="dxa"/>
                  <w:noWrap w:val="0"/>
                  <w:vAlign w:val="center"/>
                </w:tcPr>
                <w:p w14:paraId="57F8BE4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噪声</w:t>
                  </w:r>
                </w:p>
              </w:tc>
              <w:tc>
                <w:tcPr>
                  <w:tcW w:w="1831" w:type="dxa"/>
                  <w:noWrap w:val="0"/>
                  <w:vAlign w:val="center"/>
                </w:tcPr>
                <w:p w14:paraId="16BC569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各风机、泵类、压缩机等噪声源</w:t>
                  </w:r>
                </w:p>
              </w:tc>
              <w:tc>
                <w:tcPr>
                  <w:tcW w:w="2259" w:type="dxa"/>
                  <w:noWrap w:val="0"/>
                  <w:vAlign w:val="center"/>
                </w:tcPr>
                <w:p w14:paraId="0BE0CAD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drawing>
                      <wp:inline distT="0" distB="0" distL="114300" distR="114300">
                        <wp:extent cx="877570" cy="857885"/>
                        <wp:effectExtent l="0" t="0" r="17780" b="18415"/>
                        <wp:docPr id="128" name="图片 16"/>
                        <wp:cNvGraphicFramePr/>
                        <a:graphic xmlns:a="http://schemas.openxmlformats.org/drawingml/2006/main">
                          <a:graphicData uri="http://schemas.openxmlformats.org/drawingml/2006/picture">
                            <pic:pic xmlns:pic="http://schemas.openxmlformats.org/drawingml/2006/picture">
                              <pic:nvPicPr>
                                <pic:cNvPr id="128" name="图片 16"/>
                                <pic:cNvPicPr/>
                              </pic:nvPicPr>
                              <pic:blipFill>
                                <a:blip r:embed="rId36"/>
                                <a:stretch>
                                  <a:fillRect/>
                                </a:stretch>
                              </pic:blipFill>
                              <pic:spPr>
                                <a:xfrm>
                                  <a:off x="0" y="0"/>
                                  <a:ext cx="877570" cy="857885"/>
                                </a:xfrm>
                                <a:prstGeom prst="rect">
                                  <a:avLst/>
                                </a:prstGeom>
                                <a:noFill/>
                                <a:ln>
                                  <a:noFill/>
                                </a:ln>
                              </pic:spPr>
                            </pic:pic>
                          </a:graphicData>
                        </a:graphic>
                      </wp:inline>
                    </w:drawing>
                  </w:r>
                </w:p>
              </w:tc>
              <w:tc>
                <w:tcPr>
                  <w:tcW w:w="2364" w:type="dxa"/>
                  <w:noWrap w:val="0"/>
                  <w:vAlign w:val="center"/>
                </w:tcPr>
                <w:p w14:paraId="62CF3C8B">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drawing>
                      <wp:inline distT="0" distB="0" distL="114300" distR="114300">
                        <wp:extent cx="1040765" cy="845185"/>
                        <wp:effectExtent l="0" t="0" r="6985" b="12065"/>
                        <wp:docPr id="129" name="图片 17"/>
                        <wp:cNvGraphicFramePr/>
                        <a:graphic xmlns:a="http://schemas.openxmlformats.org/drawingml/2006/main">
                          <a:graphicData uri="http://schemas.openxmlformats.org/drawingml/2006/picture">
                            <pic:pic xmlns:pic="http://schemas.openxmlformats.org/drawingml/2006/picture">
                              <pic:nvPicPr>
                                <pic:cNvPr id="129" name="图片 17"/>
                                <pic:cNvPicPr/>
                              </pic:nvPicPr>
                              <pic:blipFill>
                                <a:blip r:embed="rId37"/>
                                <a:stretch>
                                  <a:fillRect/>
                                </a:stretch>
                              </pic:blipFill>
                              <pic:spPr>
                                <a:xfrm>
                                  <a:off x="0" y="0"/>
                                  <a:ext cx="1040765" cy="845185"/>
                                </a:xfrm>
                                <a:prstGeom prst="rect">
                                  <a:avLst/>
                                </a:prstGeom>
                                <a:noFill/>
                                <a:ln>
                                  <a:noFill/>
                                </a:ln>
                              </pic:spPr>
                            </pic:pic>
                          </a:graphicData>
                        </a:graphic>
                      </wp:inline>
                    </w:drawing>
                  </w:r>
                </w:p>
              </w:tc>
            </w:tr>
            <w:tr w14:paraId="6A8A2F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44" w:hRule="atLeast"/>
                <w:jc w:val="center"/>
              </w:trPr>
              <w:tc>
                <w:tcPr>
                  <w:tcW w:w="1384" w:type="dxa"/>
                  <w:vMerge w:val="restart"/>
                  <w:tcBorders>
                    <w:bottom w:val="nil"/>
                  </w:tcBorders>
                  <w:noWrap w:val="0"/>
                  <w:vAlign w:val="center"/>
                </w:tcPr>
                <w:p w14:paraId="61084E7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固废</w:t>
                  </w:r>
                </w:p>
              </w:tc>
              <w:tc>
                <w:tcPr>
                  <w:tcW w:w="1831" w:type="dxa"/>
                  <w:noWrap w:val="0"/>
                  <w:vAlign w:val="center"/>
                </w:tcPr>
                <w:p w14:paraId="0D5379A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一般固废临时贮存区</w:t>
                  </w:r>
                </w:p>
              </w:tc>
              <w:tc>
                <w:tcPr>
                  <w:tcW w:w="2259" w:type="dxa"/>
                  <w:noWrap w:val="0"/>
                  <w:vAlign w:val="center"/>
                </w:tcPr>
                <w:p w14:paraId="0A01F33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drawing>
                      <wp:inline distT="0" distB="0" distL="114300" distR="114300">
                        <wp:extent cx="889635" cy="889635"/>
                        <wp:effectExtent l="0" t="0" r="5715" b="5715"/>
                        <wp:docPr id="125" name="图片 18"/>
                        <wp:cNvGraphicFramePr/>
                        <a:graphic xmlns:a="http://schemas.openxmlformats.org/drawingml/2006/main">
                          <a:graphicData uri="http://schemas.openxmlformats.org/drawingml/2006/picture">
                            <pic:pic xmlns:pic="http://schemas.openxmlformats.org/drawingml/2006/picture">
                              <pic:nvPicPr>
                                <pic:cNvPr id="125" name="图片 18"/>
                                <pic:cNvPicPr/>
                              </pic:nvPicPr>
                              <pic:blipFill>
                                <a:blip r:embed="rId38"/>
                                <a:stretch>
                                  <a:fillRect/>
                                </a:stretch>
                              </pic:blipFill>
                              <pic:spPr>
                                <a:xfrm>
                                  <a:off x="0" y="0"/>
                                  <a:ext cx="889635" cy="889635"/>
                                </a:xfrm>
                                <a:prstGeom prst="rect">
                                  <a:avLst/>
                                </a:prstGeom>
                                <a:noFill/>
                                <a:ln>
                                  <a:noFill/>
                                </a:ln>
                              </pic:spPr>
                            </pic:pic>
                          </a:graphicData>
                        </a:graphic>
                      </wp:inline>
                    </w:drawing>
                  </w:r>
                </w:p>
              </w:tc>
              <w:tc>
                <w:tcPr>
                  <w:tcW w:w="2364" w:type="dxa"/>
                  <w:noWrap w:val="0"/>
                  <w:vAlign w:val="center"/>
                </w:tcPr>
                <w:p w14:paraId="399FE80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drawing>
                      <wp:inline distT="0" distB="0" distL="114300" distR="114300">
                        <wp:extent cx="1103630" cy="1292860"/>
                        <wp:effectExtent l="0" t="0" r="1270" b="2540"/>
                        <wp:docPr id="131" name="图片 19" descr="170677278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9" descr="1706772788544"/>
                                <pic:cNvPicPr>
                                  <a:picLocks noChangeAspect="1"/>
                                </pic:cNvPicPr>
                              </pic:nvPicPr>
                              <pic:blipFill>
                                <a:blip r:embed="rId39"/>
                                <a:stretch>
                                  <a:fillRect/>
                                </a:stretch>
                              </pic:blipFill>
                              <pic:spPr>
                                <a:xfrm>
                                  <a:off x="0" y="0"/>
                                  <a:ext cx="1103630" cy="1292860"/>
                                </a:xfrm>
                                <a:prstGeom prst="rect">
                                  <a:avLst/>
                                </a:prstGeom>
                                <a:noFill/>
                                <a:ln>
                                  <a:noFill/>
                                </a:ln>
                              </pic:spPr>
                            </pic:pic>
                          </a:graphicData>
                        </a:graphic>
                      </wp:inline>
                    </w:drawing>
                  </w:r>
                </w:p>
              </w:tc>
            </w:tr>
            <w:tr w14:paraId="42DEE1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93" w:hRule="atLeast"/>
                <w:jc w:val="center"/>
              </w:trPr>
              <w:tc>
                <w:tcPr>
                  <w:tcW w:w="1384" w:type="dxa"/>
                  <w:vMerge w:val="continue"/>
                  <w:tcBorders>
                    <w:top w:val="nil"/>
                  </w:tcBorders>
                  <w:noWrap w:val="0"/>
                  <w:vAlign w:val="center"/>
                </w:tcPr>
                <w:p w14:paraId="6C0B4560">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p>
              </w:tc>
              <w:tc>
                <w:tcPr>
                  <w:tcW w:w="1831" w:type="dxa"/>
                  <w:noWrap w:val="0"/>
                  <w:vAlign w:val="center"/>
                </w:tcPr>
                <w:p w14:paraId="0067315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危险废物临时贮存区</w:t>
                  </w:r>
                </w:p>
              </w:tc>
              <w:tc>
                <w:tcPr>
                  <w:tcW w:w="2259" w:type="dxa"/>
                  <w:noWrap w:val="0"/>
                  <w:vAlign w:val="center"/>
                </w:tcPr>
                <w:p w14:paraId="381C234E">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364" w:type="dxa"/>
                  <w:noWrap w:val="0"/>
                  <w:vAlign w:val="center"/>
                </w:tcPr>
                <w:p w14:paraId="7EC2000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drawing>
                      <wp:inline distT="0" distB="0" distL="114300" distR="114300">
                        <wp:extent cx="1102995" cy="1312545"/>
                        <wp:effectExtent l="0" t="0" r="1905" b="1905"/>
                        <wp:docPr id="1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0"/>
                                <pic:cNvPicPr>
                                  <a:picLocks noChangeAspect="1"/>
                                </pic:cNvPicPr>
                              </pic:nvPicPr>
                              <pic:blipFill>
                                <a:blip r:embed="rId40"/>
                                <a:srcRect l="47009" b="-487"/>
                                <a:stretch>
                                  <a:fillRect/>
                                </a:stretch>
                              </pic:blipFill>
                              <pic:spPr>
                                <a:xfrm>
                                  <a:off x="0" y="0"/>
                                  <a:ext cx="1102995" cy="1312545"/>
                                </a:xfrm>
                                <a:prstGeom prst="rect">
                                  <a:avLst/>
                                </a:prstGeom>
                                <a:noFill/>
                                <a:ln>
                                  <a:noFill/>
                                </a:ln>
                              </pic:spPr>
                            </pic:pic>
                          </a:graphicData>
                        </a:graphic>
                      </wp:inline>
                    </w:drawing>
                  </w:r>
                </w:p>
              </w:tc>
            </w:tr>
          </w:tbl>
          <w:p w14:paraId="436124A7">
            <w:pPr>
              <w:keepNext w:val="0"/>
              <w:keepLines w:val="0"/>
              <w:pageBreakBefore w:val="0"/>
              <w:widowControl/>
              <w:kinsoku w:val="0"/>
              <w:wordWrap/>
              <w:overflowPunct/>
              <w:topLinePunct w:val="0"/>
              <w:autoSpaceDE w:val="0"/>
              <w:autoSpaceDN w:val="0"/>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表5-2</w:t>
            </w:r>
            <w:r>
              <w:rPr>
                <w:rFonts w:hint="eastAsia"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标志的形状及颜色说明</w:t>
            </w:r>
          </w:p>
          <w:tbl>
            <w:tblPr>
              <w:tblStyle w:val="124"/>
              <w:tblW w:w="777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77"/>
              <w:gridCol w:w="1699"/>
              <w:gridCol w:w="1698"/>
              <w:gridCol w:w="2202"/>
            </w:tblGrid>
            <w:tr w14:paraId="228FF3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jc w:val="center"/>
              </w:trPr>
              <w:tc>
                <w:tcPr>
                  <w:tcW w:w="2177" w:type="dxa"/>
                  <w:noWrap w:val="0"/>
                  <w:vAlign w:val="center"/>
                </w:tcPr>
                <w:p w14:paraId="6AC328FF">
                  <w:pPr>
                    <w:pStyle w:val="12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项目</w:t>
                  </w:r>
                </w:p>
              </w:tc>
              <w:tc>
                <w:tcPr>
                  <w:tcW w:w="1699" w:type="dxa"/>
                  <w:noWrap w:val="0"/>
                  <w:vAlign w:val="center"/>
                </w:tcPr>
                <w:p w14:paraId="6BEFFDC6">
                  <w:pPr>
                    <w:pStyle w:val="12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形状</w:t>
                  </w:r>
                </w:p>
              </w:tc>
              <w:tc>
                <w:tcPr>
                  <w:tcW w:w="1698" w:type="dxa"/>
                  <w:noWrap w:val="0"/>
                  <w:vAlign w:val="center"/>
                </w:tcPr>
                <w:p w14:paraId="15BAE862">
                  <w:pPr>
                    <w:pStyle w:val="12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背景颜色</w:t>
                  </w:r>
                </w:p>
              </w:tc>
              <w:tc>
                <w:tcPr>
                  <w:tcW w:w="2202" w:type="dxa"/>
                  <w:noWrap w:val="0"/>
                  <w:vAlign w:val="center"/>
                </w:tcPr>
                <w:p w14:paraId="10C65A37">
                  <w:pPr>
                    <w:pStyle w:val="12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图形颜色</w:t>
                  </w:r>
                </w:p>
              </w:tc>
            </w:tr>
            <w:tr w14:paraId="6392B9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2177" w:type="dxa"/>
                  <w:noWrap w:val="0"/>
                  <w:vAlign w:val="center"/>
                </w:tcPr>
                <w:p w14:paraId="0A280F68">
                  <w:pPr>
                    <w:pStyle w:val="12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警告标志</w:t>
                  </w:r>
                </w:p>
              </w:tc>
              <w:tc>
                <w:tcPr>
                  <w:tcW w:w="1699" w:type="dxa"/>
                  <w:noWrap w:val="0"/>
                  <w:vAlign w:val="center"/>
                </w:tcPr>
                <w:p w14:paraId="287FFF23">
                  <w:pPr>
                    <w:pStyle w:val="12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三角形边框</w:t>
                  </w:r>
                </w:p>
              </w:tc>
              <w:tc>
                <w:tcPr>
                  <w:tcW w:w="1698" w:type="dxa"/>
                  <w:noWrap w:val="0"/>
                  <w:vAlign w:val="center"/>
                </w:tcPr>
                <w:p w14:paraId="3567F652">
                  <w:pPr>
                    <w:pStyle w:val="12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黄色</w:t>
                  </w:r>
                </w:p>
              </w:tc>
              <w:tc>
                <w:tcPr>
                  <w:tcW w:w="2202" w:type="dxa"/>
                  <w:noWrap w:val="0"/>
                  <w:vAlign w:val="center"/>
                </w:tcPr>
                <w:p w14:paraId="20822C83">
                  <w:pPr>
                    <w:pStyle w:val="12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黑色</w:t>
                  </w:r>
                </w:p>
              </w:tc>
            </w:tr>
            <w:tr w14:paraId="7A0411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jc w:val="center"/>
              </w:trPr>
              <w:tc>
                <w:tcPr>
                  <w:tcW w:w="2177" w:type="dxa"/>
                  <w:noWrap w:val="0"/>
                  <w:vAlign w:val="center"/>
                </w:tcPr>
                <w:p w14:paraId="3D54FFD6">
                  <w:pPr>
                    <w:pStyle w:val="12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提示标志</w:t>
                  </w:r>
                </w:p>
              </w:tc>
              <w:tc>
                <w:tcPr>
                  <w:tcW w:w="1699" w:type="dxa"/>
                  <w:noWrap w:val="0"/>
                  <w:vAlign w:val="center"/>
                </w:tcPr>
                <w:p w14:paraId="3F44B28A">
                  <w:pPr>
                    <w:pStyle w:val="12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正方形边框</w:t>
                  </w:r>
                </w:p>
              </w:tc>
              <w:tc>
                <w:tcPr>
                  <w:tcW w:w="1698" w:type="dxa"/>
                  <w:noWrap w:val="0"/>
                  <w:vAlign w:val="center"/>
                </w:tcPr>
                <w:p w14:paraId="0942EFB2">
                  <w:pPr>
                    <w:pStyle w:val="12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绿色</w:t>
                  </w:r>
                </w:p>
              </w:tc>
              <w:tc>
                <w:tcPr>
                  <w:tcW w:w="2202" w:type="dxa"/>
                  <w:noWrap w:val="0"/>
                  <w:vAlign w:val="center"/>
                </w:tcPr>
                <w:p w14:paraId="744BEB95">
                  <w:pPr>
                    <w:pStyle w:val="123"/>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白色</w:t>
                  </w:r>
                </w:p>
              </w:tc>
            </w:tr>
          </w:tbl>
          <w:p w14:paraId="0122BFBD">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（3）采样断面、采样点位及采样平台的规范化建设</w:t>
            </w:r>
          </w:p>
          <w:p w14:paraId="27A819A5">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根据《固定污染源废气监测点位设置技术规范》(DB37/T3535-2019)等要求，项目采样口位置应分别满足如下要求：</w:t>
            </w:r>
          </w:p>
          <w:p w14:paraId="6B51E54F">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①对于颗粒态污染物，监测断面优先设置在垂直管段，应避开烟道弯头和断面急剧变化的部位，设置在距弯头、阀门、变径管下游方向不小于4倍直径，和距上述部件上游方向不小于2倍直径处；对于气态污染物，监测断面的设置可不受上述限制。</w:t>
            </w:r>
          </w:p>
          <w:p w14:paraId="750FA793">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②在选定的监测断面上开设监测孔，监测孔的内径应不小于90mm，不使用时应用盖板或管帽封闭，使用时应易打开；③烟道直径≤1m的圆形烟道，设置一个监测孔；烟道直径大于1m不大于4m的圆形烟道，设置相互垂直的两个监测孔；</w:t>
            </w:r>
          </w:p>
          <w:p w14:paraId="684B9DB5">
            <w:pPr>
              <w:keepNext w:val="0"/>
              <w:keepLines w:val="0"/>
              <w:pageBreakBefore w:val="0"/>
              <w:widowControl/>
              <w:kinsoku/>
              <w:wordWrap/>
              <w:overflowPunct/>
              <w:topLinePunct w:val="0"/>
              <w:autoSpaceDE/>
              <w:autoSpaceDN/>
              <w:bidi w:val="0"/>
              <w:adjustRightInd w:val="0"/>
              <w:snapToGrid w:val="0"/>
              <w:spacing w:line="360" w:lineRule="auto"/>
              <w:ind w:firstLine="420" w:firstLineChars="200"/>
              <w:jc w:val="both"/>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④监测平台应设置在监测孔的正下方1.2m～1.3m处，应永久、安全、便于监测及采样。监测平台可操作面积应≥2m</w:t>
            </w:r>
            <w:r>
              <w:rPr>
                <w:rFonts w:hint="default" w:ascii="Times New Roman" w:hAnsi="Times New Roman" w:eastAsia="宋体" w:cs="Times New Roman"/>
                <w:color w:val="auto"/>
                <w:kern w:val="2"/>
                <w:sz w:val="21"/>
                <w:szCs w:val="21"/>
                <w:vertAlign w:val="superscript"/>
                <w:lang w:val="en-US" w:eastAsia="zh-CN" w:bidi="ar-SA"/>
              </w:rPr>
              <w:t>2</w:t>
            </w:r>
            <w:r>
              <w:rPr>
                <w:rFonts w:hint="default" w:ascii="Times New Roman" w:hAnsi="Times New Roman" w:eastAsia="宋体" w:cs="Times New Roman"/>
                <w:color w:val="auto"/>
                <w:kern w:val="2"/>
                <w:sz w:val="21"/>
                <w:szCs w:val="21"/>
                <w:lang w:val="en-US" w:eastAsia="zh-CN" w:bidi="ar-SA"/>
              </w:rPr>
              <w:t>，单边长度应≥1.2m，且不小于监测断面直径的1/3。若监测断面有多个监测孔且水平排列，监测平台区域应涵盖所有监测孔；若监测断面有多个监测孔且竖直排列，则应设置多层监测平台。通往监测平台的通道宽度应≥0.9m。</w:t>
            </w:r>
          </w:p>
          <w:p w14:paraId="52E951DC">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3、建设项目竣工环境保护验收</w:t>
            </w:r>
          </w:p>
          <w:p w14:paraId="5BF64C3F">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根据《建设项目环境保护管理条例》要求，编制环境影响报告表的建设项目竣工后，建设单位应当按照国务院环境保护行政主管部门规定的标准和程序，对配套建设的环境保护设施进行验收，编制验收报告。</w:t>
            </w:r>
          </w:p>
          <w:p w14:paraId="12D7F93C">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4、排污许可</w:t>
            </w:r>
          </w:p>
          <w:p w14:paraId="02813F4E">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根据《固定污染源排污许可分类管理名录》（2019年版）及山东省生态环境厅《2020年纳入排污许可管理的行业和管理类别表》，</w:t>
            </w:r>
            <w:r>
              <w:rPr>
                <w:rFonts w:hint="eastAsia" w:cs="Times New Roman"/>
                <w:color w:val="000000" w:themeColor="text1"/>
                <w:szCs w:val="21"/>
                <w:lang w:eastAsia="zh-CN"/>
                <w14:textFill>
                  <w14:solidFill>
                    <w14:schemeClr w14:val="tx1"/>
                  </w14:solidFill>
                </w14:textFill>
              </w:rPr>
              <w:t>本项目</w:t>
            </w:r>
            <w:r>
              <w:rPr>
                <w:rFonts w:hint="eastAsia" w:ascii="Times New Roman" w:hAnsi="Times New Roman" w:eastAsia="宋体" w:cs="Times New Roman"/>
                <w:color w:val="000000" w:themeColor="text1"/>
                <w:szCs w:val="21"/>
                <w:lang w:val="en-US" w:eastAsia="zh-CN"/>
                <w14:textFill>
                  <w14:solidFill>
                    <w14:schemeClr w14:val="tx1"/>
                  </w14:solidFill>
                </w14:textFill>
              </w:rPr>
              <w:t>属于</w:t>
            </w:r>
            <w:r>
              <w:rPr>
                <w:rFonts w:hint="default" w:ascii="Times New Roman" w:hAnsi="Times New Roman" w:eastAsia="宋体" w:cs="Times New Roman"/>
                <w:color w:val="000000" w:themeColor="text1"/>
                <w:szCs w:val="21"/>
                <w:lang w:val="en-US"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二十三、化学原料和化学制品制造业 26之44-单纯物理分离、物理提纯、混合、分装的（不产生废水或挥发性有机物的除外）</w:t>
            </w:r>
            <w:r>
              <w:rPr>
                <w:rFonts w:hint="default" w:ascii="Times New Roman" w:hAnsi="Times New Roman" w:eastAsia="宋体" w:cs="Times New Roman"/>
                <w:color w:val="000000" w:themeColor="text1"/>
                <w:szCs w:val="21"/>
                <w:lang w:val="en-US" w:eastAsia="zh-CN"/>
                <w14:textFill>
                  <w14:solidFill>
                    <w14:schemeClr w14:val="tx1"/>
                  </w14:solidFill>
                </w14:textFill>
              </w:rPr>
              <w:t>”应实行排污许可登记管理</w:t>
            </w:r>
            <w:r>
              <w:rPr>
                <w:rFonts w:hint="default" w:ascii="Times New Roman" w:hAnsi="Times New Roman" w:eastAsia="宋体" w:cs="Times New Roman"/>
                <w:color w:val="000000" w:themeColor="text1"/>
                <w:szCs w:val="21"/>
                <w14:textFill>
                  <w14:solidFill>
                    <w14:schemeClr w14:val="tx1"/>
                  </w14:solidFill>
                </w14:textFill>
              </w:rPr>
              <w:t>。公司应当按相关规定，在合理时间内申请排污许可证，合法排污。</w:t>
            </w:r>
          </w:p>
          <w:p w14:paraId="336631E8">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5、自行监测</w:t>
            </w:r>
          </w:p>
          <w:p w14:paraId="72956F51">
            <w:pPr>
              <w:pStyle w:val="37"/>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企业应当按照排污许可证规定和有关标准规范，依法开展自行监测，并保存原始监测记录。</w:t>
            </w:r>
          </w:p>
          <w:p w14:paraId="66CDE76B">
            <w:pPr>
              <w:rPr>
                <w:rFonts w:hint="default" w:ascii="Times New Roman" w:hAnsi="Times New Roman" w:eastAsia="宋体" w:cs="Times New Roman"/>
                <w:color w:val="000000" w:themeColor="text1"/>
                <w:szCs w:val="21"/>
                <w14:textFill>
                  <w14:solidFill>
                    <w14:schemeClr w14:val="tx1"/>
                  </w14:solidFill>
                </w14:textFill>
              </w:rPr>
            </w:pPr>
          </w:p>
          <w:p w14:paraId="5A679D98">
            <w:pPr>
              <w:rPr>
                <w:rFonts w:hint="default"/>
              </w:rPr>
            </w:pPr>
          </w:p>
          <w:p w14:paraId="6E55D658">
            <w:pPr>
              <w:pStyle w:val="37"/>
              <w:spacing w:after="0"/>
              <w:ind w:left="0" w:leftChars="0" w:firstLine="0" w:firstLineChars="0"/>
              <w:rPr>
                <w:rFonts w:hint="default" w:ascii="Times New Roman" w:hAnsi="Times New Roman" w:eastAsia="宋体" w:cs="Times New Roman"/>
                <w:color w:val="000000" w:themeColor="text1"/>
                <w:szCs w:val="21"/>
                <w14:textFill>
                  <w14:solidFill>
                    <w14:schemeClr w14:val="tx1"/>
                  </w14:solidFill>
                </w14:textFill>
              </w:rPr>
            </w:pPr>
          </w:p>
          <w:p w14:paraId="3D236927">
            <w:pPr>
              <w:rPr>
                <w:rFonts w:hint="default"/>
              </w:rPr>
            </w:pPr>
          </w:p>
        </w:tc>
      </w:tr>
    </w:tbl>
    <w:p w14:paraId="7E0C02E8">
      <w:pPr>
        <w:pStyle w:val="33"/>
        <w:spacing w:before="0" w:beforeAutospacing="0" w:line="14" w:lineRule="auto"/>
        <w:jc w:val="center"/>
        <w:outlineLvl w:val="0"/>
        <w:rPr>
          <w:rFonts w:hint="default" w:ascii="Times New Roman" w:hAnsi="Times New Roman" w:eastAsia="宋体" w:cs="Times New Roman"/>
          <w:snapToGrid w:val="0"/>
          <w:color w:val="000000" w:themeColor="text1"/>
          <w:sz w:val="30"/>
          <w:szCs w:val="30"/>
          <w14:textFill>
            <w14:solidFill>
              <w14:schemeClr w14:val="tx1"/>
            </w14:solidFill>
          </w14:textFill>
        </w:rPr>
      </w:pPr>
      <w:r>
        <w:rPr>
          <w:rFonts w:hint="default" w:ascii="Times New Roman" w:hAnsi="Times New Roman" w:eastAsia="宋体" w:cs="Times New Roman"/>
          <w:snapToGrid w:val="0"/>
          <w:color w:val="000000" w:themeColor="text1"/>
          <w:sz w:val="30"/>
          <w:szCs w:val="30"/>
          <w14:textFill>
            <w14:solidFill>
              <w14:schemeClr w14:val="tx1"/>
            </w14:solidFill>
          </w14:textFill>
        </w:rPr>
        <w:br w:type="page"/>
      </w:r>
    </w:p>
    <w:p w14:paraId="2DD8671B">
      <w:pPr>
        <w:pStyle w:val="33"/>
        <w:jc w:val="center"/>
        <w:outlineLvl w:val="0"/>
        <w:rPr>
          <w:rFonts w:hint="default" w:ascii="Times New Roman" w:hAnsi="Times New Roman" w:eastAsia="宋体" w:cs="Times New Roman"/>
          <w:snapToGrid w:val="0"/>
          <w:color w:val="000000" w:themeColor="text1"/>
          <w:sz w:val="30"/>
          <w:szCs w:val="30"/>
          <w14:textFill>
            <w14:solidFill>
              <w14:schemeClr w14:val="tx1"/>
            </w14:solidFill>
          </w14:textFill>
        </w:rPr>
      </w:pPr>
      <w:r>
        <w:rPr>
          <w:rFonts w:hint="default" w:ascii="Times New Roman" w:hAnsi="Times New Roman" w:eastAsia="宋体" w:cs="Times New Roman"/>
          <w:snapToGrid w:val="0"/>
          <w:color w:val="000000" w:themeColor="text1"/>
          <w:sz w:val="30"/>
          <w:szCs w:val="30"/>
          <w14:textFill>
            <w14:solidFill>
              <w14:schemeClr w14:val="tx1"/>
            </w14:solidFill>
          </w14:textFill>
        </w:rPr>
        <w:t>六、结论</w:t>
      </w:r>
    </w:p>
    <w:tbl>
      <w:tblPr>
        <w:tblStyle w:val="38"/>
        <w:tblW w:w="523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482"/>
      </w:tblGrid>
      <w:tr w14:paraId="57B13E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5000" w:type="pct"/>
            <w:vAlign w:val="center"/>
          </w:tcPr>
          <w:p w14:paraId="0EE73A38">
            <w:pPr>
              <w:adjustRightInd w:val="0"/>
              <w:snapToGrid w:val="0"/>
              <w:spacing w:line="360" w:lineRule="auto"/>
              <w:ind w:firstLine="480" w:firstLineChars="200"/>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本项目符合国家、当地产业政策和当地城市建设总体规划的要求，选址合理。项目在建设中和建成运行以后将产生一定程度的废气、固废、噪声，在建设单位严格落实</w:t>
            </w:r>
            <w:r>
              <w:rPr>
                <w:rFonts w:hint="eastAsia" w:cs="Times New Roman"/>
                <w:color w:val="000000" w:themeColor="text1"/>
                <w:sz w:val="24"/>
                <w:lang w:val="en-US" w:eastAsia="zh-CN"/>
                <w14:textFill>
                  <w14:solidFill>
                    <w14:schemeClr w14:val="tx1"/>
                  </w14:solidFill>
                </w14:textFill>
              </w:rPr>
              <w:t>本报告提出的</w:t>
            </w:r>
            <w:r>
              <w:rPr>
                <w:rFonts w:hint="default" w:ascii="Times New Roman" w:hAnsi="Times New Roman" w:eastAsia="宋体" w:cs="Times New Roman"/>
                <w:color w:val="000000" w:themeColor="text1"/>
                <w:sz w:val="24"/>
                <w14:textFill>
                  <w14:solidFill>
                    <w14:schemeClr w14:val="tx1"/>
                  </w14:solidFill>
                </w14:textFill>
              </w:rPr>
              <w:t>各项污染防治措施及总量控制措施后，项目对周围环境的影响可以控制在国家有关标准和要求的允许范围以内。因此，在严格落实本报告表提出的各项措施的基础上，</w:t>
            </w:r>
            <w:r>
              <w:rPr>
                <w:rFonts w:hint="eastAsia" w:cs="Times New Roman"/>
                <w:color w:val="000000" w:themeColor="text1"/>
                <w:sz w:val="24"/>
                <w:lang w:eastAsia="zh-CN"/>
                <w14:textFill>
                  <w14:solidFill>
                    <w14:schemeClr w14:val="tx1"/>
                  </w14:solidFill>
                </w14:textFill>
              </w:rPr>
              <w:t>淄博东润一枝新材料有限公司年产2000吨聚乙烯蜡项目</w:t>
            </w:r>
            <w:r>
              <w:rPr>
                <w:rFonts w:hint="default" w:ascii="Times New Roman" w:hAnsi="Times New Roman" w:eastAsia="宋体" w:cs="Times New Roman"/>
                <w:color w:val="000000" w:themeColor="text1"/>
                <w:sz w:val="24"/>
                <w14:textFill>
                  <w14:solidFill>
                    <w14:schemeClr w14:val="tx1"/>
                  </w14:solidFill>
                </w14:textFill>
              </w:rPr>
              <w:t>从环境保护角度考虑是可行的。</w:t>
            </w:r>
          </w:p>
        </w:tc>
      </w:tr>
    </w:tbl>
    <w:p w14:paraId="45BD4B02">
      <w:pPr>
        <w:rPr>
          <w:rFonts w:hint="default" w:ascii="Times New Roman" w:hAnsi="Times New Roman" w:eastAsia="宋体" w:cs="Times New Roman"/>
          <w:color w:val="000000" w:themeColor="text1"/>
          <w14:textFill>
            <w14:solidFill>
              <w14:schemeClr w14:val="tx1"/>
            </w14:solidFill>
          </w14:textFill>
        </w:rPr>
      </w:pPr>
    </w:p>
    <w:p w14:paraId="09F36A5D">
      <w:pPr>
        <w:adjustRightInd w:val="0"/>
        <w:snapToGrid w:val="0"/>
        <w:spacing w:before="192" w:beforeLines="80"/>
        <w:rPr>
          <w:rFonts w:hint="default" w:ascii="Times New Roman" w:hAnsi="Times New Roman" w:eastAsia="宋体" w:cs="Times New Roman"/>
          <w:color w:val="000000" w:themeColor="text1"/>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p w14:paraId="5A443512">
      <w:pPr>
        <w:pStyle w:val="33"/>
        <w:outlineLvl w:val="0"/>
        <w:rPr>
          <w:rFonts w:hint="default" w:ascii="Times New Roman" w:hAnsi="Times New Roman" w:eastAsia="宋体" w:cs="Times New Roman"/>
          <w:snapToGrid w:val="0"/>
          <w:color w:val="000000" w:themeColor="text1"/>
          <w:sz w:val="30"/>
          <w:szCs w:val="30"/>
          <w14:textFill>
            <w14:solidFill>
              <w14:schemeClr w14:val="tx1"/>
            </w14:solidFill>
          </w14:textFill>
        </w:rPr>
      </w:pPr>
      <w:r>
        <w:rPr>
          <w:rFonts w:hint="default" w:ascii="Times New Roman" w:hAnsi="Times New Roman" w:eastAsia="宋体" w:cs="Times New Roman"/>
          <w:snapToGrid w:val="0"/>
          <w:color w:val="000000" w:themeColor="text1"/>
          <w:sz w:val="30"/>
          <w:szCs w:val="30"/>
          <w14:textFill>
            <w14:solidFill>
              <w14:schemeClr w14:val="tx1"/>
            </w14:solidFill>
          </w14:textFill>
        </w:rPr>
        <w:t>附表</w:t>
      </w:r>
    </w:p>
    <w:p w14:paraId="05B4D1BA">
      <w:pPr>
        <w:pStyle w:val="33"/>
        <w:adjustRightInd w:val="0"/>
        <w:snapToGrid w:val="0"/>
        <w:spacing w:before="0" w:beforeAutospacing="0" w:after="0" w:afterAutospacing="0" w:line="360" w:lineRule="auto"/>
        <w:jc w:val="center"/>
        <w:outlineLvl w:val="0"/>
        <w:rPr>
          <w:rFonts w:hint="default" w:ascii="Times New Roman" w:hAnsi="Times New Roman" w:eastAsia="宋体" w:cs="Times New Roman"/>
          <w:snapToGrid w:val="0"/>
          <w:color w:val="000000" w:themeColor="text1"/>
          <w:sz w:val="38"/>
          <w:szCs w:val="38"/>
          <w14:textFill>
            <w14:solidFill>
              <w14:schemeClr w14:val="tx1"/>
            </w14:solidFill>
          </w14:textFill>
        </w:rPr>
      </w:pPr>
      <w:r>
        <w:rPr>
          <w:rFonts w:hint="default" w:ascii="Times New Roman" w:hAnsi="Times New Roman" w:eastAsia="宋体" w:cs="Times New Roman"/>
          <w:snapToGrid w:val="0"/>
          <w:color w:val="000000" w:themeColor="text1"/>
          <w:sz w:val="30"/>
          <w:szCs w:val="30"/>
          <w14:textFill>
            <w14:solidFill>
              <w14:schemeClr w14:val="tx1"/>
            </w14:solidFill>
          </w14:textFill>
        </w:rPr>
        <w:t>建设项目污染物排放量汇总表</w:t>
      </w:r>
    </w:p>
    <w:tbl>
      <w:tblPr>
        <w:tblStyle w:val="38"/>
        <w:tblW w:w="1383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6"/>
        <w:gridCol w:w="1718"/>
        <w:gridCol w:w="1695"/>
        <w:gridCol w:w="1271"/>
        <w:gridCol w:w="1695"/>
        <w:gridCol w:w="1553"/>
        <w:gridCol w:w="1755"/>
        <w:gridCol w:w="1711"/>
        <w:gridCol w:w="1160"/>
      </w:tblGrid>
      <w:tr w14:paraId="13B8A8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76" w:type="dxa"/>
            <w:tcBorders>
              <w:tl2br w:val="single" w:color="auto" w:sz="4" w:space="0"/>
            </w:tcBorders>
            <w:tcMar>
              <w:left w:w="28" w:type="dxa"/>
              <w:right w:w="28" w:type="dxa"/>
            </w:tcMar>
            <w:vAlign w:val="center"/>
          </w:tcPr>
          <w:p w14:paraId="04DE8C6A">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项目</w:t>
            </w:r>
          </w:p>
          <w:p w14:paraId="68BD68B1">
            <w:pPr>
              <w:pStyle w:val="126"/>
              <w:spacing w:line="240" w:lineRule="auto"/>
              <w:ind w:firstLine="210" w:firstLineChars="100"/>
              <w:jc w:val="both"/>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分类</w:t>
            </w:r>
          </w:p>
        </w:tc>
        <w:tc>
          <w:tcPr>
            <w:tcW w:w="1718" w:type="dxa"/>
            <w:tcMar>
              <w:left w:w="28" w:type="dxa"/>
              <w:right w:w="28" w:type="dxa"/>
            </w:tcMar>
            <w:vAlign w:val="center"/>
          </w:tcPr>
          <w:p w14:paraId="45663241">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污染物名称</w:t>
            </w:r>
          </w:p>
        </w:tc>
        <w:tc>
          <w:tcPr>
            <w:tcW w:w="1695" w:type="dxa"/>
            <w:tcMar>
              <w:left w:w="28" w:type="dxa"/>
              <w:right w:w="28" w:type="dxa"/>
            </w:tcMar>
            <w:vAlign w:val="center"/>
          </w:tcPr>
          <w:p w14:paraId="7CA2CD4A">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现有工程</w:t>
            </w:r>
          </w:p>
          <w:p w14:paraId="0CAA7C62">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排放量（固体废物产生量）</w:t>
            </w:r>
            <w:r>
              <w:rPr>
                <w:rFonts w:hint="default" w:ascii="Times New Roman" w:hAnsi="Times New Roman" w:eastAsia="宋体" w:cs="Times New Roman"/>
                <w:color w:val="000000" w:themeColor="text1"/>
                <w:szCs w:val="21"/>
                <w14:textFill>
                  <w14:solidFill>
                    <w14:schemeClr w14:val="tx1"/>
                  </w14:solidFill>
                </w14:textFill>
              </w:rPr>
              <w:fldChar w:fldCharType="begin"/>
            </w:r>
            <w:r>
              <w:rPr>
                <w:rFonts w:hint="default" w:ascii="Times New Roman" w:hAnsi="Times New Roman" w:eastAsia="宋体" w:cs="Times New Roman"/>
                <w:color w:val="000000" w:themeColor="text1"/>
                <w:szCs w:val="21"/>
                <w14:textFill>
                  <w14:solidFill>
                    <w14:schemeClr w14:val="tx1"/>
                  </w14:solidFill>
                </w14:textFill>
              </w:rPr>
              <w:instrText xml:space="preserve"> = 1 \* GB3 \* MERGEFORMAT </w:instrText>
            </w:r>
            <w:r>
              <w:rPr>
                <w:rFonts w:hint="default" w:ascii="Times New Roman" w:hAnsi="Times New Roman" w:eastAsia="宋体" w:cs="Times New Roman"/>
                <w:color w:val="000000" w:themeColor="text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①</w:t>
            </w:r>
            <w:r>
              <w:rPr>
                <w:rFonts w:hint="default" w:ascii="Times New Roman" w:hAnsi="Times New Roman" w:eastAsia="宋体" w:cs="Times New Roman"/>
                <w:color w:val="000000" w:themeColor="text1"/>
                <w:szCs w:val="21"/>
                <w14:textFill>
                  <w14:solidFill>
                    <w14:schemeClr w14:val="tx1"/>
                  </w14:solidFill>
                </w14:textFill>
              </w:rPr>
              <w:fldChar w:fldCharType="end"/>
            </w:r>
          </w:p>
        </w:tc>
        <w:tc>
          <w:tcPr>
            <w:tcW w:w="1271" w:type="dxa"/>
            <w:tcMar>
              <w:left w:w="28" w:type="dxa"/>
              <w:right w:w="28" w:type="dxa"/>
            </w:tcMar>
            <w:vAlign w:val="center"/>
          </w:tcPr>
          <w:p w14:paraId="03726FAE">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现有工程</w:t>
            </w:r>
          </w:p>
          <w:p w14:paraId="583322E7">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许可排放量</w:t>
            </w:r>
          </w:p>
          <w:p w14:paraId="3CCED6B4">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fldChar w:fldCharType="begin"/>
            </w:r>
            <w:r>
              <w:rPr>
                <w:rFonts w:hint="default" w:ascii="Times New Roman" w:hAnsi="Times New Roman" w:eastAsia="宋体" w:cs="Times New Roman"/>
                <w:color w:val="000000" w:themeColor="text1"/>
                <w:szCs w:val="21"/>
                <w14:textFill>
                  <w14:solidFill>
                    <w14:schemeClr w14:val="tx1"/>
                  </w14:solidFill>
                </w14:textFill>
              </w:rPr>
              <w:instrText xml:space="preserve"> = 2 \* GB3 \* MERGEFORMAT </w:instrText>
            </w:r>
            <w:r>
              <w:rPr>
                <w:rFonts w:hint="default" w:ascii="Times New Roman" w:hAnsi="Times New Roman" w:eastAsia="宋体" w:cs="Times New Roman"/>
                <w:color w:val="000000" w:themeColor="text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②</w:t>
            </w:r>
            <w:r>
              <w:rPr>
                <w:rFonts w:hint="default" w:ascii="Times New Roman" w:hAnsi="Times New Roman" w:eastAsia="宋体" w:cs="Times New Roman"/>
                <w:color w:val="000000" w:themeColor="text1"/>
                <w:szCs w:val="21"/>
                <w14:textFill>
                  <w14:solidFill>
                    <w14:schemeClr w14:val="tx1"/>
                  </w14:solidFill>
                </w14:textFill>
              </w:rPr>
              <w:fldChar w:fldCharType="end"/>
            </w:r>
          </w:p>
        </w:tc>
        <w:tc>
          <w:tcPr>
            <w:tcW w:w="1695" w:type="dxa"/>
            <w:tcMar>
              <w:left w:w="28" w:type="dxa"/>
              <w:right w:w="28" w:type="dxa"/>
            </w:tcMar>
            <w:vAlign w:val="center"/>
          </w:tcPr>
          <w:p w14:paraId="660F889C">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在建工程</w:t>
            </w:r>
          </w:p>
          <w:p w14:paraId="7CF8C4F9">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排放量（固体废物产生量）</w:t>
            </w:r>
            <w:r>
              <w:rPr>
                <w:rFonts w:hint="default" w:ascii="Times New Roman" w:hAnsi="Times New Roman" w:eastAsia="宋体" w:cs="Times New Roman"/>
                <w:color w:val="000000" w:themeColor="text1"/>
                <w:szCs w:val="21"/>
                <w14:textFill>
                  <w14:solidFill>
                    <w14:schemeClr w14:val="tx1"/>
                  </w14:solidFill>
                </w14:textFill>
              </w:rPr>
              <w:fldChar w:fldCharType="begin"/>
            </w:r>
            <w:r>
              <w:rPr>
                <w:rFonts w:hint="default" w:ascii="Times New Roman" w:hAnsi="Times New Roman" w:eastAsia="宋体" w:cs="Times New Roman"/>
                <w:color w:val="000000" w:themeColor="text1"/>
                <w:szCs w:val="21"/>
                <w14:textFill>
                  <w14:solidFill>
                    <w14:schemeClr w14:val="tx1"/>
                  </w14:solidFill>
                </w14:textFill>
              </w:rPr>
              <w:instrText xml:space="preserve"> = 3 \* GB3 \* MERGEFORMAT </w:instrText>
            </w:r>
            <w:r>
              <w:rPr>
                <w:rFonts w:hint="default" w:ascii="Times New Roman" w:hAnsi="Times New Roman" w:eastAsia="宋体" w:cs="Times New Roman"/>
                <w:color w:val="000000" w:themeColor="text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③</w:t>
            </w:r>
            <w:r>
              <w:rPr>
                <w:rFonts w:hint="default" w:ascii="Times New Roman" w:hAnsi="Times New Roman" w:eastAsia="宋体" w:cs="Times New Roman"/>
                <w:color w:val="000000" w:themeColor="text1"/>
                <w:szCs w:val="21"/>
                <w14:textFill>
                  <w14:solidFill>
                    <w14:schemeClr w14:val="tx1"/>
                  </w14:solidFill>
                </w14:textFill>
              </w:rPr>
              <w:fldChar w:fldCharType="end"/>
            </w:r>
          </w:p>
        </w:tc>
        <w:tc>
          <w:tcPr>
            <w:tcW w:w="1553" w:type="dxa"/>
            <w:tcMar>
              <w:left w:w="28" w:type="dxa"/>
              <w:right w:w="28" w:type="dxa"/>
            </w:tcMar>
            <w:vAlign w:val="center"/>
          </w:tcPr>
          <w:p w14:paraId="6EA991C5">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本项目</w:t>
            </w:r>
          </w:p>
          <w:p w14:paraId="7A4A2295">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排放量（固体废物产生量）</w:t>
            </w:r>
            <w:r>
              <w:rPr>
                <w:rFonts w:hint="default" w:ascii="Times New Roman" w:hAnsi="Times New Roman" w:eastAsia="宋体" w:cs="Times New Roman"/>
                <w:color w:val="000000" w:themeColor="text1"/>
                <w:szCs w:val="21"/>
                <w14:textFill>
                  <w14:solidFill>
                    <w14:schemeClr w14:val="tx1"/>
                  </w14:solidFill>
                </w14:textFill>
              </w:rPr>
              <w:fldChar w:fldCharType="begin"/>
            </w:r>
            <w:r>
              <w:rPr>
                <w:rFonts w:hint="default" w:ascii="Times New Roman" w:hAnsi="Times New Roman" w:eastAsia="宋体" w:cs="Times New Roman"/>
                <w:color w:val="000000" w:themeColor="text1"/>
                <w:szCs w:val="21"/>
                <w14:textFill>
                  <w14:solidFill>
                    <w14:schemeClr w14:val="tx1"/>
                  </w14:solidFill>
                </w14:textFill>
              </w:rPr>
              <w:instrText xml:space="preserve"> = 4 \* GB3 \* MERGEFORMAT </w:instrText>
            </w:r>
            <w:r>
              <w:rPr>
                <w:rFonts w:hint="default" w:ascii="Times New Roman" w:hAnsi="Times New Roman" w:eastAsia="宋体" w:cs="Times New Roman"/>
                <w:color w:val="000000" w:themeColor="text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④</w:t>
            </w:r>
            <w:r>
              <w:rPr>
                <w:rFonts w:hint="default" w:ascii="Times New Roman" w:hAnsi="Times New Roman" w:eastAsia="宋体" w:cs="Times New Roman"/>
                <w:color w:val="000000" w:themeColor="text1"/>
                <w:szCs w:val="21"/>
                <w14:textFill>
                  <w14:solidFill>
                    <w14:schemeClr w14:val="tx1"/>
                  </w14:solidFill>
                </w14:textFill>
              </w:rPr>
              <w:fldChar w:fldCharType="end"/>
            </w:r>
          </w:p>
        </w:tc>
        <w:tc>
          <w:tcPr>
            <w:tcW w:w="1755" w:type="dxa"/>
            <w:tcMar>
              <w:left w:w="28" w:type="dxa"/>
              <w:right w:w="28" w:type="dxa"/>
            </w:tcMar>
            <w:vAlign w:val="center"/>
          </w:tcPr>
          <w:p w14:paraId="091D9D40">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以新带老削减量</w:t>
            </w:r>
          </w:p>
          <w:p w14:paraId="5026621C">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（新建项目不填）</w:t>
            </w:r>
            <w:r>
              <w:rPr>
                <w:rFonts w:hint="default" w:ascii="Times New Roman" w:hAnsi="Times New Roman" w:eastAsia="宋体" w:cs="Times New Roman"/>
                <w:color w:val="000000" w:themeColor="text1"/>
                <w:szCs w:val="21"/>
                <w14:textFill>
                  <w14:solidFill>
                    <w14:schemeClr w14:val="tx1"/>
                  </w14:solidFill>
                </w14:textFill>
              </w:rPr>
              <w:fldChar w:fldCharType="begin"/>
            </w:r>
            <w:r>
              <w:rPr>
                <w:rFonts w:hint="default" w:ascii="Times New Roman" w:hAnsi="Times New Roman" w:eastAsia="宋体" w:cs="Times New Roman"/>
                <w:color w:val="000000" w:themeColor="text1"/>
                <w:szCs w:val="21"/>
                <w14:textFill>
                  <w14:solidFill>
                    <w14:schemeClr w14:val="tx1"/>
                  </w14:solidFill>
                </w14:textFill>
              </w:rPr>
              <w:instrText xml:space="preserve"> = 5 \* GB3 \* MERGEFORMAT </w:instrText>
            </w:r>
            <w:r>
              <w:rPr>
                <w:rFonts w:hint="default" w:ascii="Times New Roman" w:hAnsi="Times New Roman" w:eastAsia="宋体" w:cs="Times New Roman"/>
                <w:color w:val="000000" w:themeColor="text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⑤</w:t>
            </w:r>
            <w:r>
              <w:rPr>
                <w:rFonts w:hint="default" w:ascii="Times New Roman" w:hAnsi="Times New Roman" w:eastAsia="宋体" w:cs="Times New Roman"/>
                <w:color w:val="000000" w:themeColor="text1"/>
                <w:szCs w:val="21"/>
                <w14:textFill>
                  <w14:solidFill>
                    <w14:schemeClr w14:val="tx1"/>
                  </w14:solidFill>
                </w14:textFill>
              </w:rPr>
              <w:fldChar w:fldCharType="end"/>
            </w:r>
          </w:p>
        </w:tc>
        <w:tc>
          <w:tcPr>
            <w:tcW w:w="1711" w:type="dxa"/>
            <w:tcMar>
              <w:left w:w="28" w:type="dxa"/>
              <w:right w:w="28" w:type="dxa"/>
            </w:tcMar>
            <w:vAlign w:val="center"/>
          </w:tcPr>
          <w:p w14:paraId="6B8EBF69">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本项目建成后</w:t>
            </w:r>
          </w:p>
          <w:p w14:paraId="5E5206EB">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全厂排放量（固体废物产生量）</w:t>
            </w:r>
            <w:r>
              <w:rPr>
                <w:rFonts w:hint="default" w:ascii="Times New Roman" w:hAnsi="Times New Roman" w:eastAsia="宋体" w:cs="Times New Roman"/>
                <w:color w:val="000000" w:themeColor="text1"/>
                <w:szCs w:val="21"/>
                <w14:textFill>
                  <w14:solidFill>
                    <w14:schemeClr w14:val="tx1"/>
                  </w14:solidFill>
                </w14:textFill>
              </w:rPr>
              <w:fldChar w:fldCharType="begin"/>
            </w:r>
            <w:r>
              <w:rPr>
                <w:rFonts w:hint="default" w:ascii="Times New Roman" w:hAnsi="Times New Roman" w:eastAsia="宋体" w:cs="Times New Roman"/>
                <w:color w:val="000000" w:themeColor="text1"/>
                <w:szCs w:val="21"/>
                <w14:textFill>
                  <w14:solidFill>
                    <w14:schemeClr w14:val="tx1"/>
                  </w14:solidFill>
                </w14:textFill>
              </w:rPr>
              <w:instrText xml:space="preserve"> = 6 \* GB3 \* MERGEFORMAT </w:instrText>
            </w:r>
            <w:r>
              <w:rPr>
                <w:rFonts w:hint="default" w:ascii="Times New Roman" w:hAnsi="Times New Roman" w:eastAsia="宋体" w:cs="Times New Roman"/>
                <w:color w:val="000000" w:themeColor="text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⑥</w:t>
            </w:r>
            <w:r>
              <w:rPr>
                <w:rFonts w:hint="default" w:ascii="Times New Roman" w:hAnsi="Times New Roman" w:eastAsia="宋体" w:cs="Times New Roman"/>
                <w:color w:val="000000" w:themeColor="text1"/>
                <w:szCs w:val="21"/>
                <w14:textFill>
                  <w14:solidFill>
                    <w14:schemeClr w14:val="tx1"/>
                  </w14:solidFill>
                </w14:textFill>
              </w:rPr>
              <w:fldChar w:fldCharType="end"/>
            </w:r>
          </w:p>
        </w:tc>
        <w:tc>
          <w:tcPr>
            <w:tcW w:w="1160" w:type="dxa"/>
            <w:tcMar>
              <w:left w:w="28" w:type="dxa"/>
              <w:right w:w="28" w:type="dxa"/>
            </w:tcMar>
            <w:vAlign w:val="center"/>
          </w:tcPr>
          <w:p w14:paraId="0BE0553E">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变化量</w:t>
            </w:r>
          </w:p>
          <w:p w14:paraId="3832E645">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fldChar w:fldCharType="begin"/>
            </w:r>
            <w:r>
              <w:rPr>
                <w:rFonts w:hint="default" w:ascii="Times New Roman" w:hAnsi="Times New Roman" w:eastAsia="宋体" w:cs="Times New Roman"/>
                <w:color w:val="000000" w:themeColor="text1"/>
                <w:szCs w:val="21"/>
                <w14:textFill>
                  <w14:solidFill>
                    <w14:schemeClr w14:val="tx1"/>
                  </w14:solidFill>
                </w14:textFill>
              </w:rPr>
              <w:instrText xml:space="preserve"> = 7 \* GB3 \* MERGEFORMAT </w:instrText>
            </w:r>
            <w:r>
              <w:rPr>
                <w:rFonts w:hint="default" w:ascii="Times New Roman" w:hAnsi="Times New Roman" w:eastAsia="宋体" w:cs="Times New Roman"/>
                <w:color w:val="000000" w:themeColor="text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⑦</w:t>
            </w:r>
            <w:r>
              <w:rPr>
                <w:rFonts w:hint="default" w:ascii="Times New Roman" w:hAnsi="Times New Roman" w:eastAsia="宋体" w:cs="Times New Roman"/>
                <w:color w:val="000000" w:themeColor="text1"/>
                <w:szCs w:val="21"/>
                <w14:textFill>
                  <w14:solidFill>
                    <w14:schemeClr w14:val="tx1"/>
                  </w14:solidFill>
                </w14:textFill>
              </w:rPr>
              <w:fldChar w:fldCharType="end"/>
            </w:r>
          </w:p>
        </w:tc>
      </w:tr>
      <w:tr w14:paraId="78B26E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76" w:type="dxa"/>
            <w:vAlign w:val="center"/>
          </w:tcPr>
          <w:p w14:paraId="2E16C345">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废气</w:t>
            </w:r>
          </w:p>
        </w:tc>
        <w:tc>
          <w:tcPr>
            <w:tcW w:w="1718" w:type="dxa"/>
            <w:vAlign w:val="center"/>
          </w:tcPr>
          <w:p w14:paraId="3A4DFA45">
            <w:pPr>
              <w:pStyle w:val="126"/>
              <w:spacing w:line="240" w:lineRule="auto"/>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VOCs</w:t>
            </w:r>
          </w:p>
        </w:tc>
        <w:tc>
          <w:tcPr>
            <w:tcW w:w="1695" w:type="dxa"/>
            <w:shd w:val="clear" w:color="auto" w:fill="auto"/>
            <w:vAlign w:val="center"/>
          </w:tcPr>
          <w:p w14:paraId="5C86F87D">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271" w:type="dxa"/>
            <w:shd w:val="clear" w:color="auto" w:fill="auto"/>
            <w:vAlign w:val="center"/>
          </w:tcPr>
          <w:p w14:paraId="40F7C1EE">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95" w:type="dxa"/>
            <w:vAlign w:val="center"/>
          </w:tcPr>
          <w:p w14:paraId="7BD79E39">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553" w:type="dxa"/>
            <w:shd w:val="clear" w:color="auto" w:fill="auto"/>
            <w:vAlign w:val="center"/>
          </w:tcPr>
          <w:p w14:paraId="19DDFDF3">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0.1696</w:t>
            </w:r>
            <w:r>
              <w:rPr>
                <w:rFonts w:hint="default" w:ascii="Times New Roman" w:hAnsi="Times New Roman" w:eastAsia="宋体" w:cs="Times New Roman"/>
                <w:color w:val="000000" w:themeColor="text1"/>
                <w:szCs w:val="21"/>
                <w:lang w:val="en-US" w:eastAsia="zh-CN"/>
                <w14:textFill>
                  <w14:solidFill>
                    <w14:schemeClr w14:val="tx1"/>
                  </w14:solidFill>
                </w14:textFill>
              </w:rPr>
              <w:t>t/a</w:t>
            </w:r>
          </w:p>
        </w:tc>
        <w:tc>
          <w:tcPr>
            <w:tcW w:w="1755" w:type="dxa"/>
            <w:shd w:val="clear" w:color="auto" w:fill="auto"/>
            <w:vAlign w:val="center"/>
          </w:tcPr>
          <w:p w14:paraId="746415E3">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711" w:type="dxa"/>
            <w:shd w:val="clear" w:color="auto" w:fill="auto"/>
            <w:vAlign w:val="center"/>
          </w:tcPr>
          <w:p w14:paraId="3EA891A9">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0.1696</w:t>
            </w:r>
            <w:r>
              <w:rPr>
                <w:rFonts w:hint="default" w:ascii="Times New Roman" w:hAnsi="Times New Roman" w:eastAsia="宋体" w:cs="Times New Roman"/>
                <w:color w:val="000000" w:themeColor="text1"/>
                <w:szCs w:val="21"/>
                <w:lang w:val="en-US" w:eastAsia="zh-CN"/>
                <w14:textFill>
                  <w14:solidFill>
                    <w14:schemeClr w14:val="tx1"/>
                  </w14:solidFill>
                </w14:textFill>
              </w:rPr>
              <w:t>t/a</w:t>
            </w:r>
          </w:p>
        </w:tc>
        <w:tc>
          <w:tcPr>
            <w:tcW w:w="1160" w:type="dxa"/>
            <w:shd w:val="clear" w:color="auto" w:fill="auto"/>
            <w:vAlign w:val="center"/>
          </w:tcPr>
          <w:p w14:paraId="63E8E552">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+0.1696</w:t>
            </w:r>
            <w:r>
              <w:rPr>
                <w:rFonts w:hint="default" w:ascii="Times New Roman" w:hAnsi="Times New Roman" w:eastAsia="宋体" w:cs="Times New Roman"/>
                <w:color w:val="000000" w:themeColor="text1"/>
                <w:szCs w:val="21"/>
                <w:lang w:val="en-US" w:eastAsia="zh-CN"/>
                <w14:textFill>
                  <w14:solidFill>
                    <w14:schemeClr w14:val="tx1"/>
                  </w14:solidFill>
                </w14:textFill>
              </w:rPr>
              <w:t>t/a</w:t>
            </w:r>
          </w:p>
        </w:tc>
      </w:tr>
      <w:tr w14:paraId="737273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76" w:type="dxa"/>
            <w:vMerge w:val="restart"/>
            <w:vAlign w:val="center"/>
          </w:tcPr>
          <w:p w14:paraId="2F4757B8">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废水</w:t>
            </w:r>
          </w:p>
        </w:tc>
        <w:tc>
          <w:tcPr>
            <w:tcW w:w="1718" w:type="dxa"/>
            <w:shd w:val="clear" w:color="auto" w:fill="auto"/>
            <w:vAlign w:val="center"/>
          </w:tcPr>
          <w:p w14:paraId="5EFCF194">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COD</w:t>
            </w:r>
          </w:p>
        </w:tc>
        <w:tc>
          <w:tcPr>
            <w:tcW w:w="1695" w:type="dxa"/>
            <w:shd w:val="clear" w:color="auto" w:fill="auto"/>
            <w:vAlign w:val="center"/>
          </w:tcPr>
          <w:p w14:paraId="28CC9C66">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271" w:type="dxa"/>
            <w:shd w:val="clear" w:color="auto" w:fill="auto"/>
            <w:vAlign w:val="center"/>
          </w:tcPr>
          <w:p w14:paraId="4C98C288">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95" w:type="dxa"/>
            <w:vAlign w:val="center"/>
          </w:tcPr>
          <w:p w14:paraId="1B6BAE34">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553" w:type="dxa"/>
            <w:shd w:val="clear" w:color="auto" w:fill="auto"/>
            <w:vAlign w:val="center"/>
          </w:tcPr>
          <w:p w14:paraId="0D06CFB8">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755" w:type="dxa"/>
            <w:shd w:val="clear" w:color="auto" w:fill="auto"/>
            <w:vAlign w:val="center"/>
          </w:tcPr>
          <w:p w14:paraId="595B7C9D">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711" w:type="dxa"/>
            <w:shd w:val="clear" w:color="auto" w:fill="auto"/>
            <w:vAlign w:val="center"/>
          </w:tcPr>
          <w:p w14:paraId="25C88AC6">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160" w:type="dxa"/>
            <w:shd w:val="clear" w:color="auto" w:fill="auto"/>
            <w:vAlign w:val="center"/>
          </w:tcPr>
          <w:p w14:paraId="19808B73">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r>
      <w:tr w14:paraId="456236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76" w:type="dxa"/>
            <w:vMerge w:val="continue"/>
            <w:vAlign w:val="center"/>
          </w:tcPr>
          <w:p w14:paraId="08B75CE2">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p>
        </w:tc>
        <w:tc>
          <w:tcPr>
            <w:tcW w:w="1718" w:type="dxa"/>
            <w:shd w:val="clear" w:color="auto" w:fill="auto"/>
            <w:vAlign w:val="center"/>
          </w:tcPr>
          <w:p w14:paraId="7D72FDE0">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氨氮</w:t>
            </w:r>
          </w:p>
        </w:tc>
        <w:tc>
          <w:tcPr>
            <w:tcW w:w="1695" w:type="dxa"/>
            <w:shd w:val="clear" w:color="auto" w:fill="auto"/>
            <w:vAlign w:val="center"/>
          </w:tcPr>
          <w:p w14:paraId="3F8267EC">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271" w:type="dxa"/>
            <w:shd w:val="clear" w:color="auto" w:fill="auto"/>
            <w:vAlign w:val="center"/>
          </w:tcPr>
          <w:p w14:paraId="08D991CB">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95" w:type="dxa"/>
            <w:vAlign w:val="center"/>
          </w:tcPr>
          <w:p w14:paraId="1DBAD00C">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553" w:type="dxa"/>
            <w:shd w:val="clear" w:color="auto" w:fill="auto"/>
            <w:vAlign w:val="center"/>
          </w:tcPr>
          <w:p w14:paraId="22CC11C9">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755" w:type="dxa"/>
            <w:shd w:val="clear" w:color="auto" w:fill="auto"/>
            <w:vAlign w:val="center"/>
          </w:tcPr>
          <w:p w14:paraId="09D3130E">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711" w:type="dxa"/>
            <w:shd w:val="clear" w:color="auto" w:fill="auto"/>
            <w:vAlign w:val="center"/>
          </w:tcPr>
          <w:p w14:paraId="018EBB0F">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160" w:type="dxa"/>
            <w:shd w:val="clear" w:color="auto" w:fill="auto"/>
            <w:vAlign w:val="center"/>
          </w:tcPr>
          <w:p w14:paraId="5BAAE00D">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r>
      <w:tr w14:paraId="2F5AFC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76" w:type="dxa"/>
            <w:vAlign w:val="center"/>
          </w:tcPr>
          <w:p w14:paraId="63BE9D27">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一般工业</w:t>
            </w:r>
          </w:p>
          <w:p w14:paraId="229FC460">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固体废物</w:t>
            </w:r>
          </w:p>
        </w:tc>
        <w:tc>
          <w:tcPr>
            <w:tcW w:w="1718" w:type="dxa"/>
            <w:shd w:val="clear" w:color="auto" w:fill="auto"/>
            <w:vAlign w:val="center"/>
          </w:tcPr>
          <w:p w14:paraId="663D5D3B">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废包装袋</w:t>
            </w:r>
          </w:p>
        </w:tc>
        <w:tc>
          <w:tcPr>
            <w:tcW w:w="1695" w:type="dxa"/>
            <w:shd w:val="clear" w:color="auto" w:fill="auto"/>
            <w:vAlign w:val="center"/>
          </w:tcPr>
          <w:p w14:paraId="5B2E8FC7">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271" w:type="dxa"/>
            <w:shd w:val="clear" w:color="auto" w:fill="auto"/>
            <w:vAlign w:val="center"/>
          </w:tcPr>
          <w:p w14:paraId="244E9BFD">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95" w:type="dxa"/>
            <w:vAlign w:val="center"/>
          </w:tcPr>
          <w:p w14:paraId="76C2F274">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553" w:type="dxa"/>
            <w:shd w:val="clear" w:color="auto" w:fill="auto"/>
            <w:vAlign w:val="center"/>
          </w:tcPr>
          <w:p w14:paraId="2FDC392A">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1.5</w:t>
            </w:r>
            <w:r>
              <w:rPr>
                <w:rFonts w:hint="default" w:ascii="Times New Roman" w:hAnsi="Times New Roman" w:eastAsia="宋体" w:cs="Times New Roman"/>
                <w:color w:val="000000" w:themeColor="text1"/>
                <w:szCs w:val="21"/>
                <w:lang w:val="en-US" w:eastAsia="zh-CN"/>
                <w14:textFill>
                  <w14:solidFill>
                    <w14:schemeClr w14:val="tx1"/>
                  </w14:solidFill>
                </w14:textFill>
              </w:rPr>
              <w:t>t/a</w:t>
            </w:r>
          </w:p>
        </w:tc>
        <w:tc>
          <w:tcPr>
            <w:tcW w:w="1755" w:type="dxa"/>
            <w:shd w:val="clear" w:color="auto" w:fill="auto"/>
            <w:vAlign w:val="center"/>
          </w:tcPr>
          <w:p w14:paraId="2E89BED3">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711" w:type="dxa"/>
            <w:shd w:val="clear" w:color="auto" w:fill="auto"/>
            <w:vAlign w:val="center"/>
          </w:tcPr>
          <w:p w14:paraId="756A71D3">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1.5</w:t>
            </w:r>
            <w:r>
              <w:rPr>
                <w:rFonts w:hint="default" w:ascii="Times New Roman" w:hAnsi="Times New Roman" w:eastAsia="宋体" w:cs="Times New Roman"/>
                <w:color w:val="000000" w:themeColor="text1"/>
                <w:szCs w:val="21"/>
                <w:lang w:val="en-US" w:eastAsia="zh-CN"/>
                <w14:textFill>
                  <w14:solidFill>
                    <w14:schemeClr w14:val="tx1"/>
                  </w14:solidFill>
                </w14:textFill>
              </w:rPr>
              <w:t>t/a</w:t>
            </w:r>
          </w:p>
        </w:tc>
        <w:tc>
          <w:tcPr>
            <w:tcW w:w="1160" w:type="dxa"/>
            <w:shd w:val="clear" w:color="auto" w:fill="auto"/>
            <w:vAlign w:val="center"/>
          </w:tcPr>
          <w:p w14:paraId="0F9DAF4E">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1.5</w:t>
            </w:r>
            <w:r>
              <w:rPr>
                <w:rFonts w:hint="default" w:ascii="Times New Roman" w:hAnsi="Times New Roman" w:eastAsia="宋体" w:cs="Times New Roman"/>
                <w:color w:val="000000" w:themeColor="text1"/>
                <w:szCs w:val="21"/>
                <w:lang w:val="en-US" w:eastAsia="zh-CN"/>
                <w14:textFill>
                  <w14:solidFill>
                    <w14:schemeClr w14:val="tx1"/>
                  </w14:solidFill>
                </w14:textFill>
              </w:rPr>
              <w:t>t/a</w:t>
            </w:r>
          </w:p>
        </w:tc>
      </w:tr>
      <w:tr w14:paraId="69B728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1276" w:type="dxa"/>
            <w:vMerge w:val="restart"/>
            <w:vAlign w:val="center"/>
          </w:tcPr>
          <w:p w14:paraId="30E1B713">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危险废物</w:t>
            </w:r>
          </w:p>
        </w:tc>
        <w:tc>
          <w:tcPr>
            <w:tcW w:w="1718" w:type="dxa"/>
            <w:shd w:val="clear" w:color="auto" w:fill="auto"/>
            <w:vAlign w:val="center"/>
          </w:tcPr>
          <w:p w14:paraId="5E391563">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废润滑油</w:t>
            </w:r>
          </w:p>
        </w:tc>
        <w:tc>
          <w:tcPr>
            <w:tcW w:w="1695" w:type="dxa"/>
            <w:shd w:val="clear" w:color="auto" w:fill="auto"/>
            <w:vAlign w:val="center"/>
          </w:tcPr>
          <w:p w14:paraId="4EF66DBA">
            <w:pPr>
              <w:pStyle w:val="126"/>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271" w:type="dxa"/>
            <w:shd w:val="clear" w:color="auto" w:fill="auto"/>
            <w:vAlign w:val="center"/>
          </w:tcPr>
          <w:p w14:paraId="5EDC4E96">
            <w:pPr>
              <w:pStyle w:val="126"/>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95" w:type="dxa"/>
            <w:shd w:val="clear" w:color="auto" w:fill="auto"/>
            <w:vAlign w:val="center"/>
          </w:tcPr>
          <w:p w14:paraId="44BFBE69">
            <w:pPr>
              <w:pStyle w:val="126"/>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553" w:type="dxa"/>
            <w:shd w:val="clear" w:color="auto" w:fill="auto"/>
            <w:vAlign w:val="center"/>
          </w:tcPr>
          <w:p w14:paraId="0AF8ADE5">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0.01t/a</w:t>
            </w:r>
          </w:p>
        </w:tc>
        <w:tc>
          <w:tcPr>
            <w:tcW w:w="1755" w:type="dxa"/>
            <w:shd w:val="clear" w:color="auto" w:fill="auto"/>
            <w:vAlign w:val="center"/>
          </w:tcPr>
          <w:p w14:paraId="0133E550">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p>
        </w:tc>
        <w:tc>
          <w:tcPr>
            <w:tcW w:w="1711" w:type="dxa"/>
            <w:shd w:val="clear" w:color="auto" w:fill="auto"/>
            <w:vAlign w:val="center"/>
          </w:tcPr>
          <w:p w14:paraId="3EF0ED9A">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0.01t/a</w:t>
            </w:r>
          </w:p>
        </w:tc>
        <w:tc>
          <w:tcPr>
            <w:tcW w:w="1160" w:type="dxa"/>
            <w:shd w:val="clear" w:color="auto" w:fill="auto"/>
            <w:vAlign w:val="center"/>
          </w:tcPr>
          <w:p w14:paraId="3BD807FC">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+0.01t/a</w:t>
            </w:r>
          </w:p>
        </w:tc>
      </w:tr>
      <w:tr w14:paraId="371650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276" w:type="dxa"/>
            <w:vMerge w:val="continue"/>
            <w:vAlign w:val="center"/>
          </w:tcPr>
          <w:p w14:paraId="3289B028">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p>
        </w:tc>
        <w:tc>
          <w:tcPr>
            <w:tcW w:w="1718" w:type="dxa"/>
            <w:shd w:val="clear" w:color="auto" w:fill="auto"/>
            <w:vAlign w:val="center"/>
          </w:tcPr>
          <w:p w14:paraId="6737B20A">
            <w:pPr>
              <w:adjustRightInd w:val="0"/>
              <w:snapToGrid w:val="0"/>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废油桶</w:t>
            </w:r>
          </w:p>
        </w:tc>
        <w:tc>
          <w:tcPr>
            <w:tcW w:w="1695" w:type="dxa"/>
            <w:shd w:val="clear" w:color="auto" w:fill="auto"/>
            <w:vAlign w:val="center"/>
          </w:tcPr>
          <w:p w14:paraId="5EB61CB9">
            <w:pPr>
              <w:pStyle w:val="126"/>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271" w:type="dxa"/>
            <w:shd w:val="clear" w:color="auto" w:fill="auto"/>
            <w:vAlign w:val="center"/>
          </w:tcPr>
          <w:p w14:paraId="0B78BF0D">
            <w:pPr>
              <w:pStyle w:val="126"/>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95" w:type="dxa"/>
            <w:shd w:val="clear" w:color="auto" w:fill="auto"/>
            <w:vAlign w:val="center"/>
          </w:tcPr>
          <w:p w14:paraId="32460108">
            <w:pPr>
              <w:pStyle w:val="126"/>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553" w:type="dxa"/>
            <w:shd w:val="clear" w:color="auto" w:fill="auto"/>
            <w:vAlign w:val="center"/>
          </w:tcPr>
          <w:p w14:paraId="42A2694C">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0.02t/a</w:t>
            </w:r>
          </w:p>
        </w:tc>
        <w:tc>
          <w:tcPr>
            <w:tcW w:w="1755" w:type="dxa"/>
            <w:shd w:val="clear" w:color="auto" w:fill="auto"/>
            <w:vAlign w:val="center"/>
          </w:tcPr>
          <w:p w14:paraId="6BAE56D5">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p>
        </w:tc>
        <w:tc>
          <w:tcPr>
            <w:tcW w:w="1711" w:type="dxa"/>
            <w:shd w:val="clear" w:color="auto" w:fill="auto"/>
            <w:vAlign w:val="center"/>
          </w:tcPr>
          <w:p w14:paraId="1A461B7F">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0.02t/a</w:t>
            </w:r>
          </w:p>
        </w:tc>
        <w:tc>
          <w:tcPr>
            <w:tcW w:w="1160" w:type="dxa"/>
            <w:shd w:val="clear" w:color="auto" w:fill="auto"/>
            <w:vAlign w:val="center"/>
          </w:tcPr>
          <w:p w14:paraId="0E99A331">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+0.02t/a</w:t>
            </w:r>
          </w:p>
        </w:tc>
      </w:tr>
      <w:tr w14:paraId="5E91D6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276" w:type="dxa"/>
            <w:vMerge w:val="continue"/>
            <w:vAlign w:val="center"/>
          </w:tcPr>
          <w:p w14:paraId="77642B11">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p>
        </w:tc>
        <w:tc>
          <w:tcPr>
            <w:tcW w:w="1718" w:type="dxa"/>
            <w:shd w:val="clear" w:color="auto" w:fill="auto"/>
            <w:vAlign w:val="center"/>
          </w:tcPr>
          <w:p w14:paraId="2B62898B">
            <w:pPr>
              <w:adjustRightInd w:val="0"/>
              <w:snapToGrid w:val="0"/>
              <w:jc w:val="center"/>
              <w:rPr>
                <w:rFonts w:hint="default" w:ascii="Times New Roman" w:hAnsi="Times New Roman" w:eastAsia="宋体" w:cs="Times New Roman"/>
                <w:color w:val="000000" w:themeColor="text1"/>
                <w:kern w:val="0"/>
                <w:szCs w:val="21"/>
                <w14:textFill>
                  <w14:solidFill>
                    <w14:schemeClr w14:val="tx1"/>
                  </w14:solidFill>
                </w14:textFill>
              </w:rPr>
            </w:pPr>
            <w:r>
              <w:rPr>
                <w:rFonts w:hint="eastAsia" w:ascii="Times New Roman" w:hAnsi="Times New Roman" w:eastAsia="宋体" w:cs="Times New Roman"/>
                <w:color w:val="000000" w:themeColor="text1"/>
                <w:kern w:val="0"/>
                <w:szCs w:val="21"/>
                <w14:textFill>
                  <w14:solidFill>
                    <w14:schemeClr w14:val="tx1"/>
                  </w14:solidFill>
                </w14:textFill>
              </w:rPr>
              <w:t>废导热油</w:t>
            </w:r>
          </w:p>
        </w:tc>
        <w:tc>
          <w:tcPr>
            <w:tcW w:w="1695" w:type="dxa"/>
            <w:shd w:val="clear" w:color="auto" w:fill="auto"/>
            <w:vAlign w:val="center"/>
          </w:tcPr>
          <w:p w14:paraId="28908923">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p>
        </w:tc>
        <w:tc>
          <w:tcPr>
            <w:tcW w:w="1271" w:type="dxa"/>
            <w:shd w:val="clear" w:color="auto" w:fill="auto"/>
            <w:vAlign w:val="center"/>
          </w:tcPr>
          <w:p w14:paraId="344FE320">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p>
        </w:tc>
        <w:tc>
          <w:tcPr>
            <w:tcW w:w="1695" w:type="dxa"/>
            <w:shd w:val="clear" w:color="auto" w:fill="auto"/>
            <w:vAlign w:val="center"/>
          </w:tcPr>
          <w:p w14:paraId="2C91E255">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p>
        </w:tc>
        <w:tc>
          <w:tcPr>
            <w:tcW w:w="1553" w:type="dxa"/>
            <w:shd w:val="clear" w:color="auto" w:fill="auto"/>
            <w:vAlign w:val="center"/>
          </w:tcPr>
          <w:p w14:paraId="26402F66">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2t/5a</w:t>
            </w:r>
          </w:p>
        </w:tc>
        <w:tc>
          <w:tcPr>
            <w:tcW w:w="1755" w:type="dxa"/>
            <w:shd w:val="clear" w:color="auto" w:fill="auto"/>
            <w:vAlign w:val="center"/>
          </w:tcPr>
          <w:p w14:paraId="09ADD85D">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p>
        </w:tc>
        <w:tc>
          <w:tcPr>
            <w:tcW w:w="1711" w:type="dxa"/>
            <w:shd w:val="clear" w:color="auto" w:fill="auto"/>
            <w:vAlign w:val="center"/>
          </w:tcPr>
          <w:p w14:paraId="444854E1">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2t/5a</w:t>
            </w:r>
          </w:p>
        </w:tc>
        <w:tc>
          <w:tcPr>
            <w:tcW w:w="1160" w:type="dxa"/>
            <w:shd w:val="clear" w:color="auto" w:fill="auto"/>
            <w:vAlign w:val="center"/>
          </w:tcPr>
          <w:p w14:paraId="216CEAC2">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+2t/5a</w:t>
            </w:r>
          </w:p>
        </w:tc>
      </w:tr>
      <w:tr w14:paraId="59F8BA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276" w:type="dxa"/>
            <w:vMerge w:val="continue"/>
            <w:vAlign w:val="center"/>
          </w:tcPr>
          <w:p w14:paraId="22837452">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p>
        </w:tc>
        <w:tc>
          <w:tcPr>
            <w:tcW w:w="1718" w:type="dxa"/>
            <w:shd w:val="clear" w:color="auto" w:fill="auto"/>
            <w:vAlign w:val="center"/>
          </w:tcPr>
          <w:p w14:paraId="68A55B2C">
            <w:pPr>
              <w:adjustRightInd w:val="0"/>
              <w:snapToGrid w:val="0"/>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废活性炭</w:t>
            </w:r>
          </w:p>
        </w:tc>
        <w:tc>
          <w:tcPr>
            <w:tcW w:w="1695" w:type="dxa"/>
            <w:shd w:val="clear" w:color="auto" w:fill="auto"/>
            <w:vAlign w:val="center"/>
          </w:tcPr>
          <w:p w14:paraId="2AA794E8">
            <w:pPr>
              <w:pStyle w:val="126"/>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271" w:type="dxa"/>
            <w:shd w:val="clear" w:color="auto" w:fill="auto"/>
            <w:vAlign w:val="center"/>
          </w:tcPr>
          <w:p w14:paraId="7A084DA9">
            <w:pPr>
              <w:pStyle w:val="126"/>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95" w:type="dxa"/>
            <w:shd w:val="clear" w:color="auto" w:fill="auto"/>
            <w:vAlign w:val="center"/>
          </w:tcPr>
          <w:p w14:paraId="2B98543E">
            <w:pPr>
              <w:pStyle w:val="126"/>
              <w:spacing w:line="240" w:lineRule="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553" w:type="dxa"/>
            <w:shd w:val="clear" w:color="auto" w:fill="auto"/>
            <w:vAlign w:val="center"/>
          </w:tcPr>
          <w:p w14:paraId="0DE48E24">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7.39</w:t>
            </w:r>
            <w:r>
              <w:rPr>
                <w:rFonts w:hint="default" w:ascii="Times New Roman" w:hAnsi="Times New Roman" w:eastAsia="宋体" w:cs="Times New Roman"/>
                <w:color w:val="000000" w:themeColor="text1"/>
                <w:szCs w:val="21"/>
                <w:lang w:val="en-US" w:eastAsia="zh-CN"/>
                <w14:textFill>
                  <w14:solidFill>
                    <w14:schemeClr w14:val="tx1"/>
                  </w14:solidFill>
                </w14:textFill>
              </w:rPr>
              <w:t>t/a</w:t>
            </w:r>
          </w:p>
        </w:tc>
        <w:tc>
          <w:tcPr>
            <w:tcW w:w="1755" w:type="dxa"/>
            <w:shd w:val="clear" w:color="auto" w:fill="auto"/>
            <w:vAlign w:val="center"/>
          </w:tcPr>
          <w:p w14:paraId="142DB6B9">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p>
        </w:tc>
        <w:tc>
          <w:tcPr>
            <w:tcW w:w="1711" w:type="dxa"/>
            <w:shd w:val="clear" w:color="auto" w:fill="auto"/>
            <w:vAlign w:val="center"/>
          </w:tcPr>
          <w:p w14:paraId="38C7A129">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7.39</w:t>
            </w:r>
            <w:r>
              <w:rPr>
                <w:rFonts w:hint="default" w:ascii="Times New Roman" w:hAnsi="Times New Roman" w:eastAsia="宋体" w:cs="Times New Roman"/>
                <w:color w:val="000000" w:themeColor="text1"/>
                <w:szCs w:val="21"/>
                <w:lang w:val="en-US" w:eastAsia="zh-CN"/>
                <w14:textFill>
                  <w14:solidFill>
                    <w14:schemeClr w14:val="tx1"/>
                  </w14:solidFill>
                </w14:textFill>
              </w:rPr>
              <w:t>t/a</w:t>
            </w:r>
          </w:p>
        </w:tc>
        <w:tc>
          <w:tcPr>
            <w:tcW w:w="1160" w:type="dxa"/>
            <w:shd w:val="clear" w:color="auto" w:fill="auto"/>
            <w:vAlign w:val="center"/>
          </w:tcPr>
          <w:p w14:paraId="5D7E8672">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7.39</w:t>
            </w:r>
            <w:r>
              <w:rPr>
                <w:rFonts w:hint="default" w:ascii="Times New Roman" w:hAnsi="Times New Roman" w:eastAsia="宋体" w:cs="Times New Roman"/>
                <w:color w:val="000000" w:themeColor="text1"/>
                <w:szCs w:val="21"/>
                <w:lang w:val="en-US" w:eastAsia="zh-CN"/>
                <w14:textFill>
                  <w14:solidFill>
                    <w14:schemeClr w14:val="tx1"/>
                  </w14:solidFill>
                </w14:textFill>
              </w:rPr>
              <w:t>t/a</w:t>
            </w:r>
          </w:p>
        </w:tc>
      </w:tr>
      <w:tr w14:paraId="6FEB35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276" w:type="dxa"/>
            <w:vAlign w:val="center"/>
          </w:tcPr>
          <w:p w14:paraId="042EEDB4">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职工生活</w:t>
            </w:r>
          </w:p>
        </w:tc>
        <w:tc>
          <w:tcPr>
            <w:tcW w:w="1718" w:type="dxa"/>
            <w:vAlign w:val="center"/>
          </w:tcPr>
          <w:p w14:paraId="1761B948">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生活垃圾</w:t>
            </w:r>
          </w:p>
        </w:tc>
        <w:tc>
          <w:tcPr>
            <w:tcW w:w="1695" w:type="dxa"/>
            <w:shd w:val="clear" w:color="auto" w:fill="auto"/>
            <w:vAlign w:val="center"/>
          </w:tcPr>
          <w:p w14:paraId="1B0DBD0D">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271" w:type="dxa"/>
            <w:shd w:val="clear" w:color="auto" w:fill="auto"/>
            <w:vAlign w:val="center"/>
          </w:tcPr>
          <w:p w14:paraId="791A508B">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695" w:type="dxa"/>
            <w:vAlign w:val="center"/>
          </w:tcPr>
          <w:p w14:paraId="0190E6E0">
            <w:pPr>
              <w:pStyle w:val="126"/>
              <w:spacing w:line="240" w:lineRule="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w:t>
            </w:r>
          </w:p>
        </w:tc>
        <w:tc>
          <w:tcPr>
            <w:tcW w:w="1553" w:type="dxa"/>
            <w:shd w:val="clear" w:color="auto" w:fill="auto"/>
            <w:vAlign w:val="center"/>
          </w:tcPr>
          <w:p w14:paraId="2EF5D4F3">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0.75</w:t>
            </w:r>
            <w:r>
              <w:rPr>
                <w:rFonts w:hint="default" w:ascii="Times New Roman" w:hAnsi="Times New Roman" w:eastAsia="宋体" w:cs="Times New Roman"/>
                <w:color w:val="000000" w:themeColor="text1"/>
                <w:szCs w:val="21"/>
                <w:lang w:val="en-US" w:eastAsia="zh-CN"/>
                <w14:textFill>
                  <w14:solidFill>
                    <w14:schemeClr w14:val="tx1"/>
                  </w14:solidFill>
                </w14:textFill>
              </w:rPr>
              <w:t>t/a</w:t>
            </w:r>
          </w:p>
        </w:tc>
        <w:tc>
          <w:tcPr>
            <w:tcW w:w="1755" w:type="dxa"/>
            <w:shd w:val="clear" w:color="auto" w:fill="auto"/>
            <w:vAlign w:val="center"/>
          </w:tcPr>
          <w:p w14:paraId="27F74340">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p>
        </w:tc>
        <w:tc>
          <w:tcPr>
            <w:tcW w:w="1711" w:type="dxa"/>
            <w:shd w:val="clear" w:color="auto" w:fill="auto"/>
            <w:vAlign w:val="center"/>
          </w:tcPr>
          <w:p w14:paraId="53DBAC7A">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0.75</w:t>
            </w:r>
            <w:r>
              <w:rPr>
                <w:rFonts w:hint="default" w:ascii="Times New Roman" w:hAnsi="Times New Roman" w:eastAsia="宋体" w:cs="Times New Roman"/>
                <w:color w:val="000000" w:themeColor="text1"/>
                <w:szCs w:val="21"/>
                <w:lang w:val="en-US" w:eastAsia="zh-CN"/>
                <w14:textFill>
                  <w14:solidFill>
                    <w14:schemeClr w14:val="tx1"/>
                  </w14:solidFill>
                </w14:textFill>
              </w:rPr>
              <w:t>t/a</w:t>
            </w:r>
          </w:p>
        </w:tc>
        <w:tc>
          <w:tcPr>
            <w:tcW w:w="1160" w:type="dxa"/>
            <w:shd w:val="clear" w:color="auto" w:fill="auto"/>
            <w:vAlign w:val="center"/>
          </w:tcPr>
          <w:p w14:paraId="2D74ABAF">
            <w:pPr>
              <w:pStyle w:val="126"/>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0.75</w:t>
            </w:r>
            <w:r>
              <w:rPr>
                <w:rFonts w:hint="default" w:ascii="Times New Roman" w:hAnsi="Times New Roman" w:eastAsia="宋体" w:cs="Times New Roman"/>
                <w:color w:val="000000" w:themeColor="text1"/>
                <w:szCs w:val="21"/>
                <w:lang w:val="en-US" w:eastAsia="zh-CN"/>
                <w14:textFill>
                  <w14:solidFill>
                    <w14:schemeClr w14:val="tx1"/>
                  </w14:solidFill>
                </w14:textFill>
              </w:rPr>
              <w:t>t/a</w:t>
            </w:r>
          </w:p>
        </w:tc>
      </w:tr>
    </w:tbl>
    <w:p w14:paraId="2D643965">
      <w:pPr>
        <w:pStyle w:val="83"/>
        <w:spacing w:before="192" w:beforeLines="80" w:after="24" w:line="360" w:lineRule="auto"/>
        <w:jc w:val="left"/>
        <w:rPr>
          <w:rFonts w:hint="default" w:ascii="Times New Roman" w:hAnsi="Times New Roman" w:eastAsia="宋体" w:cs="Times New Roman"/>
          <w:snapToGrid w:val="0"/>
          <w:color w:val="000000" w:themeColor="text1"/>
          <w:kern w:val="21"/>
          <w14:textFill>
            <w14:solidFill>
              <w14:schemeClr w14:val="tx1"/>
            </w14:solidFill>
          </w14:textFill>
        </w:rPr>
        <w:sectPr>
          <w:headerReference r:id="rId5" w:type="default"/>
          <w:footerReference r:id="rId6" w:type="default"/>
          <w:pgSz w:w="16838" w:h="11906" w:orient="landscape"/>
          <w:pgMar w:top="1134" w:right="1531" w:bottom="1134" w:left="1531" w:header="851" w:footer="1077" w:gutter="0"/>
          <w:pgBorders>
            <w:top w:val="none" w:sz="0" w:space="0"/>
            <w:left w:val="none" w:sz="0" w:space="0"/>
            <w:bottom w:val="none" w:sz="0" w:space="0"/>
            <w:right w:val="none" w:sz="0" w:space="0"/>
          </w:pgBorders>
          <w:cols w:space="0" w:num="1"/>
          <w:docGrid w:linePitch="321" w:charSpace="0"/>
        </w:sectPr>
      </w:pPr>
      <w:r>
        <w:rPr>
          <w:rFonts w:hint="default" w:ascii="Times New Roman" w:hAnsi="Times New Roman" w:eastAsia="宋体" w:cs="Times New Roman"/>
          <w:snapToGrid w:val="0"/>
          <w:color w:val="000000" w:themeColor="text1"/>
          <w:kern w:val="21"/>
          <w14:textFill>
            <w14:solidFill>
              <w14:schemeClr w14:val="tx1"/>
            </w14:solidFill>
          </w14:textFill>
        </w:rPr>
        <w:t>注：</w:t>
      </w:r>
      <w:r>
        <w:rPr>
          <w:rFonts w:hint="default" w:ascii="Times New Roman" w:hAnsi="Times New Roman" w:eastAsia="宋体" w:cs="Times New Roman"/>
          <w:snapToGrid w:val="0"/>
          <w:color w:val="000000" w:themeColor="text1"/>
          <w:kern w:val="21"/>
          <w14:textFill>
            <w14:solidFill>
              <w14:schemeClr w14:val="tx1"/>
            </w14:solidFill>
          </w14:textFill>
        </w:rPr>
        <w:fldChar w:fldCharType="begin"/>
      </w:r>
      <w:r>
        <w:rPr>
          <w:rFonts w:hint="default" w:ascii="Times New Roman" w:hAnsi="Times New Roman" w:eastAsia="宋体" w:cs="Times New Roman"/>
          <w:snapToGrid w:val="0"/>
          <w:color w:val="000000" w:themeColor="text1"/>
          <w:kern w:val="21"/>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kern w:val="2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⑥</w:t>
      </w:r>
      <w:r>
        <w:rPr>
          <w:rFonts w:hint="default" w:ascii="Times New Roman" w:hAnsi="Times New Roman" w:eastAsia="宋体" w:cs="Times New Roman"/>
          <w:snapToGrid w:val="0"/>
          <w:color w:val="000000" w:themeColor="text1"/>
          <w:kern w:val="21"/>
          <w14:textFill>
            <w14:solidFill>
              <w14:schemeClr w14:val="tx1"/>
            </w14:solidFill>
          </w14:textFill>
        </w:rPr>
        <w:fldChar w:fldCharType="end"/>
      </w:r>
      <w:r>
        <w:rPr>
          <w:rFonts w:hint="default" w:ascii="Times New Roman" w:hAnsi="Times New Roman" w:eastAsia="宋体" w:cs="Times New Roman"/>
          <w:snapToGrid w:val="0"/>
          <w:color w:val="000000" w:themeColor="text1"/>
          <w:kern w:val="21"/>
          <w14:textFill>
            <w14:solidFill>
              <w14:schemeClr w14:val="tx1"/>
            </w14:solidFill>
          </w14:textFill>
        </w:rPr>
        <w:t>=</w:t>
      </w:r>
      <w:r>
        <w:rPr>
          <w:rFonts w:hint="default" w:ascii="Times New Roman" w:hAnsi="Times New Roman" w:eastAsia="宋体" w:cs="Times New Roman"/>
          <w:snapToGrid w:val="0"/>
          <w:color w:val="000000" w:themeColor="text1"/>
          <w:kern w:val="21"/>
          <w14:textFill>
            <w14:solidFill>
              <w14:schemeClr w14:val="tx1"/>
            </w14:solidFill>
          </w14:textFill>
        </w:rPr>
        <w:fldChar w:fldCharType="begin"/>
      </w:r>
      <w:r>
        <w:rPr>
          <w:rFonts w:hint="default" w:ascii="Times New Roman" w:hAnsi="Times New Roman" w:eastAsia="宋体" w:cs="Times New Roman"/>
          <w:snapToGrid w:val="0"/>
          <w:color w:val="000000" w:themeColor="text1"/>
          <w:kern w:val="21"/>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kern w:val="2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①</w:t>
      </w:r>
      <w:r>
        <w:rPr>
          <w:rFonts w:hint="default" w:ascii="Times New Roman" w:hAnsi="Times New Roman" w:eastAsia="宋体" w:cs="Times New Roman"/>
          <w:snapToGrid w:val="0"/>
          <w:color w:val="000000" w:themeColor="text1"/>
          <w:kern w:val="21"/>
          <w14:textFill>
            <w14:solidFill>
              <w14:schemeClr w14:val="tx1"/>
            </w14:solidFill>
          </w14:textFill>
        </w:rPr>
        <w:fldChar w:fldCharType="end"/>
      </w:r>
      <w:r>
        <w:rPr>
          <w:rFonts w:hint="default" w:ascii="Times New Roman" w:hAnsi="Times New Roman" w:eastAsia="宋体" w:cs="Times New Roman"/>
          <w:snapToGrid w:val="0"/>
          <w:color w:val="000000" w:themeColor="text1"/>
          <w:kern w:val="21"/>
          <w14:textFill>
            <w14:solidFill>
              <w14:schemeClr w14:val="tx1"/>
            </w14:solidFill>
          </w14:textFill>
        </w:rPr>
        <w:t>+</w:t>
      </w:r>
      <w:r>
        <w:rPr>
          <w:rFonts w:hint="default" w:ascii="Times New Roman" w:hAnsi="Times New Roman" w:eastAsia="宋体" w:cs="Times New Roman"/>
          <w:snapToGrid w:val="0"/>
          <w:color w:val="000000" w:themeColor="text1"/>
          <w:kern w:val="21"/>
          <w14:textFill>
            <w14:solidFill>
              <w14:schemeClr w14:val="tx1"/>
            </w14:solidFill>
          </w14:textFill>
        </w:rPr>
        <w:fldChar w:fldCharType="begin"/>
      </w:r>
      <w:r>
        <w:rPr>
          <w:rFonts w:hint="default" w:ascii="Times New Roman" w:hAnsi="Times New Roman" w:eastAsia="宋体" w:cs="Times New Roman"/>
          <w:snapToGrid w:val="0"/>
          <w:color w:val="000000" w:themeColor="text1"/>
          <w:kern w:val="21"/>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kern w:val="2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③</w:t>
      </w:r>
      <w:r>
        <w:rPr>
          <w:rFonts w:hint="default" w:ascii="Times New Roman" w:hAnsi="Times New Roman" w:eastAsia="宋体" w:cs="Times New Roman"/>
          <w:snapToGrid w:val="0"/>
          <w:color w:val="000000" w:themeColor="text1"/>
          <w:kern w:val="21"/>
          <w14:textFill>
            <w14:solidFill>
              <w14:schemeClr w14:val="tx1"/>
            </w14:solidFill>
          </w14:textFill>
        </w:rPr>
        <w:fldChar w:fldCharType="end"/>
      </w:r>
      <w:r>
        <w:rPr>
          <w:rFonts w:hint="default" w:ascii="Times New Roman" w:hAnsi="Times New Roman" w:eastAsia="宋体" w:cs="Times New Roman"/>
          <w:snapToGrid w:val="0"/>
          <w:color w:val="000000" w:themeColor="text1"/>
          <w:kern w:val="21"/>
          <w14:textFill>
            <w14:solidFill>
              <w14:schemeClr w14:val="tx1"/>
            </w14:solidFill>
          </w14:textFill>
        </w:rPr>
        <w:t>+</w:t>
      </w:r>
      <w:r>
        <w:rPr>
          <w:rFonts w:hint="default" w:ascii="Times New Roman" w:hAnsi="Times New Roman" w:eastAsia="宋体" w:cs="Times New Roman"/>
          <w:snapToGrid w:val="0"/>
          <w:color w:val="000000" w:themeColor="text1"/>
          <w:kern w:val="21"/>
          <w14:textFill>
            <w14:solidFill>
              <w14:schemeClr w14:val="tx1"/>
            </w14:solidFill>
          </w14:textFill>
        </w:rPr>
        <w:fldChar w:fldCharType="begin"/>
      </w:r>
      <w:r>
        <w:rPr>
          <w:rFonts w:hint="default" w:ascii="Times New Roman" w:hAnsi="Times New Roman" w:eastAsia="宋体" w:cs="Times New Roman"/>
          <w:snapToGrid w:val="0"/>
          <w:color w:val="000000" w:themeColor="text1"/>
          <w:kern w:val="21"/>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kern w:val="2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④</w:t>
      </w:r>
      <w:r>
        <w:rPr>
          <w:rFonts w:hint="default" w:ascii="Times New Roman" w:hAnsi="Times New Roman" w:eastAsia="宋体" w:cs="Times New Roman"/>
          <w:snapToGrid w:val="0"/>
          <w:color w:val="000000" w:themeColor="text1"/>
          <w:kern w:val="21"/>
          <w14:textFill>
            <w14:solidFill>
              <w14:schemeClr w14:val="tx1"/>
            </w14:solidFill>
          </w14:textFill>
        </w:rPr>
        <w:fldChar w:fldCharType="end"/>
      </w:r>
      <w:r>
        <w:rPr>
          <w:rFonts w:hint="default" w:ascii="Times New Roman" w:hAnsi="Times New Roman" w:eastAsia="宋体" w:cs="Times New Roman"/>
          <w:snapToGrid w:val="0"/>
          <w:color w:val="000000" w:themeColor="text1"/>
          <w:kern w:val="21"/>
          <w14:textFill>
            <w14:solidFill>
              <w14:schemeClr w14:val="tx1"/>
            </w14:solidFill>
          </w14:textFill>
        </w:rPr>
        <w:t>-</w:t>
      </w:r>
      <w:r>
        <w:rPr>
          <w:rFonts w:hint="default" w:ascii="Times New Roman" w:hAnsi="Times New Roman" w:eastAsia="宋体" w:cs="Times New Roman"/>
          <w:snapToGrid w:val="0"/>
          <w:color w:val="000000" w:themeColor="text1"/>
          <w:kern w:val="21"/>
          <w14:textFill>
            <w14:solidFill>
              <w14:schemeClr w14:val="tx1"/>
            </w14:solidFill>
          </w14:textFill>
        </w:rPr>
        <w:fldChar w:fldCharType="begin"/>
      </w:r>
      <w:r>
        <w:rPr>
          <w:rFonts w:hint="default" w:ascii="Times New Roman" w:hAnsi="Times New Roman" w:eastAsia="宋体" w:cs="Times New Roman"/>
          <w:snapToGrid w:val="0"/>
          <w:color w:val="000000" w:themeColor="text1"/>
          <w:kern w:val="21"/>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kern w:val="2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⑤</w:t>
      </w:r>
      <w:r>
        <w:rPr>
          <w:rFonts w:hint="default" w:ascii="Times New Roman" w:hAnsi="Times New Roman" w:eastAsia="宋体" w:cs="Times New Roman"/>
          <w:snapToGrid w:val="0"/>
          <w:color w:val="000000" w:themeColor="text1"/>
          <w:kern w:val="21"/>
          <w14:textFill>
            <w14:solidFill>
              <w14:schemeClr w14:val="tx1"/>
            </w14:solidFill>
          </w14:textFill>
        </w:rPr>
        <w:fldChar w:fldCharType="end"/>
      </w:r>
      <w:r>
        <w:rPr>
          <w:rFonts w:hint="default" w:ascii="Times New Roman" w:hAnsi="Times New Roman" w:eastAsia="宋体" w:cs="Times New Roman"/>
          <w:snapToGrid w:val="0"/>
          <w:color w:val="000000" w:themeColor="text1"/>
          <w:kern w:val="21"/>
          <w14:textFill>
            <w14:solidFill>
              <w14:schemeClr w14:val="tx1"/>
            </w14:solidFill>
          </w14:textFill>
        </w:rPr>
        <w:t>；</w:t>
      </w:r>
      <w:r>
        <w:rPr>
          <w:rFonts w:hint="default" w:ascii="Times New Roman" w:hAnsi="Times New Roman" w:eastAsia="宋体" w:cs="Times New Roman"/>
          <w:snapToGrid w:val="0"/>
          <w:color w:val="000000" w:themeColor="text1"/>
          <w:kern w:val="21"/>
          <w14:textFill>
            <w14:solidFill>
              <w14:schemeClr w14:val="tx1"/>
            </w14:solidFill>
          </w14:textFill>
        </w:rPr>
        <w:fldChar w:fldCharType="begin"/>
      </w:r>
      <w:r>
        <w:rPr>
          <w:rFonts w:hint="default" w:ascii="Times New Roman" w:hAnsi="Times New Roman" w:eastAsia="宋体" w:cs="Times New Roman"/>
          <w:snapToGrid w:val="0"/>
          <w:color w:val="000000" w:themeColor="text1"/>
          <w:kern w:val="21"/>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kern w:val="2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⑦</w:t>
      </w:r>
      <w:r>
        <w:rPr>
          <w:rFonts w:hint="default" w:ascii="Times New Roman" w:hAnsi="Times New Roman" w:eastAsia="宋体" w:cs="Times New Roman"/>
          <w:snapToGrid w:val="0"/>
          <w:color w:val="000000" w:themeColor="text1"/>
          <w:kern w:val="21"/>
          <w14:textFill>
            <w14:solidFill>
              <w14:schemeClr w14:val="tx1"/>
            </w14:solidFill>
          </w14:textFill>
        </w:rPr>
        <w:fldChar w:fldCharType="end"/>
      </w:r>
      <w:r>
        <w:rPr>
          <w:rFonts w:hint="default" w:ascii="Times New Roman" w:hAnsi="Times New Roman" w:eastAsia="宋体" w:cs="Times New Roman"/>
          <w:snapToGrid w:val="0"/>
          <w:color w:val="000000" w:themeColor="text1"/>
          <w:kern w:val="21"/>
          <w14:textFill>
            <w14:solidFill>
              <w14:schemeClr w14:val="tx1"/>
            </w14:solidFill>
          </w14:textFill>
        </w:rPr>
        <w:t>=</w:t>
      </w:r>
      <w:r>
        <w:rPr>
          <w:rFonts w:hint="default" w:ascii="Times New Roman" w:hAnsi="Times New Roman" w:eastAsia="宋体" w:cs="Times New Roman"/>
          <w:snapToGrid w:val="0"/>
          <w:color w:val="000000" w:themeColor="text1"/>
          <w:kern w:val="21"/>
          <w14:textFill>
            <w14:solidFill>
              <w14:schemeClr w14:val="tx1"/>
            </w14:solidFill>
          </w14:textFill>
        </w:rPr>
        <w:fldChar w:fldCharType="begin"/>
      </w:r>
      <w:r>
        <w:rPr>
          <w:rFonts w:hint="default" w:ascii="Times New Roman" w:hAnsi="Times New Roman" w:eastAsia="宋体" w:cs="Times New Roman"/>
          <w:snapToGrid w:val="0"/>
          <w:color w:val="000000" w:themeColor="text1"/>
          <w:kern w:val="21"/>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kern w:val="2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⑥</w:t>
      </w:r>
      <w:r>
        <w:rPr>
          <w:rFonts w:hint="default" w:ascii="Times New Roman" w:hAnsi="Times New Roman" w:eastAsia="宋体" w:cs="Times New Roman"/>
          <w:snapToGrid w:val="0"/>
          <w:color w:val="000000" w:themeColor="text1"/>
          <w:kern w:val="21"/>
          <w14:textFill>
            <w14:solidFill>
              <w14:schemeClr w14:val="tx1"/>
            </w14:solidFill>
          </w14:textFill>
        </w:rPr>
        <w:fldChar w:fldCharType="end"/>
      </w:r>
      <w:r>
        <w:rPr>
          <w:rFonts w:hint="default" w:ascii="Times New Roman" w:hAnsi="Times New Roman" w:eastAsia="宋体" w:cs="Times New Roman"/>
          <w:snapToGrid w:val="0"/>
          <w:color w:val="000000" w:themeColor="text1"/>
          <w:kern w:val="21"/>
          <w14:textFill>
            <w14:solidFill>
              <w14:schemeClr w14:val="tx1"/>
            </w14:solidFill>
          </w14:textFill>
        </w:rPr>
        <w:t>-</w:t>
      </w:r>
      <w:r>
        <w:rPr>
          <w:rFonts w:hint="default" w:ascii="Times New Roman" w:hAnsi="Times New Roman" w:eastAsia="宋体" w:cs="Times New Roman"/>
          <w:snapToGrid w:val="0"/>
          <w:color w:val="000000" w:themeColor="text1"/>
          <w:kern w:val="21"/>
          <w14:textFill>
            <w14:solidFill>
              <w14:schemeClr w14:val="tx1"/>
            </w14:solidFill>
          </w14:textFill>
        </w:rPr>
        <w:fldChar w:fldCharType="begin"/>
      </w:r>
      <w:r>
        <w:rPr>
          <w:rFonts w:hint="default" w:ascii="Times New Roman" w:hAnsi="Times New Roman" w:eastAsia="宋体" w:cs="Times New Roman"/>
          <w:snapToGrid w:val="0"/>
          <w:color w:val="000000" w:themeColor="text1"/>
          <w:kern w:val="21"/>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kern w:val="21"/>
          <w14:textFill>
            <w14:solidFill>
              <w14:schemeClr w14:val="tx1"/>
            </w14:solidFill>
          </w14:textFill>
        </w:rPr>
        <w:fldChar w:fldCharType="separate"/>
      </w:r>
      <w:r>
        <w:rPr>
          <w:rFonts w:hint="default" w:ascii="Times New Roman" w:hAnsi="Times New Roman" w:eastAsia="宋体" w:cs="Times New Roman"/>
          <w:color w:val="000000" w:themeColor="text1"/>
          <w14:textFill>
            <w14:solidFill>
              <w14:schemeClr w14:val="tx1"/>
            </w14:solidFill>
          </w14:textFill>
        </w:rPr>
        <w:t>①</w:t>
      </w:r>
      <w:r>
        <w:rPr>
          <w:rFonts w:hint="default" w:ascii="Times New Roman" w:hAnsi="Times New Roman" w:eastAsia="宋体" w:cs="Times New Roman"/>
          <w:snapToGrid w:val="0"/>
          <w:color w:val="000000" w:themeColor="text1"/>
          <w:kern w:val="21"/>
          <w14:textFill>
            <w14:solidFill>
              <w14:schemeClr w14:val="tx1"/>
            </w14:solidFill>
          </w14:textFill>
        </w:rPr>
        <w:fldChar w:fldCharType="end"/>
      </w:r>
    </w:p>
    <w:p w14:paraId="78FAB220">
      <w:pPr>
        <w:pStyle w:val="33"/>
        <w:adjustRightInd w:val="0"/>
        <w:snapToGrid w:val="0"/>
        <w:spacing w:before="0" w:beforeAutospacing="0" w:after="0" w:afterAutospacing="0"/>
        <w:jc w:val="both"/>
        <w:outlineLvl w:val="0"/>
        <w:rPr>
          <w:rFonts w:hint="default" w:ascii="Times New Roman" w:hAnsi="Times New Roman" w:eastAsia="宋体" w:cs="Times New Roman"/>
          <w:b/>
          <w:bCs/>
          <w:snapToGrid w:val="0"/>
          <w:color w:val="000000" w:themeColor="text1"/>
          <w:kern w:val="21"/>
          <w14:textFill>
            <w14:solidFill>
              <w14:schemeClr w14:val="tx1"/>
            </w14:solidFill>
          </w14:textFill>
        </w:rPr>
      </w:pPr>
      <w:bookmarkStart w:id="7" w:name="_Toc30388"/>
      <w:r>
        <w:rPr>
          <w:rFonts w:hint="default" w:ascii="Times New Roman" w:hAnsi="Times New Roman" w:eastAsia="宋体" w:cs="Times New Roman"/>
          <w:b/>
          <w:bCs/>
          <w:snapToGrid w:val="0"/>
          <w:color w:val="000000" w:themeColor="text1"/>
          <w:kern w:val="21"/>
          <w14:textFill>
            <w14:solidFill>
              <w14:schemeClr w14:val="tx1"/>
            </w14:solidFill>
          </w14:textFill>
        </w:rPr>
        <w:t>附件1</w:t>
      </w:r>
      <w:r>
        <w:rPr>
          <w:rFonts w:hint="eastAsia" w:ascii="Times New Roman" w:hAnsi="Times New Roman" w:cs="Times New Roman"/>
          <w:b/>
          <w:bCs/>
          <w:snapToGrid w:val="0"/>
          <w:color w:val="000000" w:themeColor="text1"/>
          <w:kern w:val="21"/>
          <w:lang w:eastAsia="zh-CN"/>
          <w14:textFill>
            <w14:solidFill>
              <w14:schemeClr w14:val="tx1"/>
            </w14:solidFill>
          </w14:textFill>
        </w:rPr>
        <w:t>：</w:t>
      </w:r>
      <w:r>
        <w:rPr>
          <w:rFonts w:hint="default" w:ascii="Times New Roman" w:hAnsi="Times New Roman" w:eastAsia="宋体" w:cs="Times New Roman"/>
          <w:b/>
          <w:bCs/>
          <w:snapToGrid w:val="0"/>
          <w:color w:val="000000" w:themeColor="text1"/>
          <w:kern w:val="21"/>
          <w14:textFill>
            <w14:solidFill>
              <w14:schemeClr w14:val="tx1"/>
            </w14:solidFill>
          </w14:textFill>
        </w:rPr>
        <w:t>委托书</w:t>
      </w:r>
      <w:bookmarkEnd w:id="7"/>
    </w:p>
    <w:p w14:paraId="56D37384">
      <w:r>
        <w:drawing>
          <wp:inline distT="0" distB="0" distL="114300" distR="114300">
            <wp:extent cx="5614035" cy="8065135"/>
            <wp:effectExtent l="0" t="0" r="5715" b="12065"/>
            <wp:docPr id="1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
                    <pic:cNvPicPr>
                      <a:picLocks noChangeAspect="1"/>
                    </pic:cNvPicPr>
                  </pic:nvPicPr>
                  <pic:blipFill>
                    <a:blip r:embed="rId41"/>
                    <a:stretch>
                      <a:fillRect/>
                    </a:stretch>
                  </pic:blipFill>
                  <pic:spPr>
                    <a:xfrm>
                      <a:off x="0" y="0"/>
                      <a:ext cx="5614035" cy="8065135"/>
                    </a:xfrm>
                    <a:prstGeom prst="rect">
                      <a:avLst/>
                    </a:prstGeom>
                    <a:noFill/>
                    <a:ln>
                      <a:noFill/>
                    </a:ln>
                  </pic:spPr>
                </pic:pic>
              </a:graphicData>
            </a:graphic>
          </wp:inline>
        </w:drawing>
      </w:r>
    </w:p>
    <w:p w14:paraId="57F7E3F9">
      <w:pPr>
        <w:rPr>
          <w:rFonts w:hint="default"/>
        </w:rPr>
      </w:pPr>
    </w:p>
    <w:p w14:paraId="090375FC">
      <w:pPr>
        <w:rPr>
          <w:rFonts w:hint="default" w:ascii="Times New Roman" w:hAnsi="Times New Roman" w:eastAsia="宋体" w:cs="Times New Roman"/>
          <w:color w:val="000000" w:themeColor="text1"/>
          <w14:textFill>
            <w14:solidFill>
              <w14:schemeClr w14:val="tx1"/>
            </w14:solidFill>
          </w14:textFill>
        </w:rPr>
        <w:sectPr>
          <w:pgSz w:w="11906" w:h="16838"/>
          <w:pgMar w:top="1701" w:right="1531" w:bottom="1701" w:left="1531" w:header="851" w:footer="992" w:gutter="0"/>
          <w:pgBorders>
            <w:top w:val="none" w:sz="0" w:space="0"/>
            <w:left w:val="none" w:sz="0" w:space="0"/>
            <w:bottom w:val="none" w:sz="0" w:space="0"/>
            <w:right w:val="none" w:sz="0" w:space="0"/>
          </w:pgBorders>
          <w:cols w:space="720" w:num="1"/>
          <w:titlePg/>
          <w:docGrid w:type="lines" w:linePitch="312" w:charSpace="0"/>
        </w:sectPr>
      </w:pPr>
    </w:p>
    <w:p w14:paraId="64D1EEA8">
      <w:pPr>
        <w:pStyle w:val="11"/>
        <w:jc w:val="both"/>
        <w:outlineLvl w:val="0"/>
        <w:rPr>
          <w:rFonts w:hint="default" w:ascii="Times New Roman" w:hAnsi="Times New Roman" w:eastAsia="宋体" w:cs="Times New Roman"/>
          <w:b/>
          <w:bCs/>
          <w:color w:val="000000" w:themeColor="text1"/>
          <w14:textFill>
            <w14:solidFill>
              <w14:schemeClr w14:val="tx1"/>
            </w14:solidFill>
          </w14:textFill>
        </w:rPr>
      </w:pPr>
      <w:bookmarkStart w:id="8" w:name="_Toc729"/>
      <w:r>
        <w:rPr>
          <w:rFonts w:hint="default" w:ascii="Times New Roman" w:hAnsi="Times New Roman" w:eastAsia="宋体" w:cs="Times New Roman"/>
          <w:b/>
          <w:bCs/>
          <w:color w:val="000000" w:themeColor="text1"/>
          <w14:textFill>
            <w14:solidFill>
              <w14:schemeClr w14:val="tx1"/>
            </w14:solidFill>
          </w14:textFill>
        </w:rPr>
        <w:t>附件2</w:t>
      </w:r>
      <w:r>
        <w:rPr>
          <w:rFonts w:hint="eastAsia" w:ascii="Times New Roman" w:hAnsi="Times New Roman" w:cs="Times New Roman"/>
          <w:b/>
          <w:bCs/>
          <w:color w:val="000000" w:themeColor="text1"/>
          <w:lang w:eastAsia="zh-CN"/>
          <w14:textFill>
            <w14:solidFill>
              <w14:schemeClr w14:val="tx1"/>
            </w14:solidFill>
          </w14:textFill>
        </w:rPr>
        <w:t>：</w:t>
      </w:r>
      <w:r>
        <w:rPr>
          <w:rFonts w:hint="default" w:ascii="Times New Roman" w:hAnsi="Times New Roman" w:eastAsia="宋体" w:cs="Times New Roman"/>
          <w:b/>
          <w:bCs/>
          <w:color w:val="000000" w:themeColor="text1"/>
          <w14:textFill>
            <w14:solidFill>
              <w14:schemeClr w14:val="tx1"/>
            </w14:solidFill>
          </w14:textFill>
        </w:rPr>
        <w:t>关于资料提供和环评内容的确认承诺函</w:t>
      </w:r>
      <w:bookmarkEnd w:id="8"/>
    </w:p>
    <w:p w14:paraId="50FED80F">
      <w:pPr>
        <w:widowControl w:val="0"/>
        <w:spacing w:after="120"/>
        <w:jc w:val="both"/>
        <w:rPr>
          <w:rFonts w:ascii="Times New Roman" w:hAnsi="Times New Roman" w:eastAsia="宋体" w:cs="Times New Roman"/>
          <w:kern w:val="2"/>
          <w:sz w:val="21"/>
          <w:szCs w:val="24"/>
          <w:lang w:val="en-US" w:eastAsia="zh-CN" w:bidi="ar-SA"/>
        </w:rPr>
      </w:pPr>
      <w:r>
        <w:drawing>
          <wp:inline distT="0" distB="0" distL="114300" distR="114300">
            <wp:extent cx="5609590" cy="7644130"/>
            <wp:effectExtent l="0" t="0" r="10160" b="13970"/>
            <wp:docPr id="1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
                    <pic:cNvPicPr>
                      <a:picLocks noChangeAspect="1"/>
                    </pic:cNvPicPr>
                  </pic:nvPicPr>
                  <pic:blipFill>
                    <a:blip r:embed="rId42"/>
                    <a:stretch>
                      <a:fillRect/>
                    </a:stretch>
                  </pic:blipFill>
                  <pic:spPr>
                    <a:xfrm>
                      <a:off x="0" y="0"/>
                      <a:ext cx="5609590" cy="7644130"/>
                    </a:xfrm>
                    <a:prstGeom prst="rect">
                      <a:avLst/>
                    </a:prstGeom>
                    <a:noFill/>
                    <a:ln>
                      <a:noFill/>
                    </a:ln>
                  </pic:spPr>
                </pic:pic>
              </a:graphicData>
            </a:graphic>
          </wp:inline>
        </w:drawing>
      </w:r>
    </w:p>
    <w:p w14:paraId="1D291CC5"/>
    <w:p w14:paraId="5C9CEEDE">
      <w:pPr>
        <w:adjustRightInd w:val="0"/>
        <w:snapToGrid w:val="0"/>
        <w:spacing w:line="360" w:lineRule="auto"/>
        <w:jc w:val="both"/>
        <w:rPr>
          <w:rFonts w:hint="eastAsia" w:ascii="Times New Roman" w:hAnsi="Times New Roman" w:eastAsia="宋体" w:cs="Times New Roman"/>
          <w:color w:val="000000" w:themeColor="text1"/>
          <w:sz w:val="28"/>
          <w:lang w:eastAsia="zh-CN"/>
          <w14:textFill>
            <w14:solidFill>
              <w14:schemeClr w14:val="tx1"/>
            </w14:solidFill>
          </w14:textFill>
        </w:rPr>
      </w:pPr>
    </w:p>
    <w:p w14:paraId="3358960C">
      <w:pPr>
        <w:adjustRightInd w:val="0"/>
        <w:snapToGrid w:val="0"/>
        <w:spacing w:line="360" w:lineRule="auto"/>
        <w:jc w:val="both"/>
        <w:rPr>
          <w:rFonts w:hint="eastAsia" w:ascii="Times New Roman" w:hAnsi="Times New Roman" w:eastAsia="宋体" w:cs="Times New Roman"/>
          <w:color w:val="000000" w:themeColor="text1"/>
          <w:sz w:val="28"/>
          <w:lang w:eastAsia="zh-CN"/>
          <w14:textFill>
            <w14:solidFill>
              <w14:schemeClr w14:val="tx1"/>
            </w14:solidFill>
          </w14:textFill>
        </w:rPr>
        <w:sectPr>
          <w:footerReference r:id="rId8" w:type="first"/>
          <w:footerReference r:id="rId7" w:type="default"/>
          <w:pgSz w:w="11906" w:h="16838"/>
          <w:pgMar w:top="1701" w:right="1531" w:bottom="1701" w:left="1531" w:header="851" w:footer="992" w:gutter="0"/>
          <w:pgBorders>
            <w:top w:val="none" w:sz="0" w:space="0"/>
            <w:left w:val="none" w:sz="0" w:space="0"/>
            <w:bottom w:val="none" w:sz="0" w:space="0"/>
            <w:right w:val="none" w:sz="0" w:space="0"/>
          </w:pgBorders>
          <w:cols w:space="720" w:num="1"/>
          <w:titlePg/>
          <w:docGrid w:type="lines" w:linePitch="312" w:charSpace="0"/>
        </w:sectPr>
      </w:pPr>
    </w:p>
    <w:p w14:paraId="6879EBE3">
      <w:pPr>
        <w:pStyle w:val="62"/>
        <w:tabs>
          <w:tab w:val="left" w:pos="2340"/>
          <w:tab w:val="left" w:pos="4320"/>
        </w:tabs>
        <w:ind w:firstLine="0" w:firstLineChars="0"/>
        <w:rPr>
          <w:rFonts w:hint="default" w:ascii="Times New Roman" w:hAnsi="Times New Roman" w:eastAsia="宋体" w:cs="Times New Roman"/>
          <w:bCs/>
          <w:color w:val="000000" w:themeColor="text1"/>
          <w:szCs w:val="24"/>
          <w14:textFill>
            <w14:solidFill>
              <w14:schemeClr w14:val="tx1"/>
            </w14:solidFill>
          </w14:textFill>
        </w:rPr>
      </w:pPr>
      <w:bookmarkStart w:id="9" w:name="_GoBack"/>
      <w:bookmarkEnd w:id="9"/>
    </w:p>
    <w:p w14:paraId="51F62933">
      <w:pPr>
        <w:pStyle w:val="62"/>
        <w:tabs>
          <w:tab w:val="left" w:pos="2340"/>
          <w:tab w:val="left" w:pos="4320"/>
        </w:tabs>
        <w:ind w:firstLine="0" w:firstLineChars="0"/>
        <w:rPr>
          <w:rFonts w:hint="eastAsia" w:ascii="Times New Roman" w:hAnsi="Times New Roman" w:eastAsia="宋体" w:cs="Times New Roman"/>
          <w:bCs/>
          <w:color w:val="000000" w:themeColor="text1"/>
          <w:szCs w:val="24"/>
          <w:lang w:eastAsia="zh-CN"/>
          <w14:textFill>
            <w14:solidFill>
              <w14:schemeClr w14:val="tx1"/>
            </w14:solidFill>
          </w14:textFill>
        </w:rPr>
        <w:sectPr>
          <w:headerReference r:id="rId9" w:type="default"/>
          <w:footerReference r:id="rId10" w:type="default"/>
          <w:pgSz w:w="11906" w:h="16838"/>
          <w:pgMar w:top="1440" w:right="1440" w:bottom="1440" w:left="1440" w:header="510" w:footer="794" w:gutter="0"/>
          <w:pgBorders>
            <w:top w:val="none" w:sz="0" w:space="0"/>
            <w:left w:val="none" w:sz="0" w:space="0"/>
            <w:bottom w:val="none" w:sz="0" w:space="0"/>
            <w:right w:val="none" w:sz="0" w:space="0"/>
          </w:pgBorders>
          <w:cols w:space="720" w:num="1"/>
          <w:docGrid w:type="lines" w:linePitch="312" w:charSpace="0"/>
        </w:sectPr>
      </w:pPr>
    </w:p>
    <w:p w14:paraId="285B50DD">
      <w:pPr>
        <w:jc w:val="center"/>
        <w:rPr>
          <w:rFonts w:hint="default" w:ascii="Times New Roman" w:hAnsi="Times New Roman" w:eastAsia="宋体" w:cs="Times New Roman"/>
          <w:color w:val="000000" w:themeColor="text1"/>
          <w14:textFill>
            <w14:solidFill>
              <w14:schemeClr w14:val="tx1"/>
            </w14:solidFill>
          </w14:textFill>
        </w:rPr>
      </w:pPr>
      <w:r>
        <w:rPr>
          <w:sz w:val="24"/>
        </w:rPr>
        <mc:AlternateContent>
          <mc:Choice Requires="wps">
            <w:drawing>
              <wp:anchor distT="0" distB="0" distL="114300" distR="114300" simplePos="0" relativeHeight="251684864" behindDoc="0" locked="0" layoutInCell="1" allowOverlap="1">
                <wp:simplePos x="0" y="0"/>
                <wp:positionH relativeFrom="column">
                  <wp:posOffset>149860</wp:posOffset>
                </wp:positionH>
                <wp:positionV relativeFrom="paragraph">
                  <wp:posOffset>40005</wp:posOffset>
                </wp:positionV>
                <wp:extent cx="1130935" cy="964565"/>
                <wp:effectExtent l="0" t="0" r="0" b="0"/>
                <wp:wrapNone/>
                <wp:docPr id="17" name="矩形 17"/>
                <wp:cNvGraphicFramePr/>
                <a:graphic xmlns:a="http://schemas.openxmlformats.org/drawingml/2006/main">
                  <a:graphicData uri="http://schemas.microsoft.com/office/word/2010/wordprocessingShape">
                    <wps:wsp>
                      <wps:cNvSpPr/>
                      <wps:spPr>
                        <a:xfrm>
                          <a:off x="5274310" y="1006475"/>
                          <a:ext cx="1130935" cy="96456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D20B583">
                            <w:pPr>
                              <w:jc w:val="center"/>
                            </w:pPr>
                            <w:r>
                              <w:rPr>
                                <w:rFonts w:hint="default"/>
                              </w:rPr>
                              <w:drawing>
                                <wp:inline distT="0" distB="0" distL="114300" distR="114300">
                                  <wp:extent cx="777240" cy="793750"/>
                                  <wp:effectExtent l="0" t="0" r="3810" b="635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43"/>
                                          <a:stretch>
                                            <a:fillRect/>
                                          </a:stretch>
                                        </pic:blipFill>
                                        <pic:spPr>
                                          <a:xfrm>
                                            <a:off x="0" y="0"/>
                                            <a:ext cx="777240" cy="793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8pt;margin-top:3.15pt;height:75.95pt;width:89.05pt;z-index:251684864;v-text-anchor:middle;mso-width-relative:page;mso-height-relative:page;" filled="f" stroked="f" coordsize="21600,21600" o:gfxdata="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tFB5/1gAAAAgBAAAPAAAAAAAAAAEAIAAAACIAAABkcnMvZG93bnJldi54&#10;bWxQSwECFAAUAAAACACHTuJA7lfi1W4CAAC7BAAADgAAAAAAAAABACAAAAAlAQAAZHJzL2Uyb0Rv&#10;Yy54bWxQSwUGAAAAAAYABgBZAQAABQYAAAAA&#10;">
                <v:fill on="f" focussize="0,0"/>
                <v:stroke on="f" weight="1pt" miterlimit="8" joinstyle="miter"/>
                <v:imagedata o:title=""/>
                <o:lock v:ext="edit" aspectratio="f"/>
                <v:textbox>
                  <w:txbxContent>
                    <w:p w14:paraId="2D20B583">
                      <w:pPr>
                        <w:jc w:val="center"/>
                      </w:pPr>
                      <w:r>
                        <w:rPr>
                          <w:rFonts w:hint="default"/>
                        </w:rPr>
                        <w:drawing>
                          <wp:inline distT="0" distB="0" distL="114300" distR="114300">
                            <wp:extent cx="777240" cy="793750"/>
                            <wp:effectExtent l="0" t="0" r="3810" b="635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43"/>
                                    <a:stretch>
                                      <a:fillRect/>
                                    </a:stretch>
                                  </pic:blipFill>
                                  <pic:spPr>
                                    <a:xfrm>
                                      <a:off x="0" y="0"/>
                                      <a:ext cx="777240" cy="793750"/>
                                    </a:xfrm>
                                    <a:prstGeom prst="rect">
                                      <a:avLst/>
                                    </a:prstGeom>
                                    <a:noFill/>
                                    <a:ln>
                                      <a:noFill/>
                                    </a:ln>
                                  </pic:spPr>
                                </pic:pic>
                              </a:graphicData>
                            </a:graphic>
                          </wp:inline>
                        </w:drawing>
                      </w:r>
                    </w:p>
                  </w:txbxContent>
                </v:textbox>
              </v:rect>
            </w:pict>
          </mc:Fallback>
        </mc:AlternateContent>
      </w:r>
      <w:r>
        <w:rPr>
          <w:rFonts w:hint="default"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404495</wp:posOffset>
                </wp:positionH>
                <wp:positionV relativeFrom="paragraph">
                  <wp:posOffset>7793355</wp:posOffset>
                </wp:positionV>
                <wp:extent cx="1111250" cy="26416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111250" cy="264160"/>
                        </a:xfrm>
                        <a:prstGeom prst="rect">
                          <a:avLst/>
                        </a:prstGeom>
                        <a:noFill/>
                        <a:ln>
                          <a:noFill/>
                        </a:ln>
                      </wps:spPr>
                      <wps:txbx>
                        <w:txbxContent>
                          <w:p w14:paraId="2D129309">
                            <w:pPr>
                              <w:rPr>
                                <w:rFonts w:eastAsiaTheme="minorEastAsia"/>
                              </w:rPr>
                            </w:pPr>
                            <w:r>
                              <w:t>比例尺1:6</w:t>
                            </w:r>
                            <w:r>
                              <w:rPr>
                                <w:rFonts w:hint="eastAsia"/>
                              </w:rPr>
                              <w:t>5</w:t>
                            </w:r>
                            <w:r>
                              <w:t>万</w:t>
                            </w:r>
                          </w:p>
                        </w:txbxContent>
                      </wps:txbx>
                      <wps:bodyPr upright="1"/>
                    </wps:wsp>
                  </a:graphicData>
                </a:graphic>
              </wp:anchor>
            </w:drawing>
          </mc:Choice>
          <mc:Fallback>
            <w:pict>
              <v:shape id="_x0000_s1026" o:spid="_x0000_s1026" o:spt="202" type="#_x0000_t202" style="position:absolute;left:0pt;margin-left:31.85pt;margin-top:613.65pt;height:20.8pt;width:87.5pt;z-index:251666432;mso-width-relative:page;mso-height-relative:page;" filled="f" stroked="f" coordsize="21600,21600" o:gfxdata="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Qe+Yk2AAA&#10;AAwBAAAPAAAAAAAAAAEAIAAAACIAAABkcnMvZG93bnJldi54bWxQSwECFAAUAAAACACHTuJARAi7&#10;TqwBAABQAwAADgAAAAAAAAABACAAAAAnAQAAZHJzL2Uyb0RvYy54bWxQSwUGAAAAAAYABgBZAQAA&#10;RQUAAAAA&#10;">
                <v:fill on="f" focussize="0,0"/>
                <v:stroke on="f"/>
                <v:imagedata o:title=""/>
                <o:lock v:ext="edit" aspectratio="f"/>
                <v:textbox>
                  <w:txbxContent>
                    <w:p w14:paraId="2D129309">
                      <w:pPr>
                        <w:rPr>
                          <w:rFonts w:eastAsiaTheme="minorEastAsia"/>
                        </w:rPr>
                      </w:pPr>
                      <w:r>
                        <w:t>比例尺1:6</w:t>
                      </w:r>
                      <w:r>
                        <w:rPr>
                          <w:rFonts w:hint="eastAsia"/>
                        </w:rPr>
                        <w:t>5</w:t>
                      </w:r>
                      <w:r>
                        <w:t>万</w:t>
                      </w:r>
                    </w:p>
                  </w:txbxContent>
                </v:textbox>
              </v:shape>
            </w:pict>
          </mc:Fallback>
        </mc:AlternateContent>
      </w: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3352800</wp:posOffset>
                </wp:positionH>
                <wp:positionV relativeFrom="paragraph">
                  <wp:posOffset>2990850</wp:posOffset>
                </wp:positionV>
                <wp:extent cx="100965" cy="88900"/>
                <wp:effectExtent l="20955" t="19050" r="30480" b="29210"/>
                <wp:wrapNone/>
                <wp:docPr id="64" name="五角星 64"/>
                <wp:cNvGraphicFramePr/>
                <a:graphic xmlns:a="http://schemas.openxmlformats.org/drawingml/2006/main">
                  <a:graphicData uri="http://schemas.microsoft.com/office/word/2010/wordprocessingShape">
                    <wps:wsp>
                      <wps:cNvSpPr/>
                      <wps:spPr>
                        <a:xfrm>
                          <a:off x="0" y="0"/>
                          <a:ext cx="100965" cy="88900"/>
                        </a:xfrm>
                        <a:prstGeom prst="star5">
                          <a:avLst/>
                        </a:prstGeom>
                        <a:noFill/>
                        <a:ln w="12700" cap="flat" cmpd="sng">
                          <a:solidFill>
                            <a:srgbClr val="0000FF"/>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64pt;margin-top:235.5pt;height:7pt;width:7.95pt;z-index:251664384;mso-width-relative:page;mso-height-relative:page;" filled="f" stroked="t" coordsize="100965,88900" o:gfxdata="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x9HqVdkAAAALAQAADwAAAAAAAAABACAAAAAiAAAAZHJzL2Rv&#10;d25yZXYueG1sUEsBAhQAFAAAAAgAh07iQPtsWqUAAgAA+gMAAA4AAAAAAAAAAQAgAAAAKAEAAGRy&#10;cy9lMm9Eb2MueG1sUEsFBgAAAAAGAAYAWQEAAJoFAAAAAA==&#10;" path="m0,33956l38565,33956,50482,0,62399,33956,100964,33956,69764,54942,81682,88899,50482,67913,19282,88899,31200,54942xe">
                <v:path o:connectlocs="50482,0;0,33956;19282,88899;81682,88899;100964,33956" o:connectangles="247,164,82,82,0"/>
                <v:fill on="f" focussize="0,0"/>
                <v:stroke weight="1pt" color="#0000FF" joinstyle="miter"/>
                <v:imagedata o:title=""/>
                <o:lock v:ext="edit" aspectratio="f"/>
              </v:shape>
            </w:pict>
          </mc:Fallback>
        </mc:AlternateContent>
      </w:r>
      <w:r>
        <w:rPr>
          <w:rFonts w:hint="default"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3881755</wp:posOffset>
                </wp:positionH>
                <wp:positionV relativeFrom="paragraph">
                  <wp:posOffset>3521710</wp:posOffset>
                </wp:positionV>
                <wp:extent cx="770255" cy="304800"/>
                <wp:effectExtent l="501015" t="467995" r="8890" b="19685"/>
                <wp:wrapNone/>
                <wp:docPr id="65" name="圆角矩形标注 65"/>
                <wp:cNvGraphicFramePr/>
                <a:graphic xmlns:a="http://schemas.openxmlformats.org/drawingml/2006/main">
                  <a:graphicData uri="http://schemas.microsoft.com/office/word/2010/wordprocessingShape">
                    <wps:wsp>
                      <wps:cNvSpPr/>
                      <wps:spPr>
                        <a:xfrm>
                          <a:off x="0" y="0"/>
                          <a:ext cx="770255" cy="304800"/>
                        </a:xfrm>
                        <a:prstGeom prst="wedgeRoundRectCallout">
                          <a:avLst>
                            <a:gd name="adj1" fmla="val -109274"/>
                            <a:gd name="adj2" fmla="val -193541"/>
                            <a:gd name="adj3" fmla="val 16667"/>
                          </a:avLst>
                        </a:prstGeom>
                        <a:solidFill>
                          <a:srgbClr val="FFFFFF"/>
                        </a:solidFill>
                        <a:ln w="12700" cap="flat" cmpd="sng">
                          <a:solidFill>
                            <a:srgbClr val="000000"/>
                          </a:solidFill>
                          <a:prstDash val="solid"/>
                          <a:miter/>
                          <a:headEnd type="none" w="med" len="med"/>
                          <a:tailEnd type="none" w="med" len="med"/>
                        </a:ln>
                      </wps:spPr>
                      <wps:txbx>
                        <w:txbxContent>
                          <w:p w14:paraId="4E3C0022">
                            <w:pPr>
                              <w:snapToGrid w:val="0"/>
                              <w:rPr>
                                <w:rFonts w:ascii="宋体" w:hAnsi="宋体" w:cs="宋体"/>
                                <w:color w:val="000000"/>
                                <w:szCs w:val="21"/>
                              </w:rPr>
                            </w:pPr>
                            <w:r>
                              <w:rPr>
                                <w:rFonts w:hint="eastAsia" w:ascii="宋体" w:hAnsi="宋体" w:cs="宋体"/>
                                <w:color w:val="000000"/>
                                <w:szCs w:val="21"/>
                              </w:rPr>
                              <w:t>项目位置</w:t>
                            </w:r>
                          </w:p>
                        </w:txbxContent>
                      </wps:txbx>
                      <wps:bodyPr anchor="ctr" anchorCtr="0" upright="1"/>
                    </wps:wsp>
                  </a:graphicData>
                </a:graphic>
              </wp:anchor>
            </w:drawing>
          </mc:Choice>
          <mc:Fallback>
            <w:pict>
              <v:shape id="_x0000_s1026" o:spid="_x0000_s1026" o:spt="62" type="#_x0000_t62" style="position:absolute;left:0pt;margin-left:305.65pt;margin-top:277.3pt;height:24pt;width:60.65pt;z-index:251665408;v-text-anchor:middle;mso-width-relative:page;mso-height-relative:page;" fillcolor="#FFFFFF" filled="t" stroked="t" coordsize="21600,21600" o:gfxdata="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P7aU+baAAAACwEAAA8AAAAAAAAAAQAgAAAAIgAAAGRycy9kb3ducmV2LnhtbFBLAQIUABQA&#10;AAAIAIdO4kAznBBgYAIAANwEAAAOAAAAAAAAAAEAIAAAACkBAABkcnMvZTJvRG9jLnhtbFBLBQYA&#10;AAAABgAGAFkBAAD7BQAAAAA=&#10;" adj="-12803,-31005,14400">
                <v:fill on="t" focussize="0,0"/>
                <v:stroke weight="1pt" color="#000000" joinstyle="miter"/>
                <v:imagedata o:title=""/>
                <o:lock v:ext="edit" aspectratio="f"/>
                <v:textbox>
                  <w:txbxContent>
                    <w:p w14:paraId="4E3C0022">
                      <w:pPr>
                        <w:snapToGrid w:val="0"/>
                        <w:rPr>
                          <w:rFonts w:ascii="宋体" w:hAnsi="宋体" w:cs="宋体"/>
                          <w:color w:val="000000"/>
                          <w:szCs w:val="21"/>
                        </w:rPr>
                      </w:pPr>
                      <w:r>
                        <w:rPr>
                          <w:rFonts w:hint="eastAsia" w:ascii="宋体" w:hAnsi="宋体" w:cs="宋体"/>
                          <w:color w:val="000000"/>
                          <w:szCs w:val="21"/>
                        </w:rPr>
                        <w:t>项目位置</w:t>
                      </w:r>
                    </w:p>
                  </w:txbxContent>
                </v:textbox>
              </v:shape>
            </w:pict>
          </mc:Fallback>
        </mc:AlternateContent>
      </w:r>
      <w:r>
        <w:rPr>
          <w:rFonts w:hint="default" w:ascii="Times New Roman" w:hAnsi="Times New Roman" w:eastAsia="宋体" w:cs="Times New Roman"/>
          <w:color w:val="000000" w:themeColor="text1"/>
          <w:sz w:val="24"/>
          <w14:textFill>
            <w14:solidFill>
              <w14:schemeClr w14:val="tx1"/>
            </w14:solidFill>
          </w14:textFill>
        </w:rPr>
        <w:drawing>
          <wp:inline distT="0" distB="0" distL="114300" distR="114300">
            <wp:extent cx="5248275" cy="8163560"/>
            <wp:effectExtent l="0" t="0" r="9525" b="5080"/>
            <wp:docPr id="6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descr="IMG_256"/>
                    <pic:cNvPicPr>
                      <a:picLocks noChangeAspect="1"/>
                    </pic:cNvPicPr>
                  </pic:nvPicPr>
                  <pic:blipFill>
                    <a:blip r:embed="rId44"/>
                    <a:stretch>
                      <a:fillRect/>
                    </a:stretch>
                  </pic:blipFill>
                  <pic:spPr>
                    <a:xfrm>
                      <a:off x="0" y="0"/>
                      <a:ext cx="5248275" cy="8163560"/>
                    </a:xfrm>
                    <a:prstGeom prst="rect">
                      <a:avLst/>
                    </a:prstGeom>
                    <a:noFill/>
                    <a:ln w="9525">
                      <a:noFill/>
                    </a:ln>
                  </pic:spPr>
                </pic:pic>
              </a:graphicData>
            </a:graphic>
          </wp:inline>
        </w:drawing>
      </w:r>
    </w:p>
    <w:p w14:paraId="5239E941">
      <w:pPr>
        <w:jc w:val="center"/>
        <w:rPr>
          <w:rFonts w:hint="default" w:ascii="Times New Roman" w:hAnsi="Times New Roman" w:eastAsia="宋体" w:cs="Times New Roman"/>
          <w:color w:val="000000" w:themeColor="text1"/>
          <w14:textFill>
            <w14:solidFill>
              <w14:schemeClr w14:val="tx1"/>
            </w14:solidFill>
          </w14:textFill>
        </w:rPr>
        <w:sectPr>
          <w:pgSz w:w="11906" w:h="16838"/>
          <w:pgMar w:top="1440" w:right="1440" w:bottom="1440" w:left="1440" w:header="510" w:footer="794"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b/>
          <w:bCs/>
          <w:color w:val="000000" w:themeColor="text1"/>
          <w:sz w:val="24"/>
          <w14:textFill>
            <w14:solidFill>
              <w14:schemeClr w14:val="tx1"/>
            </w14:solidFill>
          </w14:textFill>
        </w:rPr>
        <w:t>附图1项目地理位置图</w:t>
      </w:r>
    </w:p>
    <w:p w14:paraId="416E82D9">
      <w:pPr>
        <w:pStyle w:val="62"/>
        <w:tabs>
          <w:tab w:val="left" w:pos="2340"/>
          <w:tab w:val="left" w:pos="4320"/>
        </w:tabs>
        <w:ind w:firstLine="0" w:firstLineChars="0"/>
        <w:jc w:val="center"/>
        <w:rPr>
          <w:rFonts w:hint="default" w:ascii="Times New Roman" w:hAnsi="Times New Roman" w:eastAsia="宋体" w:cs="Times New Roman"/>
          <w:color w:val="000000" w:themeColor="text1"/>
          <w14:textFill>
            <w14:solidFill>
              <w14:schemeClr w14:val="tx1"/>
            </w14:solidFill>
          </w14:textFill>
        </w:rPr>
      </w:pPr>
      <w:r>
        <w:drawing>
          <wp:inline distT="0" distB="0" distL="114300" distR="114300">
            <wp:extent cx="7752080" cy="5362575"/>
            <wp:effectExtent l="0" t="0" r="1270" b="9525"/>
            <wp:docPr id="7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9"/>
                    <pic:cNvPicPr>
                      <a:picLocks noChangeAspect="1"/>
                    </pic:cNvPicPr>
                  </pic:nvPicPr>
                  <pic:blipFill>
                    <a:blip r:embed="rId45"/>
                    <a:stretch>
                      <a:fillRect/>
                    </a:stretch>
                  </pic:blipFill>
                  <pic:spPr>
                    <a:xfrm>
                      <a:off x="0" y="0"/>
                      <a:ext cx="7752080" cy="5362575"/>
                    </a:xfrm>
                    <a:prstGeom prst="rect">
                      <a:avLst/>
                    </a:prstGeom>
                    <a:noFill/>
                    <a:ln>
                      <a:noFill/>
                    </a:ln>
                  </pic:spPr>
                </pic:pic>
              </a:graphicData>
            </a:graphic>
          </wp:inline>
        </w:drawing>
      </w:r>
      <w:r>
        <w:rPr>
          <w:rFonts w:hint="default" w:ascii="Times New Roman" w:hAnsi="Times New Roman" w:eastAsia="宋体"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4168140</wp:posOffset>
                </wp:positionH>
                <wp:positionV relativeFrom="paragraph">
                  <wp:posOffset>2243455</wp:posOffset>
                </wp:positionV>
                <wp:extent cx="824230" cy="304800"/>
                <wp:effectExtent l="6350" t="6350" r="45720" b="146050"/>
                <wp:wrapNone/>
                <wp:docPr id="9" name="圆角矩形标注 9"/>
                <wp:cNvGraphicFramePr/>
                <a:graphic xmlns:a="http://schemas.openxmlformats.org/drawingml/2006/main">
                  <a:graphicData uri="http://schemas.microsoft.com/office/word/2010/wordprocessingShape">
                    <wps:wsp>
                      <wps:cNvSpPr/>
                      <wps:spPr>
                        <a:xfrm>
                          <a:off x="0" y="0"/>
                          <a:ext cx="824230" cy="304800"/>
                        </a:xfrm>
                        <a:prstGeom prst="wedgeRoundRectCallout">
                          <a:avLst>
                            <a:gd name="adj1" fmla="val 50308"/>
                            <a:gd name="adj2" fmla="val 87500"/>
                            <a:gd name="adj3" fmla="val 16667"/>
                          </a:avLst>
                        </a:prstGeom>
                        <a:solidFill>
                          <a:srgbClr val="FFFFFF"/>
                        </a:solidFill>
                        <a:ln w="12700" cap="flat" cmpd="sng">
                          <a:solidFill>
                            <a:srgbClr val="000000"/>
                          </a:solidFill>
                          <a:prstDash val="solid"/>
                          <a:miter/>
                          <a:headEnd type="none" w="med" len="med"/>
                          <a:tailEnd type="none" w="med" len="med"/>
                        </a:ln>
                      </wps:spPr>
                      <wps:txbx>
                        <w:txbxContent>
                          <w:p w14:paraId="12B59A65">
                            <w:pPr>
                              <w:snapToGrid w:val="0"/>
                              <w:rPr>
                                <w:rFonts w:ascii="宋体" w:hAnsi="宋体" w:cs="宋体"/>
                                <w:color w:val="000000"/>
                                <w:szCs w:val="21"/>
                              </w:rPr>
                            </w:pPr>
                            <w:r>
                              <w:rPr>
                                <w:rFonts w:hint="eastAsia" w:ascii="宋体" w:hAnsi="宋体" w:cs="宋体"/>
                                <w:color w:val="000000"/>
                                <w:szCs w:val="21"/>
                              </w:rPr>
                              <w:t>项目位置</w:t>
                            </w:r>
                          </w:p>
                        </w:txbxContent>
                      </wps:txbx>
                      <wps:bodyPr anchor="ctr" anchorCtr="0" upright="1"/>
                    </wps:wsp>
                  </a:graphicData>
                </a:graphic>
              </wp:anchor>
            </w:drawing>
          </mc:Choice>
          <mc:Fallback>
            <w:pict>
              <v:shape id="_x0000_s1026" o:spid="_x0000_s1026" o:spt="62" type="#_x0000_t62" style="position:absolute;left:0pt;margin-left:328.2pt;margin-top:176.65pt;height:24pt;width:64.9pt;z-index:251661312;v-text-anchor:middle;mso-width-relative:page;mso-height-relative:page;" fillcolor="#FFFFFF" filled="t" stroked="t" coordsize="21600,21600" o:gfxdata="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SHHnMNwAAAALAQAADwAAAAAAAAABACAAAAAiAAAAZHJzL2Rvd25yZXYueG1sUEsBAhQA&#10;FAAAAAgAh07iQJ/tSiBgAgAA1gQAAA4AAAAAAAAAAQAgAAAAKwEAAGRycy9lMm9Eb2MueG1sUEsF&#10;BgAAAAAGAAYAWQEAAP0FAAAAAA==&#10;" adj="21667,29700,14400">
                <v:fill on="t" focussize="0,0"/>
                <v:stroke weight="1pt" color="#000000" joinstyle="miter"/>
                <v:imagedata o:title=""/>
                <o:lock v:ext="edit" aspectratio="f"/>
                <v:textbox>
                  <w:txbxContent>
                    <w:p w14:paraId="12B59A65">
                      <w:pPr>
                        <w:snapToGrid w:val="0"/>
                        <w:rPr>
                          <w:rFonts w:ascii="宋体" w:hAnsi="宋体" w:cs="宋体"/>
                          <w:color w:val="000000"/>
                          <w:szCs w:val="21"/>
                        </w:rPr>
                      </w:pPr>
                      <w:r>
                        <w:rPr>
                          <w:rFonts w:hint="eastAsia" w:ascii="宋体" w:hAnsi="宋体" w:cs="宋体"/>
                          <w:color w:val="000000"/>
                          <w:szCs w:val="21"/>
                        </w:rPr>
                        <w:t>项目位置</w:t>
                      </w:r>
                    </w:p>
                  </w:txbxContent>
                </v:textbox>
              </v:shape>
            </w:pict>
          </mc:Fallback>
        </mc:AlternateContent>
      </w:r>
      <w:r>
        <w:rPr>
          <w:sz w:val="24"/>
        </w:rPr>
        <mc:AlternateContent>
          <mc:Choice Requires="wps">
            <w:drawing>
              <wp:anchor distT="0" distB="0" distL="114300" distR="114300" simplePos="0" relativeHeight="251726848" behindDoc="0" locked="0" layoutInCell="1" allowOverlap="1">
                <wp:simplePos x="0" y="0"/>
                <wp:positionH relativeFrom="column">
                  <wp:posOffset>5047615</wp:posOffset>
                </wp:positionH>
                <wp:positionV relativeFrom="paragraph">
                  <wp:posOffset>2650490</wp:posOffset>
                </wp:positionV>
                <wp:extent cx="125730" cy="208915"/>
                <wp:effectExtent l="19050" t="13970" r="26670" b="24765"/>
                <wp:wrapNone/>
                <wp:docPr id="97" name="矩形 97"/>
                <wp:cNvGraphicFramePr/>
                <a:graphic xmlns:a="http://schemas.openxmlformats.org/drawingml/2006/main">
                  <a:graphicData uri="http://schemas.microsoft.com/office/word/2010/wordprocessingShape">
                    <wps:wsp>
                      <wps:cNvSpPr/>
                      <wps:spPr>
                        <a:xfrm rot="21180000">
                          <a:off x="5962015" y="3550285"/>
                          <a:ext cx="125730" cy="20891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7.45pt;margin-top:208.7pt;height:16.45pt;width:9.9pt;rotation:-458752f;z-index:251726848;v-text-anchor:middle;mso-width-relative:page;mso-height-relative:page;" filled="f" stroked="t" coordsize="21600,21600" o:gfxdata="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D3LPLLbAAAACwEAAA8AAAAAAAAA&#10;AQAgAAAAIgAAAGRycy9kb3ducmV2LnhtbFBLAQIUABQAAAAIAIdO4kBokS0ogAIAAOcEAAAOAAAA&#10;AAAAAAEAIAAAACoBAABkcnMvZTJvRG9jLnhtbFBLBQYAAAAABgAGAFkBAAAcBgAAAAA=&#10;">
                <v:fill on="f" focussize="0,0"/>
                <v:stroke weight="1pt" color="#FF0000 [2404]" miterlimit="8" joinstyle="miter"/>
                <v:imagedata o:title=""/>
                <o:lock v:ext="edit" aspectratio="f"/>
              </v:rect>
            </w:pict>
          </mc:Fallback>
        </mc:AlternateContent>
      </w:r>
      <w:r>
        <w:rPr>
          <w:rFonts w:hint="default" w:ascii="Times New Roman" w:hAnsi="Times New Roman" w:eastAsia="宋体" w:cs="Times New Roman"/>
          <w:color w:val="000000" w:themeColor="text1"/>
          <w14:textFill>
            <w14:solidFill>
              <w14:schemeClr w14:val="tx1"/>
            </w14:solidFill>
          </w14:textFill>
        </w:rPr>
        <w:drawing>
          <wp:anchor distT="0" distB="0" distL="114300" distR="114300" simplePos="0" relativeHeight="251667456" behindDoc="0" locked="0" layoutInCell="1" allowOverlap="1">
            <wp:simplePos x="0" y="0"/>
            <wp:positionH relativeFrom="column">
              <wp:posOffset>7228205</wp:posOffset>
            </wp:positionH>
            <wp:positionV relativeFrom="paragraph">
              <wp:posOffset>64770</wp:posOffset>
            </wp:positionV>
            <wp:extent cx="1079500" cy="1102360"/>
            <wp:effectExtent l="0" t="0" r="2540" b="10160"/>
            <wp:wrapNone/>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43"/>
                    <a:stretch>
                      <a:fillRect/>
                    </a:stretch>
                  </pic:blipFill>
                  <pic:spPr>
                    <a:xfrm>
                      <a:off x="0" y="0"/>
                      <a:ext cx="1079500" cy="1102360"/>
                    </a:xfrm>
                    <a:prstGeom prst="rect">
                      <a:avLst/>
                    </a:prstGeom>
                    <a:noFill/>
                    <a:ln>
                      <a:noFill/>
                    </a:ln>
                  </pic:spPr>
                </pic:pic>
              </a:graphicData>
            </a:graphic>
          </wp:anchor>
        </w:drawing>
      </w:r>
      <w:r>
        <w:rPr>
          <w:sz w:val="28"/>
        </w:rPr>
        <mc:AlternateContent>
          <mc:Choice Requires="wps">
            <w:drawing>
              <wp:anchor distT="0" distB="0" distL="114300" distR="114300" simplePos="0" relativeHeight="251718656" behindDoc="0" locked="0" layoutInCell="1" allowOverlap="1">
                <wp:simplePos x="0" y="0"/>
                <wp:positionH relativeFrom="column">
                  <wp:posOffset>2179320</wp:posOffset>
                </wp:positionH>
                <wp:positionV relativeFrom="paragraph">
                  <wp:posOffset>96520</wp:posOffset>
                </wp:positionV>
                <wp:extent cx="5514975" cy="5375275"/>
                <wp:effectExtent l="6350" t="6350" r="22225" b="9525"/>
                <wp:wrapNone/>
                <wp:docPr id="77" name="椭圆 77"/>
                <wp:cNvGraphicFramePr/>
                <a:graphic xmlns:a="http://schemas.openxmlformats.org/drawingml/2006/main">
                  <a:graphicData uri="http://schemas.microsoft.com/office/word/2010/wordprocessingShape">
                    <wps:wsp>
                      <wps:cNvSpPr/>
                      <wps:spPr>
                        <a:xfrm>
                          <a:off x="5902960" y="3312160"/>
                          <a:ext cx="5514975" cy="537527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1.6pt;margin-top:7.6pt;height:423.25pt;width:434.25pt;z-index:251718656;v-text-anchor:middle;mso-width-relative:page;mso-height-relative:page;" filled="f" stroked="t" coordsize="21600,21600" o:gfxdata="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B6jUz9YAAAALAQAADwAAAAAAAAABACAAAAAiAAAA&#10;ZHJzL2Rvd25yZXYueG1sUEsBAhQAFAAAAAgAh07iQJXx16l7AgAA3QQAAA4AAAAAAAAAAQAgAAAA&#10;JQEAAGRycy9lMm9Eb2MueG1sUEsFBgAAAAAGAAYAWQEAABIGAAAAAA==&#10;">
                <v:fill on="f" focussize="0,0"/>
                <v:stroke weight="1pt" color="#FF0000 [2404]" miterlimit="8" joinstyle="miter"/>
                <v:imagedata o:title=""/>
                <o:lock v:ext="edit" aspectratio="f"/>
              </v:shape>
            </w:pict>
          </mc:Fallback>
        </mc:AlternateContent>
      </w:r>
      <w:r>
        <w:rPr>
          <w:rFonts w:hint="default" w:ascii="Times New Roman" w:hAnsi="Times New Roman" w:eastAsia="宋体"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4232910</wp:posOffset>
                </wp:positionH>
                <wp:positionV relativeFrom="paragraph">
                  <wp:posOffset>4141470</wp:posOffset>
                </wp:positionV>
                <wp:extent cx="584200" cy="37528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584200" cy="375285"/>
                        </a:xfrm>
                        <a:prstGeom prst="rect">
                          <a:avLst/>
                        </a:prstGeom>
                        <a:noFill/>
                        <a:ln w="6350">
                          <a:noFill/>
                        </a:ln>
                      </wps:spPr>
                      <wps:txbx>
                        <w:txbxContent>
                          <w:p w14:paraId="544AABD7">
                            <w:pPr>
                              <w:rPr>
                                <w:b/>
                                <w:bCs/>
                                <w:color w:val="FF0000"/>
                              </w:rPr>
                            </w:pPr>
                            <w:r>
                              <w:rPr>
                                <w:rFonts w:hint="eastAsia"/>
                                <w:b/>
                                <w:bCs/>
                                <w:color w:val="FF0000"/>
                              </w:rPr>
                              <w:t>500</w:t>
                            </w:r>
                            <w:r>
                              <w:rPr>
                                <w:b/>
                                <w:bCs/>
                                <w:color w:val="FF0000"/>
                              </w:rPr>
                              <w:t>m</w:t>
                            </w:r>
                          </w:p>
                        </w:txbxContent>
                      </wps:txbx>
                      <wps:bodyPr upright="1"/>
                    </wps:wsp>
                  </a:graphicData>
                </a:graphic>
              </wp:anchor>
            </w:drawing>
          </mc:Choice>
          <mc:Fallback>
            <w:pict>
              <v:shape id="_x0000_s1026" o:spid="_x0000_s1026" o:spt="202" type="#_x0000_t202" style="position:absolute;left:0pt;margin-left:333.3pt;margin-top:326.1pt;height:29.55pt;width:46pt;z-index:251663360;mso-width-relative:page;mso-height-relative:page;" filled="f" stroked="f" coordsize="21600,21600" o:gfxdata="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kOyFU2gAAAAsBAAAPAAAAAAAAAAEAIAAAACIAAABkcnMvZG93bnJldi54bWxQSwECFAAU&#10;AAAACACHTuJAoopjtbYBAABYAwAADgAAAAAAAAABACAAAAApAQAAZHJzL2Uyb0RvYy54bWxQSwUG&#10;AAAAAAYABgBZAQAAUQUAAAAA&#10;">
                <v:fill on="f" focussize="0,0"/>
                <v:stroke on="f" weight="0.5pt"/>
                <v:imagedata o:title=""/>
                <o:lock v:ext="edit" aspectratio="f"/>
                <v:textbox>
                  <w:txbxContent>
                    <w:p w14:paraId="544AABD7">
                      <w:pPr>
                        <w:rPr>
                          <w:b/>
                          <w:bCs/>
                          <w:color w:val="FF0000"/>
                        </w:rPr>
                      </w:pPr>
                      <w:r>
                        <w:rPr>
                          <w:rFonts w:hint="eastAsia"/>
                          <w:b/>
                          <w:bCs/>
                          <w:color w:val="FF0000"/>
                        </w:rPr>
                        <w:t>500</w:t>
                      </w:r>
                      <w:r>
                        <w:rPr>
                          <w:b/>
                          <w:bCs/>
                          <w:color w:val="FF0000"/>
                        </w:rPr>
                        <w:t>m</w:t>
                      </w:r>
                    </w:p>
                  </w:txbxContent>
                </v:textbox>
              </v:shape>
            </w:pict>
          </mc:Fallback>
        </mc:AlternateContent>
      </w: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3422650</wp:posOffset>
                </wp:positionH>
                <wp:positionV relativeFrom="paragraph">
                  <wp:posOffset>2871470</wp:posOffset>
                </wp:positionV>
                <wp:extent cx="1630045" cy="2162810"/>
                <wp:effectExtent l="0" t="5715" r="8255" b="3175"/>
                <wp:wrapNone/>
                <wp:docPr id="14" name="直接连接符 14"/>
                <wp:cNvGraphicFramePr/>
                <a:graphic xmlns:a="http://schemas.openxmlformats.org/drawingml/2006/main">
                  <a:graphicData uri="http://schemas.microsoft.com/office/word/2010/wordprocessingShape">
                    <wps:wsp>
                      <wps:cNvCnPr/>
                      <wps:spPr>
                        <a:xfrm flipH="1">
                          <a:off x="0" y="0"/>
                          <a:ext cx="1630045" cy="2162810"/>
                        </a:xfrm>
                        <a:prstGeom prst="line">
                          <a:avLst/>
                        </a:prstGeom>
                        <a:ln w="19050" cap="flat" cmpd="sng">
                          <a:solidFill>
                            <a:srgbClr val="FF0000"/>
                          </a:solidFill>
                          <a:prstDash val="solid"/>
                          <a:headEnd type="none" w="med" len="med"/>
                          <a:tailEnd type="arrow" w="med" len="med"/>
                        </a:ln>
                      </wps:spPr>
                      <wps:bodyPr/>
                    </wps:wsp>
                  </a:graphicData>
                </a:graphic>
              </wp:anchor>
            </w:drawing>
          </mc:Choice>
          <mc:Fallback>
            <w:pict>
              <v:line id="_x0000_s1026" o:spid="_x0000_s1026" o:spt="20" style="position:absolute;left:0pt;flip:x;margin-left:269.5pt;margin-top:226.1pt;height:170.3pt;width:128.35pt;z-index:251662336;mso-width-relative:page;mso-height-relative:page;" filled="f" stroked="t" coordsize="21600,21600" o:gfxdata="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eL4/5doAAAALAQAADwAAAAAAAAABACAAAAAiAAAA&#10;ZHJzL2Rvd25yZXYueG1sUEsBAhQAFAAAAAgAh07iQELkwFwFAgAA7AMAAA4AAAAAAAAAAQAgAAAA&#10;KQEAAGRycy9lMm9Eb2MueG1sUEsFBgAAAAAGAAYAWQEAAKAFAAAAAA==&#10;">
                <v:fill on="f" focussize="0,0"/>
                <v:stroke weight="1.5pt" color="#FF0000" joinstyle="round" endarrow="open"/>
                <v:imagedata o:title=""/>
                <o:lock v:ext="edit" aspectratio="f"/>
              </v:line>
            </w:pict>
          </mc:Fallback>
        </mc:AlternateContent>
      </w:r>
    </w:p>
    <w:p w14:paraId="73F2230B">
      <w:pPr>
        <w:pStyle w:val="62"/>
        <w:tabs>
          <w:tab w:val="left" w:pos="2340"/>
          <w:tab w:val="left" w:pos="4320"/>
        </w:tabs>
        <w:ind w:firstLine="0" w:firstLineChars="0"/>
        <w:jc w:val="center"/>
        <w:rPr>
          <w:rFonts w:hint="default" w:ascii="Times New Roman" w:hAnsi="Times New Roman" w:eastAsia="宋体" w:cs="Times New Roman"/>
          <w:b/>
          <w:bCs/>
          <w:color w:val="000000" w:themeColor="text1"/>
          <w:sz w:val="24"/>
          <w:szCs w:val="24"/>
          <w14:textFill>
            <w14:solidFill>
              <w14:schemeClr w14:val="tx1"/>
            </w14:solidFill>
          </w14:textFill>
        </w:rPr>
        <w:sectPr>
          <w:pgSz w:w="16838" w:h="11906" w:orient="landscape"/>
          <w:pgMar w:top="1417" w:right="1440" w:bottom="1417" w:left="1440" w:header="510" w:footer="794"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b/>
          <w:bCs/>
          <w:color w:val="000000" w:themeColor="text1"/>
          <w:sz w:val="24"/>
          <w:szCs w:val="24"/>
          <w14:textFill>
            <w14:solidFill>
              <w14:schemeClr w14:val="tx1"/>
            </w14:solidFill>
          </w14:textFill>
        </w:rPr>
        <w:t>附图2项目敏感目标关系图</w:t>
      </w:r>
    </w:p>
    <w:p w14:paraId="052EE8BA">
      <w:pPr>
        <w:jc w:val="both"/>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drawing>
          <wp:anchor distT="0" distB="0" distL="114300" distR="114300" simplePos="0" relativeHeight="251723776" behindDoc="1" locked="0" layoutInCell="1" allowOverlap="1">
            <wp:simplePos x="0" y="0"/>
            <wp:positionH relativeFrom="column">
              <wp:posOffset>6150610</wp:posOffset>
            </wp:positionH>
            <wp:positionV relativeFrom="paragraph">
              <wp:posOffset>101600</wp:posOffset>
            </wp:positionV>
            <wp:extent cx="213995" cy="473075"/>
            <wp:effectExtent l="0" t="0" r="14605" b="3175"/>
            <wp:wrapNone/>
            <wp:docPr id="75" name="图片 75"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北"/>
                    <pic:cNvPicPr>
                      <a:picLocks noChangeAspect="1"/>
                    </pic:cNvPicPr>
                  </pic:nvPicPr>
                  <pic:blipFill>
                    <a:blip r:embed="rId46"/>
                    <a:stretch>
                      <a:fillRect/>
                    </a:stretch>
                  </pic:blipFill>
                  <pic:spPr>
                    <a:xfrm>
                      <a:off x="0" y="0"/>
                      <a:ext cx="213995" cy="473075"/>
                    </a:xfrm>
                    <a:prstGeom prst="rect">
                      <a:avLst/>
                    </a:prstGeom>
                  </pic:spPr>
                </pic:pic>
              </a:graphicData>
            </a:graphic>
          </wp:anchor>
        </w:drawing>
      </w:r>
      <w:r>
        <w:rPr>
          <w:rFonts w:hint="default" w:ascii="Times New Roman" w:hAnsi="Times New Roman" w:eastAsia="宋体" w:cs="Times New Roman"/>
          <w:b/>
          <w:bCs/>
          <w:color w:val="000000" w:themeColor="text1"/>
          <w:sz w:val="24"/>
          <w:lang w:val="en-US" w:eastAsia="zh-CN"/>
          <w14:textFill>
            <w14:solidFill>
              <w14:schemeClr w14:val="tx1"/>
            </w14:solidFill>
          </w14:textFill>
        </w:rPr>
        <w:t>附图3</w:t>
      </w:r>
      <w:r>
        <w:rPr>
          <w:rFonts w:hint="eastAsia" w:cs="Times New Roman"/>
          <w:b/>
          <w:bCs/>
          <w:color w:val="000000" w:themeColor="text1"/>
          <w:sz w:val="24"/>
          <w:lang w:val="en-US" w:eastAsia="zh-CN"/>
          <w14:textFill>
            <w14:solidFill>
              <w14:schemeClr w14:val="tx1"/>
            </w14:solidFill>
          </w14:textFill>
        </w:rPr>
        <w:t>厂区</w:t>
      </w:r>
      <w:r>
        <w:rPr>
          <w:rFonts w:hint="default" w:ascii="Times New Roman" w:hAnsi="Times New Roman" w:eastAsia="宋体" w:cs="Times New Roman"/>
          <w:b/>
          <w:bCs/>
          <w:color w:val="000000" w:themeColor="text1"/>
          <w:sz w:val="24"/>
          <w:lang w:val="en-US" w:eastAsia="zh-CN"/>
          <w14:textFill>
            <w14:solidFill>
              <w14:schemeClr w14:val="tx1"/>
            </w14:solidFill>
          </w14:textFill>
        </w:rPr>
        <w:t>平面布置图（1:</w:t>
      </w:r>
      <w:r>
        <w:rPr>
          <w:rFonts w:hint="eastAsia" w:cs="Times New Roman"/>
          <w:b/>
          <w:bCs/>
          <w:color w:val="000000" w:themeColor="text1"/>
          <w:sz w:val="24"/>
          <w:lang w:val="en-US" w:eastAsia="zh-CN"/>
          <w14:textFill>
            <w14:solidFill>
              <w14:schemeClr w14:val="tx1"/>
            </w14:solidFill>
          </w14:textFill>
        </w:rPr>
        <w:t>400</w:t>
      </w:r>
      <w:r>
        <w:rPr>
          <w:rFonts w:hint="default" w:ascii="Times New Roman" w:hAnsi="Times New Roman" w:eastAsia="宋体" w:cs="Times New Roman"/>
          <w:b/>
          <w:bCs/>
          <w:color w:val="000000" w:themeColor="text1"/>
          <w:sz w:val="24"/>
          <w:lang w:val="en-US" w:eastAsia="zh-CN"/>
          <w14:textFill>
            <w14:solidFill>
              <w14:schemeClr w14:val="tx1"/>
            </w14:solidFill>
          </w14:textFill>
        </w:rPr>
        <w:t>）</w:t>
      </w:r>
    </w:p>
    <w:p w14:paraId="6F9E1A56">
      <w:pPr>
        <w:jc w:val="center"/>
        <w:rPr>
          <w:rFonts w:hint="default" w:ascii="Times New Roman" w:hAnsi="Times New Roman" w:eastAsia="宋体" w:cs="Times New Roman"/>
          <w:color w:val="000000" w:themeColor="text1"/>
          <w:sz w:val="24"/>
          <w14:textFill>
            <w14:solidFill>
              <w14:schemeClr w14:val="tx1"/>
            </w14:solidFill>
          </w14:textFill>
        </w:rPr>
      </w:pPr>
      <w:r>
        <w:rPr>
          <w:sz w:val="21"/>
        </w:rPr>
        <mc:AlternateContent>
          <mc:Choice Requires="wps">
            <w:drawing>
              <wp:anchor distT="0" distB="0" distL="114300" distR="114300" simplePos="0" relativeHeight="251725824" behindDoc="0" locked="0" layoutInCell="1" allowOverlap="1">
                <wp:simplePos x="0" y="0"/>
                <wp:positionH relativeFrom="column">
                  <wp:posOffset>1985010</wp:posOffset>
                </wp:positionH>
                <wp:positionV relativeFrom="paragraph">
                  <wp:posOffset>544830</wp:posOffset>
                </wp:positionV>
                <wp:extent cx="961390" cy="558165"/>
                <wp:effectExtent l="0" t="0" r="0" b="0"/>
                <wp:wrapNone/>
                <wp:docPr id="32" name="文本框 32"/>
                <wp:cNvGraphicFramePr/>
                <a:graphic xmlns:a="http://schemas.openxmlformats.org/drawingml/2006/main">
                  <a:graphicData uri="http://schemas.microsoft.com/office/word/2010/wordprocessingShape">
                    <wps:wsp>
                      <wps:cNvSpPr txBox="1"/>
                      <wps:spPr>
                        <a:xfrm rot="21420000">
                          <a:off x="0" y="0"/>
                          <a:ext cx="961390" cy="558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E2D977">
                            <w:pPr>
                              <w:rPr>
                                <w:rFonts w:hint="default" w:eastAsia="宋体"/>
                                <w:sz w:val="24"/>
                                <w:szCs w:val="32"/>
                                <w:lang w:val="en-US" w:eastAsia="zh-CN"/>
                              </w:rPr>
                            </w:pPr>
                            <w:r>
                              <w:rPr>
                                <w:rFonts w:hint="eastAsia"/>
                                <w:sz w:val="24"/>
                                <w:szCs w:val="32"/>
                                <w:lang w:val="en-US" w:eastAsia="zh-CN"/>
                              </w:rPr>
                              <w:t>其他企业生产车间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3pt;margin-top:42.9pt;height:43.95pt;width:75.7pt;rotation:-196608f;z-index:251725824;mso-width-relative:page;mso-height-relative:page;" filled="f" stroked="f" coordsize="21600,21600" o:gfxdata="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kMk8xtoAAAAKAQAADwAAAAAAAAABACAA&#10;AAAiAAAAZHJzL2Rvd25yZXYueG1sUEsBAhQAFAAAAAgAh07iQJImsoNEAgAAdgQAAA4AAAAAAAAA&#10;AQAgAAAAKQEAAGRycy9lMm9Eb2MueG1sUEsFBgAAAAAGAAYAWQEAAN8FAAAAAA==&#10;">
                <v:fill on="f" focussize="0,0"/>
                <v:stroke on="f" weight="0.5pt"/>
                <v:imagedata o:title=""/>
                <o:lock v:ext="edit" aspectratio="f"/>
                <v:textbox>
                  <w:txbxContent>
                    <w:p w14:paraId="6FE2D977">
                      <w:pPr>
                        <w:rPr>
                          <w:rFonts w:hint="default" w:eastAsia="宋体"/>
                          <w:sz w:val="24"/>
                          <w:szCs w:val="32"/>
                          <w:lang w:val="en-US" w:eastAsia="zh-CN"/>
                        </w:rPr>
                      </w:pPr>
                      <w:r>
                        <w:rPr>
                          <w:rFonts w:hint="eastAsia"/>
                          <w:sz w:val="24"/>
                          <w:szCs w:val="32"/>
                          <w:lang w:val="en-US" w:eastAsia="zh-CN"/>
                        </w:rPr>
                        <w:t>其他企业生产车间</w:t>
                      </w:r>
                    </w:p>
                  </w:txbxContent>
                </v:textbox>
              </v:shape>
            </w:pict>
          </mc:Fallback>
        </mc:AlternateContent>
      </w:r>
      <w:r>
        <w:rPr>
          <w:sz w:val="21"/>
        </w:rPr>
        <mc:AlternateContent>
          <mc:Choice Requires="wps">
            <w:drawing>
              <wp:anchor distT="0" distB="0" distL="114300" distR="114300" simplePos="0" relativeHeight="251724800" behindDoc="0" locked="0" layoutInCell="1" allowOverlap="1">
                <wp:simplePos x="0" y="0"/>
                <wp:positionH relativeFrom="column">
                  <wp:posOffset>2091690</wp:posOffset>
                </wp:positionH>
                <wp:positionV relativeFrom="paragraph">
                  <wp:posOffset>4645660</wp:posOffset>
                </wp:positionV>
                <wp:extent cx="961390" cy="558165"/>
                <wp:effectExtent l="0" t="0" r="0" b="0"/>
                <wp:wrapNone/>
                <wp:docPr id="6" name="文本框 6"/>
                <wp:cNvGraphicFramePr/>
                <a:graphic xmlns:a="http://schemas.openxmlformats.org/drawingml/2006/main">
                  <a:graphicData uri="http://schemas.microsoft.com/office/word/2010/wordprocessingShape">
                    <wps:wsp>
                      <wps:cNvSpPr txBox="1"/>
                      <wps:spPr>
                        <a:xfrm>
                          <a:off x="0" y="0"/>
                          <a:ext cx="961390" cy="558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AAE83F">
                            <w:pPr>
                              <w:rPr>
                                <w:rFonts w:hint="default" w:eastAsia="宋体"/>
                                <w:sz w:val="24"/>
                                <w:szCs w:val="32"/>
                                <w:lang w:val="en-US" w:eastAsia="zh-CN"/>
                              </w:rPr>
                            </w:pPr>
                            <w:r>
                              <w:rPr>
                                <w:rFonts w:hint="eastAsia"/>
                                <w:sz w:val="24"/>
                                <w:szCs w:val="32"/>
                                <w:lang w:val="en-US" w:eastAsia="zh-CN"/>
                              </w:rPr>
                              <w:t>其他企业生产车间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4.7pt;margin-top:365.8pt;height:43.95pt;width:75.7pt;z-index:251724800;mso-width-relative:page;mso-height-relative:page;" filled="f" stroked="f" coordsize="21600,21600" o:gfxdata="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kSvdbcAAAACwEAAA8AAAAAAAAAAQAgAAAAIgAAAGRy&#10;cy9kb3ducmV2LnhtbFBLAQIUABQAAAAIAIdO4kCoeO47OgIAAGUEAAAOAAAAAAAAAAEAIAAAACsB&#10;AABkcnMvZTJvRG9jLnhtbFBLBQYAAAAABgAGAFkBAADXBQAAAAA=&#10;">
                <v:fill on="f" focussize="0,0"/>
                <v:stroke on="f" weight="0.5pt"/>
                <v:imagedata o:title=""/>
                <o:lock v:ext="edit" aspectratio="f"/>
                <v:textbox>
                  <w:txbxContent>
                    <w:p w14:paraId="52AAE83F">
                      <w:pPr>
                        <w:rPr>
                          <w:rFonts w:hint="default" w:eastAsia="宋体"/>
                          <w:sz w:val="24"/>
                          <w:szCs w:val="32"/>
                          <w:lang w:val="en-US" w:eastAsia="zh-CN"/>
                        </w:rPr>
                      </w:pPr>
                      <w:r>
                        <w:rPr>
                          <w:rFonts w:hint="eastAsia"/>
                          <w:sz w:val="24"/>
                          <w:szCs w:val="32"/>
                          <w:lang w:val="en-US" w:eastAsia="zh-CN"/>
                        </w:rPr>
                        <w:t>其他企业生产车间</w:t>
                      </w:r>
                    </w:p>
                  </w:txbxContent>
                </v:textbox>
              </v:shape>
            </w:pict>
          </mc:Fallback>
        </mc:AlternateContent>
      </w:r>
      <w:r>
        <w:rPr>
          <w:sz w:val="21"/>
        </w:rPr>
        <mc:AlternateContent>
          <mc:Choice Requires="wps">
            <w:drawing>
              <wp:anchor distT="0" distB="0" distL="114300" distR="114300" simplePos="0" relativeHeight="251722752" behindDoc="0" locked="0" layoutInCell="1" allowOverlap="1">
                <wp:simplePos x="0" y="0"/>
                <wp:positionH relativeFrom="column">
                  <wp:posOffset>5441950</wp:posOffset>
                </wp:positionH>
                <wp:positionV relativeFrom="paragraph">
                  <wp:posOffset>73025</wp:posOffset>
                </wp:positionV>
                <wp:extent cx="292735" cy="5421630"/>
                <wp:effectExtent l="6350" t="635" r="24765" b="6985"/>
                <wp:wrapNone/>
                <wp:docPr id="44" name="直接连接符 44"/>
                <wp:cNvGraphicFramePr/>
                <a:graphic xmlns:a="http://schemas.openxmlformats.org/drawingml/2006/main">
                  <a:graphicData uri="http://schemas.microsoft.com/office/word/2010/wordprocessingShape">
                    <wps:wsp>
                      <wps:cNvCnPr/>
                      <wps:spPr>
                        <a:xfrm>
                          <a:off x="0" y="0"/>
                          <a:ext cx="292735" cy="542163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28.5pt;margin-top:5.75pt;height:426.9pt;width:23.05pt;z-index:251722752;mso-width-relative:page;mso-height-relative:page;" filled="f" stroked="t" coordsize="21600,21600" o:gfxdata="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BZuucjZAAAACgEAAA8AAAAAAAAAAQAgAAAAIgAAAGRycy9kb3ducmV2LnhtbFBLAQIUABQA&#10;AAAIAIdO4kBCg4O77wEAALkDAAAOAAAAAAAAAAEAIAAAACgBAABkcnMvZTJvRG9jLnhtbFBLBQYA&#10;AAAABgAGAFkBAACJBQAAAAA=&#10;">
                <v:fill on="f" focussize="0,0"/>
                <v:stroke weight="1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721728" behindDoc="0" locked="0" layoutInCell="1" allowOverlap="1">
                <wp:simplePos x="0" y="0"/>
                <wp:positionH relativeFrom="column">
                  <wp:posOffset>157480</wp:posOffset>
                </wp:positionH>
                <wp:positionV relativeFrom="paragraph">
                  <wp:posOffset>82550</wp:posOffset>
                </wp:positionV>
                <wp:extent cx="5284470" cy="356870"/>
                <wp:effectExtent l="635" t="6350" r="10795" b="17780"/>
                <wp:wrapNone/>
                <wp:docPr id="34" name="直接连接符 34"/>
                <wp:cNvGraphicFramePr/>
                <a:graphic xmlns:a="http://schemas.openxmlformats.org/drawingml/2006/main">
                  <a:graphicData uri="http://schemas.microsoft.com/office/word/2010/wordprocessingShape">
                    <wps:wsp>
                      <wps:cNvCnPr/>
                      <wps:spPr>
                        <a:xfrm flipH="1">
                          <a:off x="0" y="0"/>
                          <a:ext cx="5284470" cy="35687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2.4pt;margin-top:6.5pt;height:28.1pt;width:416.1pt;z-index:251721728;mso-width-relative:page;mso-height-relative:page;" filled="f" stroked="t" coordsize="21600,21600" o:gfxdata="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9BW2dNgAAAAIAQAADwAAAAAAAAABACAAAAAiAAAAZHJzL2Rvd25yZXYueG1sUEsB&#10;AhQAFAAAAAgAh07iQCcShvz1AQAAwwMAAA4AAAAAAAAAAQAgAAAAJwEAAGRycy9lMm9Eb2MueG1s&#10;UEsFBgAAAAAGAAYAWQEAAI4FAAAAAA==&#10;">
                <v:fill on="f" focussize="0,0"/>
                <v:stroke weight="1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462915</wp:posOffset>
                </wp:positionH>
                <wp:positionV relativeFrom="paragraph">
                  <wp:posOffset>5488940</wp:posOffset>
                </wp:positionV>
                <wp:extent cx="5284470" cy="356870"/>
                <wp:effectExtent l="635" t="6350" r="10795" b="17780"/>
                <wp:wrapNone/>
                <wp:docPr id="27" name="直接连接符 27"/>
                <wp:cNvGraphicFramePr/>
                <a:graphic xmlns:a="http://schemas.openxmlformats.org/drawingml/2006/main">
                  <a:graphicData uri="http://schemas.microsoft.com/office/word/2010/wordprocessingShape">
                    <wps:wsp>
                      <wps:cNvCnPr/>
                      <wps:spPr>
                        <a:xfrm flipH="1">
                          <a:off x="0" y="0"/>
                          <a:ext cx="5284470" cy="35687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6.45pt;margin-top:432.2pt;height:28.1pt;width:416.1pt;z-index:251720704;mso-width-relative:page;mso-height-relative:page;" filled="f" stroked="t" coordsize="21600,21600" o:gfxdata="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i/F+S9kAAAAKAQAADwAAAAAAAAABACAAAAAiAAAAZHJzL2Rvd25yZXYueG1sUEsB&#10;AhQAFAAAAAgAh07iQOwuaC70AQAAwwMAAA4AAAAAAAAAAQAgAAAAKAEAAGRycy9lMm9Eb2MueG1s&#10;UEsFBgAAAAAGAAYAWQEAAI4FAAAAAA==&#10;">
                <v:fill on="f" focussize="0,0"/>
                <v:stroke weight="1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719680" behindDoc="0" locked="0" layoutInCell="1" allowOverlap="1">
                <wp:simplePos x="0" y="0"/>
                <wp:positionH relativeFrom="column">
                  <wp:posOffset>160655</wp:posOffset>
                </wp:positionH>
                <wp:positionV relativeFrom="paragraph">
                  <wp:posOffset>442595</wp:posOffset>
                </wp:positionV>
                <wp:extent cx="292735" cy="5421630"/>
                <wp:effectExtent l="6350" t="635" r="24765" b="6985"/>
                <wp:wrapNone/>
                <wp:docPr id="18" name="直接连接符 18"/>
                <wp:cNvGraphicFramePr/>
                <a:graphic xmlns:a="http://schemas.openxmlformats.org/drawingml/2006/main">
                  <a:graphicData uri="http://schemas.microsoft.com/office/word/2010/wordprocessingShape">
                    <wps:wsp>
                      <wps:cNvCnPr/>
                      <wps:spPr>
                        <a:xfrm>
                          <a:off x="880745" y="1540510"/>
                          <a:ext cx="292735" cy="542163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65pt;margin-top:34.85pt;height:426.9pt;width:23.05pt;z-index:251719680;mso-width-relative:page;mso-height-relative:page;" filled="f" stroked="t" coordsize="21600,21600" o:gfxdata="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F5aG4doAAAAIAQAADwAAAAAAAAABACAAAAAiAAAAZHJzL2Rvd25yZXYu&#10;eG1sUEsBAhQAFAAAAAgAh07iQJkaiNL5AQAAxAMAAA4AAAAAAAAAAQAgAAAAKQEAAGRycy9lMm9E&#10;b2MueG1sUEsFBgAAAAAGAAYAWQEAAJQFAAAAAA==&#10;">
                <v:fill on="f" focussize="0,0"/>
                <v:stroke weight="1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535940</wp:posOffset>
                </wp:positionH>
                <wp:positionV relativeFrom="paragraph">
                  <wp:posOffset>4192270</wp:posOffset>
                </wp:positionV>
                <wp:extent cx="961390" cy="558165"/>
                <wp:effectExtent l="0" t="0" r="0" b="0"/>
                <wp:wrapNone/>
                <wp:docPr id="74" name="文本框 74"/>
                <wp:cNvGraphicFramePr/>
                <a:graphic xmlns:a="http://schemas.openxmlformats.org/drawingml/2006/main">
                  <a:graphicData uri="http://schemas.microsoft.com/office/word/2010/wordprocessingShape">
                    <wps:wsp>
                      <wps:cNvSpPr txBox="1"/>
                      <wps:spPr>
                        <a:xfrm rot="21360000">
                          <a:off x="2950845" y="4639945"/>
                          <a:ext cx="961390" cy="558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D9F4D1">
                            <w:pPr>
                              <w:rPr>
                                <w:rFonts w:hint="default" w:eastAsia="宋体"/>
                                <w:sz w:val="24"/>
                                <w:szCs w:val="32"/>
                                <w:lang w:val="en-US" w:eastAsia="zh-CN"/>
                              </w:rPr>
                            </w:pPr>
                            <w:r>
                              <w:rPr>
                                <w:rFonts w:hint="eastAsia"/>
                                <w:sz w:val="24"/>
                                <w:szCs w:val="32"/>
                                <w:lang w:val="en-US" w:eastAsia="zh-CN"/>
                              </w:rPr>
                              <w:t>本项目生产车间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2pt;margin-top:330.1pt;height:43.95pt;width:75.7pt;rotation:-262144f;z-index:251717632;mso-width-relative:page;mso-height-relative:page;" filled="f" stroked="f" coordsize="21600,21600" o:gfxdata="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oBGsfZAAAACgEA&#10;AA8AAAAAAAAAAQAgAAAAIgAAAGRycy9kb3ducmV2LnhtbFBLAQIUABQAAAAIAIdO4kCpEDF/UgIA&#10;AIIEAAAOAAAAAAAAAAEAIAAAACgBAABkcnMvZTJvRG9jLnhtbFBLBQYAAAAABgAGAFkBAADsBQAA&#10;AAA=&#10;">
                <v:fill on="f" focussize="0,0"/>
                <v:stroke on="f" weight="0.5pt"/>
                <v:imagedata o:title=""/>
                <o:lock v:ext="edit" aspectratio="f"/>
                <v:textbox>
                  <w:txbxContent>
                    <w:p w14:paraId="41D9F4D1">
                      <w:pPr>
                        <w:rPr>
                          <w:rFonts w:hint="default" w:eastAsia="宋体"/>
                          <w:sz w:val="24"/>
                          <w:szCs w:val="32"/>
                          <w:lang w:val="en-US" w:eastAsia="zh-CN"/>
                        </w:rPr>
                      </w:pPr>
                      <w:r>
                        <w:rPr>
                          <w:rFonts w:hint="eastAsia"/>
                          <w:sz w:val="24"/>
                          <w:szCs w:val="32"/>
                          <w:lang w:val="en-US" w:eastAsia="zh-CN"/>
                        </w:rPr>
                        <w:t>本项目生产车间</w:t>
                      </w:r>
                    </w:p>
                  </w:txbxContent>
                </v:textbox>
              </v:shape>
            </w:pict>
          </mc:Fallback>
        </mc:AlternateContent>
      </w:r>
      <w:r>
        <w:drawing>
          <wp:inline distT="0" distB="0" distL="114300" distR="114300">
            <wp:extent cx="6118225" cy="5879465"/>
            <wp:effectExtent l="0" t="0" r="15875" b="6985"/>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pic:cNvPicPr>
                      <a:picLocks noChangeAspect="1"/>
                    </pic:cNvPicPr>
                  </pic:nvPicPr>
                  <pic:blipFill>
                    <a:blip r:embed="rId47"/>
                    <a:stretch>
                      <a:fillRect/>
                    </a:stretch>
                  </pic:blipFill>
                  <pic:spPr>
                    <a:xfrm>
                      <a:off x="0" y="0"/>
                      <a:ext cx="6118225" cy="5879465"/>
                    </a:xfrm>
                    <a:prstGeom prst="rect">
                      <a:avLst/>
                    </a:prstGeom>
                    <a:noFill/>
                    <a:ln>
                      <a:noFill/>
                    </a:ln>
                  </pic:spPr>
                </pic:pic>
              </a:graphicData>
            </a:graphic>
          </wp:inline>
        </w:drawing>
      </w:r>
      <w:r>
        <w:rPr>
          <w:sz w:val="21"/>
        </w:rPr>
        <mc:AlternateContent>
          <mc:Choice Requires="wps">
            <w:drawing>
              <wp:anchor distT="0" distB="0" distL="114300" distR="114300" simplePos="0" relativeHeight="251692032" behindDoc="0" locked="0" layoutInCell="1" allowOverlap="1">
                <wp:simplePos x="0" y="0"/>
                <wp:positionH relativeFrom="column">
                  <wp:posOffset>1525270</wp:posOffset>
                </wp:positionH>
                <wp:positionV relativeFrom="paragraph">
                  <wp:posOffset>3109595</wp:posOffset>
                </wp:positionV>
                <wp:extent cx="137160" cy="2599055"/>
                <wp:effectExtent l="15875" t="15875" r="18415" b="33020"/>
                <wp:wrapNone/>
                <wp:docPr id="31" name="直接连接符 31"/>
                <wp:cNvGraphicFramePr/>
                <a:graphic xmlns:a="http://schemas.openxmlformats.org/drawingml/2006/main">
                  <a:graphicData uri="http://schemas.microsoft.com/office/word/2010/wordprocessingShape">
                    <wps:wsp>
                      <wps:cNvCnPr/>
                      <wps:spPr>
                        <a:xfrm>
                          <a:off x="0" y="0"/>
                          <a:ext cx="137160" cy="2599055"/>
                        </a:xfrm>
                        <a:prstGeom prst="line">
                          <a:avLst/>
                        </a:prstGeom>
                        <a:ln w="31750" cap="rnd">
                          <a:solidFill>
                            <a:schemeClr val="accent1"/>
                          </a:solidFill>
                          <a:roun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0.1pt;margin-top:244.85pt;height:204.65pt;width:10.8pt;z-index:251692032;mso-width-relative:page;mso-height-relative:page;" filled="f" stroked="t" coordsize="21600,21600" o:gfxdata="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JBkKe7ZAAAACwEAAA8AAAAAAAAAAQAgAAAAIgAA&#10;AGRycy9kb3ducmV2LnhtbFBLAQIUABQAAAAIAIdO4kDXHPKpzgEAAHwDAAAOAAAAAAAAAAEAIAAA&#10;ACgBAABkcnMvZTJvRG9jLnhtbFBLBQYAAAAABgAGAFkBAABoBQAAAAA=&#10;">
                <v:fill on="f" focussize="0,0"/>
                <v:stroke weight="2.5pt" color="#5B9BD5 [3204]" joinstyle="round" endcap="round"/>
                <v:imagedata o:title=""/>
                <o:lock v:ext="edit" aspectratio="f"/>
              </v:line>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353060</wp:posOffset>
                </wp:positionH>
                <wp:positionV relativeFrom="paragraph">
                  <wp:posOffset>3162300</wp:posOffset>
                </wp:positionV>
                <wp:extent cx="155575" cy="2646680"/>
                <wp:effectExtent l="6350" t="635" r="9525" b="635"/>
                <wp:wrapNone/>
                <wp:docPr id="29" name="直接连接符 29"/>
                <wp:cNvGraphicFramePr/>
                <a:graphic xmlns:a="http://schemas.openxmlformats.org/drawingml/2006/main">
                  <a:graphicData uri="http://schemas.microsoft.com/office/word/2010/wordprocessingShape">
                    <wps:wsp>
                      <wps:cNvCnPr/>
                      <wps:spPr>
                        <a:xfrm>
                          <a:off x="0" y="0"/>
                          <a:ext cx="155575" cy="2646680"/>
                        </a:xfrm>
                        <a:prstGeom prst="line">
                          <a:avLst/>
                        </a:prstGeom>
                        <a:ln w="31750" cap="rnd">
                          <a:solidFill>
                            <a:schemeClr val="accent1"/>
                          </a:solidFill>
                          <a:roun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7.8pt;margin-top:249pt;height:208.4pt;width:12.25pt;z-index:251691008;mso-width-relative:page;mso-height-relative:page;" filled="f" stroked="t" coordsize="21600,21600" o:gfxdata="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FTm4q1wAAAAkBAAAPAAAAAAAAAAEAIAAAACIA&#10;AABkcnMvZG93bnJldi54bWxQSwECFAAUAAAACACHTuJAOBZnFdEBAAB8AwAADgAAAAAAAAABACAA&#10;AAAmAQAAZHJzL2Uyb0RvYy54bWxQSwUGAAAAAAYABgBZAQAAaQUAAAAA&#10;">
                <v:fill on="f" focussize="0,0"/>
                <v:stroke weight="2.5pt" color="#5B9BD5 [3204]" joinstyle="round" endcap="round"/>
                <v:imagedata o:title=""/>
                <o:lock v:ext="edit" aspectratio="f"/>
              </v:lin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495935</wp:posOffset>
                </wp:positionH>
                <wp:positionV relativeFrom="paragraph">
                  <wp:posOffset>5726430</wp:posOffset>
                </wp:positionV>
                <wp:extent cx="1184910" cy="72390"/>
                <wp:effectExtent l="635" t="6350" r="14605" b="16510"/>
                <wp:wrapNone/>
                <wp:docPr id="28" name="直接连接符 28"/>
                <wp:cNvGraphicFramePr/>
                <a:graphic xmlns:a="http://schemas.openxmlformats.org/drawingml/2006/main">
                  <a:graphicData uri="http://schemas.microsoft.com/office/word/2010/wordprocessingShape">
                    <wps:wsp>
                      <wps:cNvCnPr/>
                      <wps:spPr>
                        <a:xfrm flipV="1">
                          <a:off x="0" y="0"/>
                          <a:ext cx="1184910" cy="72390"/>
                        </a:xfrm>
                        <a:prstGeom prst="line">
                          <a:avLst/>
                        </a:prstGeom>
                        <a:ln w="31750" cap="rnd">
                          <a:solidFill>
                            <a:schemeClr val="accent1"/>
                          </a:solidFill>
                          <a:roun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9.05pt;margin-top:450.9pt;height:5.7pt;width:93.3pt;z-index:251689984;mso-width-relative:page;mso-height-relative:page;" filled="f" stroked="t" coordsize="21600,21600" o:gfxdata="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8UrSr2AAAAAoBAAAPAAAAAAAAAAEA&#10;IAAAACIAAABkcnMvZG93bnJldi54bWxQSwECFAAUAAAACACHTuJADouJLtYBAACFAwAADgAAAAAA&#10;AAABACAAAAAnAQAAZHJzL2Uyb0RvYy54bWxQSwUGAAAAAAYABgBZAQAAbwUAAAAA&#10;">
                <v:fill on="f" focussize="0,0"/>
                <v:stroke weight="2.5pt" color="#5B9BD5 [3204]" joinstyle="round" endcap="round"/>
                <v:imagedata o:title=""/>
                <o:lock v:ext="edit" aspectratio="f"/>
              </v:lin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361950</wp:posOffset>
                </wp:positionH>
                <wp:positionV relativeFrom="paragraph">
                  <wp:posOffset>3082290</wp:posOffset>
                </wp:positionV>
                <wp:extent cx="1144905" cy="88900"/>
                <wp:effectExtent l="15875" t="15875" r="20320" b="28575"/>
                <wp:wrapNone/>
                <wp:docPr id="8" name="直接连接符 8"/>
                <wp:cNvGraphicFramePr/>
                <a:graphic xmlns:a="http://schemas.openxmlformats.org/drawingml/2006/main">
                  <a:graphicData uri="http://schemas.microsoft.com/office/word/2010/wordprocessingShape">
                    <wps:wsp>
                      <wps:cNvCnPr/>
                      <wps:spPr>
                        <a:xfrm flipV="1">
                          <a:off x="1100455" y="4244340"/>
                          <a:ext cx="1144905" cy="88900"/>
                        </a:xfrm>
                        <a:prstGeom prst="line">
                          <a:avLst/>
                        </a:prstGeom>
                        <a:ln w="31750" cap="rnd">
                          <a:solidFill>
                            <a:schemeClr val="accent1"/>
                          </a:solidFill>
                          <a:roun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8.5pt;margin-top:242.7pt;height:7pt;width:90.15pt;z-index:251688960;mso-width-relative:page;mso-height-relative:page;" filled="f" stroked="t" coordsize="21600,21600" o:gfxdata="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ivPPEdoAAAAK&#10;AQAADwAAAAAAAAABACAAAAAiAAAAZHJzL2Rvd25yZXYueG1sUEsBAhQAFAAAAAgAh07iQCyigmbh&#10;AQAAjwMAAA4AAAAAAAAAAQAgAAAAKQEAAGRycy9lMm9Eb2MueG1sUEsFBgAAAAAGAAYAWQEAAHwF&#10;AAAAAA==&#10;">
                <v:fill on="f" focussize="0,0"/>
                <v:stroke weight="2.5pt" color="#5B9BD5 [3204]" joinstyle="round" endcap="round"/>
                <v:imagedata o:title=""/>
                <o:lock v:ext="edit" aspectratio="f"/>
              </v:line>
            </w:pict>
          </mc:Fallback>
        </mc:AlternateContent>
      </w:r>
    </w:p>
    <w:p w14:paraId="50799CCB">
      <w:pPr>
        <w:jc w:val="center"/>
        <w:rPr>
          <w:rFonts w:hint="eastAsia" w:ascii="Times New Roman" w:hAnsi="Times New Roman" w:eastAsia="宋体" w:cs="Times New Roman"/>
          <w:color w:val="000000" w:themeColor="text1"/>
          <w:sz w:val="24"/>
          <w:lang w:eastAsia="zh-CN"/>
          <w14:textFill>
            <w14:solidFill>
              <w14:schemeClr w14:val="tx1"/>
            </w14:solidFill>
          </w14:textFill>
        </w:rPr>
        <w:sectPr>
          <w:pgSz w:w="11906" w:h="16838"/>
          <w:pgMar w:top="1417" w:right="1134" w:bottom="1417" w:left="1134" w:header="510" w:footer="794" w:gutter="0"/>
          <w:pgBorders>
            <w:top w:val="none" w:sz="0" w:space="0"/>
            <w:left w:val="none" w:sz="0" w:space="0"/>
            <w:bottom w:val="none" w:sz="0" w:space="0"/>
            <w:right w:val="none" w:sz="0" w:space="0"/>
          </w:pgBorders>
          <w:cols w:space="0" w:num="1"/>
          <w:rtlGutter w:val="0"/>
          <w:docGrid w:type="lines" w:linePitch="312" w:charSpace="0"/>
        </w:sectPr>
      </w:pPr>
    </w:p>
    <w:p w14:paraId="21EDF12A">
      <w:pPr>
        <w:jc w:val="both"/>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附图4车间设备布置图（1:115）</w:t>
      </w:r>
    </w:p>
    <w:p w14:paraId="4C2E22FE">
      <w:pPr>
        <w:jc w:val="center"/>
        <w:rPr>
          <w:rFonts w:hint="default" w:ascii="Times New Roman" w:hAnsi="Times New Roman" w:eastAsia="宋体" w:cs="Times New Roman"/>
          <w:color w:val="000000" w:themeColor="text1"/>
          <w:sz w:val="28"/>
          <w:szCs w:val="28"/>
          <w14:textFill>
            <w14:solidFill>
              <w14:schemeClr w14:val="tx1"/>
            </w14:solidFill>
          </w14:textFill>
        </w:rPr>
      </w:pPr>
      <w:r>
        <w:rPr>
          <w:sz w:val="21"/>
        </w:rPr>
        <mc:AlternateContent>
          <mc:Choice Requires="wps">
            <w:drawing>
              <wp:anchor distT="0" distB="0" distL="114300" distR="114300" simplePos="0" relativeHeight="251731968" behindDoc="0" locked="0" layoutInCell="1" allowOverlap="1">
                <wp:simplePos x="0" y="0"/>
                <wp:positionH relativeFrom="column">
                  <wp:posOffset>1343025</wp:posOffset>
                </wp:positionH>
                <wp:positionV relativeFrom="paragraph">
                  <wp:posOffset>7454900</wp:posOffset>
                </wp:positionV>
                <wp:extent cx="835660" cy="299720"/>
                <wp:effectExtent l="0" t="0" r="2540" b="5080"/>
                <wp:wrapNone/>
                <wp:docPr id="111" name="文本框 111"/>
                <wp:cNvGraphicFramePr/>
                <a:graphic xmlns:a="http://schemas.openxmlformats.org/drawingml/2006/main">
                  <a:graphicData uri="http://schemas.microsoft.com/office/word/2010/wordprocessingShape">
                    <wps:wsp>
                      <wps:cNvSpPr txBox="1"/>
                      <wps:spPr>
                        <a:xfrm>
                          <a:off x="2113280" y="8603615"/>
                          <a:ext cx="835660" cy="2997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4F007FF">
                            <w:pPr>
                              <w:rPr>
                                <w:rFonts w:hint="default" w:eastAsia="宋体"/>
                                <w:sz w:val="20"/>
                                <w:szCs w:val="22"/>
                                <w:lang w:val="en-US" w:eastAsia="zh-CN"/>
                              </w:rPr>
                            </w:pPr>
                            <w:r>
                              <w:rPr>
                                <w:rFonts w:hint="eastAsia"/>
                                <w:sz w:val="20"/>
                                <w:szCs w:val="22"/>
                                <w:lang w:val="en-US" w:eastAsia="zh-CN"/>
                              </w:rPr>
                              <w:t>自动包装机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5.75pt;margin-top:587pt;height:23.6pt;width:65.8pt;z-index:251731968;mso-width-relative:page;mso-height-relative:page;" fillcolor="#FFFFFF [3201]" filled="t" stroked="f" coordsize="21600,21600" o:gfxdata="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CLG&#10;XgvWAAAADQEAAA8AAAAAAAAAAQAgAAAAIgAAAGRycy9kb3ducmV2LnhtbFBLAQIUABQAAAAIAIdO&#10;4kCkN1nyXgIAAJ4EAAAOAAAAAAAAAAEAIAAAACUBAABkcnMvZTJvRG9jLnhtbFBLBQYAAAAABgAG&#10;AFkBAAD1BQAAAAA=&#10;">
                <v:fill on="t" focussize="0,0"/>
                <v:stroke on="f" weight="0.5pt"/>
                <v:imagedata o:title=""/>
                <o:lock v:ext="edit" aspectratio="f"/>
                <v:textbox>
                  <w:txbxContent>
                    <w:p w14:paraId="64F007FF">
                      <w:pPr>
                        <w:rPr>
                          <w:rFonts w:hint="default" w:eastAsia="宋体"/>
                          <w:sz w:val="20"/>
                          <w:szCs w:val="22"/>
                          <w:lang w:val="en-US" w:eastAsia="zh-CN"/>
                        </w:rPr>
                      </w:pPr>
                      <w:r>
                        <w:rPr>
                          <w:rFonts w:hint="eastAsia"/>
                          <w:sz w:val="20"/>
                          <w:szCs w:val="22"/>
                          <w:lang w:val="en-US" w:eastAsia="zh-CN"/>
                        </w:rPr>
                        <w:t>自动包装机</w:t>
                      </w:r>
                    </w:p>
                  </w:txbxContent>
                </v:textbox>
              </v:shape>
            </w:pict>
          </mc:Fallback>
        </mc:AlternateContent>
      </w:r>
      <w:r>
        <w:drawing>
          <wp:inline distT="0" distB="0" distL="114300" distR="114300">
            <wp:extent cx="4792980" cy="8639810"/>
            <wp:effectExtent l="0" t="0" r="7620" b="8890"/>
            <wp:docPr id="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
                    <pic:cNvPicPr>
                      <a:picLocks noChangeAspect="1"/>
                    </pic:cNvPicPr>
                  </pic:nvPicPr>
                  <pic:blipFill>
                    <a:blip r:embed="rId48"/>
                    <a:stretch>
                      <a:fillRect/>
                    </a:stretch>
                  </pic:blipFill>
                  <pic:spPr>
                    <a:xfrm>
                      <a:off x="0" y="0"/>
                      <a:ext cx="4792980" cy="8639810"/>
                    </a:xfrm>
                    <a:prstGeom prst="rect">
                      <a:avLst/>
                    </a:prstGeom>
                    <a:noFill/>
                    <a:ln>
                      <a:noFill/>
                    </a:ln>
                  </pic:spPr>
                </pic:pic>
              </a:graphicData>
            </a:graphic>
          </wp:inline>
        </w:drawing>
      </w:r>
      <w:r>
        <w:rPr>
          <w:sz w:val="21"/>
        </w:rPr>
        <mc:AlternateContent>
          <mc:Choice Requires="wps">
            <w:drawing>
              <wp:anchor distT="0" distB="0" distL="114300" distR="114300" simplePos="0" relativeHeight="251730944" behindDoc="0" locked="0" layoutInCell="1" allowOverlap="1">
                <wp:simplePos x="0" y="0"/>
                <wp:positionH relativeFrom="column">
                  <wp:posOffset>1050925</wp:posOffset>
                </wp:positionH>
                <wp:positionV relativeFrom="paragraph">
                  <wp:posOffset>7454265</wp:posOffset>
                </wp:positionV>
                <wp:extent cx="258445" cy="243840"/>
                <wp:effectExtent l="4445" t="4445" r="22860" b="18415"/>
                <wp:wrapNone/>
                <wp:docPr id="108" name="矩形 108"/>
                <wp:cNvGraphicFramePr/>
                <a:graphic xmlns:a="http://schemas.openxmlformats.org/drawingml/2006/main">
                  <a:graphicData uri="http://schemas.microsoft.com/office/word/2010/wordprocessingShape">
                    <wps:wsp>
                      <wps:cNvSpPr/>
                      <wps:spPr>
                        <a:xfrm>
                          <a:off x="1720850" y="8636635"/>
                          <a:ext cx="258445" cy="243840"/>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2.75pt;margin-top:586.95pt;height:19.2pt;width:20.35pt;z-index:251730944;v-text-anchor:middle;mso-width-relative:page;mso-height-relative:page;" filled="f" stroked="t" coordsize="21600,21600" o:gfxdata="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Q1SBl9oAAAANAQAADwAAAAAAAAABACAAAAAiAAAAZHJz&#10;L2Rvd25yZXYueG1sUEsBAhQAFAAAAAgAh07iQElX/6R0AgAA2QQAAA4AAAAAAAAAAQAgAAAAKQEA&#10;AGRycy9lMm9Eb2MueG1sUEsFBgAAAAAGAAYAWQEAAA8GAAAAAA==&#10;">
                <v:fill on="f" focussize="0,0"/>
                <v:stroke color="#000000 [3213]" miterlimit="8" joinstyle="miter"/>
                <v:imagedata o:title=""/>
                <o:lock v:ext="edit" aspectratio="f"/>
              </v:rect>
            </w:pict>
          </mc:Fallback>
        </mc:AlternateContent>
      </w:r>
    </w:p>
    <w:p w14:paraId="60154CFC">
      <w:pPr>
        <w:jc w:val="center"/>
        <w:rPr>
          <w:rFonts w:hint="default" w:ascii="Times New Roman" w:hAnsi="Times New Roman" w:eastAsia="宋体" w:cs="Times New Roman"/>
          <w:color w:val="000000" w:themeColor="text1"/>
          <w:sz w:val="28"/>
          <w:szCs w:val="28"/>
          <w14:textFill>
            <w14:solidFill>
              <w14:schemeClr w14:val="tx1"/>
            </w14:solidFill>
          </w14:textFill>
        </w:rPr>
        <w:sectPr>
          <w:pgSz w:w="11906" w:h="16838"/>
          <w:pgMar w:top="1417" w:right="1134" w:bottom="1417" w:left="1134" w:header="510" w:footer="794" w:gutter="0"/>
          <w:pgBorders>
            <w:top w:val="none" w:sz="0" w:space="0"/>
            <w:left w:val="none" w:sz="0" w:space="0"/>
            <w:bottom w:val="none" w:sz="0" w:space="0"/>
            <w:right w:val="none" w:sz="0" w:space="0"/>
          </w:pgBorders>
          <w:cols w:space="0" w:num="1"/>
          <w:rtlGutter w:val="0"/>
          <w:docGrid w:type="lines" w:linePitch="312" w:charSpace="0"/>
        </w:sectPr>
      </w:pPr>
    </w:p>
    <w:p w14:paraId="17079051">
      <w:pPr>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4012565</wp:posOffset>
                </wp:positionH>
                <wp:positionV relativeFrom="paragraph">
                  <wp:posOffset>3618230</wp:posOffset>
                </wp:positionV>
                <wp:extent cx="770255" cy="304800"/>
                <wp:effectExtent l="501015" t="467995" r="24130" b="8255"/>
                <wp:wrapNone/>
                <wp:docPr id="81" name="圆角矩形标注 81"/>
                <wp:cNvGraphicFramePr/>
                <a:graphic xmlns:a="http://schemas.openxmlformats.org/drawingml/2006/main">
                  <a:graphicData uri="http://schemas.microsoft.com/office/word/2010/wordprocessingShape">
                    <wps:wsp>
                      <wps:cNvSpPr/>
                      <wps:spPr>
                        <a:xfrm>
                          <a:off x="0" y="0"/>
                          <a:ext cx="770255" cy="304800"/>
                        </a:xfrm>
                        <a:prstGeom prst="wedgeRoundRectCallout">
                          <a:avLst>
                            <a:gd name="adj1" fmla="val -109274"/>
                            <a:gd name="adj2" fmla="val -193541"/>
                            <a:gd name="adj3" fmla="val 16667"/>
                          </a:avLst>
                        </a:prstGeom>
                        <a:solidFill>
                          <a:srgbClr val="FFFFFF"/>
                        </a:solidFill>
                        <a:ln w="12700" cap="flat" cmpd="sng">
                          <a:solidFill>
                            <a:srgbClr val="000000"/>
                          </a:solidFill>
                          <a:prstDash val="solid"/>
                          <a:miter/>
                          <a:headEnd type="none" w="med" len="med"/>
                          <a:tailEnd type="none" w="med" len="med"/>
                        </a:ln>
                      </wps:spPr>
                      <wps:txbx>
                        <w:txbxContent>
                          <w:p w14:paraId="6DD557C5">
                            <w:pPr>
                              <w:snapToGrid w:val="0"/>
                              <w:rPr>
                                <w:rFonts w:ascii="宋体" w:hAnsi="宋体" w:cs="宋体"/>
                                <w:color w:val="000000"/>
                                <w:szCs w:val="21"/>
                              </w:rPr>
                            </w:pPr>
                            <w:r>
                              <w:rPr>
                                <w:rFonts w:hint="eastAsia" w:ascii="宋体" w:hAnsi="宋体" w:cs="宋体"/>
                                <w:color w:val="000000"/>
                                <w:szCs w:val="21"/>
                              </w:rPr>
                              <w:t>项目位置</w:t>
                            </w:r>
                          </w:p>
                        </w:txbxContent>
                      </wps:txbx>
                      <wps:bodyPr anchor="ctr" anchorCtr="0" upright="1"/>
                    </wps:wsp>
                  </a:graphicData>
                </a:graphic>
              </wp:anchor>
            </w:drawing>
          </mc:Choice>
          <mc:Fallback>
            <w:pict>
              <v:shape id="_x0000_s1026" o:spid="_x0000_s1026" o:spt="62" type="#_x0000_t62" style="position:absolute;left:0pt;margin-left:315.95pt;margin-top:284.9pt;height:24pt;width:60.65pt;z-index:251669504;v-text-anchor:middle;mso-width-relative:page;mso-height-relative:page;" fillcolor="#FFFFFF" filled="t" stroked="t" coordsize="21600,21600" o:gfxdata="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HfzFDzbAAAACwEAAA8AAAAAAAAAAQAgAAAAIgAAAGRycy9kb3ducmV2LnhtbFBLAQIU&#10;ABQAAAAIAIdO4kD7AHN8YgIAANwEAAAOAAAAAAAAAAEAIAAAACoBAABkcnMvZTJvRG9jLnhtbFBL&#10;BQYAAAAABgAGAFkBAAD+BQAAAAA=&#10;" adj="-12803,-31005,14400">
                <v:fill on="t" focussize="0,0"/>
                <v:stroke weight="1pt" color="#000000" joinstyle="miter"/>
                <v:imagedata o:title=""/>
                <o:lock v:ext="edit" aspectratio="f"/>
                <v:textbox>
                  <w:txbxContent>
                    <w:p w14:paraId="6DD557C5">
                      <w:pPr>
                        <w:snapToGrid w:val="0"/>
                        <w:rPr>
                          <w:rFonts w:ascii="宋体" w:hAnsi="宋体" w:cs="宋体"/>
                          <w:color w:val="000000"/>
                          <w:szCs w:val="21"/>
                        </w:rPr>
                      </w:pPr>
                      <w:r>
                        <w:rPr>
                          <w:rFonts w:hint="eastAsia" w:ascii="宋体" w:hAnsi="宋体" w:cs="宋体"/>
                          <w:color w:val="000000"/>
                          <w:szCs w:val="21"/>
                        </w:rPr>
                        <w:t>项目位置</w:t>
                      </w:r>
                    </w:p>
                  </w:txbxContent>
                </v:textbox>
              </v:shape>
            </w:pict>
          </mc:Fallback>
        </mc:AlternateContent>
      </w: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3472815</wp:posOffset>
                </wp:positionH>
                <wp:positionV relativeFrom="paragraph">
                  <wp:posOffset>3106420</wp:posOffset>
                </wp:positionV>
                <wp:extent cx="100965" cy="88900"/>
                <wp:effectExtent l="20955" t="19050" r="30480" b="25400"/>
                <wp:wrapNone/>
                <wp:docPr id="82" name="五角星 82"/>
                <wp:cNvGraphicFramePr/>
                <a:graphic xmlns:a="http://schemas.openxmlformats.org/drawingml/2006/main">
                  <a:graphicData uri="http://schemas.microsoft.com/office/word/2010/wordprocessingShape">
                    <wps:wsp>
                      <wps:cNvSpPr/>
                      <wps:spPr>
                        <a:xfrm>
                          <a:off x="0" y="0"/>
                          <a:ext cx="100965" cy="88900"/>
                        </a:xfrm>
                        <a:prstGeom prst="star5">
                          <a:avLst/>
                        </a:prstGeom>
                        <a:noFill/>
                        <a:ln w="12700" cap="flat" cmpd="sng">
                          <a:solidFill>
                            <a:srgbClr val="0000FF"/>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73.45pt;margin-top:244.6pt;height:7pt;width:7.95pt;z-index:251668480;mso-width-relative:page;mso-height-relative:page;" filled="f" stroked="t" coordsize="100965,88900" o:gfxdata="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0P78g2QAAAAsBAAAPAAAAAAAAAAEAIAAAACIAAABkcnMvZG93&#10;bnJldi54bWxQSwECFAAUAAAACACHTuJADEIgzP8BAAD6AwAADgAAAAAAAAABACAAAAAoAQAAZHJz&#10;L2Uyb0RvYy54bWxQSwUGAAAAAAYABgBZAQAAmQUAAAAA&#10;" path="m0,33956l38565,33956,50482,0,62399,33956,100964,33956,69764,54942,81682,88899,50482,67913,19282,88899,31200,54942xe">
                <v:path o:connectlocs="50482,0;0,33956;19282,88899;81682,88899;100964,33956" o:connectangles="247,164,82,82,0"/>
                <v:fill on="f" focussize="0,0"/>
                <v:stroke weight="1pt" color="#0000FF" joinstyle="miter"/>
                <v:imagedata o:title=""/>
                <o:lock v:ext="edit" aspectratio="f"/>
              </v:shape>
            </w:pict>
          </mc:Fallback>
        </mc:AlternateContent>
      </w:r>
      <w:r>
        <w:rPr>
          <w:rFonts w:hint="default" w:ascii="Times New Roman" w:hAnsi="Times New Roman" w:eastAsia="宋体" w:cs="Times New Roman"/>
          <w:color w:val="000000" w:themeColor="text1"/>
          <w:sz w:val="44"/>
          <w:szCs w:val="44"/>
          <w14:textFill>
            <w14:solidFill>
              <w14:schemeClr w14:val="tx1"/>
            </w14:solidFill>
          </w14:textFill>
        </w:rPr>
        <w:drawing>
          <wp:inline distT="0" distB="0" distL="114300" distR="114300">
            <wp:extent cx="5752465" cy="7867015"/>
            <wp:effectExtent l="0" t="0" r="635" b="635"/>
            <wp:docPr id="83" name="图片 6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5" descr="图片1"/>
                    <pic:cNvPicPr>
                      <a:picLocks noChangeAspect="1"/>
                    </pic:cNvPicPr>
                  </pic:nvPicPr>
                  <pic:blipFill>
                    <a:blip r:embed="rId49"/>
                    <a:stretch>
                      <a:fillRect/>
                    </a:stretch>
                  </pic:blipFill>
                  <pic:spPr>
                    <a:xfrm>
                      <a:off x="0" y="0"/>
                      <a:ext cx="5752465" cy="7867015"/>
                    </a:xfrm>
                    <a:prstGeom prst="rect">
                      <a:avLst/>
                    </a:prstGeom>
                    <a:noFill/>
                    <a:ln>
                      <a:noFill/>
                    </a:ln>
                  </pic:spPr>
                </pic:pic>
              </a:graphicData>
            </a:graphic>
          </wp:inline>
        </w:drawing>
      </w:r>
    </w:p>
    <w:p w14:paraId="5F65A111">
      <w:pPr>
        <w:jc w:val="center"/>
        <w:rPr>
          <w:rFonts w:hint="default" w:ascii="Times New Roman" w:hAnsi="Times New Roman" w:eastAsia="宋体" w:cs="Times New Roman"/>
          <w:b/>
          <w:bCs/>
          <w:color w:val="000000" w:themeColor="text1"/>
          <w:sz w:val="24"/>
          <w:szCs w:val="28"/>
          <w14:textFill>
            <w14:solidFill>
              <w14:schemeClr w14:val="tx1"/>
            </w14:solidFill>
          </w14:textFill>
        </w:rPr>
      </w:pPr>
      <w:r>
        <w:rPr>
          <w:rFonts w:hint="default" w:ascii="Times New Roman" w:hAnsi="Times New Roman" w:eastAsia="宋体" w:cs="Times New Roman"/>
          <w:b/>
          <w:bCs/>
          <w:color w:val="000000" w:themeColor="text1"/>
          <w:sz w:val="24"/>
          <w:szCs w:val="28"/>
          <w14:textFill>
            <w14:solidFill>
              <w14:schemeClr w14:val="tx1"/>
            </w14:solidFill>
          </w14:textFill>
        </w:rPr>
        <w:t>附图</w:t>
      </w:r>
      <w:r>
        <w:rPr>
          <w:rFonts w:hint="eastAsia" w:cs="Times New Roman"/>
          <w:b/>
          <w:bCs/>
          <w:color w:val="000000" w:themeColor="text1"/>
          <w:sz w:val="24"/>
          <w:szCs w:val="28"/>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szCs w:val="28"/>
          <w14:textFill>
            <w14:solidFill>
              <w14:schemeClr w14:val="tx1"/>
            </w14:solidFill>
          </w14:textFill>
        </w:rPr>
        <w:t>淄博市环境管控单元图</w:t>
      </w:r>
      <w:r>
        <w:rPr>
          <w:rFonts w:hint="default"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4003675</wp:posOffset>
                </wp:positionH>
                <wp:positionV relativeFrom="paragraph">
                  <wp:posOffset>4602480</wp:posOffset>
                </wp:positionV>
                <wp:extent cx="824230" cy="304800"/>
                <wp:effectExtent l="400050" t="6350" r="13970" b="488950"/>
                <wp:wrapNone/>
                <wp:docPr id="84" name="圆角矩形标注 84"/>
                <wp:cNvGraphicFramePr/>
                <a:graphic xmlns:a="http://schemas.openxmlformats.org/drawingml/2006/main">
                  <a:graphicData uri="http://schemas.microsoft.com/office/word/2010/wordprocessingShape">
                    <wps:wsp>
                      <wps:cNvSpPr/>
                      <wps:spPr>
                        <a:xfrm>
                          <a:off x="0" y="0"/>
                          <a:ext cx="824230" cy="304800"/>
                        </a:xfrm>
                        <a:prstGeom prst="wedgeRoundRectCallout">
                          <a:avLst>
                            <a:gd name="adj1" fmla="val -93449"/>
                            <a:gd name="adj2" fmla="val 197292"/>
                            <a:gd name="adj3" fmla="val 16667"/>
                          </a:avLst>
                        </a:prstGeom>
                        <a:solidFill>
                          <a:srgbClr val="FFFFFF"/>
                        </a:solidFill>
                        <a:ln w="12700" cap="flat" cmpd="sng">
                          <a:solidFill>
                            <a:srgbClr val="000000"/>
                          </a:solidFill>
                          <a:prstDash val="solid"/>
                          <a:miter/>
                          <a:headEnd type="none" w="med" len="med"/>
                          <a:tailEnd type="none" w="med" len="med"/>
                        </a:ln>
                      </wps:spPr>
                      <wps:txbx>
                        <w:txbxContent>
                          <w:p w14:paraId="010F1273">
                            <w:pPr>
                              <w:snapToGrid w:val="0"/>
                              <w:rPr>
                                <w:rFonts w:ascii="宋体" w:hAnsi="宋体" w:cs="宋体"/>
                                <w:color w:val="000000"/>
                                <w:szCs w:val="21"/>
                              </w:rPr>
                            </w:pPr>
                            <w:r>
                              <w:rPr>
                                <w:rFonts w:hint="eastAsia" w:ascii="宋体" w:hAnsi="宋体" w:cs="宋体"/>
                                <w:color w:val="000000"/>
                                <w:szCs w:val="21"/>
                              </w:rPr>
                              <w:t>项目位置</w:t>
                            </w:r>
                          </w:p>
                        </w:txbxContent>
                      </wps:txbx>
                      <wps:bodyPr anchor="ctr" anchorCtr="0" upright="1"/>
                    </wps:wsp>
                  </a:graphicData>
                </a:graphic>
              </wp:anchor>
            </w:drawing>
          </mc:Choice>
          <mc:Fallback>
            <w:pict>
              <v:shape id="_x0000_s1026" o:spid="_x0000_s1026" o:spt="62" type="#_x0000_t62" style="position:absolute;left:0pt;margin-left:315.25pt;margin-top:362.4pt;height:24pt;width:64.9pt;z-index:251671552;v-text-anchor:middle;mso-width-relative:page;mso-height-relative:page;" fillcolor="#FFFFFF" filled="t" stroked="t" coordsize="21600,21600" o:gfxdata="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OsHXvdwAAAALAQAADwAAAAAAAAABACAAAAAiAAAAZHJzL2Rvd25yZXYueG1sUEsBAhQA&#10;FAAAAAgAh07iQO6i2d5gAgAA2gQAAA4AAAAAAAAAAQAgAAAAKwEAAGRycy9lMm9Eb2MueG1sUEsF&#10;BgAAAAAGAAYAWQEAAP0FAAAAAA==&#10;" adj="-9385,53415,14400">
                <v:fill on="t" focussize="0,0"/>
                <v:stroke weight="1pt" color="#000000" joinstyle="miter"/>
                <v:imagedata o:title=""/>
                <o:lock v:ext="edit" aspectratio="f"/>
                <v:textbox>
                  <w:txbxContent>
                    <w:p w14:paraId="010F1273">
                      <w:pPr>
                        <w:snapToGrid w:val="0"/>
                        <w:rPr>
                          <w:rFonts w:ascii="宋体" w:hAnsi="宋体" w:cs="宋体"/>
                          <w:color w:val="000000"/>
                          <w:szCs w:val="21"/>
                        </w:rPr>
                      </w:pPr>
                      <w:r>
                        <w:rPr>
                          <w:rFonts w:hint="eastAsia" w:ascii="宋体" w:hAnsi="宋体" w:cs="宋体"/>
                          <w:color w:val="000000"/>
                          <w:szCs w:val="21"/>
                        </w:rPr>
                        <w:t>项目位置</w:t>
                      </w:r>
                    </w:p>
                  </w:txbxContent>
                </v:textbox>
              </v:shape>
            </w:pict>
          </mc:Fallback>
        </mc:AlternateContent>
      </w: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3533140</wp:posOffset>
                </wp:positionH>
                <wp:positionV relativeFrom="paragraph">
                  <wp:posOffset>5309870</wp:posOffset>
                </wp:positionV>
                <wp:extent cx="137160" cy="116205"/>
                <wp:effectExtent l="15875" t="13970" r="18415" b="22225"/>
                <wp:wrapNone/>
                <wp:docPr id="85" name="五角星 85"/>
                <wp:cNvGraphicFramePr/>
                <a:graphic xmlns:a="http://schemas.openxmlformats.org/drawingml/2006/main">
                  <a:graphicData uri="http://schemas.microsoft.com/office/word/2010/wordprocessingShape">
                    <wps:wsp>
                      <wps:cNvSpPr/>
                      <wps:spPr>
                        <a:xfrm>
                          <a:off x="0" y="0"/>
                          <a:ext cx="137160" cy="116205"/>
                        </a:xfrm>
                        <a:prstGeom prst="star5">
                          <a:avLst/>
                        </a:prstGeom>
                        <a:solidFill>
                          <a:srgbClr val="00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78.2pt;margin-top:418.1pt;height:9.15pt;width:10.8pt;z-index:251670528;mso-width-relative:page;mso-height-relative:page;" fillcolor="#000000" filled="t" stroked="t" coordsize="137160,116205" o:gfxdata="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SDuUk3QAAAAsBAAAPAAAAAAAAAAEAIAAAACIAAABkcnMv&#10;ZG93bnJldi54bWxQSwECFAAUAAAACACHTuJAb9jJpf4BAAAjBAAADgAAAAAAAAABACAAAAAsAQAA&#10;ZHJzL2Uyb0RvYy54bWxQSwUGAAAAAAYABgBZAQAAnAUAAAAA&#10;" path="m0,44386l52390,44386,68580,0,84769,44386,137159,44386,94774,71818,110964,116204,68580,88772,26195,116204,42385,71818xe">
                <v:path o:connectlocs="68580,0;0,44386;26195,116204;110964,116204;137159,44386" o:connectangles="247,164,82,82,0"/>
                <v:fill on="t" focussize="0,0"/>
                <v:stroke color="#000000" joinstyle="miter"/>
                <v:imagedata o:title=""/>
                <o:lock v:ext="edit" aspectratio="f"/>
              </v:shape>
            </w:pict>
          </mc:Fallback>
        </mc:AlternateContent>
      </w:r>
    </w:p>
    <w:p w14:paraId="5EF8C558">
      <w:pPr>
        <w:pStyle w:val="37"/>
        <w:ind w:left="0" w:leftChars="0" w:firstLine="0" w:firstLineChars="0"/>
        <w:jc w:val="center"/>
        <w:rPr>
          <w:rFonts w:hint="default" w:ascii="Times New Roman" w:hAnsi="Times New Roman" w:eastAsia="宋体" w:cs="Times New Roman"/>
          <w:b/>
          <w:bCs/>
          <w:color w:val="000000" w:themeColor="text1"/>
          <w:sz w:val="24"/>
          <w14:textFill>
            <w14:solidFill>
              <w14:schemeClr w14:val="tx1"/>
            </w14:solidFill>
          </w14:textFill>
        </w:rPr>
        <w:sectPr>
          <w:pgSz w:w="11906" w:h="16838"/>
          <w:pgMar w:top="1440" w:right="1440" w:bottom="1440" w:left="1440" w:header="510" w:footer="794" w:gutter="0"/>
          <w:pgBorders>
            <w:top w:val="none" w:sz="0" w:space="0"/>
            <w:left w:val="none" w:sz="0" w:space="0"/>
            <w:bottom w:val="none" w:sz="0" w:space="0"/>
            <w:right w:val="none" w:sz="0" w:space="0"/>
          </w:pgBorders>
          <w:cols w:space="0" w:num="1"/>
          <w:docGrid w:type="lines" w:linePitch="312" w:charSpace="0"/>
        </w:sectPr>
      </w:pPr>
    </w:p>
    <w:p w14:paraId="11302751">
      <w:pPr>
        <w:jc w:val="center"/>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5583555</wp:posOffset>
                </wp:positionH>
                <wp:positionV relativeFrom="paragraph">
                  <wp:posOffset>3201035</wp:posOffset>
                </wp:positionV>
                <wp:extent cx="100965" cy="88900"/>
                <wp:effectExtent l="20955" t="19050" r="30480" b="25400"/>
                <wp:wrapNone/>
                <wp:docPr id="87" name="五角星 87"/>
                <wp:cNvGraphicFramePr/>
                <a:graphic xmlns:a="http://schemas.openxmlformats.org/drawingml/2006/main">
                  <a:graphicData uri="http://schemas.microsoft.com/office/word/2010/wordprocessingShape">
                    <wps:wsp>
                      <wps:cNvSpPr/>
                      <wps:spPr>
                        <a:xfrm>
                          <a:off x="0" y="0"/>
                          <a:ext cx="100965" cy="88900"/>
                        </a:xfrm>
                        <a:prstGeom prst="star5">
                          <a:avLst/>
                        </a:prstGeom>
                        <a:noFill/>
                        <a:ln w="12700" cap="flat" cmpd="sng">
                          <a:solidFill>
                            <a:srgbClr val="0000FF"/>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439.65pt;margin-top:252.05pt;height:7pt;width:7.95pt;z-index:251672576;mso-width-relative:page;mso-height-relative:page;" filled="f" stroked="t" coordsize="100965,88900" o:gfxdata="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aUfAJ9kAAAALAQAADwAAAAAAAAABACAAAAAiAAAAZHJzL2Rv&#10;d25yZXYueG1sUEsBAhQAFAAAAAgAh07iQJgxBq0AAgAA+gMAAA4AAAAAAAAAAQAgAAAAKAEAAGRy&#10;cy9lMm9Eb2MueG1sUEsFBgAAAAAGAAYAWQEAAJoFAAAAAA==&#10;" path="m0,33956l38565,33956,50482,0,62399,33956,100964,33956,69764,54942,81682,88899,50482,67913,19282,88899,31200,54942xe">
                <v:path o:connectlocs="50482,0;0,33956;19282,88899;81682,88899;100964,33956" o:connectangles="247,164,82,82,0"/>
                <v:fill on="f" focussize="0,0"/>
                <v:stroke weight="1pt" color="#0000FF" joinstyle="miter"/>
                <v:imagedata o:title=""/>
                <o:lock v:ext="edit" aspectratio="f"/>
              </v:shape>
            </w:pict>
          </mc:Fallback>
        </mc:AlternateContent>
      </w:r>
      <w:r>
        <w:rPr>
          <w:rFonts w:hint="default"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6139180</wp:posOffset>
                </wp:positionH>
                <wp:positionV relativeFrom="paragraph">
                  <wp:posOffset>3738880</wp:posOffset>
                </wp:positionV>
                <wp:extent cx="770255" cy="304800"/>
                <wp:effectExtent l="501015" t="467995" r="24130" b="8255"/>
                <wp:wrapNone/>
                <wp:docPr id="86" name="圆角矩形标注 86"/>
                <wp:cNvGraphicFramePr/>
                <a:graphic xmlns:a="http://schemas.openxmlformats.org/drawingml/2006/main">
                  <a:graphicData uri="http://schemas.microsoft.com/office/word/2010/wordprocessingShape">
                    <wps:wsp>
                      <wps:cNvSpPr/>
                      <wps:spPr>
                        <a:xfrm>
                          <a:off x="0" y="0"/>
                          <a:ext cx="770255" cy="304800"/>
                        </a:xfrm>
                        <a:prstGeom prst="wedgeRoundRectCallout">
                          <a:avLst>
                            <a:gd name="adj1" fmla="val -109274"/>
                            <a:gd name="adj2" fmla="val -193541"/>
                            <a:gd name="adj3" fmla="val 16667"/>
                          </a:avLst>
                        </a:prstGeom>
                        <a:solidFill>
                          <a:srgbClr val="FFFFFF"/>
                        </a:solidFill>
                        <a:ln w="12700" cap="flat" cmpd="sng">
                          <a:solidFill>
                            <a:srgbClr val="000000"/>
                          </a:solidFill>
                          <a:prstDash val="solid"/>
                          <a:miter/>
                          <a:headEnd type="none" w="med" len="med"/>
                          <a:tailEnd type="none" w="med" len="med"/>
                        </a:ln>
                      </wps:spPr>
                      <wps:txbx>
                        <w:txbxContent>
                          <w:p w14:paraId="41AAD33B">
                            <w:pPr>
                              <w:snapToGrid w:val="0"/>
                              <w:rPr>
                                <w:rFonts w:ascii="宋体" w:hAnsi="宋体" w:cs="宋体"/>
                                <w:color w:val="000000"/>
                                <w:szCs w:val="21"/>
                              </w:rPr>
                            </w:pPr>
                            <w:r>
                              <w:rPr>
                                <w:rFonts w:hint="eastAsia" w:ascii="宋体" w:hAnsi="宋体" w:cs="宋体"/>
                                <w:color w:val="000000"/>
                                <w:szCs w:val="21"/>
                              </w:rPr>
                              <w:t>项目位置</w:t>
                            </w:r>
                          </w:p>
                        </w:txbxContent>
                      </wps:txbx>
                      <wps:bodyPr anchor="ctr" anchorCtr="0" upright="1"/>
                    </wps:wsp>
                  </a:graphicData>
                </a:graphic>
              </wp:anchor>
            </w:drawing>
          </mc:Choice>
          <mc:Fallback>
            <w:pict>
              <v:shape id="_x0000_s1026" o:spid="_x0000_s1026" o:spt="62" type="#_x0000_t62" style="position:absolute;left:0pt;margin-left:483.4pt;margin-top:294.4pt;height:24pt;width:60.65pt;z-index:251673600;v-text-anchor:middle;mso-width-relative:page;mso-height-relative:page;" fillcolor="#FFFFFF" filled="t" stroked="t" coordsize="21600,21600" o:gfxdata="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EVu/n2wAAAAwBAAAPAAAAAAAAAAEAIAAAACIAAABkcnMvZG93bnJldi54bWxQSwECFAAU&#10;AAAACACHTuJAGCeg0mACAADcBAAADgAAAAAAAAABACAAAAAqAQAAZHJzL2Uyb0RvYy54bWxQSwUG&#10;AAAAAAYABgBZAQAA/AUAAAAA&#10;" adj="-12803,-31005,14400">
                <v:fill on="t" focussize="0,0"/>
                <v:stroke weight="1pt" color="#000000" joinstyle="miter"/>
                <v:imagedata o:title=""/>
                <o:lock v:ext="edit" aspectratio="f"/>
                <v:textbox>
                  <w:txbxContent>
                    <w:p w14:paraId="41AAD33B">
                      <w:pPr>
                        <w:snapToGrid w:val="0"/>
                        <w:rPr>
                          <w:rFonts w:ascii="宋体" w:hAnsi="宋体" w:cs="宋体"/>
                          <w:color w:val="000000"/>
                          <w:szCs w:val="21"/>
                        </w:rPr>
                      </w:pPr>
                      <w:r>
                        <w:rPr>
                          <w:rFonts w:hint="eastAsia" w:ascii="宋体" w:hAnsi="宋体" w:cs="宋体"/>
                          <w:color w:val="000000"/>
                          <w:szCs w:val="21"/>
                        </w:rPr>
                        <w:t>项目位置</w:t>
                      </w:r>
                    </w:p>
                  </w:txbxContent>
                </v:textbox>
              </v:shape>
            </w:pict>
          </mc:Fallback>
        </mc:AlternateContent>
      </w:r>
      <w:r>
        <w:rPr>
          <w:sz w:val="24"/>
        </w:rPr>
        <mc:AlternateContent>
          <mc:Choice Requires="wps">
            <w:drawing>
              <wp:anchor distT="0" distB="0" distL="114300" distR="114300" simplePos="0" relativeHeight="251680768" behindDoc="0" locked="0" layoutInCell="1" allowOverlap="1">
                <wp:simplePos x="0" y="0"/>
                <wp:positionH relativeFrom="column">
                  <wp:posOffset>1562735</wp:posOffset>
                </wp:positionH>
                <wp:positionV relativeFrom="paragraph">
                  <wp:posOffset>6223635</wp:posOffset>
                </wp:positionV>
                <wp:extent cx="6512560" cy="333375"/>
                <wp:effectExtent l="0" t="0" r="0" b="0"/>
                <wp:wrapNone/>
                <wp:docPr id="12" name="矩形 12"/>
                <wp:cNvGraphicFramePr/>
                <a:graphic xmlns:a="http://schemas.openxmlformats.org/drawingml/2006/main">
                  <a:graphicData uri="http://schemas.microsoft.com/office/word/2010/wordprocessingShape">
                    <wps:wsp>
                      <wps:cNvSpPr/>
                      <wps:spPr>
                        <a:xfrm>
                          <a:off x="2477135" y="7138035"/>
                          <a:ext cx="6512560" cy="3333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0F90653">
                            <w:pPr>
                              <w:jc w:val="center"/>
                              <w:rPr>
                                <w:b/>
                                <w:bCs/>
                                <w:color w:val="000000" w:themeColor="text1"/>
                                <w14:textFill>
                                  <w14:solidFill>
                                    <w14:schemeClr w14:val="tx1"/>
                                  </w14:solidFill>
                                </w14:textFill>
                              </w:rPr>
                            </w:pPr>
                            <w:r>
                              <w:rPr>
                                <w:rFonts w:hint="default"/>
                                <w:b/>
                                <w:bCs/>
                                <w:color w:val="000000" w:themeColor="text1"/>
                                <w14:textFill>
                                  <w14:solidFill>
                                    <w14:schemeClr w14:val="tx1"/>
                                  </w14:solidFill>
                                </w14:textFill>
                              </w:rPr>
                              <w:t>附图</w:t>
                            </w:r>
                            <w:r>
                              <w:rPr>
                                <w:rFonts w:hint="eastAsia"/>
                                <w:b/>
                                <w:bCs/>
                                <w:color w:val="000000" w:themeColor="text1"/>
                                <w:lang w:val="en-US" w:eastAsia="zh-CN"/>
                                <w14:textFill>
                                  <w14:solidFill>
                                    <w14:schemeClr w14:val="tx1"/>
                                  </w14:solidFill>
                                </w14:textFill>
                              </w:rPr>
                              <w:t>6</w:t>
                            </w:r>
                            <w:r>
                              <w:rPr>
                                <w:rFonts w:hint="default"/>
                                <w:b/>
                                <w:bCs/>
                                <w:color w:val="000000" w:themeColor="text1"/>
                                <w14:textFill>
                                  <w14:solidFill>
                                    <w14:schemeClr w14:val="tx1"/>
                                  </w14:solidFill>
                                </w14:textFill>
                              </w:rPr>
                              <w:t>张店区湖田街道工业集聚区总体发展规划（2024-2035年）-土地使用规划图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3.05pt;margin-top:490.05pt;height:26.25pt;width:512.8pt;z-index:251680768;v-text-anchor:middle;mso-width-relative:page;mso-height-relative:page;" filled="f" stroked="f" coordsize="21600,21600" o:gfxdata="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19T03aAAAADQEAAA8AAAAAAAAAAQAgAAAAIgAAAGRycy9kb3ducmV2Lnht&#10;bFBLAQIUABQAAAAIAIdO4kDSV1GeaQIAALsEAAAOAAAAAAAAAAEAIAAAACkBAABkcnMvZTJvRG9j&#10;LnhtbFBLBQYAAAAABgAGAFkBAAAEBgAAAAA=&#10;">
                <v:fill on="f" focussize="0,0"/>
                <v:stroke on="f" weight="1pt" miterlimit="8" joinstyle="miter"/>
                <v:imagedata o:title=""/>
                <o:lock v:ext="edit" aspectratio="f"/>
                <v:textbox>
                  <w:txbxContent>
                    <w:p w14:paraId="30F90653">
                      <w:pPr>
                        <w:jc w:val="center"/>
                        <w:rPr>
                          <w:b/>
                          <w:bCs/>
                          <w:color w:val="000000" w:themeColor="text1"/>
                          <w14:textFill>
                            <w14:solidFill>
                              <w14:schemeClr w14:val="tx1"/>
                            </w14:solidFill>
                          </w14:textFill>
                        </w:rPr>
                      </w:pPr>
                      <w:r>
                        <w:rPr>
                          <w:rFonts w:hint="default"/>
                          <w:b/>
                          <w:bCs/>
                          <w:color w:val="000000" w:themeColor="text1"/>
                          <w14:textFill>
                            <w14:solidFill>
                              <w14:schemeClr w14:val="tx1"/>
                            </w14:solidFill>
                          </w14:textFill>
                        </w:rPr>
                        <w:t>附图</w:t>
                      </w:r>
                      <w:r>
                        <w:rPr>
                          <w:rFonts w:hint="eastAsia"/>
                          <w:b/>
                          <w:bCs/>
                          <w:color w:val="000000" w:themeColor="text1"/>
                          <w:lang w:val="en-US" w:eastAsia="zh-CN"/>
                          <w14:textFill>
                            <w14:solidFill>
                              <w14:schemeClr w14:val="tx1"/>
                            </w14:solidFill>
                          </w14:textFill>
                        </w:rPr>
                        <w:t>6</w:t>
                      </w:r>
                      <w:r>
                        <w:rPr>
                          <w:rFonts w:hint="default"/>
                          <w:b/>
                          <w:bCs/>
                          <w:color w:val="000000" w:themeColor="text1"/>
                          <w14:textFill>
                            <w14:solidFill>
                              <w14:schemeClr w14:val="tx1"/>
                            </w14:solidFill>
                          </w14:textFill>
                        </w:rPr>
                        <w:t>张店区湖田街道工业集聚区总体发展规划（2024-2035年）-土地使用规划图</w:t>
                      </w:r>
                    </w:p>
                  </w:txbxContent>
                </v:textbox>
              </v:rect>
            </w:pict>
          </mc:Fallback>
        </mc:AlternateContent>
      </w:r>
      <w:r>
        <w:drawing>
          <wp:inline distT="0" distB="0" distL="114300" distR="114300">
            <wp:extent cx="8856345" cy="6274435"/>
            <wp:effectExtent l="0" t="0" r="1905" b="1206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50"/>
                    <a:stretch>
                      <a:fillRect/>
                    </a:stretch>
                  </pic:blipFill>
                  <pic:spPr>
                    <a:xfrm>
                      <a:off x="0" y="0"/>
                      <a:ext cx="8856345" cy="6274435"/>
                    </a:xfrm>
                    <a:prstGeom prst="rect">
                      <a:avLst/>
                    </a:prstGeom>
                    <a:noFill/>
                    <a:ln>
                      <a:noFill/>
                    </a:ln>
                  </pic:spPr>
                </pic:pic>
              </a:graphicData>
            </a:graphic>
          </wp:inline>
        </w:drawing>
      </w:r>
    </w:p>
    <w:p w14:paraId="6D8D9CD7">
      <w:pPr>
        <w:jc w:val="center"/>
        <w:rPr>
          <w:rFonts w:hint="default" w:ascii="Times New Roman" w:hAnsi="Times New Roman" w:eastAsia="宋体" w:cs="Times New Roman"/>
          <w:color w:val="000000" w:themeColor="text1"/>
          <w14:textFill>
            <w14:solidFill>
              <w14:schemeClr w14:val="tx1"/>
            </w14:solidFill>
          </w14:textFill>
        </w:rPr>
        <w:sectPr>
          <w:pgSz w:w="16838" w:h="11906" w:orient="landscape"/>
          <w:pgMar w:top="1440" w:right="1440" w:bottom="1440" w:left="1440" w:header="510" w:footer="794" w:gutter="0"/>
          <w:pgBorders>
            <w:top w:val="none" w:sz="0" w:space="0"/>
            <w:left w:val="none" w:sz="0" w:space="0"/>
            <w:bottom w:val="none" w:sz="0" w:space="0"/>
            <w:right w:val="none" w:sz="0" w:space="0"/>
          </w:pgBorders>
          <w:cols w:space="0" w:num="1"/>
          <w:docGrid w:type="lines" w:linePitch="312" w:charSpace="0"/>
        </w:sectPr>
      </w:pPr>
    </w:p>
    <w:p w14:paraId="23D59634">
      <w:pPr>
        <w:pStyle w:val="18"/>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6061075</wp:posOffset>
                </wp:positionH>
                <wp:positionV relativeFrom="paragraph">
                  <wp:posOffset>3121025</wp:posOffset>
                </wp:positionV>
                <wp:extent cx="770255" cy="304800"/>
                <wp:effectExtent l="501015" t="467995" r="24130" b="8255"/>
                <wp:wrapNone/>
                <wp:docPr id="89" name="圆角矩形标注 89"/>
                <wp:cNvGraphicFramePr/>
                <a:graphic xmlns:a="http://schemas.openxmlformats.org/drawingml/2006/main">
                  <a:graphicData uri="http://schemas.microsoft.com/office/word/2010/wordprocessingShape">
                    <wps:wsp>
                      <wps:cNvSpPr/>
                      <wps:spPr>
                        <a:xfrm>
                          <a:off x="0" y="0"/>
                          <a:ext cx="770255" cy="304800"/>
                        </a:xfrm>
                        <a:prstGeom prst="wedgeRoundRectCallout">
                          <a:avLst>
                            <a:gd name="adj1" fmla="val -109274"/>
                            <a:gd name="adj2" fmla="val -193541"/>
                            <a:gd name="adj3" fmla="val 16667"/>
                          </a:avLst>
                        </a:prstGeom>
                        <a:solidFill>
                          <a:srgbClr val="FFFFFF"/>
                        </a:solidFill>
                        <a:ln w="12700" cap="flat" cmpd="sng">
                          <a:solidFill>
                            <a:srgbClr val="000000"/>
                          </a:solidFill>
                          <a:prstDash val="solid"/>
                          <a:miter/>
                          <a:headEnd type="none" w="med" len="med"/>
                          <a:tailEnd type="none" w="med" len="med"/>
                        </a:ln>
                      </wps:spPr>
                      <wps:txbx>
                        <w:txbxContent>
                          <w:p w14:paraId="6DDF9F16">
                            <w:pPr>
                              <w:snapToGrid w:val="0"/>
                              <w:rPr>
                                <w:rFonts w:ascii="宋体" w:hAnsi="宋体" w:cs="宋体"/>
                                <w:color w:val="000000"/>
                                <w:szCs w:val="21"/>
                              </w:rPr>
                            </w:pPr>
                            <w:r>
                              <w:rPr>
                                <w:rFonts w:hint="eastAsia" w:ascii="宋体" w:hAnsi="宋体" w:cs="宋体"/>
                                <w:color w:val="000000"/>
                                <w:szCs w:val="21"/>
                              </w:rPr>
                              <w:t>项目位置</w:t>
                            </w:r>
                          </w:p>
                        </w:txbxContent>
                      </wps:txbx>
                      <wps:bodyPr anchor="ctr" anchorCtr="0" upright="1"/>
                    </wps:wsp>
                  </a:graphicData>
                </a:graphic>
              </wp:anchor>
            </w:drawing>
          </mc:Choice>
          <mc:Fallback>
            <w:pict>
              <v:shape id="_x0000_s1026" o:spid="_x0000_s1026" o:spt="62" type="#_x0000_t62" style="position:absolute;left:0pt;margin-left:477.25pt;margin-top:245.75pt;height:24pt;width:60.65pt;z-index:251674624;v-text-anchor:middle;mso-width-relative:page;mso-height-relative:page;" fillcolor="#FFFFFF" filled="t" stroked="t" coordsize="21600,21600" o:gfxdata="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y6vCTcAAAADAEAAA8AAAAAAAAAAQAgAAAAIgAAAGRycy9kb3ducmV2LnhtbFBLAQIU&#10;ABQAAAAIAIdO4kD/ugGiYQIAANwEAAAOAAAAAAAAAAEAIAAAACsBAABkcnMvZTJvRG9jLnhtbFBL&#10;BQYAAAAABgAGAFkBAAD+BQAAAAA=&#10;" adj="-12803,-31005,14400">
                <v:fill on="t" focussize="0,0"/>
                <v:stroke weight="1pt" color="#000000" joinstyle="miter"/>
                <v:imagedata o:title=""/>
                <o:lock v:ext="edit" aspectratio="f"/>
                <v:textbox>
                  <w:txbxContent>
                    <w:p w14:paraId="6DDF9F16">
                      <w:pPr>
                        <w:snapToGrid w:val="0"/>
                        <w:rPr>
                          <w:rFonts w:ascii="宋体" w:hAnsi="宋体" w:cs="宋体"/>
                          <w:color w:val="000000"/>
                          <w:szCs w:val="21"/>
                        </w:rPr>
                      </w:pPr>
                      <w:r>
                        <w:rPr>
                          <w:rFonts w:hint="eastAsia" w:ascii="宋体" w:hAnsi="宋体" w:cs="宋体"/>
                          <w:color w:val="000000"/>
                          <w:szCs w:val="21"/>
                        </w:rPr>
                        <w:t>项目位置</w:t>
                      </w:r>
                    </w:p>
                  </w:txbxContent>
                </v:textbox>
              </v:shape>
            </w:pict>
          </mc:Fallback>
        </mc:AlternateContent>
      </w: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5514975</wp:posOffset>
                </wp:positionH>
                <wp:positionV relativeFrom="paragraph">
                  <wp:posOffset>2599055</wp:posOffset>
                </wp:positionV>
                <wp:extent cx="100965" cy="88900"/>
                <wp:effectExtent l="20955" t="19050" r="30480" b="25400"/>
                <wp:wrapNone/>
                <wp:docPr id="90" name="五角星 90"/>
                <wp:cNvGraphicFramePr/>
                <a:graphic xmlns:a="http://schemas.openxmlformats.org/drawingml/2006/main">
                  <a:graphicData uri="http://schemas.microsoft.com/office/word/2010/wordprocessingShape">
                    <wps:wsp>
                      <wps:cNvSpPr/>
                      <wps:spPr>
                        <a:xfrm>
                          <a:off x="0" y="0"/>
                          <a:ext cx="100965" cy="88900"/>
                        </a:xfrm>
                        <a:prstGeom prst="star5">
                          <a:avLst/>
                        </a:prstGeom>
                        <a:noFill/>
                        <a:ln w="12700" cap="flat" cmpd="sng">
                          <a:solidFill>
                            <a:srgbClr val="0000FF"/>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434.25pt;margin-top:204.65pt;height:7pt;width:7.95pt;z-index:251675648;mso-width-relative:page;mso-height-relative:page;" filled="f" stroked="t" coordsize="100965,88900" o:gfxdata="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08GvM2QAAAAsBAAAPAAAAAAAAAAEAIAAAACIAAABkcnMvZG93&#10;bnJldi54bWxQSwECFAAUAAAACACHTuJA2G+pGf8BAAD6AwAADgAAAAAAAAABACAAAAAoAQAAZHJz&#10;L2Uyb0RvYy54bWxQSwUGAAAAAAYABgBZAQAAmQUAAAAA&#10;" path="m0,33956l38565,33956,50482,0,62399,33956,100964,33956,69764,54942,81682,88899,50482,67913,19282,88899,31200,54942xe">
                <v:path o:connectlocs="50482,0;0,33956;19282,88899;81682,88899;100964,33956" o:connectangles="247,164,82,82,0"/>
                <v:fill on="f" focussize="0,0"/>
                <v:stroke weight="1pt" color="#0000FF" joinstyle="miter"/>
                <v:imagedata o:title=""/>
                <o:lock v:ext="edit" aspectratio="f"/>
              </v:shape>
            </w:pict>
          </mc:Fallback>
        </mc:AlternateContent>
      </w: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7458075" cy="5276850"/>
            <wp:effectExtent l="0" t="0" r="9525" b="0"/>
            <wp:docPr id="91" name="图片 91" descr="张店区湖田街道工业集聚区总体发展规划(2024-2035年)-与三区三线协调性分析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张店区湖田街道工业集聚区总体发展规划(2024-2035年)-与三区三线协调性分析图"/>
                    <pic:cNvPicPr>
                      <a:picLocks noChangeAspect="1"/>
                    </pic:cNvPicPr>
                  </pic:nvPicPr>
                  <pic:blipFill>
                    <a:blip r:embed="rId51"/>
                    <a:stretch>
                      <a:fillRect/>
                    </a:stretch>
                  </pic:blipFill>
                  <pic:spPr>
                    <a:xfrm>
                      <a:off x="0" y="0"/>
                      <a:ext cx="7458075" cy="5276850"/>
                    </a:xfrm>
                    <a:prstGeom prst="rect">
                      <a:avLst/>
                    </a:prstGeom>
                  </pic:spPr>
                </pic:pic>
              </a:graphicData>
            </a:graphic>
          </wp:inline>
        </w:drawing>
      </w:r>
    </w:p>
    <w:p w14:paraId="14185960">
      <w:pPr>
        <w:pStyle w:val="37"/>
        <w:ind w:left="0" w:leftChars="0" w:firstLine="0" w:firstLineChars="0"/>
        <w:jc w:val="center"/>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附图</w:t>
      </w:r>
      <w:r>
        <w:rPr>
          <w:rFonts w:hint="eastAsia" w:cs="Times New Roman"/>
          <w:b/>
          <w:bCs/>
          <w:color w:val="000000" w:themeColor="text1"/>
          <w:sz w:val="24"/>
          <w:lang w:val="en-US" w:eastAsia="zh-CN"/>
          <w14:textFill>
            <w14:solidFill>
              <w14:schemeClr w14:val="tx1"/>
            </w14:solidFill>
          </w14:textFill>
        </w:rPr>
        <w:t>7</w:t>
      </w:r>
      <w:r>
        <w:rPr>
          <w:rFonts w:hint="default" w:ascii="Times New Roman" w:hAnsi="Times New Roman" w:eastAsia="宋体" w:cs="Times New Roman"/>
          <w:b/>
          <w:bCs/>
          <w:color w:val="000000" w:themeColor="text1"/>
          <w:sz w:val="24"/>
          <w14:textFill>
            <w14:solidFill>
              <w14:schemeClr w14:val="tx1"/>
            </w14:solidFill>
          </w14:textFill>
        </w:rPr>
        <w:t>张店区湖田街道工业集聚区总体发展规划（2024-2035年）-与三区三线协调性分析图</w:t>
      </w:r>
    </w:p>
    <w:p w14:paraId="26BE3B69">
      <w:pPr>
        <w:jc w:val="center"/>
        <w:rPr>
          <w:rFonts w:hint="eastAsia"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729920" behindDoc="0" locked="0" layoutInCell="1" allowOverlap="1">
                <wp:simplePos x="0" y="0"/>
                <wp:positionH relativeFrom="column">
                  <wp:posOffset>3552825</wp:posOffset>
                </wp:positionH>
                <wp:positionV relativeFrom="paragraph">
                  <wp:posOffset>2494280</wp:posOffset>
                </wp:positionV>
                <wp:extent cx="1242695" cy="460375"/>
                <wp:effectExtent l="0" t="0" r="0" b="0"/>
                <wp:wrapNone/>
                <wp:docPr id="101" name="矩形 101"/>
                <wp:cNvGraphicFramePr/>
                <a:graphic xmlns:a="http://schemas.openxmlformats.org/drawingml/2006/main">
                  <a:graphicData uri="http://schemas.microsoft.com/office/word/2010/wordprocessingShape">
                    <wps:wsp>
                      <wps:cNvSpPr/>
                      <wps:spPr>
                        <a:xfrm>
                          <a:off x="0" y="0"/>
                          <a:ext cx="1242695" cy="4603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FF97288">
                            <w:pPr>
                              <w:jc w:val="center"/>
                              <w:rPr>
                                <w:rFonts w:hint="default" w:eastAsia="宋体"/>
                                <w:b/>
                                <w:bCs/>
                                <w:color w:val="0000FF"/>
                                <w:lang w:val="en-US" w:eastAsia="zh-CN"/>
                              </w:rPr>
                            </w:pPr>
                            <w:r>
                              <w:rPr>
                                <w:rFonts w:hint="eastAsia"/>
                                <w:b/>
                                <w:bCs/>
                                <w:color w:val="0000FF"/>
                                <w:lang w:val="en-US" w:eastAsia="zh-CN"/>
                              </w:rPr>
                              <w:t>本项目所在厂区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9.75pt;margin-top:196.4pt;height:36.25pt;width:97.85pt;z-index:251729920;v-text-anchor:middle;mso-width-relative:page;mso-height-relative:page;" filled="f" stroked="f" coordsize="21600,21600" o:gfxdata="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uyoRD2gAAAAsBAAAPAAAAAAAAAAEAIAAAACIAAABkcnMvZG93bnJldi54bWxQSwECFAAU&#10;AAAACACHTuJAcpp5h2ECAACxBAAADgAAAAAAAAABACAAAAApAQAAZHJzL2Uyb0RvYy54bWxQSwUG&#10;AAAAAAYABgBZAQAA/AUAAAAA&#10;">
                <v:fill on="f" focussize="0,0"/>
                <v:stroke on="f" weight="1pt" miterlimit="8" joinstyle="miter"/>
                <v:imagedata o:title=""/>
                <o:lock v:ext="edit" aspectratio="f"/>
                <v:textbox>
                  <w:txbxContent>
                    <w:p w14:paraId="0FF97288">
                      <w:pPr>
                        <w:jc w:val="center"/>
                        <w:rPr>
                          <w:rFonts w:hint="default" w:eastAsia="宋体"/>
                          <w:b/>
                          <w:bCs/>
                          <w:color w:val="0000FF"/>
                          <w:lang w:val="en-US" w:eastAsia="zh-CN"/>
                        </w:rPr>
                      </w:pPr>
                      <w:r>
                        <w:rPr>
                          <w:rFonts w:hint="eastAsia"/>
                          <w:b/>
                          <w:bCs/>
                          <w:color w:val="0000FF"/>
                          <w:lang w:val="en-US" w:eastAsia="zh-CN"/>
                        </w:rPr>
                        <w:t>本项目所在厂区</w:t>
                      </w:r>
                    </w:p>
                  </w:txbxContent>
                </v:textbox>
              </v:rect>
            </w:pict>
          </mc:Fallback>
        </mc:AlternateContent>
      </w:r>
      <w:r>
        <w:rPr>
          <w:sz w:val="21"/>
        </w:rPr>
        <mc:AlternateContent>
          <mc:Choice Requires="wps">
            <w:drawing>
              <wp:anchor distT="0" distB="0" distL="114300" distR="114300" simplePos="0" relativeHeight="251728896" behindDoc="0" locked="0" layoutInCell="1" allowOverlap="1">
                <wp:simplePos x="0" y="0"/>
                <wp:positionH relativeFrom="column">
                  <wp:posOffset>2749550</wp:posOffset>
                </wp:positionH>
                <wp:positionV relativeFrom="paragraph">
                  <wp:posOffset>2004060</wp:posOffset>
                </wp:positionV>
                <wp:extent cx="2601595" cy="1699260"/>
                <wp:effectExtent l="49530" t="73660" r="53975" b="74930"/>
                <wp:wrapNone/>
                <wp:docPr id="100" name="矩形 100"/>
                <wp:cNvGraphicFramePr/>
                <a:graphic xmlns:a="http://schemas.openxmlformats.org/drawingml/2006/main">
                  <a:graphicData uri="http://schemas.microsoft.com/office/word/2010/wordprocessingShape">
                    <wps:wsp>
                      <wps:cNvSpPr/>
                      <wps:spPr>
                        <a:xfrm rot="21420000">
                          <a:off x="3609975" y="3039745"/>
                          <a:ext cx="2601595" cy="169926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6.5pt;margin-top:157.8pt;height:133.8pt;width:204.85pt;rotation:-196608f;z-index:251728896;v-text-anchor:middle;mso-width-relative:page;mso-height-relative:page;" filled="f" stroked="t" coordsize="21600,21600" o:gfxdata="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kPfe2dgA&#10;AAALAQAADwAAAAAAAAABACAAAAAiAAAAZHJzL2Rvd25yZXYueG1sUEsBAhQAFAAAAAgAh07iQELU&#10;6h6RAgAADQUAAA4AAAAAAAAAAQAgAAAAJwEAAGRycy9lMm9Eb2MueG1sUEsFBgAAAAAGAAYAWQEA&#10;ACoGAAAAAA==&#10;">
                <v:fill on="f" focussize="0,0"/>
                <v:stroke weight="1pt" color="#2E75B6 [2404]" miterlimit="8" joinstyle="miter"/>
                <v:imagedata o:title=""/>
                <o:lock v:ext="edit" aspectratio="f"/>
              </v:rect>
            </w:pict>
          </mc:Fallback>
        </mc:AlternateContent>
      </w: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2892425</wp:posOffset>
                </wp:positionH>
                <wp:positionV relativeFrom="paragraph">
                  <wp:posOffset>4276090</wp:posOffset>
                </wp:positionV>
                <wp:extent cx="1181735" cy="567690"/>
                <wp:effectExtent l="0" t="0" r="0" b="0"/>
                <wp:wrapNone/>
                <wp:docPr id="70" name="矩形 70"/>
                <wp:cNvGraphicFramePr/>
                <a:graphic xmlns:a="http://schemas.openxmlformats.org/drawingml/2006/main">
                  <a:graphicData uri="http://schemas.microsoft.com/office/word/2010/wordprocessingShape">
                    <wps:wsp>
                      <wps:cNvSpPr/>
                      <wps:spPr>
                        <a:xfrm>
                          <a:off x="0" y="0"/>
                          <a:ext cx="1181735" cy="5676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9FA74B6">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淄博万浦塑业有限公司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75pt;margin-top:336.7pt;height:44.7pt;width:93.05pt;z-index:251716608;v-text-anchor:middle;mso-width-relative:page;mso-height-relative:page;" filled="f" stroked="f" coordsize="21600,21600" o:gfxdata="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GK7J72QAAAAsBAAAPAAAAAAAAAAEAIAAAACIAAABkcnMvZG93bnJldi54bWxQSwECFAAU&#10;AAAACACHTuJAKfmCR2ICAACvBAAADgAAAAAAAAABACAAAAAoAQAAZHJzL2Uyb0RvYy54bWxQSwUG&#10;AAAAAAYABgBZAQAA/AUAAAAA&#10;">
                <v:fill on="f" focussize="0,0"/>
                <v:stroke on="f" weight="1pt" miterlimit="8" joinstyle="miter"/>
                <v:imagedata o:title=""/>
                <o:lock v:ext="edit" aspectratio="f"/>
                <v:textbox>
                  <w:txbxContent>
                    <w:p w14:paraId="49FA74B6">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淄博万浦塑业有限公司</w:t>
                      </w:r>
                    </w:p>
                  </w:txbxContent>
                </v:textbox>
              </v:rect>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4384040</wp:posOffset>
                </wp:positionH>
                <wp:positionV relativeFrom="paragraph">
                  <wp:posOffset>3867785</wp:posOffset>
                </wp:positionV>
                <wp:extent cx="20955" cy="1132840"/>
                <wp:effectExtent l="6350" t="0" r="10795" b="10160"/>
                <wp:wrapNone/>
                <wp:docPr id="69" name="直接连接符 69"/>
                <wp:cNvGraphicFramePr/>
                <a:graphic xmlns:a="http://schemas.openxmlformats.org/drawingml/2006/main">
                  <a:graphicData uri="http://schemas.microsoft.com/office/word/2010/wordprocessingShape">
                    <wps:wsp>
                      <wps:cNvCnPr/>
                      <wps:spPr>
                        <a:xfrm flipH="1">
                          <a:off x="0" y="0"/>
                          <a:ext cx="20955" cy="113284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45.2pt;margin-top:304.55pt;height:89.2pt;width:1.65pt;z-index:251715584;mso-width-relative:page;mso-height-relative:page;" filled="f" stroked="t" coordsize="21600,21600" o:gfxdata="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VkIQcdsAAAALAQAADwAAAAAAAAABACAAAAAiAAAAZHJzL2Rvd25yZXYueG1s&#10;UEsBAhQAFAAAAAgAh07iQHUSmH/1AQAAwgMAAA4AAAAAAAAAAQAgAAAAKgEAAGRycy9lMm9Eb2Mu&#10;eG1sUEsFBgAAAAAGAAYAWQEAAJEFAAAAAA==&#10;">
                <v:fill on="f" focussize="0,0"/>
                <v:stroke weight="1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714560" behindDoc="0" locked="0" layoutInCell="1" allowOverlap="1">
                <wp:simplePos x="0" y="0"/>
                <wp:positionH relativeFrom="column">
                  <wp:posOffset>2366010</wp:posOffset>
                </wp:positionH>
                <wp:positionV relativeFrom="paragraph">
                  <wp:posOffset>3874135</wp:posOffset>
                </wp:positionV>
                <wp:extent cx="2027555" cy="152400"/>
                <wp:effectExtent l="635" t="6350" r="10160" b="12700"/>
                <wp:wrapNone/>
                <wp:docPr id="68" name="直接连接符 68"/>
                <wp:cNvGraphicFramePr/>
                <a:graphic xmlns:a="http://schemas.openxmlformats.org/drawingml/2006/main">
                  <a:graphicData uri="http://schemas.microsoft.com/office/word/2010/wordprocessingShape">
                    <wps:wsp>
                      <wps:cNvCnPr/>
                      <wps:spPr>
                        <a:xfrm flipH="1">
                          <a:off x="0" y="0"/>
                          <a:ext cx="2027555" cy="15240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86.3pt;margin-top:305.05pt;height:12pt;width:159.65pt;z-index:251714560;mso-width-relative:page;mso-height-relative:page;" filled="f" stroked="t" coordsize="21600,21600" o:gfxdata="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AEH+Y3aAAAACwEAAA8AAAAAAAAAAQAgAAAAIgAAAGRycy9kb3ducmV2LnhtbFBL&#10;AQIUABQAAAAIAIdO4kA/+T6i9AEAAMMDAAAOAAAAAAAAAAEAIAAAACkBAABkcnMvZTJvRG9jLnht&#10;bFBLBQYAAAAABgAGAFkBAACPBQAAAAA=&#10;">
                <v:fill on="f" focussize="0,0"/>
                <v:stroke weight="1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2479040</wp:posOffset>
                </wp:positionH>
                <wp:positionV relativeFrom="paragraph">
                  <wp:posOffset>5000625</wp:posOffset>
                </wp:positionV>
                <wp:extent cx="1905000" cy="228600"/>
                <wp:effectExtent l="635" t="6350" r="18415" b="12700"/>
                <wp:wrapNone/>
                <wp:docPr id="67" name="直接连接符 67"/>
                <wp:cNvGraphicFramePr/>
                <a:graphic xmlns:a="http://schemas.openxmlformats.org/drawingml/2006/main">
                  <a:graphicData uri="http://schemas.microsoft.com/office/word/2010/wordprocessingShape">
                    <wps:wsp>
                      <wps:cNvCnPr/>
                      <wps:spPr>
                        <a:xfrm flipH="1">
                          <a:off x="0" y="0"/>
                          <a:ext cx="1905000" cy="22860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95.2pt;margin-top:393.75pt;height:18pt;width:150pt;z-index:251713536;mso-width-relative:page;mso-height-relative:page;" filled="f" stroked="t" coordsize="21600,21600" o:gfxdata="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uCVRrtoAAAALAQAADwAAAAAAAAABACAAAAAiAAAAZHJzL2Rvd25yZXYueG1sUEsBAhQA&#10;FAAAAAgAh07iQH8AwEHwAQAAwwMAAA4AAAAAAAAAAQAgAAAAKQEAAGRycy9lMm9Eb2MueG1sUEsF&#10;BgAAAAAGAAYAWQEAAIsFAAAAAA==&#10;">
                <v:fill on="f" focussize="0,0"/>
                <v:stroke weight="1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712512" behindDoc="0" locked="0" layoutInCell="1" allowOverlap="1">
                <wp:simplePos x="0" y="0"/>
                <wp:positionH relativeFrom="column">
                  <wp:posOffset>2366010</wp:posOffset>
                </wp:positionH>
                <wp:positionV relativeFrom="paragraph">
                  <wp:posOffset>4017645</wp:posOffset>
                </wp:positionV>
                <wp:extent cx="128270" cy="1227455"/>
                <wp:effectExtent l="6350" t="635" r="17780" b="10160"/>
                <wp:wrapNone/>
                <wp:docPr id="62" name="直接连接符 62"/>
                <wp:cNvGraphicFramePr/>
                <a:graphic xmlns:a="http://schemas.openxmlformats.org/drawingml/2006/main">
                  <a:graphicData uri="http://schemas.microsoft.com/office/word/2010/wordprocessingShape">
                    <wps:wsp>
                      <wps:cNvCnPr/>
                      <wps:spPr>
                        <a:xfrm>
                          <a:off x="0" y="0"/>
                          <a:ext cx="128270" cy="122745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86.3pt;margin-top:316.35pt;height:96.65pt;width:10.1pt;z-index:251712512;mso-width-relative:page;mso-height-relative:page;" filled="f" stroked="t" coordsize="21600,21600" o:gfxdata="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OlvEAzaAAAACwEAAA8AAAAAAAAAAQAgAAAAIgAAAGRycy9kb3ducmV2LnhtbFBLAQIUABQAAAAI&#10;AIdO4kC7cseJ6wEAALkDAAAOAAAAAAAAAAEAIAAAACkBAABkcnMvZTJvRG9jLnhtbFBLBQYAAAAA&#10;BgAGAFkBAACGBQAAAAA=&#10;">
                <v:fill on="f" focussize="0,0"/>
                <v:stroke weight="1pt" color="#FFFF00 [3204]" miterlimit="8" joinstyle="miter"/>
                <v:imagedata o:title=""/>
                <o:lock v:ext="edit" aspectratio="f"/>
              </v:line>
            </w:pict>
          </mc:Fallback>
        </mc:AlternateContent>
      </w: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1641475</wp:posOffset>
                </wp:positionH>
                <wp:positionV relativeFrom="paragraph">
                  <wp:posOffset>2777490</wp:posOffset>
                </wp:positionV>
                <wp:extent cx="1181735" cy="567690"/>
                <wp:effectExtent l="0" t="0" r="0" b="0"/>
                <wp:wrapNone/>
                <wp:docPr id="61" name="矩形 61"/>
                <wp:cNvGraphicFramePr/>
                <a:graphic xmlns:a="http://schemas.openxmlformats.org/drawingml/2006/main">
                  <a:graphicData uri="http://schemas.microsoft.com/office/word/2010/wordprocessingShape">
                    <wps:wsp>
                      <wps:cNvSpPr/>
                      <wps:spPr>
                        <a:xfrm>
                          <a:off x="0" y="0"/>
                          <a:ext cx="1181735" cy="5676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66AC0E7">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淄博水源生物科技有限公司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25pt;margin-top:218.7pt;height:44.7pt;width:93.05pt;z-index:251711488;v-text-anchor:middle;mso-width-relative:page;mso-height-relative:page;" filled="f" stroked="f" coordsize="21600,21600" o:gfxdata="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AJuWDZAAAACwEAAA8AAAAAAAAAAQAgAAAAIgAAAGRycy9kb3ducmV2LnhtbFBLAQIUABQA&#10;AAAIAIdO4kCfj4hUYQIAAK8EAAAOAAAAAAAAAAEAIAAAACgBAABkcnMvZTJvRG9jLnhtbFBLBQYA&#10;AAAABgAGAFkBAAD7BQAAAAA=&#10;">
                <v:fill on="f" focussize="0,0"/>
                <v:stroke on="f" weight="1pt" miterlimit="8" joinstyle="miter"/>
                <v:imagedata o:title=""/>
                <o:lock v:ext="edit" aspectratio="f"/>
                <v:textbox>
                  <w:txbxContent>
                    <w:p w14:paraId="066AC0E7">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淄博水源生物科技有限公司</w:t>
                      </w:r>
                    </w:p>
                  </w:txbxContent>
                </v:textbox>
              </v:rect>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1797685</wp:posOffset>
                </wp:positionH>
                <wp:positionV relativeFrom="paragraph">
                  <wp:posOffset>3696970</wp:posOffset>
                </wp:positionV>
                <wp:extent cx="989330" cy="45720"/>
                <wp:effectExtent l="0" t="6350" r="1270" b="24130"/>
                <wp:wrapNone/>
                <wp:docPr id="60" name="直接连接符 60"/>
                <wp:cNvGraphicFramePr/>
                <a:graphic xmlns:a="http://schemas.openxmlformats.org/drawingml/2006/main">
                  <a:graphicData uri="http://schemas.microsoft.com/office/word/2010/wordprocessingShape">
                    <wps:wsp>
                      <wps:cNvCnPr/>
                      <wps:spPr>
                        <a:xfrm flipH="1">
                          <a:off x="0" y="0"/>
                          <a:ext cx="989330" cy="4572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41.55pt;margin-top:291.1pt;height:3.6pt;width:77.9pt;z-index:251710464;mso-width-relative:page;mso-height-relative:page;" filled="f" stroked="t" coordsize="21600,21600" o:gfxdata="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Clz3R2gAAAAsBAAAPAAAAAAAAAAEAIAAAACIAAABkcnMvZG93bnJldi54bWxQSwEC&#10;FAAUAAAACACHTuJA5wc9mfIBAADBAwAADgAAAAAAAAABACAAAAApAQAAZHJzL2Uyb0RvYy54bWxQ&#10;SwUGAAAAAAYABgBZAQAAjQUAAAAA&#10;">
                <v:fill on="f" focussize="0,0"/>
                <v:stroke weight="1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2658745</wp:posOffset>
                </wp:positionH>
                <wp:positionV relativeFrom="paragraph">
                  <wp:posOffset>2487930</wp:posOffset>
                </wp:positionV>
                <wp:extent cx="128270" cy="1227455"/>
                <wp:effectExtent l="6350" t="635" r="17780" b="10160"/>
                <wp:wrapNone/>
                <wp:docPr id="59" name="直接连接符 59"/>
                <wp:cNvGraphicFramePr/>
                <a:graphic xmlns:a="http://schemas.openxmlformats.org/drawingml/2006/main">
                  <a:graphicData uri="http://schemas.microsoft.com/office/word/2010/wordprocessingShape">
                    <wps:wsp>
                      <wps:cNvCnPr/>
                      <wps:spPr>
                        <a:xfrm>
                          <a:off x="0" y="0"/>
                          <a:ext cx="128270" cy="122745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09.35pt;margin-top:195.9pt;height:96.65pt;width:10.1pt;z-index:251709440;mso-width-relative:page;mso-height-relative:page;" filled="f" stroked="t" coordsize="21600,21600" o:gfxdata="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ml27f2wAAAAsBAAAPAAAAAAAAAAEAIAAAACIAAABkcnMvZG93bnJldi54bWxQSwECFAAUAAAA&#10;CACHTuJAidDMlesBAAC5AwAADgAAAAAAAAABACAAAAAqAQAAZHJzL2Uyb0RvYy54bWxQSwUGAAAA&#10;AAYABgBZAQAAhwUAAAAA&#10;">
                <v:fill on="f" focussize="0,0"/>
                <v:stroke weight="1pt" color="#FFFF00 [3204]" miterlimit="8" joinstyle="miter"/>
                <v:imagedata o:title=""/>
                <o:lock v:ext="edit" aspectratio="f"/>
              </v:line>
            </w:pict>
          </mc:Fallback>
        </mc:AlternateContent>
      </w:r>
      <w:r>
        <w:drawing>
          <wp:inline distT="0" distB="0" distL="114300" distR="114300">
            <wp:extent cx="8416925" cy="5289550"/>
            <wp:effectExtent l="0" t="0" r="3175" b="6350"/>
            <wp:docPr id="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6"/>
                    <pic:cNvPicPr>
                      <a:picLocks noChangeAspect="1"/>
                    </pic:cNvPicPr>
                  </pic:nvPicPr>
                  <pic:blipFill>
                    <a:blip r:embed="rId52"/>
                    <a:stretch>
                      <a:fillRect/>
                    </a:stretch>
                  </pic:blipFill>
                  <pic:spPr>
                    <a:xfrm>
                      <a:off x="0" y="0"/>
                      <a:ext cx="8416925" cy="5289550"/>
                    </a:xfrm>
                    <a:prstGeom prst="rect">
                      <a:avLst/>
                    </a:prstGeom>
                    <a:noFill/>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1993265</wp:posOffset>
                </wp:positionH>
                <wp:positionV relativeFrom="paragraph">
                  <wp:posOffset>902970</wp:posOffset>
                </wp:positionV>
                <wp:extent cx="1621155" cy="567690"/>
                <wp:effectExtent l="0" t="0" r="0" b="0"/>
                <wp:wrapNone/>
                <wp:docPr id="56" name="矩形 56"/>
                <wp:cNvGraphicFramePr/>
                <a:graphic xmlns:a="http://schemas.openxmlformats.org/drawingml/2006/main">
                  <a:graphicData uri="http://schemas.microsoft.com/office/word/2010/wordprocessingShape">
                    <wps:wsp>
                      <wps:cNvSpPr/>
                      <wps:spPr>
                        <a:xfrm>
                          <a:off x="0" y="0"/>
                          <a:ext cx="1621155" cy="56769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9782A96">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碳酸钙（淄博新富源置业有限责任公司）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6.95pt;margin-top:71.1pt;height:44.7pt;width:127.65pt;z-index:251706368;v-text-anchor:middle;mso-width-relative:page;mso-height-relative:page;" filled="f" stroked="f" coordsize="21600,21600" o:gfxdata="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MdV8XnZAAAACwEAAA8AAAAAAAAAAQAgAAAAIgAAAGRycy9kb3ducmV2LnhtbFBLAQIUABQA&#10;AAAIAIdO4kAeY7chYQIAAK8EAAAOAAAAAAAAAAEAIAAAACgBAABkcnMvZTJvRG9jLnhtbFBLBQYA&#10;AAAABgAGAFkBAAD7BQAAAAA=&#10;">
                <v:fill on="f" focussize="0,0"/>
                <v:stroke on="f" weight="1pt" miterlimit="8" joinstyle="miter"/>
                <v:imagedata o:title=""/>
                <o:lock v:ext="edit" aspectratio="f"/>
                <v:textbox>
                  <w:txbxContent>
                    <w:p w14:paraId="69782A96">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碳酸钙（淄博新富源置业有限责任公司）</w:t>
                      </w:r>
                    </w:p>
                  </w:txbxContent>
                </v:textbox>
              </v:rect>
            </w:pict>
          </mc:Fallback>
        </mc:AlternateContent>
      </w: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6346825</wp:posOffset>
                </wp:positionH>
                <wp:positionV relativeFrom="paragraph">
                  <wp:posOffset>2069465</wp:posOffset>
                </wp:positionV>
                <wp:extent cx="1242695" cy="574040"/>
                <wp:effectExtent l="0" t="0" r="0" b="0"/>
                <wp:wrapNone/>
                <wp:docPr id="42" name="矩形 42"/>
                <wp:cNvGraphicFramePr/>
                <a:graphic xmlns:a="http://schemas.openxmlformats.org/drawingml/2006/main">
                  <a:graphicData uri="http://schemas.microsoft.com/office/word/2010/wordprocessingShape">
                    <wps:wsp>
                      <wps:cNvSpPr/>
                      <wps:spPr>
                        <a:xfrm>
                          <a:off x="0" y="0"/>
                          <a:ext cx="1242695" cy="57404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CAE6802">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淄博亚华信橡塑有限责任公司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9.75pt;margin-top:162.95pt;height:45.2pt;width:97.85pt;z-index:251697152;v-text-anchor:middle;mso-width-relative:page;mso-height-relative:page;" filled="f" stroked="f" coordsize="21600,21600" o:gfxdata="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KQFAr2gAAAAwBAAAPAAAAAAAAAAEAIAAAACIAAABkcnMvZG93bnJldi54bWxQSwECFAAU&#10;AAAACACHTuJAdZt0VmECAACvBAAADgAAAAAAAAABACAAAAApAQAAZHJzL2Uyb0RvYy54bWxQSwUG&#10;AAAAAAYABgBZAQAA/AUAAAAA&#10;">
                <v:fill on="f" focussize="0,0"/>
                <v:stroke on="f" weight="1pt" miterlimit="8" joinstyle="miter"/>
                <v:imagedata o:title=""/>
                <o:lock v:ext="edit" aspectratio="f"/>
                <v:textbox>
                  <w:txbxContent>
                    <w:p w14:paraId="3CAE6802">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淄博亚华信橡塑有限责任公司</w:t>
                      </w:r>
                    </w:p>
                  </w:txbxContent>
                </v:textbox>
              </v:rect>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1682115</wp:posOffset>
                </wp:positionH>
                <wp:positionV relativeFrom="paragraph">
                  <wp:posOffset>2491105</wp:posOffset>
                </wp:positionV>
                <wp:extent cx="989330" cy="45720"/>
                <wp:effectExtent l="0" t="6350" r="1270" b="24130"/>
                <wp:wrapNone/>
                <wp:docPr id="58" name="直接连接符 58"/>
                <wp:cNvGraphicFramePr/>
                <a:graphic xmlns:a="http://schemas.openxmlformats.org/drawingml/2006/main">
                  <a:graphicData uri="http://schemas.microsoft.com/office/word/2010/wordprocessingShape">
                    <wps:wsp>
                      <wps:cNvCnPr/>
                      <wps:spPr>
                        <a:xfrm flipH="1">
                          <a:off x="0" y="0"/>
                          <a:ext cx="989330" cy="4572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32.45pt;margin-top:196.15pt;height:3.6pt;width:77.9pt;z-index:251708416;mso-width-relative:page;mso-height-relative:page;" filled="f" stroked="t" coordsize="21600,21600" o:gfxdata="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J5+x3NoAAAALAQAADwAAAAAAAAABACAAAAAiAAAAZHJzL2Rvd25yZXYueG1sUEsB&#10;AhQAFAAAAAgAh07iQOtXYF/zAQAAwQMAAA4AAAAAAAAAAQAgAAAAKQEAAGRycy9lMm9Eb2MueG1s&#10;UEsFBgAAAAAGAAYAWQEAAI4FAAAAAA==&#10;">
                <v:fill on="f" focussize="0,0"/>
                <v:stroke weight="1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1673225</wp:posOffset>
                </wp:positionH>
                <wp:positionV relativeFrom="paragraph">
                  <wp:posOffset>2518410</wp:posOffset>
                </wp:positionV>
                <wp:extent cx="128270" cy="1227455"/>
                <wp:effectExtent l="6350" t="635" r="17780" b="10160"/>
                <wp:wrapNone/>
                <wp:docPr id="57" name="直接连接符 57"/>
                <wp:cNvGraphicFramePr/>
                <a:graphic xmlns:a="http://schemas.openxmlformats.org/drawingml/2006/main">
                  <a:graphicData uri="http://schemas.microsoft.com/office/word/2010/wordprocessingShape">
                    <wps:wsp>
                      <wps:cNvCnPr/>
                      <wps:spPr>
                        <a:xfrm>
                          <a:off x="0" y="0"/>
                          <a:ext cx="128270" cy="122745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1.75pt;margin-top:198.3pt;height:96.65pt;width:10.1pt;z-index:251707392;mso-width-relative:page;mso-height-relative:page;" filled="f" stroked="t" coordsize="21600,21600" o:gfxdata="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JKNkL7bAAAACwEAAA8AAAAAAAAAAQAgAAAAIgAAAGRycy9kb3ducmV2LnhtbFBLAQIUABQAAAAI&#10;AIdO4kAk5PCy6gEAALkDAAAOAAAAAAAAAAEAIAAAACoBAABkcnMvZTJvRG9jLnhtbFBLBQYAAAAA&#10;BgAGAFkBAACGBQAAAAA=&#10;">
                <v:fill on="f" focussize="0,0"/>
                <v:stroke weight="1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290195</wp:posOffset>
                </wp:positionH>
                <wp:positionV relativeFrom="paragraph">
                  <wp:posOffset>173990</wp:posOffset>
                </wp:positionV>
                <wp:extent cx="45720" cy="1950720"/>
                <wp:effectExtent l="6350" t="0" r="24130" b="11430"/>
                <wp:wrapNone/>
                <wp:docPr id="52" name="直接连接符 52"/>
                <wp:cNvGraphicFramePr/>
                <a:graphic xmlns:a="http://schemas.openxmlformats.org/drawingml/2006/main">
                  <a:graphicData uri="http://schemas.microsoft.com/office/word/2010/wordprocessingShape">
                    <wps:wsp>
                      <wps:cNvCnPr/>
                      <wps:spPr>
                        <a:xfrm flipH="1">
                          <a:off x="0" y="0"/>
                          <a:ext cx="45720" cy="195072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2.85pt;margin-top:13.7pt;height:153.6pt;width:3.6pt;z-index:251705344;mso-width-relative:page;mso-height-relative:page;" filled="f" stroked="t" coordsize="21600,21600" o:gfxdata="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0KPWx2AAAAAgBAAAPAAAAAAAAAAEAIAAAACIAAABkcnMvZG93bnJldi54bWxQSwECFAAU&#10;AAAACACHTuJAXROVmvEBAADCAwAADgAAAAAAAAABACAAAAAnAQAAZHJzL2Uyb0RvYy54bWxQSwUG&#10;AAAAAAYABgBZAQAAigUAAAAA&#10;">
                <v:fill on="f" focussize="0,0"/>
                <v:stroke weight="1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5180965</wp:posOffset>
                </wp:positionH>
                <wp:positionV relativeFrom="paragraph">
                  <wp:posOffset>137160</wp:posOffset>
                </wp:positionV>
                <wp:extent cx="18415" cy="1786255"/>
                <wp:effectExtent l="6350" t="0" r="13335" b="4445"/>
                <wp:wrapNone/>
                <wp:docPr id="51" name="直接连接符 51"/>
                <wp:cNvGraphicFramePr/>
                <a:graphic xmlns:a="http://schemas.openxmlformats.org/drawingml/2006/main">
                  <a:graphicData uri="http://schemas.microsoft.com/office/word/2010/wordprocessingShape">
                    <wps:wsp>
                      <wps:cNvCnPr/>
                      <wps:spPr>
                        <a:xfrm>
                          <a:off x="0" y="0"/>
                          <a:ext cx="18415" cy="178625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07.95pt;margin-top:10.8pt;height:140.65pt;width:1.45pt;z-index:251704320;mso-width-relative:page;mso-height-relative:page;" filled="f" stroked="t" coordsize="21600,21600" o:gfxdata="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hkbsvZAAAACgEAAA8AAAAAAAAAAQAgAAAAIgAAAGRycy9kb3ducmV2LnhtbFBLAQIUABQAAAAI&#10;AIdO4kDKfVsF7AEAALgDAAAOAAAAAAAAAAEAIAAAACgBAABkcnMvZTJvRG9jLnhtbFBLBQYAAAAA&#10;BgAGAFkBAACGBQAAAAA=&#10;">
                <v:fill on="f" focussize="0,0"/>
                <v:stroke weight="1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332740</wp:posOffset>
                </wp:positionH>
                <wp:positionV relativeFrom="paragraph">
                  <wp:posOffset>128270</wp:posOffset>
                </wp:positionV>
                <wp:extent cx="4857115" cy="79375"/>
                <wp:effectExtent l="0" t="6350" r="635" b="9525"/>
                <wp:wrapNone/>
                <wp:docPr id="50" name="直接连接符 50"/>
                <wp:cNvGraphicFramePr/>
                <a:graphic xmlns:a="http://schemas.openxmlformats.org/drawingml/2006/main">
                  <a:graphicData uri="http://schemas.microsoft.com/office/word/2010/wordprocessingShape">
                    <wps:wsp>
                      <wps:cNvCnPr/>
                      <wps:spPr>
                        <a:xfrm flipV="1">
                          <a:off x="0" y="0"/>
                          <a:ext cx="4857115" cy="7937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6.2pt;margin-top:10.1pt;height:6.25pt;width:382.45pt;z-index:251703296;mso-width-relative:page;mso-height-relative:page;" filled="f" stroked="t" coordsize="21600,21600" o:gfxdata="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x6g/n2AAAAAgBAAAPAAAAAAAAAAEAIAAAACIAAABkcnMvZG93bnJldi54bWxQSwEC&#10;FAAUAAAACACHTuJAno4Sv/QBAADCAwAADgAAAAAAAAABACAAAAAnAQAAZHJzL2Uyb0RvYy54bWxQ&#10;SwUGAAAAAAYABgBZAQAAjQUAAAAA&#10;">
                <v:fill on="f" focussize="0,0"/>
                <v:stroke weight="1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271780</wp:posOffset>
                </wp:positionH>
                <wp:positionV relativeFrom="paragraph">
                  <wp:posOffset>1923415</wp:posOffset>
                </wp:positionV>
                <wp:extent cx="4936490" cy="192405"/>
                <wp:effectExtent l="0" t="6350" r="16510" b="10795"/>
                <wp:wrapNone/>
                <wp:docPr id="49" name="直接连接符 49"/>
                <wp:cNvGraphicFramePr/>
                <a:graphic xmlns:a="http://schemas.openxmlformats.org/drawingml/2006/main">
                  <a:graphicData uri="http://schemas.microsoft.com/office/word/2010/wordprocessingShape">
                    <wps:wsp>
                      <wps:cNvCnPr/>
                      <wps:spPr>
                        <a:xfrm flipV="1">
                          <a:off x="0" y="0"/>
                          <a:ext cx="4936490" cy="19240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1.4pt;margin-top:151.45pt;height:15.15pt;width:388.7pt;z-index:251702272;mso-width-relative:page;mso-height-relative:page;" filled="f" stroked="t" coordsize="21600,21600" o:gfxdata="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dGcEY2AAAAAoBAAAPAAAAAAAAAAEAIAAAACIAAABkcnMvZG93bnJldi54bWxQSwEC&#10;FAAUAAAACACHTuJAZJWRF/QBAADDAwAADgAAAAAAAAABACAAAAAnAQAAZHJzL2Uyb0RvYy54bWxQ&#10;SwUGAAAAAAYABgBZAQAAjQUAAAAA&#10;">
                <v:fill on="f" focussize="0,0"/>
                <v:stroke weight="1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8349615</wp:posOffset>
                </wp:positionH>
                <wp:positionV relativeFrom="paragraph">
                  <wp:posOffset>1501775</wp:posOffset>
                </wp:positionV>
                <wp:extent cx="64135" cy="2628900"/>
                <wp:effectExtent l="6350" t="0" r="24765" b="0"/>
                <wp:wrapNone/>
                <wp:docPr id="48" name="直接连接符 48"/>
                <wp:cNvGraphicFramePr/>
                <a:graphic xmlns:a="http://schemas.openxmlformats.org/drawingml/2006/main">
                  <a:graphicData uri="http://schemas.microsoft.com/office/word/2010/wordprocessingShape">
                    <wps:wsp>
                      <wps:cNvCnPr/>
                      <wps:spPr>
                        <a:xfrm>
                          <a:off x="0" y="0"/>
                          <a:ext cx="64135" cy="262890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657.45pt;margin-top:118.25pt;height:207pt;width:5.05pt;z-index:251701248;mso-width-relative:page;mso-height-relative:page;" filled="f" stroked="t" coordsize="21600,21600" o:gfxdata="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eul2ydsAAAANAQAADwAAAAAAAAABACAAAAAiAAAAZHJzL2Rvd25yZXYueG1sUEsBAhQAFAAA&#10;AAgAh07iQFsOfUDsAQAAuAMAAA4AAAAAAAAAAQAgAAAAKgEAAGRycy9lMm9Eb2MueG1sUEsFBgAA&#10;AAAGAAYAWQEAAIgFAAAAAA==&#10;">
                <v:fill on="f" focussize="0,0"/>
                <v:stroke weight="1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5611495</wp:posOffset>
                </wp:positionH>
                <wp:positionV relativeFrom="paragraph">
                  <wp:posOffset>1529715</wp:posOffset>
                </wp:positionV>
                <wp:extent cx="8890" cy="2646680"/>
                <wp:effectExtent l="6350" t="0" r="22860" b="1270"/>
                <wp:wrapNone/>
                <wp:docPr id="47" name="直接连接符 47"/>
                <wp:cNvGraphicFramePr/>
                <a:graphic xmlns:a="http://schemas.openxmlformats.org/drawingml/2006/main">
                  <a:graphicData uri="http://schemas.microsoft.com/office/word/2010/wordprocessingShape">
                    <wps:wsp>
                      <wps:cNvCnPr/>
                      <wps:spPr>
                        <a:xfrm>
                          <a:off x="0" y="0"/>
                          <a:ext cx="8890" cy="264668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41.85pt;margin-top:120.45pt;height:208.4pt;width:0.7pt;z-index:251700224;mso-width-relative:page;mso-height-relative:page;" filled="f" stroked="t" coordsize="21600,21600" o:gfxdata="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VJB5FtoAAAALAQAADwAAAAAAAAABACAAAAAiAAAAZHJzL2Rvd25yZXYueG1sUEsBAhQAFAAAAAgA&#10;h07iQOQn03bqAQAAtwMAAA4AAAAAAAAAAQAgAAAAKQEAAGRycy9lMm9Eb2MueG1sUEsFBgAAAAAG&#10;AAYAWQEAAIUFAAAAAA==&#10;">
                <v:fill on="f" focussize="0,0"/>
                <v:stroke weight="1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5622925</wp:posOffset>
                </wp:positionH>
                <wp:positionV relativeFrom="paragraph">
                  <wp:posOffset>1501775</wp:posOffset>
                </wp:positionV>
                <wp:extent cx="2745105" cy="48895"/>
                <wp:effectExtent l="0" t="6350" r="17145" b="20955"/>
                <wp:wrapNone/>
                <wp:docPr id="46" name="直接连接符 46"/>
                <wp:cNvGraphicFramePr/>
                <a:graphic xmlns:a="http://schemas.openxmlformats.org/drawingml/2006/main">
                  <a:graphicData uri="http://schemas.microsoft.com/office/word/2010/wordprocessingShape">
                    <wps:wsp>
                      <wps:cNvCnPr/>
                      <wps:spPr>
                        <a:xfrm flipV="1">
                          <a:off x="0" y="0"/>
                          <a:ext cx="2745105" cy="4889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442.75pt;margin-top:118.25pt;height:3.85pt;width:216.15pt;z-index:251699200;mso-width-relative:page;mso-height-relative:page;" filled="f" stroked="t" coordsize="21600,21600" o:gfxdata="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4S8V5tsAAAAMAQAADwAAAAAAAAABACAAAAAiAAAAZHJzL2Rvd25yZXYueG1s&#10;UEsBAhQAFAAAAAgAh07iQBreuCT1AQAAwgMAAA4AAAAAAAAAAQAgAAAAKgEAAGRycy9lMm9Eb2Mu&#10;eG1sUEsFBgAAAAAGAAYAWQEAAJEFAAAAAA==&#10;">
                <v:fill on="f" focussize="0,0"/>
                <v:stroke weight="1pt" color="#FFFF00 [3204]" miterlimit="8" joinstyle="miter"/>
                <v:imagedata o:title=""/>
                <o:lock v:ext="edit" aspectratio="f"/>
              </v:lin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5629910</wp:posOffset>
                </wp:positionH>
                <wp:positionV relativeFrom="paragraph">
                  <wp:posOffset>4117975</wp:posOffset>
                </wp:positionV>
                <wp:extent cx="2753360" cy="48895"/>
                <wp:effectExtent l="0" t="6350" r="8890" b="20955"/>
                <wp:wrapNone/>
                <wp:docPr id="45" name="直接连接符 45"/>
                <wp:cNvGraphicFramePr/>
                <a:graphic xmlns:a="http://schemas.openxmlformats.org/drawingml/2006/main">
                  <a:graphicData uri="http://schemas.microsoft.com/office/word/2010/wordprocessingShape">
                    <wps:wsp>
                      <wps:cNvCnPr/>
                      <wps:spPr>
                        <a:xfrm flipV="1">
                          <a:off x="0" y="0"/>
                          <a:ext cx="2753360" cy="48895"/>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443.3pt;margin-top:324.25pt;height:3.85pt;width:216.8pt;z-index:251698176;mso-width-relative:page;mso-height-relative:page;" filled="f" stroked="t" coordsize="21600,21600" o:gfxdata="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KK5yPaAAAADAEAAA8AAAAAAAAAAQAgAAAAIgAAAGRycy9kb3ducmV2LnhtbFBL&#10;AQIUABQAAAAIAIdO4kAwwdYL9AEAAMIDAAAOAAAAAAAAAAEAIAAAACkBAABkcnMvZTJvRG9jLnht&#10;bFBLBQYAAAAABgAGAFkBAACPBQAAAAA=&#10;">
                <v:fill on="f" focussize="0,0"/>
                <v:stroke weight="1pt" color="#FFFF00 [3204]" miterlimit="8" joinstyle="miter"/>
                <v:imagedata o:title=""/>
                <o:lock v:ext="edit" aspectratio="f"/>
              </v:line>
            </w:pict>
          </mc:Fallback>
        </mc:AlternateContent>
      </w:r>
      <w:r>
        <w:rPr>
          <w:rFonts w:hint="default" w:ascii="Times New Roman" w:hAnsi="Times New Roman" w:eastAsia="宋体" w:cs="Times New Roman"/>
          <w:color w:val="000000" w:themeColor="text1"/>
          <w14:textFill>
            <w14:solidFill>
              <w14:schemeClr w14:val="tx1"/>
            </w14:solidFill>
          </w14:textFill>
        </w:rPr>
        <w:drawing>
          <wp:anchor distT="0" distB="0" distL="114300" distR="114300" simplePos="0" relativeHeight="251677696" behindDoc="0" locked="0" layoutInCell="1" allowOverlap="1">
            <wp:simplePos x="0" y="0"/>
            <wp:positionH relativeFrom="column">
              <wp:posOffset>7552690</wp:posOffset>
            </wp:positionH>
            <wp:positionV relativeFrom="paragraph">
              <wp:posOffset>20320</wp:posOffset>
            </wp:positionV>
            <wp:extent cx="1079500" cy="1102360"/>
            <wp:effectExtent l="0" t="0" r="6350" b="2540"/>
            <wp:wrapNone/>
            <wp:docPr id="1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7"/>
                    <pic:cNvPicPr>
                      <a:picLocks noChangeAspect="1"/>
                    </pic:cNvPicPr>
                  </pic:nvPicPr>
                  <pic:blipFill>
                    <a:blip r:embed="rId43"/>
                    <a:stretch>
                      <a:fillRect/>
                    </a:stretch>
                  </pic:blipFill>
                  <pic:spPr>
                    <a:xfrm>
                      <a:off x="0" y="0"/>
                      <a:ext cx="1079500" cy="1102360"/>
                    </a:xfrm>
                    <a:prstGeom prst="rect">
                      <a:avLst/>
                    </a:prstGeom>
                    <a:noFill/>
                    <a:ln>
                      <a:noFill/>
                    </a:ln>
                  </pic:spPr>
                </pic:pic>
              </a:graphicData>
            </a:graphic>
          </wp:anchor>
        </w:drawing>
      </w: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2713990</wp:posOffset>
                </wp:positionH>
                <wp:positionV relativeFrom="paragraph">
                  <wp:posOffset>3081020</wp:posOffset>
                </wp:positionV>
                <wp:extent cx="798195" cy="392430"/>
                <wp:effectExtent l="0" t="0" r="0" b="0"/>
                <wp:wrapNone/>
                <wp:docPr id="112" name="矩形 112"/>
                <wp:cNvGraphicFramePr/>
                <a:graphic xmlns:a="http://schemas.openxmlformats.org/drawingml/2006/main">
                  <a:graphicData uri="http://schemas.microsoft.com/office/word/2010/wordprocessingShape">
                    <wps:wsp>
                      <wps:cNvSpPr/>
                      <wps:spPr>
                        <a:xfrm>
                          <a:off x="4294505" y="2916555"/>
                          <a:ext cx="798195" cy="39243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08FE2F8">
                            <w:pPr>
                              <w:jc w:val="center"/>
                              <w:rPr>
                                <w:b/>
                                <w:bCs/>
                                <w:color w:val="FF0000"/>
                              </w:rPr>
                            </w:pPr>
                            <w:r>
                              <w:rPr>
                                <w:rFonts w:hint="eastAsia"/>
                                <w:b/>
                                <w:bCs/>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7pt;margin-top:242.6pt;height:30.9pt;width:62.85pt;z-index:251676672;v-text-anchor:middle;mso-width-relative:page;mso-height-relative:page;" filled="f" stroked="f" coordsize="21600,21600" o:gfxdata="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YgZLi2AAAAAsBAAAPAAAAAAAAAAEAIAAAACIAAABkcnMvZG93bnJl&#10;di54bWxQSwECFAAUAAAACACHTuJAgoSQ9W8CAAC8BAAADgAAAAAAAAABACAAAAAnAQAAZHJzL2Uy&#10;b0RvYy54bWxQSwUGAAAAAAYABgBZAQAACAYAAAAA&#10;">
                <v:fill on="f" focussize="0,0"/>
                <v:stroke on="f" weight="1pt" miterlimit="8" joinstyle="miter"/>
                <v:imagedata o:title=""/>
                <o:lock v:ext="edit" aspectratio="f"/>
                <v:textbox>
                  <w:txbxContent>
                    <w:p w14:paraId="208FE2F8">
                      <w:pPr>
                        <w:jc w:val="center"/>
                        <w:rPr>
                          <w:b/>
                          <w:bCs/>
                          <w:color w:val="FF0000"/>
                        </w:rPr>
                      </w:pPr>
                      <w:r>
                        <w:rPr>
                          <w:rFonts w:hint="eastAsia"/>
                          <w:b/>
                          <w:bCs/>
                          <w:color w:val="FF0000"/>
                        </w:rPr>
                        <w:t>项目位置</w:t>
                      </w:r>
                    </w:p>
                  </w:txbxContent>
                </v:textbox>
              </v:rect>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2781300</wp:posOffset>
                </wp:positionH>
                <wp:positionV relativeFrom="paragraph">
                  <wp:posOffset>2847975</wp:posOffset>
                </wp:positionV>
                <wp:extent cx="577215" cy="36830"/>
                <wp:effectExtent l="635" t="6350" r="12700" b="13970"/>
                <wp:wrapNone/>
                <wp:docPr id="40" name="直接连接符 40"/>
                <wp:cNvGraphicFramePr/>
                <a:graphic xmlns:a="http://schemas.openxmlformats.org/drawingml/2006/main">
                  <a:graphicData uri="http://schemas.microsoft.com/office/word/2010/wordprocessingShape">
                    <wps:wsp>
                      <wps:cNvCnPr/>
                      <wps:spPr>
                        <a:xfrm flipH="1">
                          <a:off x="0" y="0"/>
                          <a:ext cx="577215" cy="3683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19pt;margin-top:224.25pt;height:2.9pt;width:45.45pt;z-index:251695104;mso-width-relative:page;mso-height-relative:page;" filled="f" stroked="t" coordsize="21600,21600" o:gfxdata="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HclIJ/aAAAACwEAAA8AAAAAAAAAAQAgAAAAIgAAAGRycy9kb3ducmV2LnhtbFBL&#10;AQIUABQAAAAIAIdO4kBZ3dzJ9AEAAMEDAAAOAAAAAAAAAAEAIAAAACkBAABkcnMvZTJvRG9jLnht&#10;bFBLBQYAAAAABgAGAFkBAACPBQAAAAA=&#10;">
                <v:fill on="f" focussize="0,0"/>
                <v:stroke weight="1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3340100</wp:posOffset>
                </wp:positionH>
                <wp:positionV relativeFrom="paragraph">
                  <wp:posOffset>2839085</wp:posOffset>
                </wp:positionV>
                <wp:extent cx="69850" cy="830580"/>
                <wp:effectExtent l="6350" t="635" r="19050" b="6985"/>
                <wp:wrapNone/>
                <wp:docPr id="37" name="直接连接符 37"/>
                <wp:cNvGraphicFramePr/>
                <a:graphic xmlns:a="http://schemas.openxmlformats.org/drawingml/2006/main">
                  <a:graphicData uri="http://schemas.microsoft.com/office/word/2010/wordprocessingShape">
                    <wps:wsp>
                      <wps:cNvCnPr/>
                      <wps:spPr>
                        <a:xfrm>
                          <a:off x="0" y="0"/>
                          <a:ext cx="69850" cy="83058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63pt;margin-top:223.55pt;height:65.4pt;width:5.5pt;z-index:251694080;mso-width-relative:page;mso-height-relative:page;" filled="f" stroked="t" coordsize="21600,21600" o:gfxdata="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f4OYZdwAAAALAQAADwAAAAAAAAABACAAAAAiAAAAZHJzL2Rvd25yZXYueG1sUEsBAhQAFAAA&#10;AAgAh07iQHHbdjvrAQAAtwMAAA4AAAAAAAAAAQAgAAAAKwEAAGRycy9lMm9Eb2MueG1sUEsFBgAA&#10;AAAGAAYAWQEAAIgFAAAAAA==&#10;">
                <v:fill on="f" focussize="0,0"/>
                <v:stroke weight="1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2799715</wp:posOffset>
                </wp:positionH>
                <wp:positionV relativeFrom="paragraph">
                  <wp:posOffset>2893695</wp:posOffset>
                </wp:positionV>
                <wp:extent cx="81915" cy="815340"/>
                <wp:effectExtent l="6350" t="635" r="6985" b="3175"/>
                <wp:wrapNone/>
                <wp:docPr id="35" name="直接连接符 35"/>
                <wp:cNvGraphicFramePr/>
                <a:graphic xmlns:a="http://schemas.openxmlformats.org/drawingml/2006/main">
                  <a:graphicData uri="http://schemas.microsoft.com/office/word/2010/wordprocessingShape">
                    <wps:wsp>
                      <wps:cNvCnPr/>
                      <wps:spPr>
                        <a:xfrm>
                          <a:off x="3970655" y="3707765"/>
                          <a:ext cx="81915" cy="81534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20.45pt;margin-top:227.85pt;height:64.2pt;width:6.45pt;z-index:251693056;mso-width-relative:page;mso-height-relative:page;" filled="f" stroked="t" coordsize="21600,21600" o:gfxdata="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fPNvHbAAAACwEAAA8AAAAAAAAAAQAgAAAAIgAAAGRycy9kb3ducmV2&#10;LnhtbFBLAQIUABQAAAAIAIdO4kBX8yzK+QEAAMMDAAAOAAAAAAAAAAEAIAAAACoBAABkcnMvZTJv&#10;RG9jLnhtbFBLBQYAAAAABgAGAFkBAACVBQAAAAA=&#10;">
                <v:fill on="f" focussize="0,0"/>
                <v:stroke weight="1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2873375</wp:posOffset>
                </wp:positionH>
                <wp:positionV relativeFrom="paragraph">
                  <wp:posOffset>3663315</wp:posOffset>
                </wp:positionV>
                <wp:extent cx="539750" cy="54610"/>
                <wp:effectExtent l="635" t="6350" r="12065" b="15240"/>
                <wp:wrapNone/>
                <wp:docPr id="41" name="直接连接符 41"/>
                <wp:cNvGraphicFramePr/>
                <a:graphic xmlns:a="http://schemas.openxmlformats.org/drawingml/2006/main">
                  <a:graphicData uri="http://schemas.microsoft.com/office/word/2010/wordprocessingShape">
                    <wps:wsp>
                      <wps:cNvCnPr/>
                      <wps:spPr>
                        <a:xfrm flipV="1">
                          <a:off x="0" y="0"/>
                          <a:ext cx="539750" cy="5461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26.25pt;margin-top:288.45pt;height:4.3pt;width:42.5pt;z-index:251696128;mso-width-relative:page;mso-height-relative:page;" filled="f" stroked="t" coordsize="21600,21600" o:gfxdata="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mbuajaAAAACwEAAA8AAAAAAAAAAQAgAAAAIgAAAGRycy9kb3ducmV2LnhtbFBL&#10;AQIUABQAAAAIAIdO4kB2JvgS9AEAAMEDAAAOAAAAAAAAAAEAIAAAACkBAABkcnMvZTJvRG9jLnht&#10;bFBLBQYAAAAABgAGAFkBAACPBQAAAAA=&#10;">
                <v:fill on="f" focussize="0,0"/>
                <v:stroke weight="1pt" color="#FF0000 [3204]" miterlimit="8" joinstyle="miter"/>
                <v:imagedata o:title=""/>
                <o:lock v:ext="edit" aspectratio="f"/>
              </v:line>
            </w:pict>
          </mc:Fallback>
        </mc:AlternateContent>
      </w:r>
    </w:p>
    <w:p w14:paraId="499E8925">
      <w:pPr>
        <w:pStyle w:val="11"/>
        <w:jc w:val="center"/>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附图</w:t>
      </w:r>
      <w:r>
        <w:rPr>
          <w:rFonts w:hint="eastAsia" w:ascii="Times New Roman" w:cs="Times New Roman"/>
          <w:b/>
          <w:bCs/>
          <w:color w:val="000000" w:themeColor="text1"/>
          <w:lang w:val="en-US" w:eastAsia="zh-CN"/>
          <w14:textFill>
            <w14:solidFill>
              <w14:schemeClr w14:val="tx1"/>
            </w14:solidFill>
          </w14:textFill>
        </w:rPr>
        <w:t xml:space="preserve">8 </w:t>
      </w:r>
      <w:r>
        <w:rPr>
          <w:rFonts w:hint="default" w:ascii="Times New Roman" w:hAnsi="Times New Roman" w:eastAsia="宋体" w:cs="Times New Roman"/>
          <w:b/>
          <w:bCs/>
          <w:color w:val="000000" w:themeColor="text1"/>
          <w14:textFill>
            <w14:solidFill>
              <w14:schemeClr w14:val="tx1"/>
            </w14:solidFill>
          </w14:textFill>
        </w:rPr>
        <w:t>项目周边关系图</w:t>
      </w:r>
      <w:r>
        <w:rPr>
          <w:rFonts w:hint="eastAsia" w:ascii="Times New Roman" w:cs="Times New Roman"/>
          <w:b/>
          <w:bCs/>
          <w:color w:val="000000" w:themeColor="text1"/>
          <w:lang w:eastAsia="zh-CN"/>
          <w14:textFill>
            <w14:solidFill>
              <w14:schemeClr w14:val="tx1"/>
            </w14:solidFill>
          </w14:textFill>
        </w:rPr>
        <w:t>（</w:t>
      </w:r>
      <w:r>
        <w:rPr>
          <w:rFonts w:hint="eastAsia" w:ascii="Times New Roman" w:cs="Times New Roman"/>
          <w:b/>
          <w:bCs/>
          <w:color w:val="000000" w:themeColor="text1"/>
          <w:lang w:val="en-US" w:eastAsia="zh-CN"/>
          <w14:textFill>
            <w14:solidFill>
              <w14:schemeClr w14:val="tx1"/>
            </w14:solidFill>
          </w14:textFill>
        </w:rPr>
        <w:t>1:1000）</w:t>
      </w:r>
    </w:p>
    <w:p w14:paraId="1F6789A5">
      <w:pPr>
        <w:rPr>
          <w:rFonts w:hint="default" w:ascii="Times New Roman" w:hAnsi="Times New Roman" w:eastAsia="宋体" w:cs="Times New Roman"/>
          <w:b/>
          <w:bCs/>
          <w:color w:val="000000" w:themeColor="text1"/>
          <w14:textFill>
            <w14:solidFill>
              <w14:schemeClr w14:val="tx1"/>
            </w14:solidFill>
          </w14:textFill>
        </w:rPr>
      </w:pPr>
    </w:p>
    <w:p w14:paraId="75F18138">
      <w:pPr>
        <w:pStyle w:val="37"/>
        <w:ind w:left="0" w:leftChars="0" w:firstLine="0" w:firstLineChars="0"/>
        <w:rPr>
          <w:rFonts w:hint="default" w:ascii="Times New Roman" w:hAnsi="Times New Roman" w:eastAsia="宋体" w:cs="Times New Roman"/>
          <w:b/>
          <w:bCs/>
          <w:color w:val="000000" w:themeColor="text1"/>
          <w14:textFill>
            <w14:solidFill>
              <w14:schemeClr w14:val="tx1"/>
            </w14:solidFill>
          </w14:textFill>
        </w:rPr>
      </w:pPr>
      <w:r>
        <w:rPr>
          <w:sz w:val="21"/>
        </w:rPr>
        <mc:AlternateContent>
          <mc:Choice Requires="wps">
            <w:drawing>
              <wp:anchor distT="0" distB="0" distL="114300" distR="114300" simplePos="0" relativeHeight="251727872" behindDoc="0" locked="0" layoutInCell="1" allowOverlap="1">
                <wp:simplePos x="0" y="0"/>
                <wp:positionH relativeFrom="column">
                  <wp:posOffset>2543175</wp:posOffset>
                </wp:positionH>
                <wp:positionV relativeFrom="paragraph">
                  <wp:posOffset>1948815</wp:posOffset>
                </wp:positionV>
                <wp:extent cx="2508250" cy="1764030"/>
                <wp:effectExtent l="50800" t="71120" r="69850" b="88900"/>
                <wp:wrapNone/>
                <wp:docPr id="99" name="矩形 99"/>
                <wp:cNvGraphicFramePr/>
                <a:graphic xmlns:a="http://schemas.openxmlformats.org/drawingml/2006/main">
                  <a:graphicData uri="http://schemas.microsoft.com/office/word/2010/wordprocessingShape">
                    <wps:wsp>
                      <wps:cNvSpPr/>
                      <wps:spPr>
                        <a:xfrm rot="21420000">
                          <a:off x="3369945" y="2940685"/>
                          <a:ext cx="2508250" cy="176403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0.25pt;margin-top:153.45pt;height:138.9pt;width:197.5pt;rotation:-196608f;z-index:251727872;v-text-anchor:middle;mso-width-relative:page;mso-height-relative:page;" filled="f" stroked="t" coordsize="21600,21600" o:gfxdata="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NAaYY2gAAAAsBAAAPAAAAAAAA&#10;AAEAIAAAACIAAABkcnMvZG93bnJldi54bWxQSwECFAAUAAAACACHTuJA+XShYYICAADpBAAADgAA&#10;AAAAAAABACAAAAApAQAAZHJzL2Uyb0RvYy54bWxQSwUGAAAAAAYABgBZAQAAHQYAAAAA&#10;">
                <v:fill on="f" focussize="0,0"/>
                <v:stroke weight="1pt" color="#FF0000 [2404]" miterlimit="8" joinstyle="miter"/>
                <v:imagedata o:title=""/>
                <o:lock v:ext="edit" aspectratio="f"/>
              </v:rect>
            </w:pict>
          </mc:Fallback>
        </mc:AlternateContent>
      </w:r>
      <w:r>
        <w:drawing>
          <wp:inline distT="0" distB="0" distL="114300" distR="114300">
            <wp:extent cx="8416925" cy="5289550"/>
            <wp:effectExtent l="0" t="0" r="3175" b="6350"/>
            <wp:docPr id="7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6"/>
                    <pic:cNvPicPr>
                      <a:picLocks noChangeAspect="1"/>
                    </pic:cNvPicPr>
                  </pic:nvPicPr>
                  <pic:blipFill>
                    <a:blip r:embed="rId52"/>
                    <a:stretch>
                      <a:fillRect/>
                    </a:stretch>
                  </pic:blipFill>
                  <pic:spPr>
                    <a:xfrm>
                      <a:off x="0" y="0"/>
                      <a:ext cx="8416925" cy="5289550"/>
                    </a:xfrm>
                    <a:prstGeom prst="rect">
                      <a:avLst/>
                    </a:prstGeom>
                    <a:noFill/>
                    <a:ln>
                      <a:noFill/>
                    </a:ln>
                  </pic:spPr>
                </pic:pic>
              </a:graphicData>
            </a:graphic>
          </wp:inline>
        </w:drawing>
      </w:r>
    </w:p>
    <w:p w14:paraId="3BA59E2A">
      <w:pPr>
        <w:pStyle w:val="11"/>
        <w:jc w:val="center"/>
        <w:rPr>
          <w:rFonts w:hint="default" w:ascii="Times New Roman" w:hAnsi="Times New Roman" w:eastAsia="宋体" w:cs="Times New Roman"/>
          <w:b/>
          <w:bCs/>
          <w:color w:val="000000" w:themeColor="text1"/>
          <w14:textFill>
            <w14:solidFill>
              <w14:schemeClr w14:val="tx1"/>
            </w14:solidFill>
          </w14:textFill>
        </w:rPr>
      </w:pPr>
      <w:r>
        <w:rPr>
          <w:rFonts w:hint="eastAsia" w:ascii="Times New Roman" w:hAnsi="Times New Roman" w:eastAsia="宋体" w:cs="Times New Roman"/>
          <w:b/>
          <w:bCs/>
          <w:color w:val="000000" w:themeColor="text1"/>
          <w:lang w:val="en-US" w:eastAsia="zh-CN"/>
          <w14:textFill>
            <w14:solidFill>
              <w14:schemeClr w14:val="tx1"/>
            </w14:solidFill>
          </w14:textFill>
        </w:rPr>
        <w:t>附图9 项目</w:t>
      </w:r>
      <w:r>
        <w:rPr>
          <w:rFonts w:hint="default" w:ascii="Times New Roman" w:hAnsi="Times New Roman" w:eastAsia="宋体" w:cs="Times New Roman"/>
          <w:b/>
          <w:bCs/>
          <w:color w:val="000000" w:themeColor="text1"/>
          <w:lang w:val="en-US" w:eastAsia="zh-CN"/>
          <w14:textFill>
            <w14:solidFill>
              <w14:schemeClr w14:val="tx1"/>
            </w14:solidFill>
          </w14:textFill>
        </w:rPr>
        <w:t>噪声预测厂界范围</w:t>
      </w:r>
      <w:r>
        <w:rPr>
          <w:rFonts w:hint="default" w:ascii="Times New Roman" w:hAnsi="Times New Roman" w:eastAsia="宋体" w:cs="Times New Roman"/>
          <w:b/>
          <w:bCs/>
          <w:color w:val="000000" w:themeColor="text1"/>
          <w14:textFill>
            <w14:solidFill>
              <w14:schemeClr w14:val="tx1"/>
            </w14:solidFill>
          </w14:textFill>
        </w:rPr>
        <w:t>图</w:t>
      </w:r>
      <w:r>
        <w:rPr>
          <w:rFonts w:hint="eastAsia" w:ascii="Times New Roman" w:cs="Times New Roman"/>
          <w:b/>
          <w:bCs/>
          <w:color w:val="000000" w:themeColor="text1"/>
          <w:lang w:eastAsia="zh-CN"/>
          <w14:textFill>
            <w14:solidFill>
              <w14:schemeClr w14:val="tx1"/>
            </w14:solidFill>
          </w14:textFill>
        </w:rPr>
        <w:t>（</w:t>
      </w:r>
      <w:r>
        <w:rPr>
          <w:rFonts w:hint="eastAsia" w:ascii="Times New Roman" w:cs="Times New Roman"/>
          <w:b/>
          <w:bCs/>
          <w:color w:val="000000" w:themeColor="text1"/>
          <w:lang w:val="en-US" w:eastAsia="zh-CN"/>
          <w14:textFill>
            <w14:solidFill>
              <w14:schemeClr w14:val="tx1"/>
            </w14:solidFill>
          </w14:textFill>
        </w:rPr>
        <w:t>1:1000）</w:t>
      </w:r>
    </w:p>
    <w:p w14:paraId="432FA2E0">
      <w:pPr>
        <w:pStyle w:val="37"/>
        <w:rPr>
          <w:rFonts w:hint="default"/>
        </w:rPr>
        <w:sectPr>
          <w:pgSz w:w="16838" w:h="11906" w:orient="landscape"/>
          <w:pgMar w:top="1440" w:right="1440" w:bottom="1440" w:left="1440" w:header="510" w:footer="794" w:gutter="0"/>
          <w:pgBorders>
            <w:top w:val="none" w:sz="0" w:space="0"/>
            <w:left w:val="none" w:sz="0" w:space="0"/>
            <w:bottom w:val="none" w:sz="0" w:space="0"/>
            <w:right w:val="none" w:sz="0" w:space="0"/>
          </w:pgBorders>
          <w:cols w:space="0" w:num="1"/>
          <w:docGrid w:type="lines" w:linePitch="312" w:charSpace="0"/>
        </w:sectPr>
      </w:pPr>
    </w:p>
    <w:p w14:paraId="5D2ED494">
      <w:pPr>
        <w:pStyle w:val="11"/>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附图</w:t>
      </w:r>
      <w:r>
        <w:rPr>
          <w:rFonts w:hint="eastAsia" w:ascii="Times New Roman" w:hAnsi="Times New Roman" w:cs="Times New Roman"/>
          <w:b/>
          <w:bCs/>
          <w:color w:val="000000" w:themeColor="text1"/>
          <w:lang w:val="en-US" w:eastAsia="zh-CN"/>
          <w14:textFill>
            <w14:solidFill>
              <w14:schemeClr w14:val="tx1"/>
            </w14:solidFill>
          </w14:textFill>
        </w:rPr>
        <w:t xml:space="preserve">10 </w:t>
      </w:r>
      <w:r>
        <w:rPr>
          <w:rFonts w:hint="eastAsia" w:ascii="Times New Roman" w:cs="Times New Roman"/>
          <w:b/>
          <w:bCs/>
          <w:color w:val="000000" w:themeColor="text1"/>
          <w:lang w:val="en-US" w:eastAsia="zh-CN"/>
          <w14:textFill>
            <w14:solidFill>
              <w14:schemeClr w14:val="tx1"/>
            </w14:solidFill>
          </w14:textFill>
        </w:rPr>
        <w:t>淄博市国土空间总体规划（2021-20235）-市域国土空间控制线规划图</w:t>
      </w:r>
    </w:p>
    <w:p w14:paraId="57D6E21A">
      <w:pPr>
        <w:pStyle w:val="11"/>
        <w:spacing w:line="240" w:lineRule="auto"/>
        <w:rPr>
          <w:rFonts w:hint="eastAsia" w:ascii="Times New Roman" w:hAnsi="Times New Roman" w:eastAsia="宋体" w:cs="Times New Roman"/>
          <w:color w:val="000000" w:themeColor="text1"/>
          <w:lang w:eastAsia="zh-CN"/>
          <w14:textFill>
            <w14:solidFill>
              <w14:schemeClr w14:val="tx1"/>
            </w14:solidFill>
          </w14:textFill>
        </w:rPr>
      </w:pPr>
      <w:r>
        <w:rPr>
          <w:sz w:val="24"/>
        </w:rPr>
        <mc:AlternateContent>
          <mc:Choice Requires="wps">
            <w:drawing>
              <wp:anchor distT="0" distB="0" distL="114300" distR="114300" simplePos="0" relativeHeight="251683840" behindDoc="0" locked="0" layoutInCell="1" allowOverlap="1">
                <wp:simplePos x="0" y="0"/>
                <wp:positionH relativeFrom="column">
                  <wp:posOffset>4549140</wp:posOffset>
                </wp:positionH>
                <wp:positionV relativeFrom="paragraph">
                  <wp:posOffset>4921885</wp:posOffset>
                </wp:positionV>
                <wp:extent cx="775970" cy="285750"/>
                <wp:effectExtent l="0" t="0" r="0" b="0"/>
                <wp:wrapNone/>
                <wp:docPr id="21" name="矩形 21"/>
                <wp:cNvGraphicFramePr/>
                <a:graphic xmlns:a="http://schemas.openxmlformats.org/drawingml/2006/main">
                  <a:graphicData uri="http://schemas.microsoft.com/office/word/2010/wordprocessingShape">
                    <wps:wsp>
                      <wps:cNvSpPr/>
                      <wps:spPr>
                        <a:xfrm>
                          <a:off x="4841240" y="6080125"/>
                          <a:ext cx="775970" cy="2857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A9F4EEB">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8.2pt;margin-top:387.55pt;height:22.5pt;width:61.1pt;z-index:251683840;v-text-anchor:middle;mso-width-relative:page;mso-height-relative:page;" filled="f" stroked="f" coordsize="21600,21600" o:gfxdata="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tzOEq2AAAAAsBAAAPAAAAAAAAAAEAIAAAACIAAABkcnMvZG93bnJldi54&#10;bWxQSwECFAAUAAAACACHTuJASFsFS2wCAAC6BAAADgAAAAAAAAABACAAAAAnAQAAZHJzL2Uyb0Rv&#10;Yy54bWxQSwUGAAAAAAYABgBZAQAABQYAAAAA&#10;">
                <v:fill on="f" focussize="0,0"/>
                <v:stroke on="f" weight="1pt" miterlimit="8" joinstyle="miter"/>
                <v:imagedata o:title=""/>
                <o:lock v:ext="edit" aspectratio="f"/>
                <v:textbox>
                  <w:txbxContent>
                    <w:p w14:paraId="3A9F4EEB">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项目位置</w:t>
                      </w:r>
                    </w:p>
                  </w:txbxContent>
                </v:textbox>
              </v:rect>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4664710</wp:posOffset>
                </wp:positionH>
                <wp:positionV relativeFrom="paragraph">
                  <wp:posOffset>4747260</wp:posOffset>
                </wp:positionV>
                <wp:extent cx="129540" cy="130175"/>
                <wp:effectExtent l="6350" t="6350" r="16510" b="15875"/>
                <wp:wrapNone/>
                <wp:docPr id="20" name="矩形 20"/>
                <wp:cNvGraphicFramePr/>
                <a:graphic xmlns:a="http://schemas.openxmlformats.org/drawingml/2006/main">
                  <a:graphicData uri="http://schemas.microsoft.com/office/word/2010/wordprocessingShape">
                    <wps:wsp>
                      <wps:cNvSpPr/>
                      <wps:spPr>
                        <a:xfrm>
                          <a:off x="5222240" y="5976620"/>
                          <a:ext cx="129540" cy="130175"/>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7.3pt;margin-top:373.8pt;height:10.25pt;width:10.2pt;z-index:251682816;v-text-anchor:middle;mso-width-relative:page;mso-height-relative:page;" filled="f" stroked="t" coordsize="21600,21600" o:gfxdata="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p414FNcAAAALAQAADwAAAAAA&#10;AAABACAAAAAiAAAAZHJzL2Rvd25yZXYueG1sUEsBAhQAFAAAAAgAh07iQA7woWaGAgAA+gQAAA4A&#10;AAAAAAAAAQAgAAAAJgEAAGRycy9lMm9Eb2MueG1sUEsFBgAAAAAGAAYAWQEAAB4GAAAAAA==&#10;">
                <v:fill on="f" focussize="0,0"/>
                <v:stroke weight="1pt" color="#2E75B6 [2404]" miterlimit="8" joinstyle="miter"/>
                <v:imagedata o:title=""/>
                <o:lock v:ext="edit" aspectratio="f"/>
              </v:rect>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3459480</wp:posOffset>
                </wp:positionH>
                <wp:positionV relativeFrom="paragraph">
                  <wp:posOffset>3870325</wp:posOffset>
                </wp:positionV>
                <wp:extent cx="2199005" cy="1454150"/>
                <wp:effectExtent l="120650" t="593725" r="23495" b="9525"/>
                <wp:wrapNone/>
                <wp:docPr id="16" name="矩形标注 16"/>
                <wp:cNvGraphicFramePr/>
                <a:graphic xmlns:a="http://schemas.openxmlformats.org/drawingml/2006/main">
                  <a:graphicData uri="http://schemas.microsoft.com/office/word/2010/wordprocessingShape">
                    <wps:wsp>
                      <wps:cNvSpPr/>
                      <wps:spPr>
                        <a:xfrm>
                          <a:off x="4772025" y="5102225"/>
                          <a:ext cx="2199005" cy="1454150"/>
                        </a:xfrm>
                        <a:prstGeom prst="wedgeRectCallout">
                          <a:avLst>
                            <a:gd name="adj1" fmla="val -54302"/>
                            <a:gd name="adj2" fmla="val -89344"/>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3C813B72">
                            <w:r>
                              <w:drawing>
                                <wp:inline distT="0" distB="0" distL="114300" distR="114300">
                                  <wp:extent cx="2001520" cy="1581785"/>
                                  <wp:effectExtent l="0" t="0" r="17780" b="18415"/>
                                  <wp:docPr id="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
                                          <pic:cNvPicPr>
                                            <a:picLocks noChangeAspect="1"/>
                                          </pic:cNvPicPr>
                                        </pic:nvPicPr>
                                        <pic:blipFill>
                                          <a:blip r:embed="rId53"/>
                                          <a:stretch>
                                            <a:fillRect/>
                                          </a:stretch>
                                        </pic:blipFill>
                                        <pic:spPr>
                                          <a:xfrm>
                                            <a:off x="0" y="0"/>
                                            <a:ext cx="2001520" cy="15817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2.4pt;margin-top:304.75pt;height:114.5pt;width:173.15pt;z-index:251681792;v-text-anchor:middle;mso-width-relative:page;mso-height-relative:page;" filled="f" stroked="t" coordsize="21600,21600" o:gfxdata="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DDBVaNkA&#10;AAALAQAADwAAAAAAAAABACAAAAAiAAAAZHJzL2Rvd25yZXYueG1sUEsBAhQAFAAAAAgAh07iQIC5&#10;PWrJAgAAbAUAAA4AAAAAAAAAAQAgAAAAKAEAAGRycy9lMm9Eb2MueG1sUEsFBgAAAAAGAAYAWQEA&#10;AGMGAAAAAA==&#10;" adj="-929,-8498">
                <v:fill on="f" focussize="0,0"/>
                <v:stroke weight="1pt" color="#2E75B6 [2404]" miterlimit="8" joinstyle="miter"/>
                <v:imagedata o:title=""/>
                <o:lock v:ext="edit" aspectratio="f"/>
                <v:textbox>
                  <w:txbxContent>
                    <w:p w14:paraId="3C813B72">
                      <w:r>
                        <w:drawing>
                          <wp:inline distT="0" distB="0" distL="114300" distR="114300">
                            <wp:extent cx="2001520" cy="1581785"/>
                            <wp:effectExtent l="0" t="0" r="17780" b="18415"/>
                            <wp:docPr id="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
                                    <pic:cNvPicPr>
                                      <a:picLocks noChangeAspect="1"/>
                                    </pic:cNvPicPr>
                                  </pic:nvPicPr>
                                  <pic:blipFill>
                                    <a:blip r:embed="rId53"/>
                                    <a:stretch>
                                      <a:fillRect/>
                                    </a:stretch>
                                  </pic:blipFill>
                                  <pic:spPr>
                                    <a:xfrm>
                                      <a:off x="0" y="0"/>
                                      <a:ext cx="2001520" cy="1581785"/>
                                    </a:xfrm>
                                    <a:prstGeom prst="rect">
                                      <a:avLst/>
                                    </a:prstGeom>
                                    <a:noFill/>
                                    <a:ln>
                                      <a:noFill/>
                                    </a:ln>
                                  </pic:spPr>
                                </pic:pic>
                              </a:graphicData>
                            </a:graphic>
                          </wp:inline>
                        </w:drawing>
                      </w:r>
                    </w:p>
                  </w:txbxContent>
                </v:textbox>
              </v:shape>
            </w:pict>
          </mc:Fallback>
        </mc:AlternateContent>
      </w:r>
      <w:r>
        <w:rPr>
          <w:rFonts w:hint="default"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5730240" cy="8115300"/>
            <wp:effectExtent l="0" t="0" r="3810" b="0"/>
            <wp:docPr id="15" name="图片 15" descr="淄博市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淄博市规划图"/>
                    <pic:cNvPicPr>
                      <a:picLocks noChangeAspect="1"/>
                    </pic:cNvPicPr>
                  </pic:nvPicPr>
                  <pic:blipFill>
                    <a:blip r:embed="rId54"/>
                    <a:stretch>
                      <a:fillRect/>
                    </a:stretch>
                  </pic:blipFill>
                  <pic:spPr>
                    <a:xfrm>
                      <a:off x="0" y="0"/>
                      <a:ext cx="5730240" cy="8115300"/>
                    </a:xfrm>
                    <a:prstGeom prst="rect">
                      <a:avLst/>
                    </a:prstGeom>
                  </pic:spPr>
                </pic:pic>
              </a:graphicData>
            </a:graphic>
          </wp:inline>
        </w:drawing>
      </w:r>
    </w:p>
    <w:p w14:paraId="73856264">
      <w:pPr>
        <w:pStyle w:val="11"/>
        <w:rPr>
          <w:rFonts w:hint="eastAsia" w:ascii="Times New Roman" w:cs="Times New Roman"/>
          <w:color w:val="000000" w:themeColor="text1"/>
          <w:lang w:val="en-US" w:eastAsia="zh-CN"/>
          <w14:textFill>
            <w14:solidFill>
              <w14:schemeClr w14:val="tx1"/>
            </w14:solidFill>
          </w14:textFill>
        </w:rPr>
      </w:pPr>
    </w:p>
    <w:p w14:paraId="260D9E51">
      <w:pPr>
        <w:pStyle w:val="49"/>
        <w:rPr>
          <w:rFonts w:hint="eastAsia"/>
          <w:lang w:val="en-US" w:eastAsia="zh-CN"/>
        </w:rPr>
      </w:pPr>
    </w:p>
    <w:p w14:paraId="4B4B20B2">
      <w:pPr>
        <w:pStyle w:val="11"/>
        <w:rPr>
          <w:rFonts w:hint="eastAsia" w:ascii="Times New Roman" w:cs="Times New Roman"/>
          <w:b/>
          <w:bCs/>
          <w:color w:val="000000" w:themeColor="text1"/>
          <w:lang w:val="en-US" w:eastAsia="zh-CN"/>
          <w14:textFill>
            <w14:solidFill>
              <w14:schemeClr w14:val="tx1"/>
            </w14:solidFill>
          </w14:textFill>
        </w:rPr>
        <w:sectPr>
          <w:pgSz w:w="11906" w:h="16838"/>
          <w:pgMar w:top="1440" w:right="1440" w:bottom="1440" w:left="1440" w:header="510" w:footer="794" w:gutter="0"/>
          <w:pgBorders>
            <w:top w:val="none" w:sz="0" w:space="0"/>
            <w:left w:val="none" w:sz="0" w:space="0"/>
            <w:bottom w:val="none" w:sz="0" w:space="0"/>
            <w:right w:val="none" w:sz="0" w:space="0"/>
          </w:pgBorders>
          <w:cols w:space="0" w:num="1"/>
          <w:docGrid w:type="lines" w:linePitch="312" w:charSpace="0"/>
        </w:sectPr>
      </w:pPr>
    </w:p>
    <w:p w14:paraId="79840AF6">
      <w:pPr>
        <w:pStyle w:val="11"/>
        <w:rPr>
          <w:rFonts w:hint="eastAsia" w:ascii="Times New Roman" w:cs="Times New Roman"/>
          <w:color w:val="000000" w:themeColor="text1"/>
          <w:lang w:val="en-US" w:eastAsia="zh-CN"/>
          <w14:textFill>
            <w14:solidFill>
              <w14:schemeClr w14:val="tx1"/>
            </w14:solidFill>
          </w14:textFill>
        </w:rPr>
      </w:pPr>
      <w:r>
        <w:rPr>
          <w:sz w:val="24"/>
        </w:rPr>
        <mc:AlternateContent>
          <mc:Choice Requires="wps">
            <w:drawing>
              <wp:anchor distT="0" distB="0" distL="114300" distR="114300" simplePos="0" relativeHeight="251686912" behindDoc="0" locked="0" layoutInCell="1" allowOverlap="1">
                <wp:simplePos x="0" y="0"/>
                <wp:positionH relativeFrom="column">
                  <wp:posOffset>5710555</wp:posOffset>
                </wp:positionH>
                <wp:positionV relativeFrom="paragraph">
                  <wp:posOffset>3197225</wp:posOffset>
                </wp:positionV>
                <wp:extent cx="76200" cy="76200"/>
                <wp:effectExtent l="6350" t="6350" r="12700" b="12700"/>
                <wp:wrapNone/>
                <wp:docPr id="25" name="矩形 25"/>
                <wp:cNvGraphicFramePr/>
                <a:graphic xmlns:a="http://schemas.openxmlformats.org/drawingml/2006/main">
                  <a:graphicData uri="http://schemas.microsoft.com/office/word/2010/wordprocessingShape">
                    <wps:wsp>
                      <wps:cNvSpPr/>
                      <wps:spPr>
                        <a:xfrm>
                          <a:off x="6878955" y="4754245"/>
                          <a:ext cx="76200" cy="7620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9.65pt;margin-top:251.75pt;height:6pt;width:6pt;z-index:251686912;v-text-anchor:middle;mso-width-relative:page;mso-height-relative:page;" filled="f" stroked="t" coordsize="21600,21600" o:gfxdata="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PFNntvXAAAACwEAAA8AAAAAAAAA&#10;AQAgAAAAIgAAAGRycy9kb3ducmV2LnhtbFBLAQIUABQAAAAIAIdO4kAMHgHvhAIAAPgEAAAOAAAA&#10;AAAAAAEAIAAAACYBAABkcnMvZTJvRG9jLnhtbFBLBQYAAAAABgAGAFkBAAAcBgAAAAA=&#10;">
                <v:fill on="f" focussize="0,0"/>
                <v:stroke weight="1pt" color="#2E75B6 [2404]" miterlimit="8" joinstyle="miter"/>
                <v:imagedata o:title=""/>
                <o:lock v:ext="edit" aspectratio="f"/>
              </v:rect>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4856480</wp:posOffset>
                </wp:positionH>
                <wp:positionV relativeFrom="paragraph">
                  <wp:posOffset>3504565</wp:posOffset>
                </wp:positionV>
                <wp:extent cx="620395" cy="275590"/>
                <wp:effectExtent l="6350" t="259715" r="230505" b="17145"/>
                <wp:wrapNone/>
                <wp:docPr id="26" name="矩形标注 26"/>
                <wp:cNvGraphicFramePr/>
                <a:graphic xmlns:a="http://schemas.openxmlformats.org/drawingml/2006/main">
                  <a:graphicData uri="http://schemas.microsoft.com/office/word/2010/wordprocessingShape">
                    <wps:wsp>
                      <wps:cNvSpPr/>
                      <wps:spPr>
                        <a:xfrm>
                          <a:off x="6243320" y="5050790"/>
                          <a:ext cx="620395" cy="275590"/>
                        </a:xfrm>
                        <a:prstGeom prst="wedgeRectCallout">
                          <a:avLst>
                            <a:gd name="adj1" fmla="val 80194"/>
                            <a:gd name="adj2" fmla="val -133870"/>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175EFAD8">
                            <w:pPr>
                              <w:spacing w:line="240" w:lineRule="auto"/>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sz w:val="15"/>
                                <w:szCs w:val="15"/>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82.4pt;margin-top:275.95pt;height:21.7pt;width:48.85pt;z-index:251687936;v-text-anchor:middle;mso-width-relative:page;mso-height-relative:page;" filled="f" stroked="t" coordsize="21600,21600" o:gfxdata="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Eg61ZfZAAAA&#10;CwEAAA8AAAAAAAAAAQAgAAAAIgAAAGRycy9kb3ducmV2LnhtbFBLAQIUABQAAAAIAIdO4kB8+sV2&#10;xwIAAGoFAAAOAAAAAAAAAAEAIAAAACgBAABkcnMvZTJvRG9jLnhtbFBLBQYAAAAABgAGAFkBAABh&#10;BgAAAAA=&#10;" adj="28122,-18116">
                <v:fill on="f" focussize="0,0"/>
                <v:stroke weight="1pt" color="#2E75B6 [2404]" miterlimit="8" joinstyle="miter"/>
                <v:imagedata o:title=""/>
                <o:lock v:ext="edit" aspectratio="f"/>
                <v:textbox>
                  <w:txbxContent>
                    <w:p w14:paraId="175EFAD8">
                      <w:pPr>
                        <w:spacing w:line="240" w:lineRule="auto"/>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sz w:val="15"/>
                          <w:szCs w:val="15"/>
                          <w:lang w:val="en-US" w:eastAsia="zh-CN"/>
                          <w14:textFill>
                            <w14:solidFill>
                              <w14:schemeClr w14:val="tx1"/>
                            </w14:solidFill>
                          </w14:textFill>
                        </w:rPr>
                        <w:t>项目位置</w:t>
                      </w:r>
                    </w:p>
                  </w:txbxContent>
                </v:textbox>
              </v:shape>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57150</wp:posOffset>
                </wp:positionH>
                <wp:positionV relativeFrom="paragraph">
                  <wp:posOffset>-214630</wp:posOffset>
                </wp:positionV>
                <wp:extent cx="7385050" cy="323850"/>
                <wp:effectExtent l="0" t="0" r="0" b="0"/>
                <wp:wrapNone/>
                <wp:docPr id="24" name="矩形 24"/>
                <wp:cNvGraphicFramePr/>
                <a:graphic xmlns:a="http://schemas.openxmlformats.org/drawingml/2006/main">
                  <a:graphicData uri="http://schemas.microsoft.com/office/word/2010/wordprocessingShape">
                    <wps:wsp>
                      <wps:cNvSpPr/>
                      <wps:spPr>
                        <a:xfrm>
                          <a:off x="971550" y="775970"/>
                          <a:ext cx="7385050" cy="3238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1A9E598">
                            <w:pPr>
                              <w:jc w:val="both"/>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附图11 张店区湖田街道工业集聚区总体发展规划（2024-2035）-空间管制规划图</w:t>
                            </w:r>
                          </w:p>
                          <w:p w14:paraId="2E84DB3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pt;margin-top:-16.9pt;height:25.5pt;width:581.5pt;z-index:251685888;v-text-anchor:middle;mso-width-relative:page;mso-height-relative:page;" filled="f" stroked="f" coordsize="21600,21600" o:gfxdata="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V9Tc7NcAAAAJAQAADwAAAAAAAAABACAAAAAiAAAAZHJzL2Rvd25yZXYueG1sUEsB&#10;AhQAFAAAAAgAh07iQCKDS2RoAgAAuQQAAA4AAAAAAAAAAQAgAAAAJgEAAGRycy9lMm9Eb2MueG1s&#10;UEsFBgAAAAAGAAYAWQEAAAAGAAAAAA==&#10;">
                <v:fill on="f" focussize="0,0"/>
                <v:stroke on="f" weight="1pt" miterlimit="8" joinstyle="miter"/>
                <v:imagedata o:title=""/>
                <o:lock v:ext="edit" aspectratio="f"/>
                <v:textbox>
                  <w:txbxContent>
                    <w:p w14:paraId="71A9E598">
                      <w:pPr>
                        <w:jc w:val="both"/>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附图11 张店区湖田街道工业集聚区总体发展规划（2024-2035）-空间管制规划图</w:t>
                      </w:r>
                    </w:p>
                    <w:p w14:paraId="2E84DB37">
                      <w:pPr>
                        <w:jc w:val="center"/>
                      </w:pPr>
                    </w:p>
                  </w:txbxContent>
                </v:textbox>
              </v:rect>
            </w:pict>
          </mc:Fallback>
        </mc:AlternateContent>
      </w:r>
      <w:r>
        <w:rPr>
          <w:rFonts w:hint="eastAsia" w:ascii="Times New Roman" w:cs="Times New Roman"/>
          <w:color w:val="000000" w:themeColor="text1"/>
          <w:lang w:val="en-US" w:eastAsia="zh-CN"/>
          <w14:textFill>
            <w14:solidFill>
              <w14:schemeClr w14:val="tx1"/>
            </w14:solidFill>
          </w14:textFill>
        </w:rPr>
        <w:drawing>
          <wp:inline distT="0" distB="0" distL="114300" distR="114300">
            <wp:extent cx="8856345" cy="6274435"/>
            <wp:effectExtent l="0" t="0" r="1905" b="1206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55"/>
                    <a:stretch>
                      <a:fillRect/>
                    </a:stretch>
                  </pic:blipFill>
                  <pic:spPr>
                    <a:xfrm>
                      <a:off x="0" y="0"/>
                      <a:ext cx="8856345" cy="6274435"/>
                    </a:xfrm>
                    <a:prstGeom prst="rect">
                      <a:avLst/>
                    </a:prstGeom>
                    <a:noFill/>
                    <a:ln>
                      <a:noFill/>
                    </a:ln>
                  </pic:spPr>
                </pic:pic>
              </a:graphicData>
            </a:graphic>
          </wp:inline>
        </w:drawing>
      </w:r>
    </w:p>
    <w:p w14:paraId="3B38BA84">
      <w:pPr>
        <w:pStyle w:val="11"/>
        <w:rPr>
          <w:rFonts w:hint="eastAsia" w:ascii="Times New Roman" w:cs="Times New Roman"/>
          <w:b/>
          <w:bCs/>
          <w:color w:val="000000" w:themeColor="text1"/>
          <w:lang w:val="en-US" w:eastAsia="zh-CN"/>
          <w14:textFill>
            <w14:solidFill>
              <w14:schemeClr w14:val="tx1"/>
            </w14:solidFill>
          </w14:textFill>
        </w:rPr>
        <w:sectPr>
          <w:pgSz w:w="16838" w:h="11906" w:orient="landscape"/>
          <w:pgMar w:top="1440" w:right="1440" w:bottom="1440" w:left="1440" w:header="510" w:footer="794" w:gutter="0"/>
          <w:pgBorders>
            <w:top w:val="none" w:sz="0" w:space="0"/>
            <w:left w:val="none" w:sz="0" w:space="0"/>
            <w:bottom w:val="none" w:sz="0" w:space="0"/>
            <w:right w:val="none" w:sz="0" w:space="0"/>
          </w:pgBorders>
          <w:cols w:space="0" w:num="1"/>
          <w:rtlGutter w:val="0"/>
          <w:docGrid w:type="lines" w:linePitch="322" w:charSpace="0"/>
        </w:sectPr>
      </w:pPr>
    </w:p>
    <w:p w14:paraId="7EDCB821">
      <w:pPr>
        <w:pStyle w:val="11"/>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eastAsia" w:ascii="Times New Roman" w:cs="Times New Roman"/>
          <w:b/>
          <w:bCs/>
          <w:color w:val="000000" w:themeColor="text1"/>
          <w:lang w:val="en-US" w:eastAsia="zh-CN"/>
          <w14:textFill>
            <w14:solidFill>
              <w14:schemeClr w14:val="tx1"/>
            </w14:solidFill>
          </w14:textFill>
        </w:rPr>
        <w:t>附图12 声环境功能区划图</w:t>
      </w:r>
    </w:p>
    <w:p w14:paraId="775A8111">
      <w:pPr>
        <w:pStyle w:val="11"/>
        <w:spacing w:line="240" w:lineRule="auto"/>
        <w:rPr>
          <w:rFonts w:hint="eastAsia" w:ascii="Times New Roman" w:hAnsi="Times New Roman" w:eastAsia="宋体" w:cs="Times New Roman"/>
          <w:color w:val="000000" w:themeColor="text1"/>
          <w:lang w:eastAsia="zh-CN"/>
          <w14:textFill>
            <w14:solidFill>
              <w14:schemeClr w14:val="tx1"/>
            </w14:solidFill>
          </w14:textFill>
        </w:rPr>
      </w:pPr>
      <w:r>
        <w:rPr>
          <w:sz w:val="24"/>
        </w:rPr>
        <mc:AlternateContent>
          <mc:Choice Requires="wps">
            <w:drawing>
              <wp:anchor distT="0" distB="0" distL="114300" distR="114300" simplePos="0" relativeHeight="251679744" behindDoc="0" locked="0" layoutInCell="1" allowOverlap="1">
                <wp:simplePos x="0" y="0"/>
                <wp:positionH relativeFrom="column">
                  <wp:posOffset>4244975</wp:posOffset>
                </wp:positionH>
                <wp:positionV relativeFrom="paragraph">
                  <wp:posOffset>4472305</wp:posOffset>
                </wp:positionV>
                <wp:extent cx="876300" cy="374650"/>
                <wp:effectExtent l="6350" t="421005" r="12700" b="23495"/>
                <wp:wrapNone/>
                <wp:docPr id="115" name="矩形标注 115"/>
                <wp:cNvGraphicFramePr/>
                <a:graphic xmlns:a="http://schemas.openxmlformats.org/drawingml/2006/main">
                  <a:graphicData uri="http://schemas.microsoft.com/office/word/2010/wordprocessingShape">
                    <wps:wsp>
                      <wps:cNvSpPr/>
                      <wps:spPr>
                        <a:xfrm>
                          <a:off x="5456555" y="5930265"/>
                          <a:ext cx="876300" cy="374650"/>
                        </a:xfrm>
                        <a:prstGeom prst="wedgeRectCallout">
                          <a:avLst>
                            <a:gd name="adj1" fmla="val -47826"/>
                            <a:gd name="adj2" fmla="val -155189"/>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5BC9EC2F">
                            <w:pPr>
                              <w:jc w:val="both"/>
                              <w:rPr>
                                <w:rFonts w:hint="eastAsia" w:eastAsia="宋体"/>
                                <w:color w:val="0D0D0D" w:themeColor="text1" w:themeTint="F2"/>
                                <w:lang w:val="en-US" w:eastAsia="zh-CN"/>
                                <w14:textFill>
                                  <w14:solidFill>
                                    <w14:schemeClr w14:val="tx1">
                                      <w14:lumMod w14:val="95000"/>
                                      <w14:lumOff w14:val="5000"/>
                                    </w14:schemeClr>
                                  </w14:solidFill>
                                </w14:textFill>
                              </w:rPr>
                            </w:pPr>
                            <w:r>
                              <w:rPr>
                                <w:rFonts w:hint="eastAsia"/>
                                <w:color w:val="0D0D0D" w:themeColor="text1" w:themeTint="F2"/>
                                <w:lang w:val="en-US" w:eastAsia="zh-CN"/>
                                <w14:textFill>
                                  <w14:solidFill>
                                    <w14:schemeClr w14:val="tx1">
                                      <w14:lumMod w14:val="95000"/>
                                      <w14:lumOff w14:val="5000"/>
                                    </w14:schemeClr>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4.25pt;margin-top:352.15pt;height:29.5pt;width:69pt;z-index:251679744;v-text-anchor:middle;mso-width-relative:page;mso-height-relative:page;" filled="f" stroked="t" coordsize="21600,21600" o:gfxdata="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iBi/&#10;G9sAAAALAQAADwAAAAAAAAABACAAAAAiAAAAZHJzL2Rvd25yZXYueG1sUEsBAhQAFAAAAAgAh07i&#10;QMZb1P3KAgAAbQUAAA4AAAAAAAAAAQAgAAAAKgEAAGRycy9lMm9Eb2MueG1sUEsFBgAAAAAGAAYA&#10;WQEAAGYGAAAAAA==&#10;" adj="470,-22721">
                <v:fill on="f" focussize="0,0"/>
                <v:stroke weight="1pt" color="#2E75B6 [2404]" miterlimit="8" joinstyle="miter"/>
                <v:imagedata o:title=""/>
                <o:lock v:ext="edit" aspectratio="f"/>
                <v:textbox>
                  <w:txbxContent>
                    <w:p w14:paraId="5BC9EC2F">
                      <w:pPr>
                        <w:jc w:val="both"/>
                        <w:rPr>
                          <w:rFonts w:hint="eastAsia" w:eastAsia="宋体"/>
                          <w:color w:val="0D0D0D" w:themeColor="text1" w:themeTint="F2"/>
                          <w:lang w:val="en-US" w:eastAsia="zh-CN"/>
                          <w14:textFill>
                            <w14:solidFill>
                              <w14:schemeClr w14:val="tx1">
                                <w14:lumMod w14:val="95000"/>
                                <w14:lumOff w14:val="5000"/>
                              </w14:schemeClr>
                            </w14:solidFill>
                          </w14:textFill>
                        </w:rPr>
                      </w:pPr>
                      <w:r>
                        <w:rPr>
                          <w:rFonts w:hint="eastAsia"/>
                          <w:color w:val="0D0D0D" w:themeColor="text1" w:themeTint="F2"/>
                          <w:lang w:val="en-US" w:eastAsia="zh-CN"/>
                          <w14:textFill>
                            <w14:solidFill>
                              <w14:schemeClr w14:val="tx1">
                                <w14:lumMod w14:val="95000"/>
                                <w14:lumOff w14:val="5000"/>
                              </w14:schemeClr>
                            </w14:solidFill>
                          </w14:textFill>
                        </w:rPr>
                        <w:t>项目位置</w:t>
                      </w:r>
                    </w:p>
                  </w:txbxContent>
                </v:textbox>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4163060</wp:posOffset>
                </wp:positionH>
                <wp:positionV relativeFrom="paragraph">
                  <wp:posOffset>3999230</wp:posOffset>
                </wp:positionV>
                <wp:extent cx="88900" cy="101600"/>
                <wp:effectExtent l="17145" t="24130" r="27305" b="26670"/>
                <wp:wrapNone/>
                <wp:docPr id="116" name="五角星 116"/>
                <wp:cNvGraphicFramePr/>
                <a:graphic xmlns:a="http://schemas.openxmlformats.org/drawingml/2006/main">
                  <a:graphicData uri="http://schemas.microsoft.com/office/word/2010/wordprocessingShape">
                    <wps:wsp>
                      <wps:cNvSpPr/>
                      <wps:spPr>
                        <a:xfrm>
                          <a:off x="5126355" y="5333365"/>
                          <a:ext cx="88900" cy="10160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7.8pt;margin-top:314.9pt;height:8pt;width:7pt;z-index:251678720;v-text-anchor:middle;mso-width-relative:page;mso-height-relative:page;" fillcolor="#FF0000" filled="t" stroked="t" coordsize="88900,101600" o:gfxdata="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IYEHp7ZAAAACwEAAA8AAAAAAAAAAQAgAAAA&#10;IgAAAGRycy9kb3ducmV2LnhtbFBLAQIUABQAAAAIAIdO4kA06iYgfAIAAAYFAAAOAAAAAAAAAAEA&#10;IAAAACgBAABkcnMvZTJvRG9jLnhtbFBLBQYAAAAABgAGAFkBAAAWBgAAAAA=&#10;" path="m0,38807l33956,38807,44450,0,54943,38807,88899,38807,61428,62791,71921,101599,44450,77614,16978,101599,27471,62791xe">
                <v:path o:connectlocs="44450,0;0,38807;16978,101599;71921,101599;88899,38807" o:connectangles="247,164,82,82,0"/>
                <v:fill on="t" focussize="0,0"/>
                <v:stroke weight="1pt" color="#FF0000 [2404]" miterlimit="8" joinstyle="miter"/>
                <v:imagedata o:title=""/>
                <o:lock v:ext="edit" aspectratio="f"/>
              </v:shape>
            </w:pict>
          </mc:Fallback>
        </mc:AlternateContent>
      </w:r>
      <w:r>
        <w:rPr>
          <w:rFonts w:hint="default"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5400040" cy="7730490"/>
            <wp:effectExtent l="0" t="0" r="10160" b="3810"/>
            <wp:docPr id="117" name="图片 117" descr="1 .淄博市中心城区声环境功能区划图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1 .淄博市中心城区声环境功能区划图_02"/>
                    <pic:cNvPicPr>
                      <a:picLocks noChangeAspect="1"/>
                    </pic:cNvPicPr>
                  </pic:nvPicPr>
                  <pic:blipFill>
                    <a:blip r:embed="rId56"/>
                    <a:srcRect l="14332" t="11917" r="13922" b="12963"/>
                    <a:stretch>
                      <a:fillRect/>
                    </a:stretch>
                  </pic:blipFill>
                  <pic:spPr>
                    <a:xfrm>
                      <a:off x="0" y="0"/>
                      <a:ext cx="5400040" cy="7730490"/>
                    </a:xfrm>
                    <a:prstGeom prst="rect">
                      <a:avLst/>
                    </a:prstGeom>
                  </pic:spPr>
                </pic:pic>
              </a:graphicData>
            </a:graphic>
          </wp:inline>
        </w:drawing>
      </w:r>
    </w:p>
    <w:p w14:paraId="621F6BA9">
      <w:pPr>
        <w:pStyle w:val="11"/>
        <w:rPr>
          <w:rFonts w:hint="default" w:ascii="Times New Roman" w:hAnsi="Times New Roman" w:eastAsia="宋体" w:cs="Times New Roman"/>
          <w:color w:val="000000" w:themeColor="text1"/>
          <w14:textFill>
            <w14:solidFill>
              <w14:schemeClr w14:val="tx1"/>
            </w14:solidFill>
          </w14:textFill>
        </w:rPr>
      </w:pPr>
    </w:p>
    <w:p w14:paraId="6E8A1850">
      <w:pPr>
        <w:pStyle w:val="49"/>
        <w:rPr>
          <w:rFonts w:hint="default" w:ascii="Times New Roman" w:hAnsi="Times New Roman" w:eastAsia="宋体" w:cs="Times New Roman"/>
          <w:color w:val="000000" w:themeColor="text1"/>
          <w14:textFill>
            <w14:solidFill>
              <w14:schemeClr w14:val="tx1"/>
            </w14:solidFill>
          </w14:textFill>
        </w:rPr>
      </w:pPr>
    </w:p>
    <w:p w14:paraId="3E9DECDE">
      <w:pPr>
        <w:pStyle w:val="50"/>
        <w:rPr>
          <w:rFonts w:hint="default" w:ascii="Times New Roman" w:hAnsi="Times New Roman" w:eastAsia="宋体" w:cs="Times New Roman"/>
          <w:color w:val="000000" w:themeColor="text1"/>
          <w14:textFill>
            <w14:solidFill>
              <w14:schemeClr w14:val="tx1"/>
            </w14:solidFill>
          </w14:textFill>
        </w:rPr>
      </w:pPr>
    </w:p>
    <w:p w14:paraId="2D341CCA">
      <w:pPr>
        <w:pStyle w:val="11"/>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附图</w:t>
      </w:r>
      <w:r>
        <w:rPr>
          <w:rFonts w:hint="eastAsia" w:ascii="Times New Roman" w:cs="Times New Roman"/>
          <w:b/>
          <w:bCs/>
          <w:color w:val="000000" w:themeColor="text1"/>
          <w:lang w:val="en-US" w:eastAsia="zh-CN"/>
          <w14:textFill>
            <w14:solidFill>
              <w14:schemeClr w14:val="tx1"/>
            </w14:solidFill>
          </w14:textFill>
        </w:rPr>
        <w:t xml:space="preserve">13 </w:t>
      </w:r>
      <w:r>
        <w:rPr>
          <w:rFonts w:hint="default" w:ascii="Times New Roman" w:hAnsi="Times New Roman" w:eastAsia="宋体" w:cs="Times New Roman"/>
          <w:b/>
          <w:bCs/>
          <w:color w:val="000000" w:themeColor="text1"/>
          <w14:textFill>
            <w14:solidFill>
              <w14:schemeClr w14:val="tx1"/>
            </w14:solidFill>
          </w14:textFill>
        </w:rPr>
        <w:t>现场照片</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91"/>
        <w:gridCol w:w="4551"/>
      </w:tblGrid>
      <w:tr w14:paraId="0EB6E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91" w:type="dxa"/>
            <w:vAlign w:val="center"/>
          </w:tcPr>
          <w:p w14:paraId="72432E78">
            <w:pPr>
              <w:pStyle w:val="57"/>
              <w:ind w:firstLine="0"/>
              <w:jc w:val="center"/>
              <w:rPr>
                <w:rFonts w:hint="eastAsia"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2839085" cy="2129155"/>
                  <wp:effectExtent l="0" t="0" r="18415" b="4445"/>
                  <wp:docPr id="93" name="图片 93" descr="d5f113c92d8cc81e0b1f363d8ebda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d5f113c92d8cc81e0b1f363d8ebda19"/>
                          <pic:cNvPicPr>
                            <a:picLocks noChangeAspect="1"/>
                          </pic:cNvPicPr>
                        </pic:nvPicPr>
                        <pic:blipFill>
                          <a:blip r:embed="rId57"/>
                          <a:stretch>
                            <a:fillRect/>
                          </a:stretch>
                        </pic:blipFill>
                        <pic:spPr>
                          <a:xfrm>
                            <a:off x="0" y="0"/>
                            <a:ext cx="2839085" cy="2129155"/>
                          </a:xfrm>
                          <a:prstGeom prst="rect">
                            <a:avLst/>
                          </a:prstGeom>
                        </pic:spPr>
                      </pic:pic>
                    </a:graphicData>
                  </a:graphic>
                </wp:inline>
              </w:drawing>
            </w:r>
          </w:p>
        </w:tc>
        <w:tc>
          <w:tcPr>
            <w:tcW w:w="4551" w:type="dxa"/>
            <w:vAlign w:val="center"/>
          </w:tcPr>
          <w:p w14:paraId="3C18A668">
            <w:pPr>
              <w:pStyle w:val="57"/>
              <w:ind w:firstLine="0"/>
              <w:jc w:val="center"/>
              <w:rPr>
                <w:rFonts w:hint="eastAsia"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drawing>
                <wp:inline distT="0" distB="0" distL="114300" distR="114300">
                  <wp:extent cx="2799715" cy="2085975"/>
                  <wp:effectExtent l="0" t="0" r="635" b="9525"/>
                  <wp:docPr id="80" name="图片 80" descr="bbe93cf766dcca2beb9fb47358019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bbe93cf766dcca2beb9fb47358019f5"/>
                          <pic:cNvPicPr>
                            <a:picLocks noChangeAspect="1"/>
                          </pic:cNvPicPr>
                        </pic:nvPicPr>
                        <pic:blipFill>
                          <a:blip r:embed="rId58"/>
                          <a:stretch>
                            <a:fillRect/>
                          </a:stretch>
                        </pic:blipFill>
                        <pic:spPr>
                          <a:xfrm>
                            <a:off x="0" y="0"/>
                            <a:ext cx="2799715" cy="2085975"/>
                          </a:xfrm>
                          <a:prstGeom prst="rect">
                            <a:avLst/>
                          </a:prstGeom>
                        </pic:spPr>
                      </pic:pic>
                    </a:graphicData>
                  </a:graphic>
                </wp:inline>
              </w:drawing>
            </w:r>
          </w:p>
        </w:tc>
      </w:tr>
      <w:tr w14:paraId="42DAA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trPr>
        <w:tc>
          <w:tcPr>
            <w:tcW w:w="4691" w:type="dxa"/>
            <w:vAlign w:val="center"/>
          </w:tcPr>
          <w:p w14:paraId="60EA5B96">
            <w:pPr>
              <w:pStyle w:val="57"/>
              <w:ind w:firstLine="0"/>
              <w:jc w:val="cente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项目西侧为</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淄博水源生物科技有限公司</w:t>
            </w:r>
          </w:p>
        </w:tc>
        <w:tc>
          <w:tcPr>
            <w:tcW w:w="4551" w:type="dxa"/>
            <w:vAlign w:val="center"/>
          </w:tcPr>
          <w:p w14:paraId="6BEF0058">
            <w:pPr>
              <w:pStyle w:val="57"/>
              <w:ind w:firstLine="0"/>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项目南侧为</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淄博万浦塑业有限公司</w:t>
            </w:r>
          </w:p>
        </w:tc>
      </w:tr>
      <w:tr w14:paraId="1BC74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91" w:type="dxa"/>
            <w:vAlign w:val="center"/>
          </w:tcPr>
          <w:p w14:paraId="4A530234">
            <w:pPr>
              <w:pStyle w:val="57"/>
              <w:ind w:firstLine="0"/>
              <w:jc w:val="center"/>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drawing>
                <wp:inline distT="0" distB="0" distL="114300" distR="114300">
                  <wp:extent cx="2839085" cy="2129155"/>
                  <wp:effectExtent l="0" t="0" r="18415" b="4445"/>
                  <wp:docPr id="98" name="图片 98" descr="533c54fc30bcbaa4e4b7dae9496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533c54fc30bcbaa4e4b7dae94964939"/>
                          <pic:cNvPicPr>
                            <a:picLocks noChangeAspect="1"/>
                          </pic:cNvPicPr>
                        </pic:nvPicPr>
                        <pic:blipFill>
                          <a:blip r:embed="rId59"/>
                          <a:stretch>
                            <a:fillRect/>
                          </a:stretch>
                        </pic:blipFill>
                        <pic:spPr>
                          <a:xfrm>
                            <a:off x="0" y="0"/>
                            <a:ext cx="2839085" cy="2129155"/>
                          </a:xfrm>
                          <a:prstGeom prst="rect">
                            <a:avLst/>
                          </a:prstGeom>
                        </pic:spPr>
                      </pic:pic>
                    </a:graphicData>
                  </a:graphic>
                </wp:inline>
              </w:drawing>
            </w:r>
          </w:p>
        </w:tc>
        <w:tc>
          <w:tcPr>
            <w:tcW w:w="4551" w:type="dxa"/>
            <w:vAlign w:val="center"/>
          </w:tcPr>
          <w:p w14:paraId="3BA8AA9A">
            <w:pPr>
              <w:pStyle w:val="57"/>
              <w:ind w:firstLine="0"/>
              <w:jc w:val="center"/>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drawing>
                <wp:inline distT="0" distB="0" distL="114300" distR="114300">
                  <wp:extent cx="2818130" cy="2113915"/>
                  <wp:effectExtent l="0" t="0" r="1270" b="635"/>
                  <wp:docPr id="88" name="图片 88" descr="0ed13e4bcc95f05080fd2dea68bf5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0ed13e4bcc95f05080fd2dea68bf55b"/>
                          <pic:cNvPicPr>
                            <a:picLocks noChangeAspect="1"/>
                          </pic:cNvPicPr>
                        </pic:nvPicPr>
                        <pic:blipFill>
                          <a:blip r:embed="rId60"/>
                          <a:stretch>
                            <a:fillRect/>
                          </a:stretch>
                        </pic:blipFill>
                        <pic:spPr>
                          <a:xfrm>
                            <a:off x="0" y="0"/>
                            <a:ext cx="2818130" cy="2113915"/>
                          </a:xfrm>
                          <a:prstGeom prst="rect">
                            <a:avLst/>
                          </a:prstGeom>
                        </pic:spPr>
                      </pic:pic>
                    </a:graphicData>
                  </a:graphic>
                </wp:inline>
              </w:drawing>
            </w:r>
          </w:p>
        </w:tc>
      </w:tr>
      <w:tr w14:paraId="4F907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91" w:type="dxa"/>
            <w:vAlign w:val="center"/>
          </w:tcPr>
          <w:p w14:paraId="29B34728">
            <w:pPr>
              <w:pStyle w:val="57"/>
              <w:ind w:firstLine="0"/>
              <w:jc w:val="cente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项目北侧为</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碳酸钙（淄博新富源置业有限责任公司）</w:t>
            </w:r>
          </w:p>
        </w:tc>
        <w:tc>
          <w:tcPr>
            <w:tcW w:w="4551" w:type="dxa"/>
            <w:vAlign w:val="center"/>
          </w:tcPr>
          <w:p w14:paraId="2815B4FC">
            <w:pPr>
              <w:pStyle w:val="57"/>
              <w:ind w:firstLine="0"/>
              <w:jc w:val="cente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项目东侧为</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淄博亚华信橡塑有限责任公司</w:t>
            </w:r>
          </w:p>
        </w:tc>
      </w:tr>
      <w:tr w14:paraId="4000B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91" w:type="dxa"/>
            <w:vAlign w:val="center"/>
          </w:tcPr>
          <w:p w14:paraId="34E54167">
            <w:pPr>
              <w:pStyle w:val="57"/>
              <w:ind w:firstLine="0"/>
              <w:jc w:val="center"/>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drawing>
                <wp:inline distT="0" distB="0" distL="114300" distR="114300">
                  <wp:extent cx="2839085" cy="2129155"/>
                  <wp:effectExtent l="0" t="0" r="18415" b="4445"/>
                  <wp:docPr id="72" name="图片 72" descr="533c54fc30bcbaa4e4b7dae9496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533c54fc30bcbaa4e4b7dae94964939"/>
                          <pic:cNvPicPr>
                            <a:picLocks noChangeAspect="1"/>
                          </pic:cNvPicPr>
                        </pic:nvPicPr>
                        <pic:blipFill>
                          <a:blip r:embed="rId59"/>
                          <a:stretch>
                            <a:fillRect/>
                          </a:stretch>
                        </pic:blipFill>
                        <pic:spPr>
                          <a:xfrm>
                            <a:off x="0" y="0"/>
                            <a:ext cx="2839085" cy="2129155"/>
                          </a:xfrm>
                          <a:prstGeom prst="rect">
                            <a:avLst/>
                          </a:prstGeom>
                        </pic:spPr>
                      </pic:pic>
                    </a:graphicData>
                  </a:graphic>
                </wp:inline>
              </w:drawing>
            </w:r>
          </w:p>
        </w:tc>
        <w:tc>
          <w:tcPr>
            <w:tcW w:w="4551" w:type="dxa"/>
            <w:shd w:val="clear" w:color="auto" w:fill="auto"/>
            <w:vAlign w:val="center"/>
          </w:tcPr>
          <w:p w14:paraId="1608D554">
            <w:pPr>
              <w:pStyle w:val="57"/>
              <w:ind w:firstLine="0"/>
              <w:jc w:val="center"/>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drawing>
                <wp:inline distT="0" distB="0" distL="114300" distR="114300">
                  <wp:extent cx="2743200" cy="2057400"/>
                  <wp:effectExtent l="0" t="0" r="0" b="0"/>
                  <wp:docPr id="73" name="图片 73" descr="1302e2e82e748209ab7ea37784d7c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302e2e82e748209ab7ea37784d7c99"/>
                          <pic:cNvPicPr>
                            <a:picLocks noChangeAspect="1"/>
                          </pic:cNvPicPr>
                        </pic:nvPicPr>
                        <pic:blipFill>
                          <a:blip r:embed="rId61"/>
                          <a:stretch>
                            <a:fillRect/>
                          </a:stretch>
                        </pic:blipFill>
                        <pic:spPr>
                          <a:xfrm>
                            <a:off x="0" y="0"/>
                            <a:ext cx="2743200" cy="2057400"/>
                          </a:xfrm>
                          <a:prstGeom prst="rect">
                            <a:avLst/>
                          </a:prstGeom>
                        </pic:spPr>
                      </pic:pic>
                    </a:graphicData>
                  </a:graphic>
                </wp:inline>
              </w:drawing>
            </w:r>
          </w:p>
        </w:tc>
      </w:tr>
      <w:tr w14:paraId="5FD2C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91" w:type="dxa"/>
            <w:vAlign w:val="center"/>
          </w:tcPr>
          <w:p w14:paraId="2BC11815">
            <w:pPr>
              <w:pStyle w:val="57"/>
              <w:ind w:firstLine="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eastAsia" w:ascii="Times New Roman" w:cs="Times New Roman"/>
                <w:b/>
                <w:bCs/>
                <w:color w:val="000000" w:themeColor="text1"/>
                <w:sz w:val="21"/>
                <w:szCs w:val="21"/>
                <w:lang w:val="en-US" w:eastAsia="zh-CN"/>
                <w14:textFill>
                  <w14:solidFill>
                    <w14:schemeClr w14:val="tx1"/>
                  </w14:solidFill>
                </w14:textFill>
              </w:rPr>
              <w:t>厂区</w:t>
            </w:r>
            <w:r>
              <w:rPr>
                <w:rFonts w:hint="default" w:ascii="Times New Roman" w:hAnsi="Times New Roman" w:eastAsia="宋体" w:cs="Times New Roman"/>
                <w:b/>
                <w:bCs/>
                <w:color w:val="000000" w:themeColor="text1"/>
                <w:sz w:val="21"/>
                <w:szCs w:val="21"/>
                <w14:textFill>
                  <w14:solidFill>
                    <w14:schemeClr w14:val="tx1"/>
                  </w14:solidFill>
                </w14:textFill>
              </w:rPr>
              <w:t>现场</w:t>
            </w:r>
          </w:p>
        </w:tc>
        <w:tc>
          <w:tcPr>
            <w:tcW w:w="4551" w:type="dxa"/>
            <w:shd w:val="clear" w:color="auto" w:fill="auto"/>
            <w:vAlign w:val="center"/>
          </w:tcPr>
          <w:p w14:paraId="3CADDB84">
            <w:pPr>
              <w:pStyle w:val="57"/>
              <w:ind w:firstLine="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eastAsia" w:ascii="Times New Roman" w:cs="Times New Roman"/>
                <w:b/>
                <w:bCs/>
                <w:color w:val="000000" w:themeColor="text1"/>
                <w:sz w:val="21"/>
                <w:szCs w:val="21"/>
                <w:lang w:val="en-US" w:eastAsia="zh-CN"/>
                <w14:textFill>
                  <w14:solidFill>
                    <w14:schemeClr w14:val="tx1"/>
                  </w14:solidFill>
                </w14:textFill>
              </w:rPr>
              <w:t>厂区</w:t>
            </w:r>
            <w:r>
              <w:rPr>
                <w:rFonts w:hint="default" w:ascii="Times New Roman" w:hAnsi="Times New Roman" w:eastAsia="宋体" w:cs="Times New Roman"/>
                <w:b/>
                <w:bCs/>
                <w:color w:val="000000" w:themeColor="text1"/>
                <w:sz w:val="21"/>
                <w:szCs w:val="21"/>
                <w14:textFill>
                  <w14:solidFill>
                    <w14:schemeClr w14:val="tx1"/>
                  </w14:solidFill>
                </w14:textFill>
              </w:rPr>
              <w:t>现场</w:t>
            </w:r>
          </w:p>
        </w:tc>
      </w:tr>
      <w:tr w14:paraId="444CE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42" w:type="dxa"/>
            <w:gridSpan w:val="2"/>
            <w:vAlign w:val="center"/>
          </w:tcPr>
          <w:p w14:paraId="5142DF32">
            <w:pPr>
              <w:pStyle w:val="57"/>
              <w:ind w:firstLine="0"/>
              <w:jc w:val="center"/>
              <w:rPr>
                <w:rFonts w:hint="eastAsia" w:ascii="Times New Roman" w:hAnsi="Times New Roman" w:eastAsia="宋体" w:cs="Times New Roman"/>
                <w:b/>
                <w:bCs/>
                <w:color w:val="000000" w:themeColor="text1"/>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drawing>
                <wp:inline distT="0" distB="0" distL="114300" distR="114300">
                  <wp:extent cx="5719445" cy="4289425"/>
                  <wp:effectExtent l="0" t="0" r="14605" b="15875"/>
                  <wp:docPr id="92" name="图片 92" descr="6370de969e2cacc1f0b2b11ee7756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6370de969e2cacc1f0b2b11ee7756f5"/>
                          <pic:cNvPicPr>
                            <a:picLocks noChangeAspect="1"/>
                          </pic:cNvPicPr>
                        </pic:nvPicPr>
                        <pic:blipFill>
                          <a:blip r:embed="rId62"/>
                          <a:stretch>
                            <a:fillRect/>
                          </a:stretch>
                        </pic:blipFill>
                        <pic:spPr>
                          <a:xfrm>
                            <a:off x="0" y="0"/>
                            <a:ext cx="5719445" cy="4289425"/>
                          </a:xfrm>
                          <a:prstGeom prst="rect">
                            <a:avLst/>
                          </a:prstGeom>
                        </pic:spPr>
                      </pic:pic>
                    </a:graphicData>
                  </a:graphic>
                </wp:inline>
              </w:drawing>
            </w:r>
          </w:p>
        </w:tc>
      </w:tr>
    </w:tbl>
    <w:p w14:paraId="1D6D008D">
      <w:pPr>
        <w:pStyle w:val="57"/>
        <w:rPr>
          <w:rFonts w:hint="default" w:ascii="Times New Roman" w:hAnsi="Times New Roman" w:eastAsia="宋体" w:cs="Times New Roman"/>
          <w:color w:val="000000" w:themeColor="text1"/>
          <w14:textFill>
            <w14:solidFill>
              <w14:schemeClr w14:val="tx1"/>
            </w14:solidFill>
          </w14:textFill>
        </w:rPr>
      </w:pPr>
    </w:p>
    <w:p w14:paraId="68130FD5">
      <w:pPr>
        <w:pStyle w:val="57"/>
        <w:rPr>
          <w:rFonts w:hint="default" w:ascii="Times New Roman" w:hAnsi="Times New Roman" w:eastAsia="宋体" w:cs="Times New Roman"/>
          <w:color w:val="000000" w:themeColor="text1"/>
          <w14:textFill>
            <w14:solidFill>
              <w14:schemeClr w14:val="tx1"/>
            </w14:solidFill>
          </w14:textFill>
        </w:rPr>
      </w:pPr>
    </w:p>
    <w:sectPr>
      <w:pgSz w:w="11906" w:h="16838"/>
      <w:pgMar w:top="1440" w:right="1440" w:bottom="1440" w:left="1440" w:header="510" w:footer="794" w:gutter="0"/>
      <w:pgBorders>
        <w:top w:val="none" w:sz="0" w:space="0"/>
        <w:left w:val="none" w:sz="0" w:space="0"/>
        <w:bottom w:val="none" w:sz="0" w:space="0"/>
        <w:right w:val="none" w:sz="0" w:space="0"/>
      </w:pgBorders>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Unicode MS">
    <w:altName w:val="宋体"/>
    <w:panose1 w:val="020B0604020202020204"/>
    <w:charset w:val="86"/>
    <w:family w:val="roman"/>
    <w:pitch w:val="default"/>
    <w:sig w:usb0="00000000" w:usb1="00000000" w:usb2="0000007F" w:usb3="00000000" w:csb0="203F01FF" w:csb1="DFFF0000"/>
  </w:font>
  <w:font w:name="Noto Sans CJK JP Regular">
    <w:altName w:val="Arial"/>
    <w:panose1 w:val="00000000000000000000"/>
    <w:charset w:val="00"/>
    <w:family w:val="auto"/>
    <w:pitch w:val="default"/>
    <w:sig w:usb0="00000000" w:usb1="00000000" w:usb2="00000000"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Helvetica">
    <w:altName w:val="Arial"/>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E862F7">
    <w:pPr>
      <w:pStyle w:val="2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A8AD82">
    <w:pPr>
      <w:pStyle w:val="25"/>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6B29E7">
                          <w:pPr>
                            <w:pStyle w:val="25"/>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14:paraId="2D6B29E7">
                    <w:pPr>
                      <w:pStyle w:val="25"/>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41F2E0">
    <w:pPr>
      <w:pStyle w:val="25"/>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08035C">
                          <w:pPr>
                            <w:pStyle w:val="25"/>
                          </w:pPr>
                          <w:r>
                            <w:fldChar w:fldCharType="begin"/>
                          </w:r>
                          <w:r>
                            <w:instrText xml:space="preserve"> PAGE  \* MERGEFORMAT </w:instrText>
                          </w:r>
                          <w:r>
                            <w:fldChar w:fldCharType="separate"/>
                          </w:r>
                          <w:r>
                            <w:t>54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6008035C">
                    <w:pPr>
                      <w:pStyle w:val="25"/>
                    </w:pPr>
                    <w:r>
                      <w:fldChar w:fldCharType="begin"/>
                    </w:r>
                    <w:r>
                      <w:instrText xml:space="preserve"> PAGE  \* MERGEFORMAT </w:instrText>
                    </w:r>
                    <w:r>
                      <w:fldChar w:fldCharType="separate"/>
                    </w:r>
                    <w:r>
                      <w:t>54</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7C3C3B">
    <w:pPr>
      <w:spacing w:line="177" w:lineRule="auto"/>
      <w:ind w:left="4095"/>
      <w:rPr>
        <w:rFonts w:eastAsia="Times New Roman"/>
        <w:sz w:val="23"/>
        <w:szCs w:val="23"/>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EC4957">
    <w:pPr>
      <w:pStyle w:val="2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7F8698">
    <w:pPr>
      <w:spacing w:line="177" w:lineRule="auto"/>
      <w:ind w:left="4095"/>
      <w:rPr>
        <w:rFonts w:eastAsia="Times New Roman"/>
        <w:sz w:val="23"/>
        <w:szCs w:val="23"/>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F6A3F0">
    <w:pPr>
      <w:spacing w:line="200" w:lineRule="exac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EE3AED">
    <w:pPr>
      <w:pStyle w:val="2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F4D0BF5"/>
    <w:multiLevelType w:val="singleLevel"/>
    <w:tmpl w:val="BF4D0BF5"/>
    <w:lvl w:ilvl="0" w:tentative="0">
      <w:start w:val="1"/>
      <w:numFmt w:val="bullet"/>
      <w:pStyle w:val="14"/>
      <w:lvlText w:val=""/>
      <w:lvlJc w:val="left"/>
      <w:pPr>
        <w:tabs>
          <w:tab w:val="left" w:pos="780"/>
        </w:tabs>
        <w:ind w:left="780" w:hanging="360"/>
      </w:pPr>
      <w:rPr>
        <w:rFonts w:hint="default" w:ascii="Wingdings" w:hAnsi="Wingdings"/>
      </w:rPr>
    </w:lvl>
  </w:abstractNum>
  <w:abstractNum w:abstractNumId="1">
    <w:nsid w:val="1D625EC6"/>
    <w:multiLevelType w:val="multilevel"/>
    <w:tmpl w:val="1D625EC6"/>
    <w:lvl w:ilvl="0" w:tentative="0">
      <w:start w:val="1"/>
      <w:numFmt w:val="decimal"/>
      <w:pStyle w:val="85"/>
      <w:lvlText w:val="表%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0E901CB"/>
    <w:multiLevelType w:val="singleLevel"/>
    <w:tmpl w:val="30E901CB"/>
    <w:lvl w:ilvl="0" w:tentative="0">
      <w:start w:val="4"/>
      <w:numFmt w:val="decimal"/>
      <w:suff w:val="nothing"/>
      <w:lvlText w:val="%1、"/>
      <w:lvlJc w:val="left"/>
    </w:lvl>
  </w:abstractNum>
  <w:abstractNum w:abstractNumId="3">
    <w:nsid w:val="44B17BF9"/>
    <w:multiLevelType w:val="multilevel"/>
    <w:tmpl w:val="44B17BF9"/>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697" w:hanging="420"/>
      </w:pPr>
    </w:lvl>
    <w:lvl w:ilvl="2" w:tentative="0">
      <w:start w:val="1"/>
      <w:numFmt w:val="lowerRoman"/>
      <w:lvlText w:val="%3."/>
      <w:lvlJc w:val="right"/>
      <w:pPr>
        <w:ind w:left="1117" w:hanging="420"/>
      </w:pPr>
    </w:lvl>
    <w:lvl w:ilvl="3" w:tentative="0">
      <w:start w:val="1"/>
      <w:numFmt w:val="decimal"/>
      <w:lvlText w:val="%4."/>
      <w:lvlJc w:val="left"/>
      <w:pPr>
        <w:ind w:left="1537" w:hanging="420"/>
      </w:pPr>
    </w:lvl>
    <w:lvl w:ilvl="4" w:tentative="0">
      <w:start w:val="1"/>
      <w:numFmt w:val="lowerLetter"/>
      <w:lvlText w:val="%5)"/>
      <w:lvlJc w:val="left"/>
      <w:pPr>
        <w:ind w:left="1957" w:hanging="420"/>
      </w:pPr>
    </w:lvl>
    <w:lvl w:ilvl="5" w:tentative="0">
      <w:start w:val="1"/>
      <w:numFmt w:val="lowerRoman"/>
      <w:lvlText w:val="%6."/>
      <w:lvlJc w:val="right"/>
      <w:pPr>
        <w:ind w:left="2377" w:hanging="420"/>
      </w:pPr>
    </w:lvl>
    <w:lvl w:ilvl="6" w:tentative="0">
      <w:start w:val="1"/>
      <w:numFmt w:val="decimal"/>
      <w:lvlText w:val="%7."/>
      <w:lvlJc w:val="left"/>
      <w:pPr>
        <w:ind w:left="2797" w:hanging="420"/>
      </w:pPr>
    </w:lvl>
    <w:lvl w:ilvl="7" w:tentative="0">
      <w:start w:val="1"/>
      <w:numFmt w:val="lowerLetter"/>
      <w:lvlText w:val="%8)"/>
      <w:lvlJc w:val="left"/>
      <w:pPr>
        <w:ind w:left="3217" w:hanging="420"/>
      </w:pPr>
    </w:lvl>
    <w:lvl w:ilvl="8" w:tentative="0">
      <w:start w:val="1"/>
      <w:numFmt w:val="lowerRoman"/>
      <w:lvlText w:val="%9."/>
      <w:lvlJc w:val="right"/>
      <w:pPr>
        <w:ind w:left="3637" w:hanging="420"/>
      </w:pPr>
    </w:lvl>
  </w:abstractNum>
  <w:abstractNum w:abstractNumId="4">
    <w:nsid w:val="6E70020F"/>
    <w:multiLevelType w:val="singleLevel"/>
    <w:tmpl w:val="6E70020F"/>
    <w:lvl w:ilvl="0" w:tentative="0">
      <w:start w:val="1"/>
      <w:numFmt w:val="bullet"/>
      <w:pStyle w:val="19"/>
      <w:lvlText w:val=""/>
      <w:lvlJc w:val="left"/>
      <w:pPr>
        <w:tabs>
          <w:tab w:val="left" w:pos="2040"/>
        </w:tabs>
        <w:ind w:left="2040" w:hanging="360"/>
      </w:pPr>
      <w:rPr>
        <w:rFonts w:hint="default" w:ascii="Wingdings" w:hAnsi="Wingdings"/>
      </w:r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210"/>
  <w:drawingGridVerticalSpacing w:val="161"/>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JmODJhMjUwNDVmYTgxNzQxY2E2YmI5M2RjMjcyNjIifQ=="/>
  </w:docVars>
  <w:rsids>
    <w:rsidRoot w:val="00172A27"/>
    <w:rsid w:val="000352BC"/>
    <w:rsid w:val="0007791D"/>
    <w:rsid w:val="00103897"/>
    <w:rsid w:val="00134449"/>
    <w:rsid w:val="00197E48"/>
    <w:rsid w:val="001B0445"/>
    <w:rsid w:val="002271F1"/>
    <w:rsid w:val="002630BB"/>
    <w:rsid w:val="00303F39"/>
    <w:rsid w:val="0031183D"/>
    <w:rsid w:val="0035271D"/>
    <w:rsid w:val="00397561"/>
    <w:rsid w:val="003A0914"/>
    <w:rsid w:val="00417233"/>
    <w:rsid w:val="00445155"/>
    <w:rsid w:val="00475B4A"/>
    <w:rsid w:val="004E2611"/>
    <w:rsid w:val="005A470E"/>
    <w:rsid w:val="005D3FEE"/>
    <w:rsid w:val="00602CA2"/>
    <w:rsid w:val="00612345"/>
    <w:rsid w:val="006211C0"/>
    <w:rsid w:val="006B27B9"/>
    <w:rsid w:val="006E4A62"/>
    <w:rsid w:val="007A0AEE"/>
    <w:rsid w:val="00893649"/>
    <w:rsid w:val="008A28FC"/>
    <w:rsid w:val="009049D8"/>
    <w:rsid w:val="00921B2A"/>
    <w:rsid w:val="00A42ADD"/>
    <w:rsid w:val="00A55F0F"/>
    <w:rsid w:val="00A57CEE"/>
    <w:rsid w:val="00AB1812"/>
    <w:rsid w:val="00AF51AC"/>
    <w:rsid w:val="00BB6D96"/>
    <w:rsid w:val="00BB7F11"/>
    <w:rsid w:val="00BF52BD"/>
    <w:rsid w:val="00C36B5B"/>
    <w:rsid w:val="00C5741B"/>
    <w:rsid w:val="00C823C4"/>
    <w:rsid w:val="00CD3536"/>
    <w:rsid w:val="00CE5D21"/>
    <w:rsid w:val="00D13ACA"/>
    <w:rsid w:val="00DC6906"/>
    <w:rsid w:val="00DE5743"/>
    <w:rsid w:val="00E40880"/>
    <w:rsid w:val="00E60A9C"/>
    <w:rsid w:val="00E73B88"/>
    <w:rsid w:val="00E865C2"/>
    <w:rsid w:val="00EA058C"/>
    <w:rsid w:val="01001B5E"/>
    <w:rsid w:val="01066A48"/>
    <w:rsid w:val="010D79D9"/>
    <w:rsid w:val="01124DC0"/>
    <w:rsid w:val="011A0D3A"/>
    <w:rsid w:val="011B0745"/>
    <w:rsid w:val="01203071"/>
    <w:rsid w:val="01253372"/>
    <w:rsid w:val="01253C12"/>
    <w:rsid w:val="01323CE1"/>
    <w:rsid w:val="015123B9"/>
    <w:rsid w:val="0156177E"/>
    <w:rsid w:val="016A2DE9"/>
    <w:rsid w:val="01791910"/>
    <w:rsid w:val="017A595B"/>
    <w:rsid w:val="01802C9E"/>
    <w:rsid w:val="018207C5"/>
    <w:rsid w:val="018F2EE2"/>
    <w:rsid w:val="019052DF"/>
    <w:rsid w:val="01910F9C"/>
    <w:rsid w:val="019404F8"/>
    <w:rsid w:val="0194674A"/>
    <w:rsid w:val="01AA3877"/>
    <w:rsid w:val="01AC426B"/>
    <w:rsid w:val="01AD5116"/>
    <w:rsid w:val="01B34E22"/>
    <w:rsid w:val="01B36BD0"/>
    <w:rsid w:val="01BB7833"/>
    <w:rsid w:val="01BD35AB"/>
    <w:rsid w:val="01BF7F16"/>
    <w:rsid w:val="01C610E4"/>
    <w:rsid w:val="01CC7C92"/>
    <w:rsid w:val="01CE57B8"/>
    <w:rsid w:val="01D72AE8"/>
    <w:rsid w:val="01EC4963"/>
    <w:rsid w:val="01EE7C08"/>
    <w:rsid w:val="01F41614"/>
    <w:rsid w:val="01F51BED"/>
    <w:rsid w:val="01FA47FF"/>
    <w:rsid w:val="01FD7E4B"/>
    <w:rsid w:val="0208182F"/>
    <w:rsid w:val="020B07BA"/>
    <w:rsid w:val="020D50A6"/>
    <w:rsid w:val="0213766F"/>
    <w:rsid w:val="02182ED7"/>
    <w:rsid w:val="021A758E"/>
    <w:rsid w:val="02201B91"/>
    <w:rsid w:val="02256A85"/>
    <w:rsid w:val="022C5CCC"/>
    <w:rsid w:val="022E31E6"/>
    <w:rsid w:val="02300221"/>
    <w:rsid w:val="02365B9A"/>
    <w:rsid w:val="02497EAE"/>
    <w:rsid w:val="02532161"/>
    <w:rsid w:val="02532620"/>
    <w:rsid w:val="0262293F"/>
    <w:rsid w:val="026D240B"/>
    <w:rsid w:val="02720839"/>
    <w:rsid w:val="02757A5F"/>
    <w:rsid w:val="027D71DE"/>
    <w:rsid w:val="027F4D04"/>
    <w:rsid w:val="02816CCE"/>
    <w:rsid w:val="028314C5"/>
    <w:rsid w:val="0284056C"/>
    <w:rsid w:val="028440C8"/>
    <w:rsid w:val="028C7C69"/>
    <w:rsid w:val="029307AF"/>
    <w:rsid w:val="02986137"/>
    <w:rsid w:val="029F0F02"/>
    <w:rsid w:val="02C1531D"/>
    <w:rsid w:val="02C17D9D"/>
    <w:rsid w:val="02C30ACC"/>
    <w:rsid w:val="02C52C16"/>
    <w:rsid w:val="02C620A0"/>
    <w:rsid w:val="02D51917"/>
    <w:rsid w:val="02D976ED"/>
    <w:rsid w:val="02DB2550"/>
    <w:rsid w:val="02DE0DCE"/>
    <w:rsid w:val="02E85824"/>
    <w:rsid w:val="02EA1207"/>
    <w:rsid w:val="02EF1E8A"/>
    <w:rsid w:val="02F474A0"/>
    <w:rsid w:val="02F6038A"/>
    <w:rsid w:val="02F72AEC"/>
    <w:rsid w:val="02FC4DBB"/>
    <w:rsid w:val="02FE3E7B"/>
    <w:rsid w:val="03000E8E"/>
    <w:rsid w:val="03065425"/>
    <w:rsid w:val="03092820"/>
    <w:rsid w:val="031A5554"/>
    <w:rsid w:val="031C69F7"/>
    <w:rsid w:val="031E43EA"/>
    <w:rsid w:val="03200295"/>
    <w:rsid w:val="032A2EC2"/>
    <w:rsid w:val="032A3D5D"/>
    <w:rsid w:val="033250C0"/>
    <w:rsid w:val="033A2042"/>
    <w:rsid w:val="034D6BB0"/>
    <w:rsid w:val="03506A76"/>
    <w:rsid w:val="03524774"/>
    <w:rsid w:val="035A307B"/>
    <w:rsid w:val="035C1ED6"/>
    <w:rsid w:val="035E700F"/>
    <w:rsid w:val="0361265C"/>
    <w:rsid w:val="0365214C"/>
    <w:rsid w:val="03655CA8"/>
    <w:rsid w:val="03705611"/>
    <w:rsid w:val="038720C2"/>
    <w:rsid w:val="038762F2"/>
    <w:rsid w:val="038F541B"/>
    <w:rsid w:val="03A964DC"/>
    <w:rsid w:val="03B7227C"/>
    <w:rsid w:val="03B860E0"/>
    <w:rsid w:val="03B95FF4"/>
    <w:rsid w:val="03BC7892"/>
    <w:rsid w:val="03C2759E"/>
    <w:rsid w:val="03CB08EB"/>
    <w:rsid w:val="03CF3A69"/>
    <w:rsid w:val="03D1333D"/>
    <w:rsid w:val="03E33071"/>
    <w:rsid w:val="03E87A34"/>
    <w:rsid w:val="03EC461B"/>
    <w:rsid w:val="03EE0393"/>
    <w:rsid w:val="03EE1A7E"/>
    <w:rsid w:val="03EF5EB9"/>
    <w:rsid w:val="03F84131"/>
    <w:rsid w:val="03F86B1C"/>
    <w:rsid w:val="040000C7"/>
    <w:rsid w:val="04030F36"/>
    <w:rsid w:val="0408295D"/>
    <w:rsid w:val="04161698"/>
    <w:rsid w:val="041D4120"/>
    <w:rsid w:val="04212517"/>
    <w:rsid w:val="04272966"/>
    <w:rsid w:val="04357D70"/>
    <w:rsid w:val="043C48B1"/>
    <w:rsid w:val="044004C3"/>
    <w:rsid w:val="04446205"/>
    <w:rsid w:val="04483B5B"/>
    <w:rsid w:val="044C6E68"/>
    <w:rsid w:val="04650527"/>
    <w:rsid w:val="04654A29"/>
    <w:rsid w:val="046B19E4"/>
    <w:rsid w:val="04762137"/>
    <w:rsid w:val="047A27EC"/>
    <w:rsid w:val="047D48B1"/>
    <w:rsid w:val="04826D2E"/>
    <w:rsid w:val="048B5BE2"/>
    <w:rsid w:val="048C54B6"/>
    <w:rsid w:val="04932CE9"/>
    <w:rsid w:val="04976E80"/>
    <w:rsid w:val="04983E5B"/>
    <w:rsid w:val="049C7878"/>
    <w:rsid w:val="049F6132"/>
    <w:rsid w:val="04A86601"/>
    <w:rsid w:val="04A95352"/>
    <w:rsid w:val="04A95504"/>
    <w:rsid w:val="04B74C29"/>
    <w:rsid w:val="04BC223F"/>
    <w:rsid w:val="04C01703"/>
    <w:rsid w:val="04C2712A"/>
    <w:rsid w:val="04C82992"/>
    <w:rsid w:val="04CE1F73"/>
    <w:rsid w:val="04E37ADD"/>
    <w:rsid w:val="04ED064B"/>
    <w:rsid w:val="04F27594"/>
    <w:rsid w:val="04FA1326"/>
    <w:rsid w:val="04FC43EA"/>
    <w:rsid w:val="050551E7"/>
    <w:rsid w:val="050F05C1"/>
    <w:rsid w:val="05110BD1"/>
    <w:rsid w:val="052370B9"/>
    <w:rsid w:val="05241B93"/>
    <w:rsid w:val="052D6C99"/>
    <w:rsid w:val="053A648E"/>
    <w:rsid w:val="053F1F01"/>
    <w:rsid w:val="054343E0"/>
    <w:rsid w:val="05572C86"/>
    <w:rsid w:val="056075AE"/>
    <w:rsid w:val="05663F59"/>
    <w:rsid w:val="05687CD1"/>
    <w:rsid w:val="05693603"/>
    <w:rsid w:val="05894107"/>
    <w:rsid w:val="058A40EC"/>
    <w:rsid w:val="058F411B"/>
    <w:rsid w:val="05917228"/>
    <w:rsid w:val="05924D4E"/>
    <w:rsid w:val="05946D18"/>
    <w:rsid w:val="059960DD"/>
    <w:rsid w:val="05A21435"/>
    <w:rsid w:val="05A56B7F"/>
    <w:rsid w:val="05A978CA"/>
    <w:rsid w:val="05AA2098"/>
    <w:rsid w:val="05B2719F"/>
    <w:rsid w:val="05B4207D"/>
    <w:rsid w:val="05B60A3D"/>
    <w:rsid w:val="05B64EE1"/>
    <w:rsid w:val="05C04137"/>
    <w:rsid w:val="05C713DA"/>
    <w:rsid w:val="05CC64B2"/>
    <w:rsid w:val="05D2339D"/>
    <w:rsid w:val="05D76C05"/>
    <w:rsid w:val="05DC421B"/>
    <w:rsid w:val="05DD246D"/>
    <w:rsid w:val="05DE1D42"/>
    <w:rsid w:val="05DE7343"/>
    <w:rsid w:val="05EA6938"/>
    <w:rsid w:val="05EC0902"/>
    <w:rsid w:val="05EF3EA8"/>
    <w:rsid w:val="05F2473E"/>
    <w:rsid w:val="05F652DD"/>
    <w:rsid w:val="06007F0A"/>
    <w:rsid w:val="06013D33"/>
    <w:rsid w:val="060317A8"/>
    <w:rsid w:val="06064044"/>
    <w:rsid w:val="06284D83"/>
    <w:rsid w:val="062956B3"/>
    <w:rsid w:val="06386023"/>
    <w:rsid w:val="064076D4"/>
    <w:rsid w:val="064A48AD"/>
    <w:rsid w:val="065169B7"/>
    <w:rsid w:val="06530982"/>
    <w:rsid w:val="06577474"/>
    <w:rsid w:val="065B3392"/>
    <w:rsid w:val="066F2892"/>
    <w:rsid w:val="068428E9"/>
    <w:rsid w:val="06853253"/>
    <w:rsid w:val="06897EFF"/>
    <w:rsid w:val="06A74829"/>
    <w:rsid w:val="06BA6F68"/>
    <w:rsid w:val="06C07A6C"/>
    <w:rsid w:val="06C158EB"/>
    <w:rsid w:val="06C62F02"/>
    <w:rsid w:val="06C673A5"/>
    <w:rsid w:val="06D46400"/>
    <w:rsid w:val="06DF3FC3"/>
    <w:rsid w:val="06E67100"/>
    <w:rsid w:val="06E97196"/>
    <w:rsid w:val="06EC66E0"/>
    <w:rsid w:val="06ED4423"/>
    <w:rsid w:val="06F22DDC"/>
    <w:rsid w:val="06F37A6F"/>
    <w:rsid w:val="06FC4B75"/>
    <w:rsid w:val="070457D8"/>
    <w:rsid w:val="07077B4E"/>
    <w:rsid w:val="07133C6D"/>
    <w:rsid w:val="071B5655"/>
    <w:rsid w:val="071D1B69"/>
    <w:rsid w:val="071D71E1"/>
    <w:rsid w:val="071E0F8F"/>
    <w:rsid w:val="07230DA0"/>
    <w:rsid w:val="072365A6"/>
    <w:rsid w:val="072514A2"/>
    <w:rsid w:val="07306337"/>
    <w:rsid w:val="07335E21"/>
    <w:rsid w:val="07351E46"/>
    <w:rsid w:val="074C3905"/>
    <w:rsid w:val="075C1AB8"/>
    <w:rsid w:val="076170CE"/>
    <w:rsid w:val="07683FB9"/>
    <w:rsid w:val="076E0EC2"/>
    <w:rsid w:val="076F489C"/>
    <w:rsid w:val="07740BAF"/>
    <w:rsid w:val="07762B7A"/>
    <w:rsid w:val="07775550"/>
    <w:rsid w:val="077D2D56"/>
    <w:rsid w:val="0782194D"/>
    <w:rsid w:val="079A613C"/>
    <w:rsid w:val="079C1591"/>
    <w:rsid w:val="07A11279"/>
    <w:rsid w:val="07A24A1E"/>
    <w:rsid w:val="07A400C9"/>
    <w:rsid w:val="07A64AE1"/>
    <w:rsid w:val="07A86AAB"/>
    <w:rsid w:val="07AD40C1"/>
    <w:rsid w:val="07B86A89"/>
    <w:rsid w:val="07BF2A5A"/>
    <w:rsid w:val="07C65A38"/>
    <w:rsid w:val="07CC0BA8"/>
    <w:rsid w:val="07CC1A54"/>
    <w:rsid w:val="07CF228A"/>
    <w:rsid w:val="07D433FC"/>
    <w:rsid w:val="07D478A0"/>
    <w:rsid w:val="07E436C5"/>
    <w:rsid w:val="07E55609"/>
    <w:rsid w:val="07E61B7B"/>
    <w:rsid w:val="07E775D3"/>
    <w:rsid w:val="07EA70C4"/>
    <w:rsid w:val="07F433B5"/>
    <w:rsid w:val="07F7533D"/>
    <w:rsid w:val="07F95559"/>
    <w:rsid w:val="07FF0601"/>
    <w:rsid w:val="080C4A79"/>
    <w:rsid w:val="080F2686"/>
    <w:rsid w:val="08122176"/>
    <w:rsid w:val="08161E3D"/>
    <w:rsid w:val="082442C2"/>
    <w:rsid w:val="0828199A"/>
    <w:rsid w:val="082D0D5E"/>
    <w:rsid w:val="082F0F7A"/>
    <w:rsid w:val="082F4AD6"/>
    <w:rsid w:val="08397C29"/>
    <w:rsid w:val="083D5BBF"/>
    <w:rsid w:val="083E4D1A"/>
    <w:rsid w:val="084542FA"/>
    <w:rsid w:val="084C34CD"/>
    <w:rsid w:val="084E684E"/>
    <w:rsid w:val="085047BB"/>
    <w:rsid w:val="08577320"/>
    <w:rsid w:val="085F360E"/>
    <w:rsid w:val="086504F8"/>
    <w:rsid w:val="0869448C"/>
    <w:rsid w:val="086A1FB2"/>
    <w:rsid w:val="086E6632"/>
    <w:rsid w:val="08766BA9"/>
    <w:rsid w:val="0879217F"/>
    <w:rsid w:val="08884249"/>
    <w:rsid w:val="088842BD"/>
    <w:rsid w:val="088D3E95"/>
    <w:rsid w:val="089A2898"/>
    <w:rsid w:val="089D60FE"/>
    <w:rsid w:val="08A13C26"/>
    <w:rsid w:val="08AA4414"/>
    <w:rsid w:val="08AC25CB"/>
    <w:rsid w:val="08B6781C"/>
    <w:rsid w:val="08BA6A96"/>
    <w:rsid w:val="08BB280E"/>
    <w:rsid w:val="08BB4E6E"/>
    <w:rsid w:val="08C1776C"/>
    <w:rsid w:val="08C2594B"/>
    <w:rsid w:val="08C401C2"/>
    <w:rsid w:val="08CB0CA3"/>
    <w:rsid w:val="08CC0577"/>
    <w:rsid w:val="08CC2507"/>
    <w:rsid w:val="08CD7283"/>
    <w:rsid w:val="08D22256"/>
    <w:rsid w:val="08D7263E"/>
    <w:rsid w:val="08D94110"/>
    <w:rsid w:val="08DA7138"/>
    <w:rsid w:val="08E104C7"/>
    <w:rsid w:val="08E27D9B"/>
    <w:rsid w:val="08E6788B"/>
    <w:rsid w:val="08E7715F"/>
    <w:rsid w:val="08EB220C"/>
    <w:rsid w:val="08EB6380"/>
    <w:rsid w:val="08F0070A"/>
    <w:rsid w:val="09047D11"/>
    <w:rsid w:val="09082248"/>
    <w:rsid w:val="090D12BC"/>
    <w:rsid w:val="090D1A6E"/>
    <w:rsid w:val="09187C60"/>
    <w:rsid w:val="091A12E3"/>
    <w:rsid w:val="091A12F2"/>
    <w:rsid w:val="091A4149"/>
    <w:rsid w:val="09267C87"/>
    <w:rsid w:val="092832A9"/>
    <w:rsid w:val="092B1742"/>
    <w:rsid w:val="092E1232"/>
    <w:rsid w:val="093920B1"/>
    <w:rsid w:val="093F28FF"/>
    <w:rsid w:val="09410F65"/>
    <w:rsid w:val="09491BC8"/>
    <w:rsid w:val="094E37E3"/>
    <w:rsid w:val="09575B78"/>
    <w:rsid w:val="095B3334"/>
    <w:rsid w:val="095B3E20"/>
    <w:rsid w:val="095D7F5D"/>
    <w:rsid w:val="09615163"/>
    <w:rsid w:val="0966277A"/>
    <w:rsid w:val="0970184A"/>
    <w:rsid w:val="0992356F"/>
    <w:rsid w:val="09931095"/>
    <w:rsid w:val="09970B85"/>
    <w:rsid w:val="099C43EE"/>
    <w:rsid w:val="09A03EDE"/>
    <w:rsid w:val="09A3577C"/>
    <w:rsid w:val="09C23D96"/>
    <w:rsid w:val="09D242DF"/>
    <w:rsid w:val="09DA18A6"/>
    <w:rsid w:val="09EB0ED1"/>
    <w:rsid w:val="09FD6391"/>
    <w:rsid w:val="0A0124A3"/>
    <w:rsid w:val="0A032A16"/>
    <w:rsid w:val="0A06255C"/>
    <w:rsid w:val="0A0C1573"/>
    <w:rsid w:val="0A0C38F1"/>
    <w:rsid w:val="0A190B1C"/>
    <w:rsid w:val="0A23066B"/>
    <w:rsid w:val="0A2368BD"/>
    <w:rsid w:val="0A2B62A8"/>
    <w:rsid w:val="0A2D14EA"/>
    <w:rsid w:val="0A2F1883"/>
    <w:rsid w:val="0A334D52"/>
    <w:rsid w:val="0A394A7D"/>
    <w:rsid w:val="0A3E7253"/>
    <w:rsid w:val="0A424927"/>
    <w:rsid w:val="0A434869"/>
    <w:rsid w:val="0A55775A"/>
    <w:rsid w:val="0A60366D"/>
    <w:rsid w:val="0A621193"/>
    <w:rsid w:val="0A716B04"/>
    <w:rsid w:val="0A7333A0"/>
    <w:rsid w:val="0A776DBB"/>
    <w:rsid w:val="0A79028B"/>
    <w:rsid w:val="0A804AE5"/>
    <w:rsid w:val="0A865A33"/>
    <w:rsid w:val="0A893D4C"/>
    <w:rsid w:val="0A8A693C"/>
    <w:rsid w:val="0A9B46A5"/>
    <w:rsid w:val="0AA21713"/>
    <w:rsid w:val="0AA27683"/>
    <w:rsid w:val="0AA41D45"/>
    <w:rsid w:val="0AA90B70"/>
    <w:rsid w:val="0AA96DC2"/>
    <w:rsid w:val="0AAE262A"/>
    <w:rsid w:val="0AB17839"/>
    <w:rsid w:val="0ABB4D47"/>
    <w:rsid w:val="0ABB73E1"/>
    <w:rsid w:val="0ABD286D"/>
    <w:rsid w:val="0ABE2142"/>
    <w:rsid w:val="0ACD6184"/>
    <w:rsid w:val="0ADE3BB0"/>
    <w:rsid w:val="0AE12D7D"/>
    <w:rsid w:val="0AE55920"/>
    <w:rsid w:val="0AEA7910"/>
    <w:rsid w:val="0AEC2296"/>
    <w:rsid w:val="0AEC6CC4"/>
    <w:rsid w:val="0AF16BAB"/>
    <w:rsid w:val="0AF52007"/>
    <w:rsid w:val="0B015E43"/>
    <w:rsid w:val="0B057D70"/>
    <w:rsid w:val="0B071D3B"/>
    <w:rsid w:val="0B0859DB"/>
    <w:rsid w:val="0B0A23F7"/>
    <w:rsid w:val="0B100BEF"/>
    <w:rsid w:val="0B161F7E"/>
    <w:rsid w:val="0B2428ED"/>
    <w:rsid w:val="0B27418B"/>
    <w:rsid w:val="0B275F39"/>
    <w:rsid w:val="0B2C354F"/>
    <w:rsid w:val="0B3A2110"/>
    <w:rsid w:val="0B3A3EBE"/>
    <w:rsid w:val="0B412A38"/>
    <w:rsid w:val="0B420FC5"/>
    <w:rsid w:val="0B444D3D"/>
    <w:rsid w:val="0B460AB5"/>
    <w:rsid w:val="0B5052A9"/>
    <w:rsid w:val="0B50723E"/>
    <w:rsid w:val="0B5F1B77"/>
    <w:rsid w:val="0B6947A3"/>
    <w:rsid w:val="0B6B22C9"/>
    <w:rsid w:val="0B6C31DD"/>
    <w:rsid w:val="0B6D05BA"/>
    <w:rsid w:val="0B6E5916"/>
    <w:rsid w:val="0B745DC1"/>
    <w:rsid w:val="0B784DCE"/>
    <w:rsid w:val="0B837613"/>
    <w:rsid w:val="0B8476E0"/>
    <w:rsid w:val="0B8C3FEE"/>
    <w:rsid w:val="0B8E5FB8"/>
    <w:rsid w:val="0B91058F"/>
    <w:rsid w:val="0B9A5160"/>
    <w:rsid w:val="0B9F6417"/>
    <w:rsid w:val="0BA1444E"/>
    <w:rsid w:val="0BAD643E"/>
    <w:rsid w:val="0BB16391"/>
    <w:rsid w:val="0BB91DE3"/>
    <w:rsid w:val="0BB9791B"/>
    <w:rsid w:val="0BBC2B25"/>
    <w:rsid w:val="0BBE689D"/>
    <w:rsid w:val="0BC02C20"/>
    <w:rsid w:val="0BC419DA"/>
    <w:rsid w:val="0BD079E7"/>
    <w:rsid w:val="0BD936D7"/>
    <w:rsid w:val="0BD95485"/>
    <w:rsid w:val="0BE45BD8"/>
    <w:rsid w:val="0BE65DF4"/>
    <w:rsid w:val="0BF71DAF"/>
    <w:rsid w:val="0BFE6C9A"/>
    <w:rsid w:val="0BFF4D06"/>
    <w:rsid w:val="0C0452F3"/>
    <w:rsid w:val="0C083FBC"/>
    <w:rsid w:val="0C087B18"/>
    <w:rsid w:val="0C091E0B"/>
    <w:rsid w:val="0C1464BD"/>
    <w:rsid w:val="0C22507E"/>
    <w:rsid w:val="0C2636D0"/>
    <w:rsid w:val="0C287643"/>
    <w:rsid w:val="0C2920BD"/>
    <w:rsid w:val="0C2D757F"/>
    <w:rsid w:val="0C3B1C9C"/>
    <w:rsid w:val="0C3B6140"/>
    <w:rsid w:val="0C430B50"/>
    <w:rsid w:val="0C452B1A"/>
    <w:rsid w:val="0C472F61"/>
    <w:rsid w:val="0C4F0FDA"/>
    <w:rsid w:val="0C5114BF"/>
    <w:rsid w:val="0C517711"/>
    <w:rsid w:val="0C523489"/>
    <w:rsid w:val="0C5405A5"/>
    <w:rsid w:val="0C590374"/>
    <w:rsid w:val="0C61547A"/>
    <w:rsid w:val="0C637C7F"/>
    <w:rsid w:val="0C652E00"/>
    <w:rsid w:val="0C6B7A2A"/>
    <w:rsid w:val="0C79480A"/>
    <w:rsid w:val="0C7B653C"/>
    <w:rsid w:val="0C7D22B4"/>
    <w:rsid w:val="0C7F2EFD"/>
    <w:rsid w:val="0C802642"/>
    <w:rsid w:val="0C8573BB"/>
    <w:rsid w:val="0C8A1C18"/>
    <w:rsid w:val="0C8C24F7"/>
    <w:rsid w:val="0C8F7AE3"/>
    <w:rsid w:val="0C9870EE"/>
    <w:rsid w:val="0CA15669"/>
    <w:rsid w:val="0CA75EA8"/>
    <w:rsid w:val="0CAA5073"/>
    <w:rsid w:val="0CB101B0"/>
    <w:rsid w:val="0CB3796A"/>
    <w:rsid w:val="0CC71A66"/>
    <w:rsid w:val="0CC954FA"/>
    <w:rsid w:val="0CD03047"/>
    <w:rsid w:val="0CD6135A"/>
    <w:rsid w:val="0CD64802"/>
    <w:rsid w:val="0CDF2FE6"/>
    <w:rsid w:val="0CE642FD"/>
    <w:rsid w:val="0CEA36C2"/>
    <w:rsid w:val="0D116EA1"/>
    <w:rsid w:val="0D1B110B"/>
    <w:rsid w:val="0D2225D4"/>
    <w:rsid w:val="0D2C7836"/>
    <w:rsid w:val="0D336E17"/>
    <w:rsid w:val="0D340464"/>
    <w:rsid w:val="0D355D40"/>
    <w:rsid w:val="0D3710A1"/>
    <w:rsid w:val="0D3750FA"/>
    <w:rsid w:val="0D3D5EE8"/>
    <w:rsid w:val="0D3F57BC"/>
    <w:rsid w:val="0D42705A"/>
    <w:rsid w:val="0D4373BF"/>
    <w:rsid w:val="0D4B23B2"/>
    <w:rsid w:val="0D4D649A"/>
    <w:rsid w:val="0D774F56"/>
    <w:rsid w:val="0D7A67F4"/>
    <w:rsid w:val="0D803F9E"/>
    <w:rsid w:val="0D8B27AF"/>
    <w:rsid w:val="0D8C53E5"/>
    <w:rsid w:val="0D927FE1"/>
    <w:rsid w:val="0D933D59"/>
    <w:rsid w:val="0DA25D4B"/>
    <w:rsid w:val="0DA25DB6"/>
    <w:rsid w:val="0DA675E9"/>
    <w:rsid w:val="0DA8151C"/>
    <w:rsid w:val="0DAE649D"/>
    <w:rsid w:val="0DB53CD0"/>
    <w:rsid w:val="0DBA6F5E"/>
    <w:rsid w:val="0DBB07EB"/>
    <w:rsid w:val="0DBC5658"/>
    <w:rsid w:val="0DC2489C"/>
    <w:rsid w:val="0DC249D9"/>
    <w:rsid w:val="0DC9428B"/>
    <w:rsid w:val="0DCA3595"/>
    <w:rsid w:val="0DD8176C"/>
    <w:rsid w:val="0DEF15F6"/>
    <w:rsid w:val="0DFF4F4B"/>
    <w:rsid w:val="0DFF66CE"/>
    <w:rsid w:val="0E034A3B"/>
    <w:rsid w:val="0E047479"/>
    <w:rsid w:val="0E0B1B42"/>
    <w:rsid w:val="0E0B38F0"/>
    <w:rsid w:val="0E146C48"/>
    <w:rsid w:val="0E1924B1"/>
    <w:rsid w:val="0E1B3CA7"/>
    <w:rsid w:val="0E1C78AB"/>
    <w:rsid w:val="0E1E364A"/>
    <w:rsid w:val="0E1F1DAC"/>
    <w:rsid w:val="0E2624D8"/>
    <w:rsid w:val="0E2A021A"/>
    <w:rsid w:val="0E2A646C"/>
    <w:rsid w:val="0E2B44FC"/>
    <w:rsid w:val="0E303356"/>
    <w:rsid w:val="0E3270CE"/>
    <w:rsid w:val="0E3C238E"/>
    <w:rsid w:val="0E414F96"/>
    <w:rsid w:val="0E4806A0"/>
    <w:rsid w:val="0E486767"/>
    <w:rsid w:val="0E5E2B23"/>
    <w:rsid w:val="0E71409B"/>
    <w:rsid w:val="0E715E49"/>
    <w:rsid w:val="0E762D22"/>
    <w:rsid w:val="0E903B36"/>
    <w:rsid w:val="0E925DBF"/>
    <w:rsid w:val="0E927B6D"/>
    <w:rsid w:val="0E9438E5"/>
    <w:rsid w:val="0E99714E"/>
    <w:rsid w:val="0EAA3109"/>
    <w:rsid w:val="0EAF4BC3"/>
    <w:rsid w:val="0EBB2E2D"/>
    <w:rsid w:val="0EBD108E"/>
    <w:rsid w:val="0EBE272E"/>
    <w:rsid w:val="0ECA37AB"/>
    <w:rsid w:val="0EDE2CAE"/>
    <w:rsid w:val="0EDE5EF5"/>
    <w:rsid w:val="0EE63C63"/>
    <w:rsid w:val="0EEA1757"/>
    <w:rsid w:val="0EF16890"/>
    <w:rsid w:val="0EF33893"/>
    <w:rsid w:val="0EFC0E2C"/>
    <w:rsid w:val="0F0C242D"/>
    <w:rsid w:val="0F1134DA"/>
    <w:rsid w:val="0F1D7D7F"/>
    <w:rsid w:val="0F2E3D3A"/>
    <w:rsid w:val="0F3A0931"/>
    <w:rsid w:val="0F4B669A"/>
    <w:rsid w:val="0F4E3F02"/>
    <w:rsid w:val="0F512292"/>
    <w:rsid w:val="0F5D3EBD"/>
    <w:rsid w:val="0F7B6853"/>
    <w:rsid w:val="0F7F4595"/>
    <w:rsid w:val="0F8E2A2A"/>
    <w:rsid w:val="0F97417B"/>
    <w:rsid w:val="0F9A151A"/>
    <w:rsid w:val="0F9D2C6D"/>
    <w:rsid w:val="0FA638D0"/>
    <w:rsid w:val="0FA66D6B"/>
    <w:rsid w:val="0FAD1102"/>
    <w:rsid w:val="0FB35FED"/>
    <w:rsid w:val="0FC24482"/>
    <w:rsid w:val="0FC81EC8"/>
    <w:rsid w:val="0FC97080"/>
    <w:rsid w:val="0FD85A54"/>
    <w:rsid w:val="0FDB7F9B"/>
    <w:rsid w:val="0FE465D5"/>
    <w:rsid w:val="0FE5270E"/>
    <w:rsid w:val="0FF03111"/>
    <w:rsid w:val="10044A9B"/>
    <w:rsid w:val="10090303"/>
    <w:rsid w:val="10196764"/>
    <w:rsid w:val="101E3DAE"/>
    <w:rsid w:val="10304A5E"/>
    <w:rsid w:val="103233B6"/>
    <w:rsid w:val="10331F14"/>
    <w:rsid w:val="1034712E"/>
    <w:rsid w:val="103E1E35"/>
    <w:rsid w:val="103E61FE"/>
    <w:rsid w:val="10444FAE"/>
    <w:rsid w:val="10520168"/>
    <w:rsid w:val="10545A22"/>
    <w:rsid w:val="105477D0"/>
    <w:rsid w:val="10734F8E"/>
    <w:rsid w:val="107514F4"/>
    <w:rsid w:val="10765998"/>
    <w:rsid w:val="108033DC"/>
    <w:rsid w:val="1082127B"/>
    <w:rsid w:val="10831E63"/>
    <w:rsid w:val="1088747A"/>
    <w:rsid w:val="10916DEC"/>
    <w:rsid w:val="10945E1E"/>
    <w:rsid w:val="10973DCB"/>
    <w:rsid w:val="109951E3"/>
    <w:rsid w:val="109C1DE3"/>
    <w:rsid w:val="10A2678D"/>
    <w:rsid w:val="10A3159A"/>
    <w:rsid w:val="10A5372C"/>
    <w:rsid w:val="10A818CA"/>
    <w:rsid w:val="10AC33DF"/>
    <w:rsid w:val="10B71B0D"/>
    <w:rsid w:val="10B85FB1"/>
    <w:rsid w:val="10BE10ED"/>
    <w:rsid w:val="10C01A96"/>
    <w:rsid w:val="10C23401"/>
    <w:rsid w:val="10C354FD"/>
    <w:rsid w:val="10D10E21"/>
    <w:rsid w:val="10D12BCF"/>
    <w:rsid w:val="10D1429B"/>
    <w:rsid w:val="10D206F5"/>
    <w:rsid w:val="10D450F9"/>
    <w:rsid w:val="10D821AF"/>
    <w:rsid w:val="10DA102E"/>
    <w:rsid w:val="10DD1A25"/>
    <w:rsid w:val="10F92125"/>
    <w:rsid w:val="110034B4"/>
    <w:rsid w:val="11056D1C"/>
    <w:rsid w:val="110765F0"/>
    <w:rsid w:val="11182C7C"/>
    <w:rsid w:val="111D4CDB"/>
    <w:rsid w:val="112371A2"/>
    <w:rsid w:val="112E7CD6"/>
    <w:rsid w:val="113118BF"/>
    <w:rsid w:val="113373E5"/>
    <w:rsid w:val="1135180D"/>
    <w:rsid w:val="113B44EC"/>
    <w:rsid w:val="113E12FF"/>
    <w:rsid w:val="11407D54"/>
    <w:rsid w:val="1154735C"/>
    <w:rsid w:val="115630D4"/>
    <w:rsid w:val="115E01DA"/>
    <w:rsid w:val="11641C95"/>
    <w:rsid w:val="116B1D07"/>
    <w:rsid w:val="11806897"/>
    <w:rsid w:val="11853D3E"/>
    <w:rsid w:val="11911575"/>
    <w:rsid w:val="119432E3"/>
    <w:rsid w:val="11A93B4C"/>
    <w:rsid w:val="11AC0F46"/>
    <w:rsid w:val="11B036FF"/>
    <w:rsid w:val="11B232FE"/>
    <w:rsid w:val="11B92EF1"/>
    <w:rsid w:val="11BB27B8"/>
    <w:rsid w:val="11BC6EA1"/>
    <w:rsid w:val="11C673EC"/>
    <w:rsid w:val="11E15093"/>
    <w:rsid w:val="11F052D6"/>
    <w:rsid w:val="11F34DC7"/>
    <w:rsid w:val="11F85BF4"/>
    <w:rsid w:val="11FC3C7B"/>
    <w:rsid w:val="11FC76AF"/>
    <w:rsid w:val="12015736"/>
    <w:rsid w:val="120E7E53"/>
    <w:rsid w:val="12165C31"/>
    <w:rsid w:val="12170A79"/>
    <w:rsid w:val="12195523"/>
    <w:rsid w:val="122338FE"/>
    <w:rsid w:val="12266F4A"/>
    <w:rsid w:val="122B630F"/>
    <w:rsid w:val="122D17EC"/>
    <w:rsid w:val="122E4051"/>
    <w:rsid w:val="12303925"/>
    <w:rsid w:val="12380A2C"/>
    <w:rsid w:val="12411FD6"/>
    <w:rsid w:val="12445976"/>
    <w:rsid w:val="124D097B"/>
    <w:rsid w:val="12505D75"/>
    <w:rsid w:val="125A718E"/>
    <w:rsid w:val="1263675F"/>
    <w:rsid w:val="12661A3D"/>
    <w:rsid w:val="126D2DCB"/>
    <w:rsid w:val="126E447C"/>
    <w:rsid w:val="127203E1"/>
    <w:rsid w:val="1272218F"/>
    <w:rsid w:val="12795640"/>
    <w:rsid w:val="127F6859"/>
    <w:rsid w:val="12883761"/>
    <w:rsid w:val="128A110B"/>
    <w:rsid w:val="128E0BAC"/>
    <w:rsid w:val="12914583"/>
    <w:rsid w:val="1295710D"/>
    <w:rsid w:val="129C385F"/>
    <w:rsid w:val="129F1D95"/>
    <w:rsid w:val="12A367ED"/>
    <w:rsid w:val="12A91DFF"/>
    <w:rsid w:val="12AA36D7"/>
    <w:rsid w:val="12AD7599"/>
    <w:rsid w:val="12B04A66"/>
    <w:rsid w:val="12B91B6C"/>
    <w:rsid w:val="12BA7692"/>
    <w:rsid w:val="12BB315C"/>
    <w:rsid w:val="12BB58E4"/>
    <w:rsid w:val="12BE7183"/>
    <w:rsid w:val="12C549B5"/>
    <w:rsid w:val="12CE2D24"/>
    <w:rsid w:val="12D152D7"/>
    <w:rsid w:val="12F928B1"/>
    <w:rsid w:val="130A686C"/>
    <w:rsid w:val="1312127D"/>
    <w:rsid w:val="13124A23"/>
    <w:rsid w:val="1315735E"/>
    <w:rsid w:val="13190BAF"/>
    <w:rsid w:val="13196AAF"/>
    <w:rsid w:val="131B3BB9"/>
    <w:rsid w:val="13203923"/>
    <w:rsid w:val="13223BB5"/>
    <w:rsid w:val="132C055D"/>
    <w:rsid w:val="132D4308"/>
    <w:rsid w:val="132D68E2"/>
    <w:rsid w:val="13303496"/>
    <w:rsid w:val="13403E00"/>
    <w:rsid w:val="13453400"/>
    <w:rsid w:val="13471A47"/>
    <w:rsid w:val="134E37C3"/>
    <w:rsid w:val="1355783D"/>
    <w:rsid w:val="13580061"/>
    <w:rsid w:val="135E2714"/>
    <w:rsid w:val="13693592"/>
    <w:rsid w:val="13741F37"/>
    <w:rsid w:val="13793961"/>
    <w:rsid w:val="13893C35"/>
    <w:rsid w:val="138A52B7"/>
    <w:rsid w:val="138E124B"/>
    <w:rsid w:val="138F0B1F"/>
    <w:rsid w:val="13912AE9"/>
    <w:rsid w:val="139454AD"/>
    <w:rsid w:val="1398701B"/>
    <w:rsid w:val="139879D4"/>
    <w:rsid w:val="139F5747"/>
    <w:rsid w:val="139F6354"/>
    <w:rsid w:val="13A0300C"/>
    <w:rsid w:val="13A4281C"/>
    <w:rsid w:val="13A855F1"/>
    <w:rsid w:val="13A97E33"/>
    <w:rsid w:val="13AA7707"/>
    <w:rsid w:val="13B33D27"/>
    <w:rsid w:val="13B3480E"/>
    <w:rsid w:val="13B966BF"/>
    <w:rsid w:val="13CE7C74"/>
    <w:rsid w:val="13D1738A"/>
    <w:rsid w:val="13D34B93"/>
    <w:rsid w:val="13D4593D"/>
    <w:rsid w:val="13D6674E"/>
    <w:rsid w:val="13DF0740"/>
    <w:rsid w:val="13E8278D"/>
    <w:rsid w:val="13EC237F"/>
    <w:rsid w:val="13F05A62"/>
    <w:rsid w:val="13F1667F"/>
    <w:rsid w:val="13FA068E"/>
    <w:rsid w:val="13FB7F63"/>
    <w:rsid w:val="1403423A"/>
    <w:rsid w:val="14052375"/>
    <w:rsid w:val="140908D1"/>
    <w:rsid w:val="140B554A"/>
    <w:rsid w:val="1412286A"/>
    <w:rsid w:val="142501C2"/>
    <w:rsid w:val="142C636E"/>
    <w:rsid w:val="143A4F2F"/>
    <w:rsid w:val="14430A9C"/>
    <w:rsid w:val="1444190A"/>
    <w:rsid w:val="1447741D"/>
    <w:rsid w:val="14483BE8"/>
    <w:rsid w:val="145204CA"/>
    <w:rsid w:val="145B76C9"/>
    <w:rsid w:val="14606DC7"/>
    <w:rsid w:val="14635DCB"/>
    <w:rsid w:val="146469A1"/>
    <w:rsid w:val="1467570A"/>
    <w:rsid w:val="146B333A"/>
    <w:rsid w:val="147246C9"/>
    <w:rsid w:val="147F611E"/>
    <w:rsid w:val="14883EEC"/>
    <w:rsid w:val="14890CB6"/>
    <w:rsid w:val="148937C0"/>
    <w:rsid w:val="14913641"/>
    <w:rsid w:val="14942568"/>
    <w:rsid w:val="14943AA4"/>
    <w:rsid w:val="149A59CD"/>
    <w:rsid w:val="14A3268B"/>
    <w:rsid w:val="14A5684C"/>
    <w:rsid w:val="14A95C11"/>
    <w:rsid w:val="14B24AC5"/>
    <w:rsid w:val="14B4083D"/>
    <w:rsid w:val="14B613B0"/>
    <w:rsid w:val="14B823C0"/>
    <w:rsid w:val="14BA1BCC"/>
    <w:rsid w:val="14C173FE"/>
    <w:rsid w:val="14C842E9"/>
    <w:rsid w:val="14D42C8D"/>
    <w:rsid w:val="14D72A6E"/>
    <w:rsid w:val="14DB76F7"/>
    <w:rsid w:val="14F11A91"/>
    <w:rsid w:val="14F60DD0"/>
    <w:rsid w:val="14F652AD"/>
    <w:rsid w:val="14F926F4"/>
    <w:rsid w:val="14F96B98"/>
    <w:rsid w:val="14FB4921"/>
    <w:rsid w:val="14FC21E4"/>
    <w:rsid w:val="150B3098"/>
    <w:rsid w:val="150D3BFD"/>
    <w:rsid w:val="150F0169"/>
    <w:rsid w:val="151508C6"/>
    <w:rsid w:val="151B6B0E"/>
    <w:rsid w:val="152B059C"/>
    <w:rsid w:val="15332574"/>
    <w:rsid w:val="15363948"/>
    <w:rsid w:val="153951E6"/>
    <w:rsid w:val="153B0F5F"/>
    <w:rsid w:val="15453B8B"/>
    <w:rsid w:val="15455939"/>
    <w:rsid w:val="15597637"/>
    <w:rsid w:val="155A14E1"/>
    <w:rsid w:val="155F6476"/>
    <w:rsid w:val="15610299"/>
    <w:rsid w:val="15634011"/>
    <w:rsid w:val="15655C97"/>
    <w:rsid w:val="15694528"/>
    <w:rsid w:val="156F6E5A"/>
    <w:rsid w:val="15704D05"/>
    <w:rsid w:val="15773146"/>
    <w:rsid w:val="15781D56"/>
    <w:rsid w:val="157B5F12"/>
    <w:rsid w:val="157F5F94"/>
    <w:rsid w:val="15861F52"/>
    <w:rsid w:val="1586496F"/>
    <w:rsid w:val="15883A78"/>
    <w:rsid w:val="15891CCA"/>
    <w:rsid w:val="158E5532"/>
    <w:rsid w:val="15937141"/>
    <w:rsid w:val="159643E7"/>
    <w:rsid w:val="15A5287C"/>
    <w:rsid w:val="15B42DEE"/>
    <w:rsid w:val="15B91E83"/>
    <w:rsid w:val="15D1541F"/>
    <w:rsid w:val="15D87EFC"/>
    <w:rsid w:val="15E908A3"/>
    <w:rsid w:val="15ED1717"/>
    <w:rsid w:val="15F25621"/>
    <w:rsid w:val="15F45C28"/>
    <w:rsid w:val="16004EFE"/>
    <w:rsid w:val="160D4C0B"/>
    <w:rsid w:val="16105F47"/>
    <w:rsid w:val="16135A37"/>
    <w:rsid w:val="161517B0"/>
    <w:rsid w:val="16257519"/>
    <w:rsid w:val="16261A07"/>
    <w:rsid w:val="16297009"/>
    <w:rsid w:val="162E2871"/>
    <w:rsid w:val="16331B53"/>
    <w:rsid w:val="16445BF1"/>
    <w:rsid w:val="16481B85"/>
    <w:rsid w:val="164E4CC1"/>
    <w:rsid w:val="16565ED2"/>
    <w:rsid w:val="1658169C"/>
    <w:rsid w:val="16610551"/>
    <w:rsid w:val="167744DB"/>
    <w:rsid w:val="16775FC6"/>
    <w:rsid w:val="167D1412"/>
    <w:rsid w:val="16826719"/>
    <w:rsid w:val="168406E3"/>
    <w:rsid w:val="1685064F"/>
    <w:rsid w:val="16881F81"/>
    <w:rsid w:val="168B3820"/>
    <w:rsid w:val="1696100A"/>
    <w:rsid w:val="16976668"/>
    <w:rsid w:val="169923E1"/>
    <w:rsid w:val="16B26FFE"/>
    <w:rsid w:val="16B54D41"/>
    <w:rsid w:val="16BC1AC2"/>
    <w:rsid w:val="16E55626"/>
    <w:rsid w:val="16E674C9"/>
    <w:rsid w:val="16F75866"/>
    <w:rsid w:val="16FB4D0D"/>
    <w:rsid w:val="1703785A"/>
    <w:rsid w:val="17041E1F"/>
    <w:rsid w:val="170516E6"/>
    <w:rsid w:val="17061A16"/>
    <w:rsid w:val="170A58FB"/>
    <w:rsid w:val="171014E0"/>
    <w:rsid w:val="17167E37"/>
    <w:rsid w:val="17175311"/>
    <w:rsid w:val="1722299A"/>
    <w:rsid w:val="172318A2"/>
    <w:rsid w:val="17231CAA"/>
    <w:rsid w:val="1726179A"/>
    <w:rsid w:val="173023F6"/>
    <w:rsid w:val="17306175"/>
    <w:rsid w:val="17360893"/>
    <w:rsid w:val="173C4B1A"/>
    <w:rsid w:val="173D27FA"/>
    <w:rsid w:val="173E0892"/>
    <w:rsid w:val="1740460A"/>
    <w:rsid w:val="17486C88"/>
    <w:rsid w:val="174E307B"/>
    <w:rsid w:val="17577221"/>
    <w:rsid w:val="17654071"/>
    <w:rsid w:val="17730085"/>
    <w:rsid w:val="17742506"/>
    <w:rsid w:val="177A32CC"/>
    <w:rsid w:val="178457BF"/>
    <w:rsid w:val="178A363A"/>
    <w:rsid w:val="178A3AD7"/>
    <w:rsid w:val="178C784F"/>
    <w:rsid w:val="179F0ECE"/>
    <w:rsid w:val="17A0779F"/>
    <w:rsid w:val="17BD6263"/>
    <w:rsid w:val="17C66A57"/>
    <w:rsid w:val="17C80319"/>
    <w:rsid w:val="17CB5B5B"/>
    <w:rsid w:val="17CC0594"/>
    <w:rsid w:val="17CD5E16"/>
    <w:rsid w:val="17D66D1D"/>
    <w:rsid w:val="17DF02C7"/>
    <w:rsid w:val="17E07B9B"/>
    <w:rsid w:val="17E732CE"/>
    <w:rsid w:val="17EB6C6C"/>
    <w:rsid w:val="17ED5D86"/>
    <w:rsid w:val="17EE050A"/>
    <w:rsid w:val="17F73608"/>
    <w:rsid w:val="17F90C5D"/>
    <w:rsid w:val="17FB2AFF"/>
    <w:rsid w:val="18041ADC"/>
    <w:rsid w:val="18075128"/>
    <w:rsid w:val="181B6E25"/>
    <w:rsid w:val="182201B4"/>
    <w:rsid w:val="18254403"/>
    <w:rsid w:val="182757CA"/>
    <w:rsid w:val="18346906"/>
    <w:rsid w:val="183572F6"/>
    <w:rsid w:val="183B68BE"/>
    <w:rsid w:val="183B7550"/>
    <w:rsid w:val="18420856"/>
    <w:rsid w:val="18491BE4"/>
    <w:rsid w:val="184A789D"/>
    <w:rsid w:val="185B5474"/>
    <w:rsid w:val="18663482"/>
    <w:rsid w:val="186B56B7"/>
    <w:rsid w:val="18705A7B"/>
    <w:rsid w:val="187A3B4C"/>
    <w:rsid w:val="18934C0E"/>
    <w:rsid w:val="18985569"/>
    <w:rsid w:val="1899022C"/>
    <w:rsid w:val="18A565AA"/>
    <w:rsid w:val="18AC23B2"/>
    <w:rsid w:val="18B0756E"/>
    <w:rsid w:val="18B2778A"/>
    <w:rsid w:val="18B50282"/>
    <w:rsid w:val="18BA580C"/>
    <w:rsid w:val="18BF3C55"/>
    <w:rsid w:val="18C1177B"/>
    <w:rsid w:val="18C44787"/>
    <w:rsid w:val="18D46408"/>
    <w:rsid w:val="18E35B95"/>
    <w:rsid w:val="18E67433"/>
    <w:rsid w:val="18EB2C9C"/>
    <w:rsid w:val="18F22749"/>
    <w:rsid w:val="18F364AF"/>
    <w:rsid w:val="18F558C8"/>
    <w:rsid w:val="18F57676"/>
    <w:rsid w:val="18FE29CF"/>
    <w:rsid w:val="190564B1"/>
    <w:rsid w:val="19074FB6"/>
    <w:rsid w:val="190820BD"/>
    <w:rsid w:val="19145D4E"/>
    <w:rsid w:val="191A144A"/>
    <w:rsid w:val="191F46F3"/>
    <w:rsid w:val="19287A4C"/>
    <w:rsid w:val="192B12EA"/>
    <w:rsid w:val="1945415A"/>
    <w:rsid w:val="194A5C14"/>
    <w:rsid w:val="194A79C2"/>
    <w:rsid w:val="194D1260"/>
    <w:rsid w:val="194D1592"/>
    <w:rsid w:val="19526877"/>
    <w:rsid w:val="19550115"/>
    <w:rsid w:val="195645B9"/>
    <w:rsid w:val="195D6994"/>
    <w:rsid w:val="195D6D4F"/>
    <w:rsid w:val="195E346D"/>
    <w:rsid w:val="195E521C"/>
    <w:rsid w:val="196071E6"/>
    <w:rsid w:val="1968518A"/>
    <w:rsid w:val="19762953"/>
    <w:rsid w:val="197E58BE"/>
    <w:rsid w:val="198F739A"/>
    <w:rsid w:val="199121F9"/>
    <w:rsid w:val="19924070"/>
    <w:rsid w:val="19950014"/>
    <w:rsid w:val="19A54BF8"/>
    <w:rsid w:val="19AA66B3"/>
    <w:rsid w:val="19AD1CFF"/>
    <w:rsid w:val="19B1359D"/>
    <w:rsid w:val="19CC03D7"/>
    <w:rsid w:val="19D97B6B"/>
    <w:rsid w:val="19DC475A"/>
    <w:rsid w:val="19E03E83"/>
    <w:rsid w:val="19E0465A"/>
    <w:rsid w:val="19E73463"/>
    <w:rsid w:val="19E94800"/>
    <w:rsid w:val="19F416DC"/>
    <w:rsid w:val="19FB4003"/>
    <w:rsid w:val="1A0062D3"/>
    <w:rsid w:val="1A0538E9"/>
    <w:rsid w:val="1A075664"/>
    <w:rsid w:val="1A0933D9"/>
    <w:rsid w:val="1A0A7151"/>
    <w:rsid w:val="1A0F6200"/>
    <w:rsid w:val="1A141D7E"/>
    <w:rsid w:val="1A143B33"/>
    <w:rsid w:val="1A194FD8"/>
    <w:rsid w:val="1A1A58D2"/>
    <w:rsid w:val="1A1E46C9"/>
    <w:rsid w:val="1A257076"/>
    <w:rsid w:val="1A2611C5"/>
    <w:rsid w:val="1A2B77F4"/>
    <w:rsid w:val="1A2E4BEE"/>
    <w:rsid w:val="1A345F7C"/>
    <w:rsid w:val="1A366198"/>
    <w:rsid w:val="1A3B730B"/>
    <w:rsid w:val="1A4C776A"/>
    <w:rsid w:val="1A622AE9"/>
    <w:rsid w:val="1A693E78"/>
    <w:rsid w:val="1A6A7BF0"/>
    <w:rsid w:val="1A732F49"/>
    <w:rsid w:val="1A75281D"/>
    <w:rsid w:val="1A765A93"/>
    <w:rsid w:val="1A7A6085"/>
    <w:rsid w:val="1A7B3BAB"/>
    <w:rsid w:val="1A824F3A"/>
    <w:rsid w:val="1A9058A9"/>
    <w:rsid w:val="1A911621"/>
    <w:rsid w:val="1A951BB2"/>
    <w:rsid w:val="1A9D7FC6"/>
    <w:rsid w:val="1A9F5AEC"/>
    <w:rsid w:val="1AA82C77"/>
    <w:rsid w:val="1AA94BBC"/>
    <w:rsid w:val="1AB9378E"/>
    <w:rsid w:val="1AC90DBB"/>
    <w:rsid w:val="1ACA63BC"/>
    <w:rsid w:val="1ACE4623"/>
    <w:rsid w:val="1ADF72F8"/>
    <w:rsid w:val="1AE16BF2"/>
    <w:rsid w:val="1AE31E7C"/>
    <w:rsid w:val="1AE479A2"/>
    <w:rsid w:val="1AE94FBE"/>
    <w:rsid w:val="1AEE25CF"/>
    <w:rsid w:val="1AF44089"/>
    <w:rsid w:val="1AF607E3"/>
    <w:rsid w:val="1AFA5418"/>
    <w:rsid w:val="1B043BA1"/>
    <w:rsid w:val="1B157B5C"/>
    <w:rsid w:val="1B1913CD"/>
    <w:rsid w:val="1B1D252F"/>
    <w:rsid w:val="1B244243"/>
    <w:rsid w:val="1B2A18D8"/>
    <w:rsid w:val="1B2B3823"/>
    <w:rsid w:val="1B367857"/>
    <w:rsid w:val="1B3C0B95"/>
    <w:rsid w:val="1B3C77DE"/>
    <w:rsid w:val="1B446E20"/>
    <w:rsid w:val="1B4548E5"/>
    <w:rsid w:val="1B4A3CA9"/>
    <w:rsid w:val="1B4D379A"/>
    <w:rsid w:val="1B553EFF"/>
    <w:rsid w:val="1B5B7969"/>
    <w:rsid w:val="1B610FF3"/>
    <w:rsid w:val="1B650AE3"/>
    <w:rsid w:val="1B6D7998"/>
    <w:rsid w:val="1B762B5C"/>
    <w:rsid w:val="1B7A6792"/>
    <w:rsid w:val="1B83540D"/>
    <w:rsid w:val="1B987507"/>
    <w:rsid w:val="1BB76E65"/>
    <w:rsid w:val="1BB93B82"/>
    <w:rsid w:val="1BC31CAE"/>
    <w:rsid w:val="1BC36B1C"/>
    <w:rsid w:val="1BD33CD1"/>
    <w:rsid w:val="1BD421B0"/>
    <w:rsid w:val="1BD6553D"/>
    <w:rsid w:val="1BD712B5"/>
    <w:rsid w:val="1BDC1FF9"/>
    <w:rsid w:val="1BE7599C"/>
    <w:rsid w:val="1BED2887"/>
    <w:rsid w:val="1BFE4A94"/>
    <w:rsid w:val="1C1442B7"/>
    <w:rsid w:val="1C185B56"/>
    <w:rsid w:val="1C1A3990"/>
    <w:rsid w:val="1C280A5F"/>
    <w:rsid w:val="1C294ACB"/>
    <w:rsid w:val="1C2E5379"/>
    <w:rsid w:val="1C330BE1"/>
    <w:rsid w:val="1C366868"/>
    <w:rsid w:val="1C3E30E2"/>
    <w:rsid w:val="1C400033"/>
    <w:rsid w:val="1C44694B"/>
    <w:rsid w:val="1C54566D"/>
    <w:rsid w:val="1C5A0899"/>
    <w:rsid w:val="1C6074FD"/>
    <w:rsid w:val="1C6C5EA1"/>
    <w:rsid w:val="1C821221"/>
    <w:rsid w:val="1C9F19C8"/>
    <w:rsid w:val="1CB6536F"/>
    <w:rsid w:val="1CBB64E0"/>
    <w:rsid w:val="1CBD27BF"/>
    <w:rsid w:val="1CBE1E69"/>
    <w:rsid w:val="1CC25FDD"/>
    <w:rsid w:val="1CCE4466"/>
    <w:rsid w:val="1CD312E0"/>
    <w:rsid w:val="1CD81789"/>
    <w:rsid w:val="1CD87093"/>
    <w:rsid w:val="1CDE4865"/>
    <w:rsid w:val="1CE26164"/>
    <w:rsid w:val="1CE7319D"/>
    <w:rsid w:val="1CE819CC"/>
    <w:rsid w:val="1CEF6B87"/>
    <w:rsid w:val="1CF34A30"/>
    <w:rsid w:val="1CFF6D16"/>
    <w:rsid w:val="1D032D1B"/>
    <w:rsid w:val="1D036806"/>
    <w:rsid w:val="1D0460DA"/>
    <w:rsid w:val="1D0B5AA5"/>
    <w:rsid w:val="1D0C4F8F"/>
    <w:rsid w:val="1D0C7C22"/>
    <w:rsid w:val="1D0D1DCA"/>
    <w:rsid w:val="1D2624F4"/>
    <w:rsid w:val="1D2E3157"/>
    <w:rsid w:val="1D331963"/>
    <w:rsid w:val="1D3369BF"/>
    <w:rsid w:val="1D3F35B6"/>
    <w:rsid w:val="1D464944"/>
    <w:rsid w:val="1D507571"/>
    <w:rsid w:val="1D540E0F"/>
    <w:rsid w:val="1D631052"/>
    <w:rsid w:val="1D65301C"/>
    <w:rsid w:val="1D666D95"/>
    <w:rsid w:val="1D686669"/>
    <w:rsid w:val="1D69418F"/>
    <w:rsid w:val="1D6F3E9B"/>
    <w:rsid w:val="1D7414B2"/>
    <w:rsid w:val="1D823B84"/>
    <w:rsid w:val="1D8611E5"/>
    <w:rsid w:val="1D8773D9"/>
    <w:rsid w:val="1D8F3AD9"/>
    <w:rsid w:val="1D9C27B6"/>
    <w:rsid w:val="1DA33D00"/>
    <w:rsid w:val="1DA74883"/>
    <w:rsid w:val="1DBC4C07"/>
    <w:rsid w:val="1DC6338F"/>
    <w:rsid w:val="1DC75A85"/>
    <w:rsid w:val="1DCA7323"/>
    <w:rsid w:val="1DD41F50"/>
    <w:rsid w:val="1DEA3522"/>
    <w:rsid w:val="1DEA52D0"/>
    <w:rsid w:val="1DEB1364"/>
    <w:rsid w:val="1DF0665E"/>
    <w:rsid w:val="1E0068A1"/>
    <w:rsid w:val="1E0839A8"/>
    <w:rsid w:val="1E0C2955"/>
    <w:rsid w:val="1E0C3498"/>
    <w:rsid w:val="1E0F23C7"/>
    <w:rsid w:val="1E172819"/>
    <w:rsid w:val="1E1914FE"/>
    <w:rsid w:val="1E1E35BE"/>
    <w:rsid w:val="1E1E766F"/>
    <w:rsid w:val="1E220F0E"/>
    <w:rsid w:val="1E2210EC"/>
    <w:rsid w:val="1E234C86"/>
    <w:rsid w:val="1E347AE2"/>
    <w:rsid w:val="1E3B3D7D"/>
    <w:rsid w:val="1E3D18A3"/>
    <w:rsid w:val="1E4221AC"/>
    <w:rsid w:val="1E4A0464"/>
    <w:rsid w:val="1E4A5D6E"/>
    <w:rsid w:val="1E522E75"/>
    <w:rsid w:val="1E547805"/>
    <w:rsid w:val="1E5866DD"/>
    <w:rsid w:val="1E5D0198"/>
    <w:rsid w:val="1E6037E4"/>
    <w:rsid w:val="1E676911"/>
    <w:rsid w:val="1E682698"/>
    <w:rsid w:val="1E6A4663"/>
    <w:rsid w:val="1E7027EF"/>
    <w:rsid w:val="1E74103D"/>
    <w:rsid w:val="1E766B63"/>
    <w:rsid w:val="1E766E25"/>
    <w:rsid w:val="1E771628"/>
    <w:rsid w:val="1E85324A"/>
    <w:rsid w:val="1E8560A7"/>
    <w:rsid w:val="1E8F7C25"/>
    <w:rsid w:val="1E963356"/>
    <w:rsid w:val="1E9B481C"/>
    <w:rsid w:val="1E9D1AAB"/>
    <w:rsid w:val="1EA872D7"/>
    <w:rsid w:val="1EAB7E95"/>
    <w:rsid w:val="1EC43D73"/>
    <w:rsid w:val="1EC9494F"/>
    <w:rsid w:val="1ED0096A"/>
    <w:rsid w:val="1EE3035C"/>
    <w:rsid w:val="1EE6018D"/>
    <w:rsid w:val="1EFA3C4B"/>
    <w:rsid w:val="1EFA3D39"/>
    <w:rsid w:val="1F0C1276"/>
    <w:rsid w:val="1F122D30"/>
    <w:rsid w:val="1F170346"/>
    <w:rsid w:val="1F176598"/>
    <w:rsid w:val="1F185644"/>
    <w:rsid w:val="1F1A3993"/>
    <w:rsid w:val="1F41009E"/>
    <w:rsid w:val="1F464C99"/>
    <w:rsid w:val="1F4B7FF0"/>
    <w:rsid w:val="1F4C3235"/>
    <w:rsid w:val="1F501AAA"/>
    <w:rsid w:val="1F5E41C7"/>
    <w:rsid w:val="1F686DF4"/>
    <w:rsid w:val="1F697792"/>
    <w:rsid w:val="1F6B2440"/>
    <w:rsid w:val="1F6D256E"/>
    <w:rsid w:val="1F6E1443"/>
    <w:rsid w:val="1F6E3CDF"/>
    <w:rsid w:val="1F704E08"/>
    <w:rsid w:val="1F7C289F"/>
    <w:rsid w:val="1F7F7C9A"/>
    <w:rsid w:val="1F887800"/>
    <w:rsid w:val="1F8A4FBC"/>
    <w:rsid w:val="1F8C28BE"/>
    <w:rsid w:val="1F9065F0"/>
    <w:rsid w:val="1F962E5D"/>
    <w:rsid w:val="1F9D7A5B"/>
    <w:rsid w:val="1FAD0CAB"/>
    <w:rsid w:val="1FB060A0"/>
    <w:rsid w:val="1FBC7140"/>
    <w:rsid w:val="1FC63B1B"/>
    <w:rsid w:val="1FCA360B"/>
    <w:rsid w:val="1FD2426D"/>
    <w:rsid w:val="1FD60202"/>
    <w:rsid w:val="1FD955FC"/>
    <w:rsid w:val="1FE10954"/>
    <w:rsid w:val="1FE355A3"/>
    <w:rsid w:val="1FE37235"/>
    <w:rsid w:val="1FE50445"/>
    <w:rsid w:val="1FE521F3"/>
    <w:rsid w:val="1FF266BE"/>
    <w:rsid w:val="1FF605C0"/>
    <w:rsid w:val="1FFE449D"/>
    <w:rsid w:val="20016901"/>
    <w:rsid w:val="20057556"/>
    <w:rsid w:val="201605FE"/>
    <w:rsid w:val="201B5C14"/>
    <w:rsid w:val="20222654"/>
    <w:rsid w:val="202A5E57"/>
    <w:rsid w:val="202C6073"/>
    <w:rsid w:val="20304F8E"/>
    <w:rsid w:val="20356AF0"/>
    <w:rsid w:val="20450EE3"/>
    <w:rsid w:val="20475A9E"/>
    <w:rsid w:val="204C078D"/>
    <w:rsid w:val="204C4020"/>
    <w:rsid w:val="20523600"/>
    <w:rsid w:val="20581749"/>
    <w:rsid w:val="20585C6A"/>
    <w:rsid w:val="20592BE1"/>
    <w:rsid w:val="2059673D"/>
    <w:rsid w:val="206A26F8"/>
    <w:rsid w:val="206C021E"/>
    <w:rsid w:val="206D1956"/>
    <w:rsid w:val="206D21E8"/>
    <w:rsid w:val="206F41B2"/>
    <w:rsid w:val="20711637"/>
    <w:rsid w:val="207812B9"/>
    <w:rsid w:val="20783BE9"/>
    <w:rsid w:val="20801F1B"/>
    <w:rsid w:val="20875058"/>
    <w:rsid w:val="208E297D"/>
    <w:rsid w:val="20937EA1"/>
    <w:rsid w:val="2096173F"/>
    <w:rsid w:val="209B4FA7"/>
    <w:rsid w:val="209E1813"/>
    <w:rsid w:val="20AA6F98"/>
    <w:rsid w:val="20B25829"/>
    <w:rsid w:val="20B35EED"/>
    <w:rsid w:val="20B37E8E"/>
    <w:rsid w:val="20B53AC6"/>
    <w:rsid w:val="20BB472E"/>
    <w:rsid w:val="20C462AC"/>
    <w:rsid w:val="20C95670"/>
    <w:rsid w:val="20CC3B78"/>
    <w:rsid w:val="20D00782"/>
    <w:rsid w:val="20D81349"/>
    <w:rsid w:val="20DF4BF0"/>
    <w:rsid w:val="20E07EDD"/>
    <w:rsid w:val="20EC5803"/>
    <w:rsid w:val="20F81320"/>
    <w:rsid w:val="20FB5A46"/>
    <w:rsid w:val="21026DD4"/>
    <w:rsid w:val="21042B4C"/>
    <w:rsid w:val="210617F6"/>
    <w:rsid w:val="210918A4"/>
    <w:rsid w:val="212862D1"/>
    <w:rsid w:val="212C60E2"/>
    <w:rsid w:val="212D20A3"/>
    <w:rsid w:val="21463165"/>
    <w:rsid w:val="214E201A"/>
    <w:rsid w:val="2151109E"/>
    <w:rsid w:val="215C0D30"/>
    <w:rsid w:val="215C4736"/>
    <w:rsid w:val="215D225D"/>
    <w:rsid w:val="215F7D83"/>
    <w:rsid w:val="2164183D"/>
    <w:rsid w:val="21696E53"/>
    <w:rsid w:val="21731FC6"/>
    <w:rsid w:val="217A76A0"/>
    <w:rsid w:val="217B0AEC"/>
    <w:rsid w:val="21817CF9"/>
    <w:rsid w:val="218912A4"/>
    <w:rsid w:val="219051E5"/>
    <w:rsid w:val="21920158"/>
    <w:rsid w:val="219752BD"/>
    <w:rsid w:val="2199438E"/>
    <w:rsid w:val="21A51BB9"/>
    <w:rsid w:val="21AF60DC"/>
    <w:rsid w:val="21C06379"/>
    <w:rsid w:val="21C1459A"/>
    <w:rsid w:val="21C4408A"/>
    <w:rsid w:val="21C55BC3"/>
    <w:rsid w:val="21C916A0"/>
    <w:rsid w:val="21D50045"/>
    <w:rsid w:val="21D56297"/>
    <w:rsid w:val="21D73C86"/>
    <w:rsid w:val="21EA7433"/>
    <w:rsid w:val="21EC1739"/>
    <w:rsid w:val="21EE1107"/>
    <w:rsid w:val="21F735E1"/>
    <w:rsid w:val="220F4349"/>
    <w:rsid w:val="22157868"/>
    <w:rsid w:val="22193154"/>
    <w:rsid w:val="221B014E"/>
    <w:rsid w:val="222334A6"/>
    <w:rsid w:val="222564EB"/>
    <w:rsid w:val="223236E9"/>
    <w:rsid w:val="2234120F"/>
    <w:rsid w:val="223B7EF1"/>
    <w:rsid w:val="22482F0D"/>
    <w:rsid w:val="224C47AB"/>
    <w:rsid w:val="2250591D"/>
    <w:rsid w:val="22574EFE"/>
    <w:rsid w:val="225A40B5"/>
    <w:rsid w:val="22600256"/>
    <w:rsid w:val="22617B2B"/>
    <w:rsid w:val="22631AF5"/>
    <w:rsid w:val="226C09A9"/>
    <w:rsid w:val="226C6BFB"/>
    <w:rsid w:val="226E2DA3"/>
    <w:rsid w:val="226F3225"/>
    <w:rsid w:val="226F3FF6"/>
    <w:rsid w:val="22704A0F"/>
    <w:rsid w:val="22723AE6"/>
    <w:rsid w:val="227261A3"/>
    <w:rsid w:val="227B299A"/>
    <w:rsid w:val="228850B7"/>
    <w:rsid w:val="228C2511"/>
    <w:rsid w:val="22913607"/>
    <w:rsid w:val="22924990"/>
    <w:rsid w:val="22926996"/>
    <w:rsid w:val="229D5007"/>
    <w:rsid w:val="22B365D8"/>
    <w:rsid w:val="22B70B00"/>
    <w:rsid w:val="22BD7457"/>
    <w:rsid w:val="22C5175E"/>
    <w:rsid w:val="22C975F6"/>
    <w:rsid w:val="22CC769A"/>
    <w:rsid w:val="22D13AA5"/>
    <w:rsid w:val="22D30A28"/>
    <w:rsid w:val="22D758AC"/>
    <w:rsid w:val="22D87DED"/>
    <w:rsid w:val="22DC66A1"/>
    <w:rsid w:val="22E00534"/>
    <w:rsid w:val="22E05A7B"/>
    <w:rsid w:val="22E9024C"/>
    <w:rsid w:val="22EB42C7"/>
    <w:rsid w:val="22EC5646"/>
    <w:rsid w:val="22F0640A"/>
    <w:rsid w:val="22FD1B7D"/>
    <w:rsid w:val="230230BC"/>
    <w:rsid w:val="230961F8"/>
    <w:rsid w:val="2312065D"/>
    <w:rsid w:val="231F5A1C"/>
    <w:rsid w:val="232079E6"/>
    <w:rsid w:val="232E69A4"/>
    <w:rsid w:val="2347324C"/>
    <w:rsid w:val="234C4337"/>
    <w:rsid w:val="234D1186"/>
    <w:rsid w:val="23511E39"/>
    <w:rsid w:val="23524EC0"/>
    <w:rsid w:val="23533594"/>
    <w:rsid w:val="235356C5"/>
    <w:rsid w:val="2365041A"/>
    <w:rsid w:val="23671171"/>
    <w:rsid w:val="23686A8C"/>
    <w:rsid w:val="236F5FD9"/>
    <w:rsid w:val="237335E8"/>
    <w:rsid w:val="2378512C"/>
    <w:rsid w:val="23827D58"/>
    <w:rsid w:val="238539F8"/>
    <w:rsid w:val="23863CED"/>
    <w:rsid w:val="2387194A"/>
    <w:rsid w:val="23887A65"/>
    <w:rsid w:val="2389558B"/>
    <w:rsid w:val="238B1303"/>
    <w:rsid w:val="239408B4"/>
    <w:rsid w:val="239527EE"/>
    <w:rsid w:val="23965AF8"/>
    <w:rsid w:val="23A423C5"/>
    <w:rsid w:val="23BA1BE8"/>
    <w:rsid w:val="23BC770E"/>
    <w:rsid w:val="23BF7CE0"/>
    <w:rsid w:val="23C40371"/>
    <w:rsid w:val="23C77BFC"/>
    <w:rsid w:val="23CD2307"/>
    <w:rsid w:val="23E629DD"/>
    <w:rsid w:val="23F32A04"/>
    <w:rsid w:val="23F3766D"/>
    <w:rsid w:val="24090AFF"/>
    <w:rsid w:val="240B3E05"/>
    <w:rsid w:val="24180EFD"/>
    <w:rsid w:val="24215DEA"/>
    <w:rsid w:val="24262DDA"/>
    <w:rsid w:val="24305A06"/>
    <w:rsid w:val="243A2EF4"/>
    <w:rsid w:val="24457704"/>
    <w:rsid w:val="244A4D1A"/>
    <w:rsid w:val="244B0A92"/>
    <w:rsid w:val="244F7128"/>
    <w:rsid w:val="2452597D"/>
    <w:rsid w:val="245E4322"/>
    <w:rsid w:val="24796A07"/>
    <w:rsid w:val="247E5B79"/>
    <w:rsid w:val="24880AFD"/>
    <w:rsid w:val="24912949"/>
    <w:rsid w:val="249266C1"/>
    <w:rsid w:val="24997A50"/>
    <w:rsid w:val="249B5576"/>
    <w:rsid w:val="249C5741"/>
    <w:rsid w:val="249E5066"/>
    <w:rsid w:val="249F38E0"/>
    <w:rsid w:val="24A02B8C"/>
    <w:rsid w:val="24A3442A"/>
    <w:rsid w:val="24A87C93"/>
    <w:rsid w:val="24AA57B9"/>
    <w:rsid w:val="24AD3762"/>
    <w:rsid w:val="24B108F5"/>
    <w:rsid w:val="24B8273F"/>
    <w:rsid w:val="24BA4B20"/>
    <w:rsid w:val="24BB5C18"/>
    <w:rsid w:val="24CD14A7"/>
    <w:rsid w:val="24CD3BD9"/>
    <w:rsid w:val="24D06B1D"/>
    <w:rsid w:val="24D171E9"/>
    <w:rsid w:val="24E562E5"/>
    <w:rsid w:val="24E604BE"/>
    <w:rsid w:val="24E733F0"/>
    <w:rsid w:val="250255F5"/>
    <w:rsid w:val="25045644"/>
    <w:rsid w:val="250A10FB"/>
    <w:rsid w:val="250B6711"/>
    <w:rsid w:val="250F4166"/>
    <w:rsid w:val="251610A0"/>
    <w:rsid w:val="252029B8"/>
    <w:rsid w:val="2526749C"/>
    <w:rsid w:val="2533755C"/>
    <w:rsid w:val="25376063"/>
    <w:rsid w:val="253A4D8F"/>
    <w:rsid w:val="253F05F7"/>
    <w:rsid w:val="25401C79"/>
    <w:rsid w:val="254F4A0B"/>
    <w:rsid w:val="25530BC8"/>
    <w:rsid w:val="255C14CA"/>
    <w:rsid w:val="256E4A38"/>
    <w:rsid w:val="25763311"/>
    <w:rsid w:val="257F27A2"/>
    <w:rsid w:val="25824926"/>
    <w:rsid w:val="25893A50"/>
    <w:rsid w:val="258D6542"/>
    <w:rsid w:val="25916979"/>
    <w:rsid w:val="25986B4C"/>
    <w:rsid w:val="259A2BAD"/>
    <w:rsid w:val="25A11049"/>
    <w:rsid w:val="25A42208"/>
    <w:rsid w:val="25AC5561"/>
    <w:rsid w:val="25B508B9"/>
    <w:rsid w:val="25BD776E"/>
    <w:rsid w:val="25C056FC"/>
    <w:rsid w:val="25C26B32"/>
    <w:rsid w:val="25C76C60"/>
    <w:rsid w:val="25D86356"/>
    <w:rsid w:val="25DE1BBE"/>
    <w:rsid w:val="25F25A30"/>
    <w:rsid w:val="25F72C80"/>
    <w:rsid w:val="26105AEF"/>
    <w:rsid w:val="26182944"/>
    <w:rsid w:val="261B45E4"/>
    <w:rsid w:val="26250EA4"/>
    <w:rsid w:val="262670C1"/>
    <w:rsid w:val="26377520"/>
    <w:rsid w:val="264019DF"/>
    <w:rsid w:val="2644760A"/>
    <w:rsid w:val="264F37F4"/>
    <w:rsid w:val="265634DF"/>
    <w:rsid w:val="265E2CFF"/>
    <w:rsid w:val="265F25D3"/>
    <w:rsid w:val="266320C3"/>
    <w:rsid w:val="267918E7"/>
    <w:rsid w:val="267B565F"/>
    <w:rsid w:val="26911695"/>
    <w:rsid w:val="269229A8"/>
    <w:rsid w:val="26983D97"/>
    <w:rsid w:val="26997893"/>
    <w:rsid w:val="269C3827"/>
    <w:rsid w:val="26A0053D"/>
    <w:rsid w:val="26A83F7A"/>
    <w:rsid w:val="26B20955"/>
    <w:rsid w:val="26B27B4D"/>
    <w:rsid w:val="26B3099D"/>
    <w:rsid w:val="26C03072"/>
    <w:rsid w:val="26D05483"/>
    <w:rsid w:val="26DC3C24"/>
    <w:rsid w:val="26DD3CBF"/>
    <w:rsid w:val="26E8507D"/>
    <w:rsid w:val="26EA27E4"/>
    <w:rsid w:val="26EA2AA5"/>
    <w:rsid w:val="26EF1BA9"/>
    <w:rsid w:val="26F41481"/>
    <w:rsid w:val="26F62F37"/>
    <w:rsid w:val="270C49C4"/>
    <w:rsid w:val="270D202F"/>
    <w:rsid w:val="271E5FEA"/>
    <w:rsid w:val="27220408"/>
    <w:rsid w:val="27310204"/>
    <w:rsid w:val="273521A2"/>
    <w:rsid w:val="27504803"/>
    <w:rsid w:val="27556BA0"/>
    <w:rsid w:val="27565784"/>
    <w:rsid w:val="276428BB"/>
    <w:rsid w:val="27693709"/>
    <w:rsid w:val="27716A62"/>
    <w:rsid w:val="277D5B37"/>
    <w:rsid w:val="27890973"/>
    <w:rsid w:val="278F1B32"/>
    <w:rsid w:val="27962C63"/>
    <w:rsid w:val="27985D9D"/>
    <w:rsid w:val="279B6F1E"/>
    <w:rsid w:val="279D1605"/>
    <w:rsid w:val="27A74232"/>
    <w:rsid w:val="27AC5CEC"/>
    <w:rsid w:val="27B2714E"/>
    <w:rsid w:val="27B801ED"/>
    <w:rsid w:val="27BC40CB"/>
    <w:rsid w:val="27C070A1"/>
    <w:rsid w:val="27C26BE0"/>
    <w:rsid w:val="27C71DE4"/>
    <w:rsid w:val="27CC1EEA"/>
    <w:rsid w:val="27D63534"/>
    <w:rsid w:val="27D843EB"/>
    <w:rsid w:val="27DD0E3E"/>
    <w:rsid w:val="27F154AD"/>
    <w:rsid w:val="27F32686"/>
    <w:rsid w:val="27F356C9"/>
    <w:rsid w:val="27F427FC"/>
    <w:rsid w:val="27F51A4F"/>
    <w:rsid w:val="27F8365E"/>
    <w:rsid w:val="280D678A"/>
    <w:rsid w:val="28137B19"/>
    <w:rsid w:val="28173165"/>
    <w:rsid w:val="281F026C"/>
    <w:rsid w:val="28240813"/>
    <w:rsid w:val="28245882"/>
    <w:rsid w:val="282C1C37"/>
    <w:rsid w:val="28341F69"/>
    <w:rsid w:val="283C7070"/>
    <w:rsid w:val="283D06F2"/>
    <w:rsid w:val="28420016"/>
    <w:rsid w:val="284B2E0F"/>
    <w:rsid w:val="285A5748"/>
    <w:rsid w:val="285E14BB"/>
    <w:rsid w:val="285F4AFD"/>
    <w:rsid w:val="286517C5"/>
    <w:rsid w:val="28673C13"/>
    <w:rsid w:val="28677802"/>
    <w:rsid w:val="286B1BCB"/>
    <w:rsid w:val="28760383"/>
    <w:rsid w:val="28805B83"/>
    <w:rsid w:val="28814A83"/>
    <w:rsid w:val="28844573"/>
    <w:rsid w:val="28892D09"/>
    <w:rsid w:val="288A7DDB"/>
    <w:rsid w:val="28902F18"/>
    <w:rsid w:val="2899001E"/>
    <w:rsid w:val="28A30E9D"/>
    <w:rsid w:val="28A644E9"/>
    <w:rsid w:val="28A95D87"/>
    <w:rsid w:val="28AB6F01"/>
    <w:rsid w:val="28B407DB"/>
    <w:rsid w:val="28B66E1A"/>
    <w:rsid w:val="28C02C26"/>
    <w:rsid w:val="28C901F3"/>
    <w:rsid w:val="28D61AB0"/>
    <w:rsid w:val="28D61C74"/>
    <w:rsid w:val="28D75674"/>
    <w:rsid w:val="28E05C4D"/>
    <w:rsid w:val="28EC45F2"/>
    <w:rsid w:val="28F263D7"/>
    <w:rsid w:val="28F72F97"/>
    <w:rsid w:val="28FB4835"/>
    <w:rsid w:val="28FD67FF"/>
    <w:rsid w:val="290851A4"/>
    <w:rsid w:val="290D485E"/>
    <w:rsid w:val="2910225D"/>
    <w:rsid w:val="29115E06"/>
    <w:rsid w:val="29157668"/>
    <w:rsid w:val="29197E03"/>
    <w:rsid w:val="293F6AC5"/>
    <w:rsid w:val="294066EC"/>
    <w:rsid w:val="29451F54"/>
    <w:rsid w:val="294855A0"/>
    <w:rsid w:val="29490F16"/>
    <w:rsid w:val="294C6E3F"/>
    <w:rsid w:val="29614C20"/>
    <w:rsid w:val="2964062C"/>
    <w:rsid w:val="29667399"/>
    <w:rsid w:val="296B1950"/>
    <w:rsid w:val="296D4B02"/>
    <w:rsid w:val="296E6813"/>
    <w:rsid w:val="297445E7"/>
    <w:rsid w:val="297840D8"/>
    <w:rsid w:val="298B4667"/>
    <w:rsid w:val="29915199"/>
    <w:rsid w:val="299910E7"/>
    <w:rsid w:val="29AE5D4B"/>
    <w:rsid w:val="29BA2D62"/>
    <w:rsid w:val="29BA46F0"/>
    <w:rsid w:val="29BA7DDE"/>
    <w:rsid w:val="29BD7D3C"/>
    <w:rsid w:val="29C63A35"/>
    <w:rsid w:val="29CB03BC"/>
    <w:rsid w:val="29D15E68"/>
    <w:rsid w:val="29D84B76"/>
    <w:rsid w:val="29DB6414"/>
    <w:rsid w:val="29DF56F4"/>
    <w:rsid w:val="29E4516C"/>
    <w:rsid w:val="29EE6148"/>
    <w:rsid w:val="29F52548"/>
    <w:rsid w:val="29F64FFC"/>
    <w:rsid w:val="29FB2613"/>
    <w:rsid w:val="29FF65A7"/>
    <w:rsid w:val="2A021BF3"/>
    <w:rsid w:val="2A09121C"/>
    <w:rsid w:val="2A0D0CC4"/>
    <w:rsid w:val="2A0D2B23"/>
    <w:rsid w:val="2A1B4A63"/>
    <w:rsid w:val="2A1C2CB5"/>
    <w:rsid w:val="2A1D07DB"/>
    <w:rsid w:val="2A214C98"/>
    <w:rsid w:val="2A2E0C3A"/>
    <w:rsid w:val="2A317262"/>
    <w:rsid w:val="2A3414A9"/>
    <w:rsid w:val="2A47392C"/>
    <w:rsid w:val="2A475858"/>
    <w:rsid w:val="2A5377F4"/>
    <w:rsid w:val="2A574550"/>
    <w:rsid w:val="2A612DBE"/>
    <w:rsid w:val="2A7A0A6A"/>
    <w:rsid w:val="2A810601"/>
    <w:rsid w:val="2A824904"/>
    <w:rsid w:val="2A874736"/>
    <w:rsid w:val="2A905451"/>
    <w:rsid w:val="2A911B44"/>
    <w:rsid w:val="2A913D2A"/>
    <w:rsid w:val="2A9A1E2C"/>
    <w:rsid w:val="2AA02968"/>
    <w:rsid w:val="2AA3712A"/>
    <w:rsid w:val="2AA515B0"/>
    <w:rsid w:val="2AAB5DE7"/>
    <w:rsid w:val="2AB27175"/>
    <w:rsid w:val="2AB70C30"/>
    <w:rsid w:val="2ABD210A"/>
    <w:rsid w:val="2AC1560A"/>
    <w:rsid w:val="2AC9220B"/>
    <w:rsid w:val="2AD0584D"/>
    <w:rsid w:val="2AD27817"/>
    <w:rsid w:val="2AD6555A"/>
    <w:rsid w:val="2AE66FF4"/>
    <w:rsid w:val="2AEB37FE"/>
    <w:rsid w:val="2AEE6747"/>
    <w:rsid w:val="2AF37CE4"/>
    <w:rsid w:val="2AF552B4"/>
    <w:rsid w:val="2AFA0B1C"/>
    <w:rsid w:val="2AFA28CA"/>
    <w:rsid w:val="2AFE7BC3"/>
    <w:rsid w:val="2B146082"/>
    <w:rsid w:val="2B1B2F6C"/>
    <w:rsid w:val="2B1D5868"/>
    <w:rsid w:val="2B230073"/>
    <w:rsid w:val="2B25495E"/>
    <w:rsid w:val="2B275DB5"/>
    <w:rsid w:val="2B283129"/>
    <w:rsid w:val="2B326AF2"/>
    <w:rsid w:val="2B3B3F8C"/>
    <w:rsid w:val="2B3E4EAD"/>
    <w:rsid w:val="2B447B67"/>
    <w:rsid w:val="2B477735"/>
    <w:rsid w:val="2B4A5600"/>
    <w:rsid w:val="2B4C0B44"/>
    <w:rsid w:val="2B5B5A5F"/>
    <w:rsid w:val="2B5E4E07"/>
    <w:rsid w:val="2B6525A4"/>
    <w:rsid w:val="2B7037C7"/>
    <w:rsid w:val="2B762899"/>
    <w:rsid w:val="2B77216D"/>
    <w:rsid w:val="2B774C09"/>
    <w:rsid w:val="2B7852C9"/>
    <w:rsid w:val="2B7A6A06"/>
    <w:rsid w:val="2B7B36C0"/>
    <w:rsid w:val="2B856638"/>
    <w:rsid w:val="2B8C3E6A"/>
    <w:rsid w:val="2B9920E3"/>
    <w:rsid w:val="2B9B5E5B"/>
    <w:rsid w:val="2BA411B4"/>
    <w:rsid w:val="2BA61A58"/>
    <w:rsid w:val="2BA74800"/>
    <w:rsid w:val="2BAA2542"/>
    <w:rsid w:val="2BAC6F03"/>
    <w:rsid w:val="2BBB64FD"/>
    <w:rsid w:val="2BBE796E"/>
    <w:rsid w:val="2BC2128A"/>
    <w:rsid w:val="2BC96E6C"/>
    <w:rsid w:val="2BD61589"/>
    <w:rsid w:val="2BD839AD"/>
    <w:rsid w:val="2BD9534F"/>
    <w:rsid w:val="2BDA2382"/>
    <w:rsid w:val="2BDE4907"/>
    <w:rsid w:val="2BDE7950"/>
    <w:rsid w:val="2BE47802"/>
    <w:rsid w:val="2BE72804"/>
    <w:rsid w:val="2BE80DE3"/>
    <w:rsid w:val="2BEC4909"/>
    <w:rsid w:val="2BED1EE4"/>
    <w:rsid w:val="2BEE357E"/>
    <w:rsid w:val="2BEE4F2A"/>
    <w:rsid w:val="2C0051EE"/>
    <w:rsid w:val="2C0114BC"/>
    <w:rsid w:val="2C033482"/>
    <w:rsid w:val="2C0426DD"/>
    <w:rsid w:val="2C18586F"/>
    <w:rsid w:val="2C19019F"/>
    <w:rsid w:val="2C1A76C8"/>
    <w:rsid w:val="2C1D4AC2"/>
    <w:rsid w:val="2C1F6A8C"/>
    <w:rsid w:val="2C22657D"/>
    <w:rsid w:val="2C2440A3"/>
    <w:rsid w:val="2C245E51"/>
    <w:rsid w:val="2C315ED0"/>
    <w:rsid w:val="2C412EA7"/>
    <w:rsid w:val="2C4717DE"/>
    <w:rsid w:val="2C4915EF"/>
    <w:rsid w:val="2C4C35F9"/>
    <w:rsid w:val="2C506C46"/>
    <w:rsid w:val="2C6776E7"/>
    <w:rsid w:val="2C7C3EDF"/>
    <w:rsid w:val="2C8132A3"/>
    <w:rsid w:val="2C840FE5"/>
    <w:rsid w:val="2C8608B9"/>
    <w:rsid w:val="2C866B0B"/>
    <w:rsid w:val="2C9103E2"/>
    <w:rsid w:val="2C931228"/>
    <w:rsid w:val="2C9A25B7"/>
    <w:rsid w:val="2C9D6A95"/>
    <w:rsid w:val="2CB23E70"/>
    <w:rsid w:val="2CB46C88"/>
    <w:rsid w:val="2CBB3A1C"/>
    <w:rsid w:val="2CBE16C0"/>
    <w:rsid w:val="2CC55806"/>
    <w:rsid w:val="2CC67DC1"/>
    <w:rsid w:val="2CC72C8A"/>
    <w:rsid w:val="2CC94902"/>
    <w:rsid w:val="2CCC7A77"/>
    <w:rsid w:val="2CD44FE8"/>
    <w:rsid w:val="2CDE06F5"/>
    <w:rsid w:val="2CE675AA"/>
    <w:rsid w:val="2CE81574"/>
    <w:rsid w:val="2CE850D0"/>
    <w:rsid w:val="2CE90E48"/>
    <w:rsid w:val="2CED6B8B"/>
    <w:rsid w:val="2CEF0650"/>
    <w:rsid w:val="2CF27CFD"/>
    <w:rsid w:val="2CF63C91"/>
    <w:rsid w:val="2CFA3055"/>
    <w:rsid w:val="2D045C82"/>
    <w:rsid w:val="2D053ED4"/>
    <w:rsid w:val="2D0571B3"/>
    <w:rsid w:val="2D0A773C"/>
    <w:rsid w:val="2D0B4C64"/>
    <w:rsid w:val="2D0D0FDB"/>
    <w:rsid w:val="2D12214D"/>
    <w:rsid w:val="2D2468CA"/>
    <w:rsid w:val="2D2500D2"/>
    <w:rsid w:val="2D281B2F"/>
    <w:rsid w:val="2D314CC9"/>
    <w:rsid w:val="2D3447B9"/>
    <w:rsid w:val="2D397343"/>
    <w:rsid w:val="2D430559"/>
    <w:rsid w:val="2D476A70"/>
    <w:rsid w:val="2D523B7C"/>
    <w:rsid w:val="2D536CB5"/>
    <w:rsid w:val="2D542766"/>
    <w:rsid w:val="2D5524DE"/>
    <w:rsid w:val="2D5C7984"/>
    <w:rsid w:val="2D5E5392"/>
    <w:rsid w:val="2D62462C"/>
    <w:rsid w:val="2D636E4D"/>
    <w:rsid w:val="2D662499"/>
    <w:rsid w:val="2D742BC3"/>
    <w:rsid w:val="2D742E08"/>
    <w:rsid w:val="2D7B15D2"/>
    <w:rsid w:val="2D7B4196"/>
    <w:rsid w:val="2D850B71"/>
    <w:rsid w:val="2D915768"/>
    <w:rsid w:val="2D986AF6"/>
    <w:rsid w:val="2D9F5112"/>
    <w:rsid w:val="2DA51213"/>
    <w:rsid w:val="2DAD00C8"/>
    <w:rsid w:val="2DC65AC1"/>
    <w:rsid w:val="2DC708F5"/>
    <w:rsid w:val="2DD0615A"/>
    <w:rsid w:val="2DD41AF8"/>
    <w:rsid w:val="2DD80E6F"/>
    <w:rsid w:val="2DDB2E87"/>
    <w:rsid w:val="2DE55AB4"/>
    <w:rsid w:val="2DEF06E0"/>
    <w:rsid w:val="2DF365FD"/>
    <w:rsid w:val="2DF67CC1"/>
    <w:rsid w:val="2E026666"/>
    <w:rsid w:val="2E04418C"/>
    <w:rsid w:val="2E0929AB"/>
    <w:rsid w:val="2E0A6617"/>
    <w:rsid w:val="2E0D016A"/>
    <w:rsid w:val="2E0F48DF"/>
    <w:rsid w:val="2E1774BB"/>
    <w:rsid w:val="2E1801CC"/>
    <w:rsid w:val="2E1A39AF"/>
    <w:rsid w:val="2E1D6FFC"/>
    <w:rsid w:val="2E1F5989"/>
    <w:rsid w:val="2E271C28"/>
    <w:rsid w:val="2E2760CC"/>
    <w:rsid w:val="2E312239"/>
    <w:rsid w:val="2E3636C7"/>
    <w:rsid w:val="2E371510"/>
    <w:rsid w:val="2E396723"/>
    <w:rsid w:val="2E4336A3"/>
    <w:rsid w:val="2E5121F0"/>
    <w:rsid w:val="2E516CA5"/>
    <w:rsid w:val="2E58749A"/>
    <w:rsid w:val="2E5D5B9A"/>
    <w:rsid w:val="2E5F13C2"/>
    <w:rsid w:val="2E5F19E1"/>
    <w:rsid w:val="2E690493"/>
    <w:rsid w:val="2E6C3ADF"/>
    <w:rsid w:val="2E6E173D"/>
    <w:rsid w:val="2E821554"/>
    <w:rsid w:val="2E870919"/>
    <w:rsid w:val="2E8C4181"/>
    <w:rsid w:val="2E9848D4"/>
    <w:rsid w:val="2EB5196B"/>
    <w:rsid w:val="2EB811AD"/>
    <w:rsid w:val="2EC03CA1"/>
    <w:rsid w:val="2EC44DB8"/>
    <w:rsid w:val="2EC67693"/>
    <w:rsid w:val="2EDA4EED"/>
    <w:rsid w:val="2EE43FBD"/>
    <w:rsid w:val="2EE6563F"/>
    <w:rsid w:val="2EEB63CF"/>
    <w:rsid w:val="2EED10C4"/>
    <w:rsid w:val="2EF71FF7"/>
    <w:rsid w:val="2EFE152B"/>
    <w:rsid w:val="2F0041CD"/>
    <w:rsid w:val="2F10090E"/>
    <w:rsid w:val="2F155F25"/>
    <w:rsid w:val="2F1A0783"/>
    <w:rsid w:val="2F1A6159"/>
    <w:rsid w:val="2F1C7B6E"/>
    <w:rsid w:val="2F2252EA"/>
    <w:rsid w:val="2F260132"/>
    <w:rsid w:val="2F3A4BA2"/>
    <w:rsid w:val="2F3A781F"/>
    <w:rsid w:val="2F3C5BA7"/>
    <w:rsid w:val="2F430CE4"/>
    <w:rsid w:val="2F485FCE"/>
    <w:rsid w:val="2F5336F8"/>
    <w:rsid w:val="2F5E5B1E"/>
    <w:rsid w:val="2F721ADD"/>
    <w:rsid w:val="2F7769A7"/>
    <w:rsid w:val="2F7B047E"/>
    <w:rsid w:val="2F7B222C"/>
    <w:rsid w:val="2F835584"/>
    <w:rsid w:val="2F85559F"/>
    <w:rsid w:val="2F8A06C1"/>
    <w:rsid w:val="2F9039CB"/>
    <w:rsid w:val="2F972F25"/>
    <w:rsid w:val="2F9D650D"/>
    <w:rsid w:val="2FA66BC0"/>
    <w:rsid w:val="2FAC0B20"/>
    <w:rsid w:val="2FCC0CD9"/>
    <w:rsid w:val="2FCD67FF"/>
    <w:rsid w:val="2FCF4325"/>
    <w:rsid w:val="2FDB6DFB"/>
    <w:rsid w:val="2FDC6A42"/>
    <w:rsid w:val="2FDD5402"/>
    <w:rsid w:val="2FEC4ED7"/>
    <w:rsid w:val="2FED0C50"/>
    <w:rsid w:val="2FF3270A"/>
    <w:rsid w:val="300F20AC"/>
    <w:rsid w:val="30142680"/>
    <w:rsid w:val="30202DD3"/>
    <w:rsid w:val="3025663B"/>
    <w:rsid w:val="302A1EA4"/>
    <w:rsid w:val="302A5A00"/>
    <w:rsid w:val="303D3AC7"/>
    <w:rsid w:val="30405223"/>
    <w:rsid w:val="30415FA8"/>
    <w:rsid w:val="30427BF1"/>
    <w:rsid w:val="30495DE8"/>
    <w:rsid w:val="304A7CCD"/>
    <w:rsid w:val="304A7E50"/>
    <w:rsid w:val="30562C99"/>
    <w:rsid w:val="305B3E0B"/>
    <w:rsid w:val="30625DE7"/>
    <w:rsid w:val="3069477A"/>
    <w:rsid w:val="30705B08"/>
    <w:rsid w:val="30890978"/>
    <w:rsid w:val="30896BCA"/>
    <w:rsid w:val="308C0468"/>
    <w:rsid w:val="308D368B"/>
    <w:rsid w:val="309037DA"/>
    <w:rsid w:val="30952210"/>
    <w:rsid w:val="30970BAD"/>
    <w:rsid w:val="3097666B"/>
    <w:rsid w:val="30A2529D"/>
    <w:rsid w:val="30A27C8C"/>
    <w:rsid w:val="30A654F8"/>
    <w:rsid w:val="30AC63F7"/>
    <w:rsid w:val="30B15DEB"/>
    <w:rsid w:val="30B456D8"/>
    <w:rsid w:val="30B83C72"/>
    <w:rsid w:val="30BF083E"/>
    <w:rsid w:val="30C220B0"/>
    <w:rsid w:val="30C220DC"/>
    <w:rsid w:val="30CD0C3A"/>
    <w:rsid w:val="30D17AC2"/>
    <w:rsid w:val="30D836AE"/>
    <w:rsid w:val="30E43E01"/>
    <w:rsid w:val="30E601D8"/>
    <w:rsid w:val="30EE14E3"/>
    <w:rsid w:val="30EE4C7F"/>
    <w:rsid w:val="31000B6D"/>
    <w:rsid w:val="31030681"/>
    <w:rsid w:val="311A02B8"/>
    <w:rsid w:val="311B6B3B"/>
    <w:rsid w:val="311E5564"/>
    <w:rsid w:val="31215055"/>
    <w:rsid w:val="312E1520"/>
    <w:rsid w:val="31305298"/>
    <w:rsid w:val="313A1C72"/>
    <w:rsid w:val="313C7EF8"/>
    <w:rsid w:val="313F372D"/>
    <w:rsid w:val="31477278"/>
    <w:rsid w:val="314B0347"/>
    <w:rsid w:val="314E5719"/>
    <w:rsid w:val="31555551"/>
    <w:rsid w:val="315C42DF"/>
    <w:rsid w:val="317D5978"/>
    <w:rsid w:val="31880324"/>
    <w:rsid w:val="3189350C"/>
    <w:rsid w:val="318D4498"/>
    <w:rsid w:val="319029D9"/>
    <w:rsid w:val="31907DC0"/>
    <w:rsid w:val="319C0B7F"/>
    <w:rsid w:val="31A31F0E"/>
    <w:rsid w:val="31A53C4C"/>
    <w:rsid w:val="31A87524"/>
    <w:rsid w:val="31C43C21"/>
    <w:rsid w:val="31C50C84"/>
    <w:rsid w:val="31C53C32"/>
    <w:rsid w:val="31CB6D6E"/>
    <w:rsid w:val="31D54C0F"/>
    <w:rsid w:val="31DC0F7C"/>
    <w:rsid w:val="31DD080C"/>
    <w:rsid w:val="31E06CBE"/>
    <w:rsid w:val="31E8301C"/>
    <w:rsid w:val="31E837F2"/>
    <w:rsid w:val="31EA5447"/>
    <w:rsid w:val="31EE13DB"/>
    <w:rsid w:val="31F542A9"/>
    <w:rsid w:val="31F91B2E"/>
    <w:rsid w:val="31FB7654"/>
    <w:rsid w:val="31FC2FF6"/>
    <w:rsid w:val="31FF45CA"/>
    <w:rsid w:val="3200469D"/>
    <w:rsid w:val="3206143A"/>
    <w:rsid w:val="320912DF"/>
    <w:rsid w:val="32100F40"/>
    <w:rsid w:val="321B73A0"/>
    <w:rsid w:val="322052E6"/>
    <w:rsid w:val="32285F6F"/>
    <w:rsid w:val="322E5C7B"/>
    <w:rsid w:val="322F1510"/>
    <w:rsid w:val="32341B34"/>
    <w:rsid w:val="323668DE"/>
    <w:rsid w:val="32425CAE"/>
    <w:rsid w:val="32544FB6"/>
    <w:rsid w:val="32562ADC"/>
    <w:rsid w:val="325743FA"/>
    <w:rsid w:val="3259315F"/>
    <w:rsid w:val="32635237"/>
    <w:rsid w:val="327125B3"/>
    <w:rsid w:val="32715B68"/>
    <w:rsid w:val="327613D0"/>
    <w:rsid w:val="327D37D4"/>
    <w:rsid w:val="32942FAE"/>
    <w:rsid w:val="32945358"/>
    <w:rsid w:val="32A41A99"/>
    <w:rsid w:val="32AC4DF2"/>
    <w:rsid w:val="32B223F9"/>
    <w:rsid w:val="32B40D70"/>
    <w:rsid w:val="32B62BEA"/>
    <w:rsid w:val="32C0264B"/>
    <w:rsid w:val="32CB3E17"/>
    <w:rsid w:val="32CC0FF0"/>
    <w:rsid w:val="32CC7242"/>
    <w:rsid w:val="32D2599E"/>
    <w:rsid w:val="32D3412D"/>
    <w:rsid w:val="32D87995"/>
    <w:rsid w:val="32D97E14"/>
    <w:rsid w:val="32E86F9E"/>
    <w:rsid w:val="32EE540A"/>
    <w:rsid w:val="32FA40E9"/>
    <w:rsid w:val="33010C9A"/>
    <w:rsid w:val="3301500D"/>
    <w:rsid w:val="331A1D5C"/>
    <w:rsid w:val="331C1F78"/>
    <w:rsid w:val="331F55C4"/>
    <w:rsid w:val="3321133C"/>
    <w:rsid w:val="33277309"/>
    <w:rsid w:val="332A1D60"/>
    <w:rsid w:val="332B21BB"/>
    <w:rsid w:val="332D7CE1"/>
    <w:rsid w:val="333F5C66"/>
    <w:rsid w:val="334459FC"/>
    <w:rsid w:val="33527747"/>
    <w:rsid w:val="336C3A6F"/>
    <w:rsid w:val="336D4581"/>
    <w:rsid w:val="33704071"/>
    <w:rsid w:val="33710457"/>
    <w:rsid w:val="33721B98"/>
    <w:rsid w:val="33751688"/>
    <w:rsid w:val="33775400"/>
    <w:rsid w:val="337C341A"/>
    <w:rsid w:val="338027AA"/>
    <w:rsid w:val="33830B80"/>
    <w:rsid w:val="33837901"/>
    <w:rsid w:val="338A7DF8"/>
    <w:rsid w:val="338B1F5A"/>
    <w:rsid w:val="33922361"/>
    <w:rsid w:val="33955886"/>
    <w:rsid w:val="339610BE"/>
    <w:rsid w:val="339D4B9D"/>
    <w:rsid w:val="33A855B9"/>
    <w:rsid w:val="33A9530C"/>
    <w:rsid w:val="33AB32FB"/>
    <w:rsid w:val="33AC1339"/>
    <w:rsid w:val="33B14E6F"/>
    <w:rsid w:val="33B201E6"/>
    <w:rsid w:val="33B53E71"/>
    <w:rsid w:val="33B977C6"/>
    <w:rsid w:val="33C65A3F"/>
    <w:rsid w:val="33DA6533"/>
    <w:rsid w:val="33DE547F"/>
    <w:rsid w:val="33DE7071"/>
    <w:rsid w:val="33DF6B01"/>
    <w:rsid w:val="33E47038"/>
    <w:rsid w:val="33E52369"/>
    <w:rsid w:val="33E800AC"/>
    <w:rsid w:val="33EC7B9C"/>
    <w:rsid w:val="33EF3C9C"/>
    <w:rsid w:val="34115D03"/>
    <w:rsid w:val="34117602"/>
    <w:rsid w:val="34125129"/>
    <w:rsid w:val="34160775"/>
    <w:rsid w:val="341C1B03"/>
    <w:rsid w:val="34231F3D"/>
    <w:rsid w:val="34237336"/>
    <w:rsid w:val="34255233"/>
    <w:rsid w:val="34293C06"/>
    <w:rsid w:val="342E247E"/>
    <w:rsid w:val="343230D5"/>
    <w:rsid w:val="34367069"/>
    <w:rsid w:val="343D03F7"/>
    <w:rsid w:val="344828F8"/>
    <w:rsid w:val="344F3C87"/>
    <w:rsid w:val="34617F71"/>
    <w:rsid w:val="346314E0"/>
    <w:rsid w:val="34640CD3"/>
    <w:rsid w:val="346E05B1"/>
    <w:rsid w:val="34761214"/>
    <w:rsid w:val="34825BEE"/>
    <w:rsid w:val="34864970"/>
    <w:rsid w:val="34A2007A"/>
    <w:rsid w:val="34B32468"/>
    <w:rsid w:val="34B41A8B"/>
    <w:rsid w:val="34B66335"/>
    <w:rsid w:val="34B81D66"/>
    <w:rsid w:val="34BD32E6"/>
    <w:rsid w:val="34C04B85"/>
    <w:rsid w:val="34C14232"/>
    <w:rsid w:val="34C14813"/>
    <w:rsid w:val="34C91C8B"/>
    <w:rsid w:val="34CE1050"/>
    <w:rsid w:val="34D523DE"/>
    <w:rsid w:val="34E6283D"/>
    <w:rsid w:val="34ED0158"/>
    <w:rsid w:val="34FB796B"/>
    <w:rsid w:val="35064C8D"/>
    <w:rsid w:val="350902DA"/>
    <w:rsid w:val="350A38C7"/>
    <w:rsid w:val="351153E0"/>
    <w:rsid w:val="351647A5"/>
    <w:rsid w:val="352A05F9"/>
    <w:rsid w:val="352A434B"/>
    <w:rsid w:val="353251AA"/>
    <w:rsid w:val="35375866"/>
    <w:rsid w:val="353A1057"/>
    <w:rsid w:val="353D6D41"/>
    <w:rsid w:val="35422CE6"/>
    <w:rsid w:val="35482FA8"/>
    <w:rsid w:val="35492D5E"/>
    <w:rsid w:val="35507CB7"/>
    <w:rsid w:val="35531555"/>
    <w:rsid w:val="355A6D87"/>
    <w:rsid w:val="357109BE"/>
    <w:rsid w:val="3578720D"/>
    <w:rsid w:val="357F234A"/>
    <w:rsid w:val="3583585A"/>
    <w:rsid w:val="35935DF5"/>
    <w:rsid w:val="3596107F"/>
    <w:rsid w:val="35971A38"/>
    <w:rsid w:val="359E4EC6"/>
    <w:rsid w:val="35A11C89"/>
    <w:rsid w:val="35A3428A"/>
    <w:rsid w:val="35A61FCC"/>
    <w:rsid w:val="35B2271F"/>
    <w:rsid w:val="35BB78D2"/>
    <w:rsid w:val="35C6441D"/>
    <w:rsid w:val="35CC577E"/>
    <w:rsid w:val="35CD1307"/>
    <w:rsid w:val="35CF6FF8"/>
    <w:rsid w:val="35EF28A3"/>
    <w:rsid w:val="36010FB1"/>
    <w:rsid w:val="360F0FB5"/>
    <w:rsid w:val="36213401"/>
    <w:rsid w:val="362829E1"/>
    <w:rsid w:val="36392E40"/>
    <w:rsid w:val="3639699D"/>
    <w:rsid w:val="363A51AF"/>
    <w:rsid w:val="364041CF"/>
    <w:rsid w:val="36423E1B"/>
    <w:rsid w:val="36431A77"/>
    <w:rsid w:val="364A6DFC"/>
    <w:rsid w:val="36536F68"/>
    <w:rsid w:val="36624145"/>
    <w:rsid w:val="366E2AEA"/>
    <w:rsid w:val="3678238B"/>
    <w:rsid w:val="3683496F"/>
    <w:rsid w:val="36897924"/>
    <w:rsid w:val="368F6E62"/>
    <w:rsid w:val="369204A9"/>
    <w:rsid w:val="369342FF"/>
    <w:rsid w:val="369436AD"/>
    <w:rsid w:val="36981915"/>
    <w:rsid w:val="369B35A4"/>
    <w:rsid w:val="36A06A1C"/>
    <w:rsid w:val="36A77F44"/>
    <w:rsid w:val="36B24F04"/>
    <w:rsid w:val="36BD5820"/>
    <w:rsid w:val="36BF001A"/>
    <w:rsid w:val="36BF5C50"/>
    <w:rsid w:val="36C02C1A"/>
    <w:rsid w:val="36CF5E7F"/>
    <w:rsid w:val="36D30B9F"/>
    <w:rsid w:val="36E13072"/>
    <w:rsid w:val="36E54FD9"/>
    <w:rsid w:val="36E92171"/>
    <w:rsid w:val="36EB4F98"/>
    <w:rsid w:val="36EB6D95"/>
    <w:rsid w:val="36EF52AD"/>
    <w:rsid w:val="36F32FEF"/>
    <w:rsid w:val="36F56D67"/>
    <w:rsid w:val="36F823B4"/>
    <w:rsid w:val="36F9612C"/>
    <w:rsid w:val="36FF1994"/>
    <w:rsid w:val="36FF7BE6"/>
    <w:rsid w:val="370038AD"/>
    <w:rsid w:val="370138CA"/>
    <w:rsid w:val="37046FAB"/>
    <w:rsid w:val="37117919"/>
    <w:rsid w:val="37135440"/>
    <w:rsid w:val="3720190B"/>
    <w:rsid w:val="37262051"/>
    <w:rsid w:val="37294EE0"/>
    <w:rsid w:val="372A5B7C"/>
    <w:rsid w:val="372E301A"/>
    <w:rsid w:val="37307DA0"/>
    <w:rsid w:val="373754D4"/>
    <w:rsid w:val="37377380"/>
    <w:rsid w:val="373B04F2"/>
    <w:rsid w:val="374028EC"/>
    <w:rsid w:val="37405B09"/>
    <w:rsid w:val="375742FA"/>
    <w:rsid w:val="376143FD"/>
    <w:rsid w:val="37644D2D"/>
    <w:rsid w:val="377055D1"/>
    <w:rsid w:val="37797999"/>
    <w:rsid w:val="377A726D"/>
    <w:rsid w:val="378123A9"/>
    <w:rsid w:val="3781684D"/>
    <w:rsid w:val="3797107D"/>
    <w:rsid w:val="379E4E49"/>
    <w:rsid w:val="37A54631"/>
    <w:rsid w:val="37A8202C"/>
    <w:rsid w:val="37A842AF"/>
    <w:rsid w:val="37AD7642"/>
    <w:rsid w:val="37B02C8E"/>
    <w:rsid w:val="37BB5301"/>
    <w:rsid w:val="37C4498C"/>
    <w:rsid w:val="37CD1A92"/>
    <w:rsid w:val="37CF4F05"/>
    <w:rsid w:val="37D40718"/>
    <w:rsid w:val="37D526F5"/>
    <w:rsid w:val="37D83F93"/>
    <w:rsid w:val="37DE77FC"/>
    <w:rsid w:val="37E33064"/>
    <w:rsid w:val="37E331F7"/>
    <w:rsid w:val="37E40060"/>
    <w:rsid w:val="37E666B0"/>
    <w:rsid w:val="37EB1F18"/>
    <w:rsid w:val="3801173C"/>
    <w:rsid w:val="380641E7"/>
    <w:rsid w:val="3810197F"/>
    <w:rsid w:val="38135A10"/>
    <w:rsid w:val="382316B2"/>
    <w:rsid w:val="382611A3"/>
    <w:rsid w:val="38284F1B"/>
    <w:rsid w:val="382E4066"/>
    <w:rsid w:val="38327A1A"/>
    <w:rsid w:val="383354C0"/>
    <w:rsid w:val="38341B11"/>
    <w:rsid w:val="38374D4A"/>
    <w:rsid w:val="38425435"/>
    <w:rsid w:val="38523D46"/>
    <w:rsid w:val="38533FAA"/>
    <w:rsid w:val="38563836"/>
    <w:rsid w:val="385775AE"/>
    <w:rsid w:val="385C6972"/>
    <w:rsid w:val="3867564D"/>
    <w:rsid w:val="38683569"/>
    <w:rsid w:val="388C36FB"/>
    <w:rsid w:val="389205E6"/>
    <w:rsid w:val="38995E18"/>
    <w:rsid w:val="38997BC6"/>
    <w:rsid w:val="389E342F"/>
    <w:rsid w:val="38A81BB8"/>
    <w:rsid w:val="38AD5420"/>
    <w:rsid w:val="38B1402E"/>
    <w:rsid w:val="38B43435"/>
    <w:rsid w:val="38B83D3F"/>
    <w:rsid w:val="38C0559F"/>
    <w:rsid w:val="38C113BD"/>
    <w:rsid w:val="38C4260A"/>
    <w:rsid w:val="38CA4224"/>
    <w:rsid w:val="38CC1D4A"/>
    <w:rsid w:val="38CD7B6C"/>
    <w:rsid w:val="38D12B8C"/>
    <w:rsid w:val="38D16C69"/>
    <w:rsid w:val="38D351C0"/>
    <w:rsid w:val="38D7774C"/>
    <w:rsid w:val="38E4458D"/>
    <w:rsid w:val="38F512A1"/>
    <w:rsid w:val="38F81903"/>
    <w:rsid w:val="38FB618B"/>
    <w:rsid w:val="39014898"/>
    <w:rsid w:val="390E4110"/>
    <w:rsid w:val="39137979"/>
    <w:rsid w:val="391E3C38"/>
    <w:rsid w:val="391E5ECB"/>
    <w:rsid w:val="39253208"/>
    <w:rsid w:val="392B4CC2"/>
    <w:rsid w:val="392C4597"/>
    <w:rsid w:val="39326578"/>
    <w:rsid w:val="39360AA7"/>
    <w:rsid w:val="39373264"/>
    <w:rsid w:val="394E275F"/>
    <w:rsid w:val="3951224F"/>
    <w:rsid w:val="39561614"/>
    <w:rsid w:val="39572276"/>
    <w:rsid w:val="395A1104"/>
    <w:rsid w:val="39734012"/>
    <w:rsid w:val="39787487"/>
    <w:rsid w:val="397B107A"/>
    <w:rsid w:val="39812B34"/>
    <w:rsid w:val="3986014B"/>
    <w:rsid w:val="398B240B"/>
    <w:rsid w:val="398B5761"/>
    <w:rsid w:val="39981C2C"/>
    <w:rsid w:val="399B34CA"/>
    <w:rsid w:val="399D7242"/>
    <w:rsid w:val="39A71860"/>
    <w:rsid w:val="39A840BA"/>
    <w:rsid w:val="39A95BE7"/>
    <w:rsid w:val="39AB5580"/>
    <w:rsid w:val="39B5458C"/>
    <w:rsid w:val="39BD78E5"/>
    <w:rsid w:val="39C72511"/>
    <w:rsid w:val="39C91EDA"/>
    <w:rsid w:val="39CC2E9D"/>
    <w:rsid w:val="39E1758F"/>
    <w:rsid w:val="39EE5CF0"/>
    <w:rsid w:val="39EF76C4"/>
    <w:rsid w:val="39F07CBA"/>
    <w:rsid w:val="39FF1B9D"/>
    <w:rsid w:val="3A0948D8"/>
    <w:rsid w:val="3A12378C"/>
    <w:rsid w:val="3A157721"/>
    <w:rsid w:val="3A2520B2"/>
    <w:rsid w:val="3A2B0CF2"/>
    <w:rsid w:val="3A2B2FB5"/>
    <w:rsid w:val="3A304BE4"/>
    <w:rsid w:val="3A35391F"/>
    <w:rsid w:val="3A374C84"/>
    <w:rsid w:val="3A377697"/>
    <w:rsid w:val="3A3951BD"/>
    <w:rsid w:val="3A3C2EFF"/>
    <w:rsid w:val="3A3E6C77"/>
    <w:rsid w:val="3A437DEA"/>
    <w:rsid w:val="3A4B3142"/>
    <w:rsid w:val="3A4D1AE7"/>
    <w:rsid w:val="3A5E69D2"/>
    <w:rsid w:val="3A683CF4"/>
    <w:rsid w:val="3A6B6B40"/>
    <w:rsid w:val="3A7262AF"/>
    <w:rsid w:val="3A7A70F1"/>
    <w:rsid w:val="3A7B6D14"/>
    <w:rsid w:val="3A7E1E05"/>
    <w:rsid w:val="3A802DEC"/>
    <w:rsid w:val="3A8264C0"/>
    <w:rsid w:val="3A86542E"/>
    <w:rsid w:val="3A8A5A19"/>
    <w:rsid w:val="3A944AE9"/>
    <w:rsid w:val="3AA0348E"/>
    <w:rsid w:val="3AA6541B"/>
    <w:rsid w:val="3AB74334"/>
    <w:rsid w:val="3AB84AA7"/>
    <w:rsid w:val="3ABF1749"/>
    <w:rsid w:val="3AC54CA3"/>
    <w:rsid w:val="3AC75726"/>
    <w:rsid w:val="3ACC4672"/>
    <w:rsid w:val="3ACD3B57"/>
    <w:rsid w:val="3AD62A0C"/>
    <w:rsid w:val="3AD634EF"/>
    <w:rsid w:val="3AD723E6"/>
    <w:rsid w:val="3AE55345"/>
    <w:rsid w:val="3AF141DF"/>
    <w:rsid w:val="3AF45588"/>
    <w:rsid w:val="3AF57914"/>
    <w:rsid w:val="3AF7250B"/>
    <w:rsid w:val="3AFD731F"/>
    <w:rsid w:val="3B0C4680"/>
    <w:rsid w:val="3B0F229E"/>
    <w:rsid w:val="3B111C96"/>
    <w:rsid w:val="3B196D9D"/>
    <w:rsid w:val="3B203224"/>
    <w:rsid w:val="3B284C72"/>
    <w:rsid w:val="3B36794F"/>
    <w:rsid w:val="3B3F4A55"/>
    <w:rsid w:val="3B404329"/>
    <w:rsid w:val="3B416C04"/>
    <w:rsid w:val="3B4548EB"/>
    <w:rsid w:val="3B483C15"/>
    <w:rsid w:val="3B497682"/>
    <w:rsid w:val="3B4F69FE"/>
    <w:rsid w:val="3B554279"/>
    <w:rsid w:val="3B5A363D"/>
    <w:rsid w:val="3B694447"/>
    <w:rsid w:val="3B6B584A"/>
    <w:rsid w:val="3B7F7488"/>
    <w:rsid w:val="3B997DE7"/>
    <w:rsid w:val="3BA1126C"/>
    <w:rsid w:val="3BA448B8"/>
    <w:rsid w:val="3BAA01C0"/>
    <w:rsid w:val="3BB07701"/>
    <w:rsid w:val="3BB134F1"/>
    <w:rsid w:val="3BBA232E"/>
    <w:rsid w:val="3BCA5C37"/>
    <w:rsid w:val="3BD436ED"/>
    <w:rsid w:val="3BD629EC"/>
    <w:rsid w:val="3BD86C58"/>
    <w:rsid w:val="3BD973E9"/>
    <w:rsid w:val="3BE949C1"/>
    <w:rsid w:val="3BEB24E7"/>
    <w:rsid w:val="3BED44B1"/>
    <w:rsid w:val="3BEE0229"/>
    <w:rsid w:val="3BF05D4F"/>
    <w:rsid w:val="3BF50BF3"/>
    <w:rsid w:val="3BF84C04"/>
    <w:rsid w:val="3BFD221A"/>
    <w:rsid w:val="3C017F5D"/>
    <w:rsid w:val="3C0253C5"/>
    <w:rsid w:val="3C061FE0"/>
    <w:rsid w:val="3C0B28B5"/>
    <w:rsid w:val="3C1732DC"/>
    <w:rsid w:val="3C1934F8"/>
    <w:rsid w:val="3C1F3929"/>
    <w:rsid w:val="3C2B6D87"/>
    <w:rsid w:val="3C371BD0"/>
    <w:rsid w:val="3C3976F6"/>
    <w:rsid w:val="3C3A7F4F"/>
    <w:rsid w:val="3C3C71E7"/>
    <w:rsid w:val="3C4147FD"/>
    <w:rsid w:val="3C460065"/>
    <w:rsid w:val="3C477952"/>
    <w:rsid w:val="3C4E0CC8"/>
    <w:rsid w:val="3C522566"/>
    <w:rsid w:val="3C57142A"/>
    <w:rsid w:val="3C5A766D"/>
    <w:rsid w:val="3C5C5193"/>
    <w:rsid w:val="3C69587E"/>
    <w:rsid w:val="3C772207"/>
    <w:rsid w:val="3C7D7AB1"/>
    <w:rsid w:val="3C801BC8"/>
    <w:rsid w:val="3C83226C"/>
    <w:rsid w:val="3C8C3607"/>
    <w:rsid w:val="3C945361"/>
    <w:rsid w:val="3C9708C1"/>
    <w:rsid w:val="3C9A41E9"/>
    <w:rsid w:val="3C9C7C85"/>
    <w:rsid w:val="3CAD3C40"/>
    <w:rsid w:val="3CAD3C77"/>
    <w:rsid w:val="3CAD59EE"/>
    <w:rsid w:val="3CCF52D8"/>
    <w:rsid w:val="3CD2249A"/>
    <w:rsid w:val="3CD411CD"/>
    <w:rsid w:val="3CD65770"/>
    <w:rsid w:val="3CE15958"/>
    <w:rsid w:val="3CE53F8F"/>
    <w:rsid w:val="3CE55188"/>
    <w:rsid w:val="3CE8111C"/>
    <w:rsid w:val="3CE93CC7"/>
    <w:rsid w:val="3CF03B2D"/>
    <w:rsid w:val="3CF36FAF"/>
    <w:rsid w:val="3D00186A"/>
    <w:rsid w:val="3D0215AA"/>
    <w:rsid w:val="3D05582A"/>
    <w:rsid w:val="3D0C0BD1"/>
    <w:rsid w:val="3D16393C"/>
    <w:rsid w:val="3D265AE3"/>
    <w:rsid w:val="3D271C45"/>
    <w:rsid w:val="3D2739F3"/>
    <w:rsid w:val="3D353ABF"/>
    <w:rsid w:val="3D3879AE"/>
    <w:rsid w:val="3D3D6E92"/>
    <w:rsid w:val="3D503A81"/>
    <w:rsid w:val="3D5358A8"/>
    <w:rsid w:val="3D536596"/>
    <w:rsid w:val="3D537AB8"/>
    <w:rsid w:val="3D5D7415"/>
    <w:rsid w:val="3D622C7D"/>
    <w:rsid w:val="3D6856FD"/>
    <w:rsid w:val="3D736C38"/>
    <w:rsid w:val="3D807F9A"/>
    <w:rsid w:val="3D840E45"/>
    <w:rsid w:val="3D8474A8"/>
    <w:rsid w:val="3D864BBD"/>
    <w:rsid w:val="3D8B06AD"/>
    <w:rsid w:val="3D913562"/>
    <w:rsid w:val="3D947663"/>
    <w:rsid w:val="3D956BAE"/>
    <w:rsid w:val="3D973D25"/>
    <w:rsid w:val="3D982E46"/>
    <w:rsid w:val="3D995F73"/>
    <w:rsid w:val="3D9B1CEB"/>
    <w:rsid w:val="3DA07301"/>
    <w:rsid w:val="3DA94408"/>
    <w:rsid w:val="3DAC3EF8"/>
    <w:rsid w:val="3DC456E6"/>
    <w:rsid w:val="3DC94AAA"/>
    <w:rsid w:val="3DCB39B9"/>
    <w:rsid w:val="3DCB54D0"/>
    <w:rsid w:val="3DD856E5"/>
    <w:rsid w:val="3DE43692"/>
    <w:rsid w:val="3DEB4A20"/>
    <w:rsid w:val="3DF35316"/>
    <w:rsid w:val="3DF541A9"/>
    <w:rsid w:val="3DF8538F"/>
    <w:rsid w:val="3DFA4C63"/>
    <w:rsid w:val="3DFF227A"/>
    <w:rsid w:val="3E104487"/>
    <w:rsid w:val="3E107E26"/>
    <w:rsid w:val="3E133F77"/>
    <w:rsid w:val="3E210442"/>
    <w:rsid w:val="3E2717D1"/>
    <w:rsid w:val="3E295549"/>
    <w:rsid w:val="3E304B29"/>
    <w:rsid w:val="3E4203B8"/>
    <w:rsid w:val="3E43485C"/>
    <w:rsid w:val="3E437F50"/>
    <w:rsid w:val="3E4740A9"/>
    <w:rsid w:val="3E4C6DA9"/>
    <w:rsid w:val="3E4D5E7E"/>
    <w:rsid w:val="3E55233E"/>
    <w:rsid w:val="3E5A3A6B"/>
    <w:rsid w:val="3E612F34"/>
    <w:rsid w:val="3E6447D3"/>
    <w:rsid w:val="3E646581"/>
    <w:rsid w:val="3E6F70F0"/>
    <w:rsid w:val="3E706C67"/>
    <w:rsid w:val="3E720C9E"/>
    <w:rsid w:val="3E803AFA"/>
    <w:rsid w:val="3E8804C1"/>
    <w:rsid w:val="3E8B3A71"/>
    <w:rsid w:val="3E921945"/>
    <w:rsid w:val="3E9A0A99"/>
    <w:rsid w:val="3EA03A5D"/>
    <w:rsid w:val="3EAD1CD6"/>
    <w:rsid w:val="3EAE5A4E"/>
    <w:rsid w:val="3EB72B54"/>
    <w:rsid w:val="3EB96804"/>
    <w:rsid w:val="3EC26DA6"/>
    <w:rsid w:val="3EC55271"/>
    <w:rsid w:val="3ECC2AA4"/>
    <w:rsid w:val="3ECD4D2D"/>
    <w:rsid w:val="3ED01D39"/>
    <w:rsid w:val="3ED13A50"/>
    <w:rsid w:val="3EE020AB"/>
    <w:rsid w:val="3EE804A2"/>
    <w:rsid w:val="3EEB1561"/>
    <w:rsid w:val="3EF67B21"/>
    <w:rsid w:val="3EF772C1"/>
    <w:rsid w:val="3EF94C0B"/>
    <w:rsid w:val="3EFE0C9C"/>
    <w:rsid w:val="3F177A97"/>
    <w:rsid w:val="3F1960F0"/>
    <w:rsid w:val="3F1B40F3"/>
    <w:rsid w:val="3F1B484E"/>
    <w:rsid w:val="3F2A1578"/>
    <w:rsid w:val="3F2F3033"/>
    <w:rsid w:val="3F322AD5"/>
    <w:rsid w:val="3F367F1D"/>
    <w:rsid w:val="3F375A43"/>
    <w:rsid w:val="3F381775"/>
    <w:rsid w:val="3F3A7D61"/>
    <w:rsid w:val="3F3B3785"/>
    <w:rsid w:val="3F3B5533"/>
    <w:rsid w:val="3F43088C"/>
    <w:rsid w:val="3F487C50"/>
    <w:rsid w:val="3F516B05"/>
    <w:rsid w:val="3F532086"/>
    <w:rsid w:val="3F5465F5"/>
    <w:rsid w:val="3F5D401C"/>
    <w:rsid w:val="3F5E58F4"/>
    <w:rsid w:val="3F5E7474"/>
    <w:rsid w:val="3F631D44"/>
    <w:rsid w:val="3F6A7BC7"/>
    <w:rsid w:val="3F6F342F"/>
    <w:rsid w:val="3F770160"/>
    <w:rsid w:val="3F862308"/>
    <w:rsid w:val="3F8844F1"/>
    <w:rsid w:val="3F8B6528"/>
    <w:rsid w:val="3FA05CDE"/>
    <w:rsid w:val="3FA87D1D"/>
    <w:rsid w:val="3FAC6431"/>
    <w:rsid w:val="3FB1139A"/>
    <w:rsid w:val="3FC217B1"/>
    <w:rsid w:val="3FC4377B"/>
    <w:rsid w:val="3FC75B4C"/>
    <w:rsid w:val="3FCB344E"/>
    <w:rsid w:val="3FCE63A8"/>
    <w:rsid w:val="3FCF1477"/>
    <w:rsid w:val="3FD15CFD"/>
    <w:rsid w:val="3FD31C10"/>
    <w:rsid w:val="3FD339BE"/>
    <w:rsid w:val="3FDF2363"/>
    <w:rsid w:val="3FDF7804"/>
    <w:rsid w:val="3FE1257F"/>
    <w:rsid w:val="3FE27130"/>
    <w:rsid w:val="3FE47979"/>
    <w:rsid w:val="3FEF631E"/>
    <w:rsid w:val="3FF63C7A"/>
    <w:rsid w:val="3FFA0F4B"/>
    <w:rsid w:val="3FFB2F15"/>
    <w:rsid w:val="400022D9"/>
    <w:rsid w:val="4001677D"/>
    <w:rsid w:val="40043B30"/>
    <w:rsid w:val="40055B41"/>
    <w:rsid w:val="4013200C"/>
    <w:rsid w:val="40307BA0"/>
    <w:rsid w:val="40324B88"/>
    <w:rsid w:val="403D31FE"/>
    <w:rsid w:val="404D19C2"/>
    <w:rsid w:val="40552625"/>
    <w:rsid w:val="405952BE"/>
    <w:rsid w:val="406141D7"/>
    <w:rsid w:val="406E36E7"/>
    <w:rsid w:val="406F7517"/>
    <w:rsid w:val="4072470F"/>
    <w:rsid w:val="40810C47"/>
    <w:rsid w:val="408D6263"/>
    <w:rsid w:val="40907B01"/>
    <w:rsid w:val="40923879"/>
    <w:rsid w:val="409C64A6"/>
    <w:rsid w:val="409D0420"/>
    <w:rsid w:val="40A37834"/>
    <w:rsid w:val="40A83E9F"/>
    <w:rsid w:val="40A84E4B"/>
    <w:rsid w:val="40B21825"/>
    <w:rsid w:val="40BC26A4"/>
    <w:rsid w:val="40BE03F2"/>
    <w:rsid w:val="40BF607E"/>
    <w:rsid w:val="40C136CD"/>
    <w:rsid w:val="40CA164E"/>
    <w:rsid w:val="40CF0629"/>
    <w:rsid w:val="40D043A1"/>
    <w:rsid w:val="40D547FA"/>
    <w:rsid w:val="40DC4AF4"/>
    <w:rsid w:val="40E02836"/>
    <w:rsid w:val="40E30AE9"/>
    <w:rsid w:val="40FC5196"/>
    <w:rsid w:val="410127AD"/>
    <w:rsid w:val="41032081"/>
    <w:rsid w:val="41044E87"/>
    <w:rsid w:val="41151DB4"/>
    <w:rsid w:val="411B5699"/>
    <w:rsid w:val="41211D74"/>
    <w:rsid w:val="41344930"/>
    <w:rsid w:val="413D5046"/>
    <w:rsid w:val="414032D5"/>
    <w:rsid w:val="414323CD"/>
    <w:rsid w:val="414E450D"/>
    <w:rsid w:val="415073A9"/>
    <w:rsid w:val="41566655"/>
    <w:rsid w:val="41597EF3"/>
    <w:rsid w:val="4168282C"/>
    <w:rsid w:val="416D399E"/>
    <w:rsid w:val="417E204F"/>
    <w:rsid w:val="418238EE"/>
    <w:rsid w:val="418F600A"/>
    <w:rsid w:val="41A2501B"/>
    <w:rsid w:val="41AF3FB7"/>
    <w:rsid w:val="41AF6DAF"/>
    <w:rsid w:val="41B63597"/>
    <w:rsid w:val="41B810BD"/>
    <w:rsid w:val="41D164EC"/>
    <w:rsid w:val="41D22B69"/>
    <w:rsid w:val="41D43A1D"/>
    <w:rsid w:val="41E56848"/>
    <w:rsid w:val="41F320F5"/>
    <w:rsid w:val="41FE60C2"/>
    <w:rsid w:val="42027077"/>
    <w:rsid w:val="420460B1"/>
    <w:rsid w:val="420579B5"/>
    <w:rsid w:val="42073DF3"/>
    <w:rsid w:val="42097C0C"/>
    <w:rsid w:val="420F2CA7"/>
    <w:rsid w:val="420F765A"/>
    <w:rsid w:val="42154762"/>
    <w:rsid w:val="42187DAE"/>
    <w:rsid w:val="42206C63"/>
    <w:rsid w:val="42254279"/>
    <w:rsid w:val="422F6EA6"/>
    <w:rsid w:val="42381908"/>
    <w:rsid w:val="42383FAC"/>
    <w:rsid w:val="42424E2B"/>
    <w:rsid w:val="42462B6D"/>
    <w:rsid w:val="42472441"/>
    <w:rsid w:val="424B0183"/>
    <w:rsid w:val="42521512"/>
    <w:rsid w:val="42554B5E"/>
    <w:rsid w:val="42562D5A"/>
    <w:rsid w:val="425752A0"/>
    <w:rsid w:val="42632BD8"/>
    <w:rsid w:val="426E45CA"/>
    <w:rsid w:val="426E4700"/>
    <w:rsid w:val="42742C05"/>
    <w:rsid w:val="42756FAE"/>
    <w:rsid w:val="427A45C5"/>
    <w:rsid w:val="427B00CF"/>
    <w:rsid w:val="427D1807"/>
    <w:rsid w:val="4282077E"/>
    <w:rsid w:val="42910002"/>
    <w:rsid w:val="429E01E7"/>
    <w:rsid w:val="42A04AB5"/>
    <w:rsid w:val="42A31D6D"/>
    <w:rsid w:val="42A83B9D"/>
    <w:rsid w:val="42A95791"/>
    <w:rsid w:val="42B31885"/>
    <w:rsid w:val="42B615A7"/>
    <w:rsid w:val="42BA6AC5"/>
    <w:rsid w:val="42BF46CD"/>
    <w:rsid w:val="42C066C5"/>
    <w:rsid w:val="42C06B68"/>
    <w:rsid w:val="42C31181"/>
    <w:rsid w:val="42CA554C"/>
    <w:rsid w:val="42CB3072"/>
    <w:rsid w:val="42CC010B"/>
    <w:rsid w:val="42CE0CE3"/>
    <w:rsid w:val="42D26925"/>
    <w:rsid w:val="42D35E8B"/>
    <w:rsid w:val="42DA6424"/>
    <w:rsid w:val="42DF0F29"/>
    <w:rsid w:val="42ED2FE9"/>
    <w:rsid w:val="42F06989"/>
    <w:rsid w:val="42F26851"/>
    <w:rsid w:val="42F36125"/>
    <w:rsid w:val="42FA74B4"/>
    <w:rsid w:val="42FE51F6"/>
    <w:rsid w:val="42FF63E5"/>
    <w:rsid w:val="43036368"/>
    <w:rsid w:val="43040332"/>
    <w:rsid w:val="431247FD"/>
    <w:rsid w:val="43192F99"/>
    <w:rsid w:val="431E13F4"/>
    <w:rsid w:val="43217136"/>
    <w:rsid w:val="4326646F"/>
    <w:rsid w:val="4336612C"/>
    <w:rsid w:val="434E3FFB"/>
    <w:rsid w:val="43526A49"/>
    <w:rsid w:val="4355304F"/>
    <w:rsid w:val="43572B58"/>
    <w:rsid w:val="4361784D"/>
    <w:rsid w:val="436348BB"/>
    <w:rsid w:val="43647AA3"/>
    <w:rsid w:val="43664B49"/>
    <w:rsid w:val="43667DA2"/>
    <w:rsid w:val="436F39FE"/>
    <w:rsid w:val="437F2C57"/>
    <w:rsid w:val="43833B65"/>
    <w:rsid w:val="43884129"/>
    <w:rsid w:val="438A6A89"/>
    <w:rsid w:val="43941EBF"/>
    <w:rsid w:val="43996CCD"/>
    <w:rsid w:val="439D4A0F"/>
    <w:rsid w:val="43A67241"/>
    <w:rsid w:val="43AA2C88"/>
    <w:rsid w:val="43AD4526"/>
    <w:rsid w:val="43AF4742"/>
    <w:rsid w:val="43C55D14"/>
    <w:rsid w:val="43D45F57"/>
    <w:rsid w:val="43E715B7"/>
    <w:rsid w:val="43EF4B3E"/>
    <w:rsid w:val="43F263DD"/>
    <w:rsid w:val="43F26F06"/>
    <w:rsid w:val="43FD4DAB"/>
    <w:rsid w:val="4407632C"/>
    <w:rsid w:val="441427F7"/>
    <w:rsid w:val="44242A3A"/>
    <w:rsid w:val="44244257"/>
    <w:rsid w:val="44246BA9"/>
    <w:rsid w:val="44315157"/>
    <w:rsid w:val="44444E8A"/>
    <w:rsid w:val="444C18A3"/>
    <w:rsid w:val="44511355"/>
    <w:rsid w:val="445A46AE"/>
    <w:rsid w:val="445C6678"/>
    <w:rsid w:val="446472DA"/>
    <w:rsid w:val="446A20D0"/>
    <w:rsid w:val="446E1F07"/>
    <w:rsid w:val="44781760"/>
    <w:rsid w:val="44834057"/>
    <w:rsid w:val="448B5125"/>
    <w:rsid w:val="44984312"/>
    <w:rsid w:val="449D459A"/>
    <w:rsid w:val="44A65161"/>
    <w:rsid w:val="44B605BC"/>
    <w:rsid w:val="44B9695A"/>
    <w:rsid w:val="44C424A5"/>
    <w:rsid w:val="44C56358"/>
    <w:rsid w:val="44D146CC"/>
    <w:rsid w:val="44D83825"/>
    <w:rsid w:val="44DA134B"/>
    <w:rsid w:val="44DC50C3"/>
    <w:rsid w:val="44DE7002"/>
    <w:rsid w:val="44F810C9"/>
    <w:rsid w:val="44FF0DB1"/>
    <w:rsid w:val="45052B9C"/>
    <w:rsid w:val="45154A79"/>
    <w:rsid w:val="451A10CB"/>
    <w:rsid w:val="451A5BEB"/>
    <w:rsid w:val="451C5E07"/>
    <w:rsid w:val="451F34BA"/>
    <w:rsid w:val="451F3D9A"/>
    <w:rsid w:val="45237196"/>
    <w:rsid w:val="452D6BAE"/>
    <w:rsid w:val="45402808"/>
    <w:rsid w:val="454964D0"/>
    <w:rsid w:val="455410FD"/>
    <w:rsid w:val="455736AA"/>
    <w:rsid w:val="455E01CE"/>
    <w:rsid w:val="45640B1A"/>
    <w:rsid w:val="45687946"/>
    <w:rsid w:val="45717F01"/>
    <w:rsid w:val="4577128F"/>
    <w:rsid w:val="45787491"/>
    <w:rsid w:val="45852147"/>
    <w:rsid w:val="458C1A14"/>
    <w:rsid w:val="458E5F2D"/>
    <w:rsid w:val="458F65D9"/>
    <w:rsid w:val="45901F42"/>
    <w:rsid w:val="459B1F19"/>
    <w:rsid w:val="45AB0CB2"/>
    <w:rsid w:val="45AD6A5F"/>
    <w:rsid w:val="45AF695B"/>
    <w:rsid w:val="45B77004"/>
    <w:rsid w:val="45BD3611"/>
    <w:rsid w:val="45BE6EBE"/>
    <w:rsid w:val="45C142B9"/>
    <w:rsid w:val="45C808CB"/>
    <w:rsid w:val="45CA13BF"/>
    <w:rsid w:val="45CD1B48"/>
    <w:rsid w:val="45D27762"/>
    <w:rsid w:val="45D43FEC"/>
    <w:rsid w:val="45E02BB8"/>
    <w:rsid w:val="45E4366A"/>
    <w:rsid w:val="45EA700D"/>
    <w:rsid w:val="45ED1125"/>
    <w:rsid w:val="45EF4EDC"/>
    <w:rsid w:val="45FB5A1D"/>
    <w:rsid w:val="45FC6909"/>
    <w:rsid w:val="46016E67"/>
    <w:rsid w:val="460E1C7B"/>
    <w:rsid w:val="46146ADE"/>
    <w:rsid w:val="4616227E"/>
    <w:rsid w:val="46192347"/>
    <w:rsid w:val="461B7E6D"/>
    <w:rsid w:val="461E795D"/>
    <w:rsid w:val="462A4554"/>
    <w:rsid w:val="46322738"/>
    <w:rsid w:val="46362EF9"/>
    <w:rsid w:val="46363D66"/>
    <w:rsid w:val="463B050F"/>
    <w:rsid w:val="463C2323"/>
    <w:rsid w:val="464473C4"/>
    <w:rsid w:val="4654475D"/>
    <w:rsid w:val="465A331F"/>
    <w:rsid w:val="465D0485"/>
    <w:rsid w:val="466229CE"/>
    <w:rsid w:val="46633A7C"/>
    <w:rsid w:val="46691328"/>
    <w:rsid w:val="4670004A"/>
    <w:rsid w:val="46767799"/>
    <w:rsid w:val="46780E1B"/>
    <w:rsid w:val="46840346"/>
    <w:rsid w:val="469519CD"/>
    <w:rsid w:val="469F0A9E"/>
    <w:rsid w:val="46A66664"/>
    <w:rsid w:val="46A83CD3"/>
    <w:rsid w:val="46A936CA"/>
    <w:rsid w:val="46B02CAB"/>
    <w:rsid w:val="46BA6EDF"/>
    <w:rsid w:val="46BC33FE"/>
    <w:rsid w:val="46C557DB"/>
    <w:rsid w:val="46C6602A"/>
    <w:rsid w:val="46C72299"/>
    <w:rsid w:val="46D279C4"/>
    <w:rsid w:val="46D419D6"/>
    <w:rsid w:val="46D4598F"/>
    <w:rsid w:val="46D735B2"/>
    <w:rsid w:val="46DA3884"/>
    <w:rsid w:val="46DC75FC"/>
    <w:rsid w:val="46DF0E9A"/>
    <w:rsid w:val="46E110B6"/>
    <w:rsid w:val="46E841F3"/>
    <w:rsid w:val="46F51510"/>
    <w:rsid w:val="46FB7EEA"/>
    <w:rsid w:val="46FC32B9"/>
    <w:rsid w:val="46FF778E"/>
    <w:rsid w:val="4706090C"/>
    <w:rsid w:val="47071753"/>
    <w:rsid w:val="47093DA4"/>
    <w:rsid w:val="47094169"/>
    <w:rsid w:val="470E1780"/>
    <w:rsid w:val="470F4311"/>
    <w:rsid w:val="471526CC"/>
    <w:rsid w:val="47154607"/>
    <w:rsid w:val="471F398D"/>
    <w:rsid w:val="47347438"/>
    <w:rsid w:val="473A07C7"/>
    <w:rsid w:val="473A6858"/>
    <w:rsid w:val="474D4056"/>
    <w:rsid w:val="474F5B3A"/>
    <w:rsid w:val="475E2707"/>
    <w:rsid w:val="476A38BA"/>
    <w:rsid w:val="4770243A"/>
    <w:rsid w:val="47723ABC"/>
    <w:rsid w:val="477912EF"/>
    <w:rsid w:val="47834E02"/>
    <w:rsid w:val="479000C6"/>
    <w:rsid w:val="47983216"/>
    <w:rsid w:val="47A04ACD"/>
    <w:rsid w:val="47A0687C"/>
    <w:rsid w:val="47A5423F"/>
    <w:rsid w:val="47AB6FCE"/>
    <w:rsid w:val="47B73822"/>
    <w:rsid w:val="47BB1907"/>
    <w:rsid w:val="47CA07DB"/>
    <w:rsid w:val="47CD163B"/>
    <w:rsid w:val="47D53B7D"/>
    <w:rsid w:val="47D76015"/>
    <w:rsid w:val="47D91D8D"/>
    <w:rsid w:val="47E250E6"/>
    <w:rsid w:val="47E30E5E"/>
    <w:rsid w:val="47E322BC"/>
    <w:rsid w:val="47E34113"/>
    <w:rsid w:val="47F46384"/>
    <w:rsid w:val="47F56679"/>
    <w:rsid w:val="47FB7F56"/>
    <w:rsid w:val="48020068"/>
    <w:rsid w:val="480212E4"/>
    <w:rsid w:val="480A63EB"/>
    <w:rsid w:val="48112C11"/>
    <w:rsid w:val="48174664"/>
    <w:rsid w:val="481B23A6"/>
    <w:rsid w:val="481F79EC"/>
    <w:rsid w:val="48212B8D"/>
    <w:rsid w:val="48243655"/>
    <w:rsid w:val="48272AF9"/>
    <w:rsid w:val="482927A3"/>
    <w:rsid w:val="48326B0C"/>
    <w:rsid w:val="48337283"/>
    <w:rsid w:val="4839282C"/>
    <w:rsid w:val="484336AB"/>
    <w:rsid w:val="48491717"/>
    <w:rsid w:val="484E4529"/>
    <w:rsid w:val="4851401A"/>
    <w:rsid w:val="485D476D"/>
    <w:rsid w:val="485D651B"/>
    <w:rsid w:val="486C0E54"/>
    <w:rsid w:val="48710218"/>
    <w:rsid w:val="4871163F"/>
    <w:rsid w:val="48735D3E"/>
    <w:rsid w:val="48743864"/>
    <w:rsid w:val="48767174"/>
    <w:rsid w:val="488315CD"/>
    <w:rsid w:val="4884619D"/>
    <w:rsid w:val="488D3697"/>
    <w:rsid w:val="48976CBB"/>
    <w:rsid w:val="489857A5"/>
    <w:rsid w:val="489F4D85"/>
    <w:rsid w:val="48AB01C1"/>
    <w:rsid w:val="48AC1250"/>
    <w:rsid w:val="48AC2FFE"/>
    <w:rsid w:val="48AF5A87"/>
    <w:rsid w:val="48B3438D"/>
    <w:rsid w:val="48B41274"/>
    <w:rsid w:val="48C06AA9"/>
    <w:rsid w:val="48C12F4D"/>
    <w:rsid w:val="48C26CC5"/>
    <w:rsid w:val="48C42A3E"/>
    <w:rsid w:val="48CB5B7A"/>
    <w:rsid w:val="48D569F9"/>
    <w:rsid w:val="48D66617"/>
    <w:rsid w:val="48DC7713"/>
    <w:rsid w:val="48DD58AD"/>
    <w:rsid w:val="48DE5B4C"/>
    <w:rsid w:val="48DE7B11"/>
    <w:rsid w:val="48E704DA"/>
    <w:rsid w:val="48F42137"/>
    <w:rsid w:val="48F826E7"/>
    <w:rsid w:val="48FD5F50"/>
    <w:rsid w:val="491078EC"/>
    <w:rsid w:val="49107A31"/>
    <w:rsid w:val="491314B3"/>
    <w:rsid w:val="4913307D"/>
    <w:rsid w:val="491646DC"/>
    <w:rsid w:val="491F7C74"/>
    <w:rsid w:val="49262DB0"/>
    <w:rsid w:val="493C0826"/>
    <w:rsid w:val="493C6A78"/>
    <w:rsid w:val="49465F7C"/>
    <w:rsid w:val="49543DC1"/>
    <w:rsid w:val="495C2C76"/>
    <w:rsid w:val="495F741D"/>
    <w:rsid w:val="4968161B"/>
    <w:rsid w:val="49682FA7"/>
    <w:rsid w:val="496B4C67"/>
    <w:rsid w:val="4972723B"/>
    <w:rsid w:val="497A134E"/>
    <w:rsid w:val="497C50C6"/>
    <w:rsid w:val="497F79F0"/>
    <w:rsid w:val="498B355B"/>
    <w:rsid w:val="498E4EBE"/>
    <w:rsid w:val="49992414"/>
    <w:rsid w:val="49A308A5"/>
    <w:rsid w:val="49A34401"/>
    <w:rsid w:val="49A801E7"/>
    <w:rsid w:val="49BB53F4"/>
    <w:rsid w:val="49D46CB0"/>
    <w:rsid w:val="49DA60CE"/>
    <w:rsid w:val="49DE18DD"/>
    <w:rsid w:val="49E14F29"/>
    <w:rsid w:val="49EA2030"/>
    <w:rsid w:val="49F7073E"/>
    <w:rsid w:val="49F70BF1"/>
    <w:rsid w:val="49FA4868"/>
    <w:rsid w:val="49FE5ADB"/>
    <w:rsid w:val="4A03084F"/>
    <w:rsid w:val="4A050C18"/>
    <w:rsid w:val="4A0D21C2"/>
    <w:rsid w:val="4A11580F"/>
    <w:rsid w:val="4A18399C"/>
    <w:rsid w:val="4A2117CA"/>
    <w:rsid w:val="4A322A7B"/>
    <w:rsid w:val="4A3778BD"/>
    <w:rsid w:val="4A3B0ADD"/>
    <w:rsid w:val="4A3E412A"/>
    <w:rsid w:val="4A407298"/>
    <w:rsid w:val="4A4831FA"/>
    <w:rsid w:val="4A537D07"/>
    <w:rsid w:val="4A5C5382"/>
    <w:rsid w:val="4A5E2A1E"/>
    <w:rsid w:val="4A6A3EBA"/>
    <w:rsid w:val="4A804313"/>
    <w:rsid w:val="4A873D23"/>
    <w:rsid w:val="4A8B40DC"/>
    <w:rsid w:val="4A946440"/>
    <w:rsid w:val="4A987CDE"/>
    <w:rsid w:val="4A9C2DBC"/>
    <w:rsid w:val="4A9E6CF6"/>
    <w:rsid w:val="4AA11161"/>
    <w:rsid w:val="4AA523FB"/>
    <w:rsid w:val="4AA85A47"/>
    <w:rsid w:val="4AAD3B05"/>
    <w:rsid w:val="4AB10DA0"/>
    <w:rsid w:val="4AB368C6"/>
    <w:rsid w:val="4ABD5996"/>
    <w:rsid w:val="4ABD7744"/>
    <w:rsid w:val="4AC565F9"/>
    <w:rsid w:val="4AC91E51"/>
    <w:rsid w:val="4ACA3C0F"/>
    <w:rsid w:val="4ACE1952"/>
    <w:rsid w:val="4ACE7243"/>
    <w:rsid w:val="4ACF0D42"/>
    <w:rsid w:val="4AD35544"/>
    <w:rsid w:val="4AD60806"/>
    <w:rsid w:val="4AE64EED"/>
    <w:rsid w:val="4AE747C1"/>
    <w:rsid w:val="4AEA6060"/>
    <w:rsid w:val="4AED7CDC"/>
    <w:rsid w:val="4AEE3DA2"/>
    <w:rsid w:val="4AFB4369"/>
    <w:rsid w:val="4AFD6C6D"/>
    <w:rsid w:val="4AFE17B3"/>
    <w:rsid w:val="4B00609B"/>
    <w:rsid w:val="4B0238EF"/>
    <w:rsid w:val="4B0610EB"/>
    <w:rsid w:val="4B077BE2"/>
    <w:rsid w:val="4B0836F6"/>
    <w:rsid w:val="4B090BDC"/>
    <w:rsid w:val="4B0B4954"/>
    <w:rsid w:val="4B157580"/>
    <w:rsid w:val="4B1F5D09"/>
    <w:rsid w:val="4B217C80"/>
    <w:rsid w:val="4B2C122B"/>
    <w:rsid w:val="4B303A30"/>
    <w:rsid w:val="4B3A2B43"/>
    <w:rsid w:val="4B645E12"/>
    <w:rsid w:val="4B66010D"/>
    <w:rsid w:val="4B6B71A0"/>
    <w:rsid w:val="4B7A73E4"/>
    <w:rsid w:val="4B7F2C4C"/>
    <w:rsid w:val="4B7F3CF9"/>
    <w:rsid w:val="4B985B54"/>
    <w:rsid w:val="4B9F7041"/>
    <w:rsid w:val="4BAC1AB0"/>
    <w:rsid w:val="4BB328F5"/>
    <w:rsid w:val="4BB61B9E"/>
    <w:rsid w:val="4BBD5522"/>
    <w:rsid w:val="4BC93EC7"/>
    <w:rsid w:val="4BDC1E4C"/>
    <w:rsid w:val="4BDD55A8"/>
    <w:rsid w:val="4BDE2763"/>
    <w:rsid w:val="4BE96317"/>
    <w:rsid w:val="4BEF7DD1"/>
    <w:rsid w:val="4BF2341E"/>
    <w:rsid w:val="4BF500DF"/>
    <w:rsid w:val="4BF54CBC"/>
    <w:rsid w:val="4BFB063F"/>
    <w:rsid w:val="4BFB22C2"/>
    <w:rsid w:val="4BFF5B3B"/>
    <w:rsid w:val="4C0973B6"/>
    <w:rsid w:val="4C0A4C0B"/>
    <w:rsid w:val="4C0C0983"/>
    <w:rsid w:val="4C1928CE"/>
    <w:rsid w:val="4C194E4E"/>
    <w:rsid w:val="4C1E560B"/>
    <w:rsid w:val="4C2061DD"/>
    <w:rsid w:val="4C26012E"/>
    <w:rsid w:val="4C2638A4"/>
    <w:rsid w:val="4C2A2BB8"/>
    <w:rsid w:val="4C3259A6"/>
    <w:rsid w:val="4C343A36"/>
    <w:rsid w:val="4C351587"/>
    <w:rsid w:val="4C39104D"/>
    <w:rsid w:val="4C4C6FD2"/>
    <w:rsid w:val="4C516396"/>
    <w:rsid w:val="4C526437"/>
    <w:rsid w:val="4C541FE6"/>
    <w:rsid w:val="4C5A0A44"/>
    <w:rsid w:val="4C5B7215"/>
    <w:rsid w:val="4C5C6FBF"/>
    <w:rsid w:val="4C65714A"/>
    <w:rsid w:val="4C8277FE"/>
    <w:rsid w:val="4C87000A"/>
    <w:rsid w:val="4C927329"/>
    <w:rsid w:val="4C96649F"/>
    <w:rsid w:val="4C972C2F"/>
    <w:rsid w:val="4C9B783B"/>
    <w:rsid w:val="4C9E0CAE"/>
    <w:rsid w:val="4CA23096"/>
    <w:rsid w:val="4CA706AC"/>
    <w:rsid w:val="4CA7245A"/>
    <w:rsid w:val="4CAD5597"/>
    <w:rsid w:val="4CB37051"/>
    <w:rsid w:val="4CB46925"/>
    <w:rsid w:val="4CB86415"/>
    <w:rsid w:val="4CB878D5"/>
    <w:rsid w:val="4CBD57DA"/>
    <w:rsid w:val="4CBD7ED0"/>
    <w:rsid w:val="4CC4300C"/>
    <w:rsid w:val="4CD314A1"/>
    <w:rsid w:val="4CD34FFD"/>
    <w:rsid w:val="4CD833EC"/>
    <w:rsid w:val="4CDE3FDB"/>
    <w:rsid w:val="4CE27936"/>
    <w:rsid w:val="4CE74F4D"/>
    <w:rsid w:val="4CE74FE6"/>
    <w:rsid w:val="4CEF5BAF"/>
    <w:rsid w:val="4CF17B79"/>
    <w:rsid w:val="4CFB4554"/>
    <w:rsid w:val="4CFB6302"/>
    <w:rsid w:val="4CFF2296"/>
    <w:rsid w:val="4D020A7C"/>
    <w:rsid w:val="4D070E03"/>
    <w:rsid w:val="4D0A2ADF"/>
    <w:rsid w:val="4D13399F"/>
    <w:rsid w:val="4D135D9A"/>
    <w:rsid w:val="4D142B6F"/>
    <w:rsid w:val="4D197B3B"/>
    <w:rsid w:val="4D1F2E42"/>
    <w:rsid w:val="4D216467"/>
    <w:rsid w:val="4D265153"/>
    <w:rsid w:val="4D2C295F"/>
    <w:rsid w:val="4D3A507C"/>
    <w:rsid w:val="4D3A71AE"/>
    <w:rsid w:val="4D3D4B6D"/>
    <w:rsid w:val="4D3F08E5"/>
    <w:rsid w:val="4D3F2693"/>
    <w:rsid w:val="4D41719A"/>
    <w:rsid w:val="4D4203D5"/>
    <w:rsid w:val="4D447CA9"/>
    <w:rsid w:val="4D4536C1"/>
    <w:rsid w:val="4D4C3002"/>
    <w:rsid w:val="4D4C4DB0"/>
    <w:rsid w:val="4D50116E"/>
    <w:rsid w:val="4D5848F2"/>
    <w:rsid w:val="4D5C27F9"/>
    <w:rsid w:val="4D720CBA"/>
    <w:rsid w:val="4D7F5185"/>
    <w:rsid w:val="4D7F6F33"/>
    <w:rsid w:val="4D896004"/>
    <w:rsid w:val="4D92310A"/>
    <w:rsid w:val="4D9A5B1B"/>
    <w:rsid w:val="4DA16EA9"/>
    <w:rsid w:val="4DAE0A97"/>
    <w:rsid w:val="4DAE15C6"/>
    <w:rsid w:val="4DB14A6F"/>
    <w:rsid w:val="4DB64532"/>
    <w:rsid w:val="4DC0551F"/>
    <w:rsid w:val="4DC90188"/>
    <w:rsid w:val="4DC96400"/>
    <w:rsid w:val="4DD76D6F"/>
    <w:rsid w:val="4DD91948"/>
    <w:rsid w:val="4DDD2835"/>
    <w:rsid w:val="4DDF350D"/>
    <w:rsid w:val="4DE0571C"/>
    <w:rsid w:val="4DE17D6A"/>
    <w:rsid w:val="4DE374C2"/>
    <w:rsid w:val="4DE4323A"/>
    <w:rsid w:val="4DEF1F77"/>
    <w:rsid w:val="4DF2028E"/>
    <w:rsid w:val="4DF94F37"/>
    <w:rsid w:val="4DFB4561"/>
    <w:rsid w:val="4DFF1A7A"/>
    <w:rsid w:val="4DFF1E22"/>
    <w:rsid w:val="4E066C4A"/>
    <w:rsid w:val="4E125FF9"/>
    <w:rsid w:val="4E164FFE"/>
    <w:rsid w:val="4E200716"/>
    <w:rsid w:val="4E21623C"/>
    <w:rsid w:val="4E25509E"/>
    <w:rsid w:val="4E28581D"/>
    <w:rsid w:val="4E3221F7"/>
    <w:rsid w:val="4E3C59F9"/>
    <w:rsid w:val="4E434405"/>
    <w:rsid w:val="4E504E21"/>
    <w:rsid w:val="4E5B6DFC"/>
    <w:rsid w:val="4E5C48FB"/>
    <w:rsid w:val="4E630603"/>
    <w:rsid w:val="4E6D5ABA"/>
    <w:rsid w:val="4E726E49"/>
    <w:rsid w:val="4E7B5A46"/>
    <w:rsid w:val="4E7C16C5"/>
    <w:rsid w:val="4E7E2321"/>
    <w:rsid w:val="4E811169"/>
    <w:rsid w:val="4E852491"/>
    <w:rsid w:val="4E9262A1"/>
    <w:rsid w:val="4E9C72F2"/>
    <w:rsid w:val="4EA212F7"/>
    <w:rsid w:val="4EAF1A9A"/>
    <w:rsid w:val="4EC54E1A"/>
    <w:rsid w:val="4EC8490A"/>
    <w:rsid w:val="4ED908C5"/>
    <w:rsid w:val="4EE517C9"/>
    <w:rsid w:val="4EE74F20"/>
    <w:rsid w:val="4EEF1EC7"/>
    <w:rsid w:val="4EF31987"/>
    <w:rsid w:val="4F0516BA"/>
    <w:rsid w:val="4F0E056F"/>
    <w:rsid w:val="4F18387B"/>
    <w:rsid w:val="4F21089D"/>
    <w:rsid w:val="4F29184C"/>
    <w:rsid w:val="4F305587"/>
    <w:rsid w:val="4F3846DA"/>
    <w:rsid w:val="4F3F4BCC"/>
    <w:rsid w:val="4F4405DB"/>
    <w:rsid w:val="4F4735AC"/>
    <w:rsid w:val="4F4B6005"/>
    <w:rsid w:val="4F4E12B3"/>
    <w:rsid w:val="4F4E3061"/>
    <w:rsid w:val="4F580206"/>
    <w:rsid w:val="4F5C39D0"/>
    <w:rsid w:val="4F5F701C"/>
    <w:rsid w:val="4F622668"/>
    <w:rsid w:val="4F67286E"/>
    <w:rsid w:val="4F6C798B"/>
    <w:rsid w:val="4F790850"/>
    <w:rsid w:val="4F823A4F"/>
    <w:rsid w:val="4F840831"/>
    <w:rsid w:val="4F844CD5"/>
    <w:rsid w:val="4F8503F2"/>
    <w:rsid w:val="4F895C50"/>
    <w:rsid w:val="4F8E742F"/>
    <w:rsid w:val="4F973F02"/>
    <w:rsid w:val="4F9C0232"/>
    <w:rsid w:val="4FA04C4D"/>
    <w:rsid w:val="4FA14080"/>
    <w:rsid w:val="4FA62E9D"/>
    <w:rsid w:val="4FC746F8"/>
    <w:rsid w:val="4FC74BC1"/>
    <w:rsid w:val="4FD42876"/>
    <w:rsid w:val="4FDA2B47"/>
    <w:rsid w:val="4FDC066D"/>
    <w:rsid w:val="4FE13ED5"/>
    <w:rsid w:val="4FE85264"/>
    <w:rsid w:val="4FEA6E8F"/>
    <w:rsid w:val="4FED4628"/>
    <w:rsid w:val="4FF43C08"/>
    <w:rsid w:val="4FF5172F"/>
    <w:rsid w:val="4FF736F9"/>
    <w:rsid w:val="4FF81FF5"/>
    <w:rsid w:val="4FF963FF"/>
    <w:rsid w:val="500144F5"/>
    <w:rsid w:val="50016325"/>
    <w:rsid w:val="500425FC"/>
    <w:rsid w:val="5005533D"/>
    <w:rsid w:val="500951DA"/>
    <w:rsid w:val="500D6A78"/>
    <w:rsid w:val="50100316"/>
    <w:rsid w:val="50125E3D"/>
    <w:rsid w:val="50145DC9"/>
    <w:rsid w:val="50172F88"/>
    <w:rsid w:val="501C4F0D"/>
    <w:rsid w:val="501F0559"/>
    <w:rsid w:val="503264DF"/>
    <w:rsid w:val="50372ECD"/>
    <w:rsid w:val="503B6AA3"/>
    <w:rsid w:val="50406E4E"/>
    <w:rsid w:val="504306EC"/>
    <w:rsid w:val="5043693E"/>
    <w:rsid w:val="504A1A7A"/>
    <w:rsid w:val="50593A6B"/>
    <w:rsid w:val="505A77E4"/>
    <w:rsid w:val="50637999"/>
    <w:rsid w:val="50642410"/>
    <w:rsid w:val="50744298"/>
    <w:rsid w:val="507765E7"/>
    <w:rsid w:val="50792360"/>
    <w:rsid w:val="507C1E50"/>
    <w:rsid w:val="50872F63"/>
    <w:rsid w:val="50903205"/>
    <w:rsid w:val="5091017C"/>
    <w:rsid w:val="50963CC3"/>
    <w:rsid w:val="50AA2519"/>
    <w:rsid w:val="50AB7F7F"/>
    <w:rsid w:val="50AC6291"/>
    <w:rsid w:val="50AF7B2F"/>
    <w:rsid w:val="50B8269A"/>
    <w:rsid w:val="50BB7850"/>
    <w:rsid w:val="50BC5A36"/>
    <w:rsid w:val="50C03C6A"/>
    <w:rsid w:val="50C57353"/>
    <w:rsid w:val="50D41344"/>
    <w:rsid w:val="50D926CB"/>
    <w:rsid w:val="50DD23FB"/>
    <w:rsid w:val="50DE0415"/>
    <w:rsid w:val="50E023DF"/>
    <w:rsid w:val="50E34C1E"/>
    <w:rsid w:val="50E667D8"/>
    <w:rsid w:val="50EC66E8"/>
    <w:rsid w:val="50EE68AA"/>
    <w:rsid w:val="50F6750C"/>
    <w:rsid w:val="50FD092D"/>
    <w:rsid w:val="50FE0E1F"/>
    <w:rsid w:val="50FE2865"/>
    <w:rsid w:val="51072F7D"/>
    <w:rsid w:val="51085492"/>
    <w:rsid w:val="51114346"/>
    <w:rsid w:val="511216EA"/>
    <w:rsid w:val="511D718F"/>
    <w:rsid w:val="51202CFD"/>
    <w:rsid w:val="51320BF3"/>
    <w:rsid w:val="51330760"/>
    <w:rsid w:val="51345DDB"/>
    <w:rsid w:val="51385D77"/>
    <w:rsid w:val="513E614A"/>
    <w:rsid w:val="51453FF0"/>
    <w:rsid w:val="51465C99"/>
    <w:rsid w:val="51484FA4"/>
    <w:rsid w:val="514E10F6"/>
    <w:rsid w:val="514E559A"/>
    <w:rsid w:val="51542485"/>
    <w:rsid w:val="51551012"/>
    <w:rsid w:val="515661FD"/>
    <w:rsid w:val="515E05A0"/>
    <w:rsid w:val="516528E4"/>
    <w:rsid w:val="51681FDA"/>
    <w:rsid w:val="516C3C72"/>
    <w:rsid w:val="5180327A"/>
    <w:rsid w:val="518B234A"/>
    <w:rsid w:val="518D64DB"/>
    <w:rsid w:val="519A07DF"/>
    <w:rsid w:val="519D1E85"/>
    <w:rsid w:val="519D207E"/>
    <w:rsid w:val="519D358B"/>
    <w:rsid w:val="519D6700"/>
    <w:rsid w:val="519F1486"/>
    <w:rsid w:val="51A47E68"/>
    <w:rsid w:val="51A61A69"/>
    <w:rsid w:val="51A75013"/>
    <w:rsid w:val="51A946DB"/>
    <w:rsid w:val="51B02189"/>
    <w:rsid w:val="51B11685"/>
    <w:rsid w:val="51B65454"/>
    <w:rsid w:val="51B66C9C"/>
    <w:rsid w:val="51BA2C30"/>
    <w:rsid w:val="51BA5FC6"/>
    <w:rsid w:val="51BE7F56"/>
    <w:rsid w:val="51C23892"/>
    <w:rsid w:val="51C25640"/>
    <w:rsid w:val="51C448E2"/>
    <w:rsid w:val="51D03206"/>
    <w:rsid w:val="51D05FAF"/>
    <w:rsid w:val="51D3012E"/>
    <w:rsid w:val="51D3784E"/>
    <w:rsid w:val="51FC4FF6"/>
    <w:rsid w:val="5208399B"/>
    <w:rsid w:val="5209326F"/>
    <w:rsid w:val="520C2C94"/>
    <w:rsid w:val="520C2D5F"/>
    <w:rsid w:val="522105B9"/>
    <w:rsid w:val="52293911"/>
    <w:rsid w:val="522B0C1B"/>
    <w:rsid w:val="5254408F"/>
    <w:rsid w:val="525555BB"/>
    <w:rsid w:val="5256749B"/>
    <w:rsid w:val="52614E59"/>
    <w:rsid w:val="526E7576"/>
    <w:rsid w:val="52731904"/>
    <w:rsid w:val="52734B8D"/>
    <w:rsid w:val="527728CF"/>
    <w:rsid w:val="5277467D"/>
    <w:rsid w:val="527821A3"/>
    <w:rsid w:val="52816A7D"/>
    <w:rsid w:val="528B0128"/>
    <w:rsid w:val="5290573F"/>
    <w:rsid w:val="529214B7"/>
    <w:rsid w:val="52927709"/>
    <w:rsid w:val="5294522F"/>
    <w:rsid w:val="52A511EA"/>
    <w:rsid w:val="52A80CDA"/>
    <w:rsid w:val="52B14033"/>
    <w:rsid w:val="52B62B34"/>
    <w:rsid w:val="52B94C95"/>
    <w:rsid w:val="52BC2E53"/>
    <w:rsid w:val="52C41627"/>
    <w:rsid w:val="52D03D8D"/>
    <w:rsid w:val="52D841BB"/>
    <w:rsid w:val="52DF02BC"/>
    <w:rsid w:val="52E22A11"/>
    <w:rsid w:val="52E234C5"/>
    <w:rsid w:val="52E843D1"/>
    <w:rsid w:val="52ED5A43"/>
    <w:rsid w:val="52F65EE9"/>
    <w:rsid w:val="530B42C2"/>
    <w:rsid w:val="530C1269"/>
    <w:rsid w:val="531A4E3D"/>
    <w:rsid w:val="532F6D06"/>
    <w:rsid w:val="533802B0"/>
    <w:rsid w:val="53397419"/>
    <w:rsid w:val="533F6E7B"/>
    <w:rsid w:val="534F4E20"/>
    <w:rsid w:val="53501257"/>
    <w:rsid w:val="5358625C"/>
    <w:rsid w:val="53613F7A"/>
    <w:rsid w:val="536A7BE5"/>
    <w:rsid w:val="536B6F19"/>
    <w:rsid w:val="536F2718"/>
    <w:rsid w:val="53704F0B"/>
    <w:rsid w:val="53776383"/>
    <w:rsid w:val="538E6122"/>
    <w:rsid w:val="53A45945"/>
    <w:rsid w:val="53A57D3A"/>
    <w:rsid w:val="53B06098"/>
    <w:rsid w:val="53BF452D"/>
    <w:rsid w:val="53CB2ED2"/>
    <w:rsid w:val="53D855EF"/>
    <w:rsid w:val="53D8739D"/>
    <w:rsid w:val="53DB365B"/>
    <w:rsid w:val="53E54C21"/>
    <w:rsid w:val="53E75832"/>
    <w:rsid w:val="53F341D7"/>
    <w:rsid w:val="53FA5565"/>
    <w:rsid w:val="53FC210D"/>
    <w:rsid w:val="540006A2"/>
    <w:rsid w:val="54044DA2"/>
    <w:rsid w:val="54055E37"/>
    <w:rsid w:val="54071A30"/>
    <w:rsid w:val="540B4C39"/>
    <w:rsid w:val="54151CD9"/>
    <w:rsid w:val="54152BC8"/>
    <w:rsid w:val="54226C00"/>
    <w:rsid w:val="542A234D"/>
    <w:rsid w:val="543842E0"/>
    <w:rsid w:val="543C43EB"/>
    <w:rsid w:val="543C7EB7"/>
    <w:rsid w:val="543E5A92"/>
    <w:rsid w:val="543F566E"/>
    <w:rsid w:val="54400726"/>
    <w:rsid w:val="544467E1"/>
    <w:rsid w:val="5449029B"/>
    <w:rsid w:val="544C6F88"/>
    <w:rsid w:val="54534C76"/>
    <w:rsid w:val="54644976"/>
    <w:rsid w:val="54694499"/>
    <w:rsid w:val="546A07E8"/>
    <w:rsid w:val="546C3108"/>
    <w:rsid w:val="5472334E"/>
    <w:rsid w:val="54775E74"/>
    <w:rsid w:val="547C0049"/>
    <w:rsid w:val="54860F2C"/>
    <w:rsid w:val="548D0188"/>
    <w:rsid w:val="548E1C44"/>
    <w:rsid w:val="54907C78"/>
    <w:rsid w:val="549A0AF6"/>
    <w:rsid w:val="549E264E"/>
    <w:rsid w:val="54A75BB9"/>
    <w:rsid w:val="54A81DFE"/>
    <w:rsid w:val="54A8604E"/>
    <w:rsid w:val="54AC173D"/>
    <w:rsid w:val="54B0031A"/>
    <w:rsid w:val="54BA6AA3"/>
    <w:rsid w:val="54D02E15"/>
    <w:rsid w:val="54F50220"/>
    <w:rsid w:val="54FE4BE1"/>
    <w:rsid w:val="5507618C"/>
    <w:rsid w:val="550A17D8"/>
    <w:rsid w:val="550D4D66"/>
    <w:rsid w:val="551B7651"/>
    <w:rsid w:val="55200FFC"/>
    <w:rsid w:val="5526232B"/>
    <w:rsid w:val="55267BF0"/>
    <w:rsid w:val="552A00CC"/>
    <w:rsid w:val="552B7383"/>
    <w:rsid w:val="552C79A0"/>
    <w:rsid w:val="553240ED"/>
    <w:rsid w:val="553B4087"/>
    <w:rsid w:val="553F298A"/>
    <w:rsid w:val="55466588"/>
    <w:rsid w:val="55480552"/>
    <w:rsid w:val="55481377"/>
    <w:rsid w:val="5548762C"/>
    <w:rsid w:val="554C3B9F"/>
    <w:rsid w:val="554F368F"/>
    <w:rsid w:val="55546EF7"/>
    <w:rsid w:val="55652EB2"/>
    <w:rsid w:val="556709D9"/>
    <w:rsid w:val="5579126C"/>
    <w:rsid w:val="55801DCE"/>
    <w:rsid w:val="558A46C7"/>
    <w:rsid w:val="558F7F2F"/>
    <w:rsid w:val="55915A56"/>
    <w:rsid w:val="55943F0F"/>
    <w:rsid w:val="55A0038E"/>
    <w:rsid w:val="55A83D9D"/>
    <w:rsid w:val="55B17114"/>
    <w:rsid w:val="55B47996"/>
    <w:rsid w:val="55B94FAC"/>
    <w:rsid w:val="55CB540B"/>
    <w:rsid w:val="55CF47D0"/>
    <w:rsid w:val="55D42237"/>
    <w:rsid w:val="55DD19DC"/>
    <w:rsid w:val="55E5452B"/>
    <w:rsid w:val="55ED3547"/>
    <w:rsid w:val="55EE10FA"/>
    <w:rsid w:val="55F36710"/>
    <w:rsid w:val="55FD758F"/>
    <w:rsid w:val="560726B6"/>
    <w:rsid w:val="56095F34"/>
    <w:rsid w:val="560F02B6"/>
    <w:rsid w:val="561A495A"/>
    <w:rsid w:val="56206DD9"/>
    <w:rsid w:val="562C1C22"/>
    <w:rsid w:val="56327239"/>
    <w:rsid w:val="56365413"/>
    <w:rsid w:val="56372AA1"/>
    <w:rsid w:val="5637484F"/>
    <w:rsid w:val="563D3E2F"/>
    <w:rsid w:val="563D7950"/>
    <w:rsid w:val="564360F2"/>
    <w:rsid w:val="56447AD9"/>
    <w:rsid w:val="56504935"/>
    <w:rsid w:val="565E627F"/>
    <w:rsid w:val="56665134"/>
    <w:rsid w:val="56690780"/>
    <w:rsid w:val="566C7598"/>
    <w:rsid w:val="56767886"/>
    <w:rsid w:val="56807C36"/>
    <w:rsid w:val="56817C69"/>
    <w:rsid w:val="56824C41"/>
    <w:rsid w:val="5684380C"/>
    <w:rsid w:val="569E667C"/>
    <w:rsid w:val="56B714EC"/>
    <w:rsid w:val="56B934B6"/>
    <w:rsid w:val="56BA40A5"/>
    <w:rsid w:val="56CE16BE"/>
    <w:rsid w:val="56CF0BF7"/>
    <w:rsid w:val="56CF739E"/>
    <w:rsid w:val="56E0691F"/>
    <w:rsid w:val="56EB567D"/>
    <w:rsid w:val="56EE0C86"/>
    <w:rsid w:val="56F27A24"/>
    <w:rsid w:val="570861EB"/>
    <w:rsid w:val="571B7CCD"/>
    <w:rsid w:val="571C1C97"/>
    <w:rsid w:val="5721105B"/>
    <w:rsid w:val="5723355E"/>
    <w:rsid w:val="572528F9"/>
    <w:rsid w:val="572C0856"/>
    <w:rsid w:val="572D5C52"/>
    <w:rsid w:val="572F5526"/>
    <w:rsid w:val="57303E31"/>
    <w:rsid w:val="57306F3E"/>
    <w:rsid w:val="5737262D"/>
    <w:rsid w:val="5744021A"/>
    <w:rsid w:val="57476D14"/>
    <w:rsid w:val="574A05B2"/>
    <w:rsid w:val="57557530"/>
    <w:rsid w:val="575B27BF"/>
    <w:rsid w:val="575C0C87"/>
    <w:rsid w:val="576216D8"/>
    <w:rsid w:val="576450A7"/>
    <w:rsid w:val="576A47B0"/>
    <w:rsid w:val="577214FD"/>
    <w:rsid w:val="57743881"/>
    <w:rsid w:val="5774562F"/>
    <w:rsid w:val="577B3D89"/>
    <w:rsid w:val="57805D82"/>
    <w:rsid w:val="5783335E"/>
    <w:rsid w:val="578C2978"/>
    <w:rsid w:val="57984347"/>
    <w:rsid w:val="57A13A0D"/>
    <w:rsid w:val="57A35F14"/>
    <w:rsid w:val="57A51C8C"/>
    <w:rsid w:val="57AA72A2"/>
    <w:rsid w:val="57B123DF"/>
    <w:rsid w:val="57B27F05"/>
    <w:rsid w:val="57B46B59"/>
    <w:rsid w:val="57C93BCD"/>
    <w:rsid w:val="57CF2650"/>
    <w:rsid w:val="57EC3417"/>
    <w:rsid w:val="580249E9"/>
    <w:rsid w:val="58030761"/>
    <w:rsid w:val="58044B86"/>
    <w:rsid w:val="580E5A83"/>
    <w:rsid w:val="5818420C"/>
    <w:rsid w:val="581D7A74"/>
    <w:rsid w:val="583139C3"/>
    <w:rsid w:val="583479F0"/>
    <w:rsid w:val="583C439E"/>
    <w:rsid w:val="58421289"/>
    <w:rsid w:val="584A7D9D"/>
    <w:rsid w:val="584D65AC"/>
    <w:rsid w:val="585549AC"/>
    <w:rsid w:val="585A7B2C"/>
    <w:rsid w:val="585B059D"/>
    <w:rsid w:val="58692CBA"/>
    <w:rsid w:val="586B6A32"/>
    <w:rsid w:val="587066C2"/>
    <w:rsid w:val="58767C37"/>
    <w:rsid w:val="587C0C3F"/>
    <w:rsid w:val="587C702D"/>
    <w:rsid w:val="587D49B7"/>
    <w:rsid w:val="58823D7B"/>
    <w:rsid w:val="5882708A"/>
    <w:rsid w:val="5889510A"/>
    <w:rsid w:val="588B6CAC"/>
    <w:rsid w:val="58913FBE"/>
    <w:rsid w:val="58935F89"/>
    <w:rsid w:val="5895292F"/>
    <w:rsid w:val="589A2E73"/>
    <w:rsid w:val="589D0BB5"/>
    <w:rsid w:val="589F585E"/>
    <w:rsid w:val="58A957AC"/>
    <w:rsid w:val="58AA0ABF"/>
    <w:rsid w:val="58AB4B55"/>
    <w:rsid w:val="58AE691E"/>
    <w:rsid w:val="58B24473"/>
    <w:rsid w:val="58B303D9"/>
    <w:rsid w:val="58B8779D"/>
    <w:rsid w:val="58C03626"/>
    <w:rsid w:val="58C12AF6"/>
    <w:rsid w:val="58C15991"/>
    <w:rsid w:val="58C61EBA"/>
    <w:rsid w:val="58C70DCE"/>
    <w:rsid w:val="58CD3249"/>
    <w:rsid w:val="58DA1063"/>
    <w:rsid w:val="58E14F46"/>
    <w:rsid w:val="58ED38EB"/>
    <w:rsid w:val="58EF7663"/>
    <w:rsid w:val="58F20F01"/>
    <w:rsid w:val="590024FC"/>
    <w:rsid w:val="5902026F"/>
    <w:rsid w:val="59063548"/>
    <w:rsid w:val="590E560F"/>
    <w:rsid w:val="591270A7"/>
    <w:rsid w:val="59141D65"/>
    <w:rsid w:val="591744C4"/>
    <w:rsid w:val="591E3AA4"/>
    <w:rsid w:val="59253085"/>
    <w:rsid w:val="59271254"/>
    <w:rsid w:val="59282B75"/>
    <w:rsid w:val="592866D1"/>
    <w:rsid w:val="59292EB0"/>
    <w:rsid w:val="592B3CD1"/>
    <w:rsid w:val="594352B9"/>
    <w:rsid w:val="594554D5"/>
    <w:rsid w:val="594C6863"/>
    <w:rsid w:val="595251F6"/>
    <w:rsid w:val="59594ADC"/>
    <w:rsid w:val="595C10A3"/>
    <w:rsid w:val="595E20F3"/>
    <w:rsid w:val="595F6C61"/>
    <w:rsid w:val="596362F4"/>
    <w:rsid w:val="59703091"/>
    <w:rsid w:val="59720EDD"/>
    <w:rsid w:val="597436C4"/>
    <w:rsid w:val="5975743C"/>
    <w:rsid w:val="5976568E"/>
    <w:rsid w:val="597D5281"/>
    <w:rsid w:val="597F446F"/>
    <w:rsid w:val="59844464"/>
    <w:rsid w:val="59950BB9"/>
    <w:rsid w:val="59981AA8"/>
    <w:rsid w:val="5999312B"/>
    <w:rsid w:val="59A935CE"/>
    <w:rsid w:val="59AF294E"/>
    <w:rsid w:val="59B91A1F"/>
    <w:rsid w:val="59BF67E0"/>
    <w:rsid w:val="59C363FA"/>
    <w:rsid w:val="59D678D9"/>
    <w:rsid w:val="59D800F7"/>
    <w:rsid w:val="59E16C00"/>
    <w:rsid w:val="59E24AD2"/>
    <w:rsid w:val="59E817EF"/>
    <w:rsid w:val="59EC4D4C"/>
    <w:rsid w:val="59EC683C"/>
    <w:rsid w:val="59ED1DB9"/>
    <w:rsid w:val="59F64A21"/>
    <w:rsid w:val="59F9006D"/>
    <w:rsid w:val="5A033D79"/>
    <w:rsid w:val="5A08132C"/>
    <w:rsid w:val="5A0C7DA1"/>
    <w:rsid w:val="5A0F43A4"/>
    <w:rsid w:val="5A1B51E7"/>
    <w:rsid w:val="5A1B6236"/>
    <w:rsid w:val="5A1D0200"/>
    <w:rsid w:val="5A1F7AD4"/>
    <w:rsid w:val="5A236E98"/>
    <w:rsid w:val="5A302412"/>
    <w:rsid w:val="5A3317D1"/>
    <w:rsid w:val="5A45308E"/>
    <w:rsid w:val="5A551748"/>
    <w:rsid w:val="5A63688F"/>
    <w:rsid w:val="5A6B7679"/>
    <w:rsid w:val="5A6C6A91"/>
    <w:rsid w:val="5A70032F"/>
    <w:rsid w:val="5A73739F"/>
    <w:rsid w:val="5A767910"/>
    <w:rsid w:val="5A7C26A6"/>
    <w:rsid w:val="5A7D0C9E"/>
    <w:rsid w:val="5A7F67C4"/>
    <w:rsid w:val="5A8B33BB"/>
    <w:rsid w:val="5A9209EF"/>
    <w:rsid w:val="5A957F1A"/>
    <w:rsid w:val="5A9E37AE"/>
    <w:rsid w:val="5AA77C12"/>
    <w:rsid w:val="5AB02E22"/>
    <w:rsid w:val="5AB50438"/>
    <w:rsid w:val="5AB521E6"/>
    <w:rsid w:val="5AB67D0C"/>
    <w:rsid w:val="5ABA0EFA"/>
    <w:rsid w:val="5ABD72ED"/>
    <w:rsid w:val="5AC73CC7"/>
    <w:rsid w:val="5ACB5F2F"/>
    <w:rsid w:val="5AD20FEA"/>
    <w:rsid w:val="5AD703AE"/>
    <w:rsid w:val="5AE91E90"/>
    <w:rsid w:val="5AFF2775"/>
    <w:rsid w:val="5B01542B"/>
    <w:rsid w:val="5B085EA6"/>
    <w:rsid w:val="5B0A5596"/>
    <w:rsid w:val="5B0E0E12"/>
    <w:rsid w:val="5B101B12"/>
    <w:rsid w:val="5B182775"/>
    <w:rsid w:val="5B1C4013"/>
    <w:rsid w:val="5B256DD6"/>
    <w:rsid w:val="5B3614D6"/>
    <w:rsid w:val="5B370E4D"/>
    <w:rsid w:val="5B3A093D"/>
    <w:rsid w:val="5B3D3F8A"/>
    <w:rsid w:val="5B44356A"/>
    <w:rsid w:val="5B4A5024"/>
    <w:rsid w:val="5B5A2639"/>
    <w:rsid w:val="5B5A2E00"/>
    <w:rsid w:val="5B5A4B3C"/>
    <w:rsid w:val="5B5E4ACF"/>
    <w:rsid w:val="5B5E63DA"/>
    <w:rsid w:val="5B5F03A4"/>
    <w:rsid w:val="5B6825B2"/>
    <w:rsid w:val="5B6854AA"/>
    <w:rsid w:val="5B6C3F69"/>
    <w:rsid w:val="5B703980"/>
    <w:rsid w:val="5B721E85"/>
    <w:rsid w:val="5B745285"/>
    <w:rsid w:val="5B7B51DE"/>
    <w:rsid w:val="5B8816A9"/>
    <w:rsid w:val="5B891558"/>
    <w:rsid w:val="5B8B2F47"/>
    <w:rsid w:val="5B9242D5"/>
    <w:rsid w:val="5B935A55"/>
    <w:rsid w:val="5B954A31"/>
    <w:rsid w:val="5B9718EC"/>
    <w:rsid w:val="5BAA0C46"/>
    <w:rsid w:val="5BC14BBB"/>
    <w:rsid w:val="5BC70423"/>
    <w:rsid w:val="5BCD70A9"/>
    <w:rsid w:val="5BD22C55"/>
    <w:rsid w:val="5BD23E86"/>
    <w:rsid w:val="5BD26DC8"/>
    <w:rsid w:val="5BDC19F5"/>
    <w:rsid w:val="5BDD7C46"/>
    <w:rsid w:val="5BE010A9"/>
    <w:rsid w:val="5BE04D73"/>
    <w:rsid w:val="5BE945C1"/>
    <w:rsid w:val="5BF172E7"/>
    <w:rsid w:val="5BF979BC"/>
    <w:rsid w:val="5BFA3D12"/>
    <w:rsid w:val="5C0276AD"/>
    <w:rsid w:val="5C04319A"/>
    <w:rsid w:val="5C114281"/>
    <w:rsid w:val="5C205738"/>
    <w:rsid w:val="5C2C0286"/>
    <w:rsid w:val="5C35196D"/>
    <w:rsid w:val="5C403B1A"/>
    <w:rsid w:val="5C425CFC"/>
    <w:rsid w:val="5C4952DC"/>
    <w:rsid w:val="5C4A6129"/>
    <w:rsid w:val="5C4B1624"/>
    <w:rsid w:val="5C50666A"/>
    <w:rsid w:val="5C537ED6"/>
    <w:rsid w:val="5C5617A7"/>
    <w:rsid w:val="5C582FA8"/>
    <w:rsid w:val="5C5D2B35"/>
    <w:rsid w:val="5C62639E"/>
    <w:rsid w:val="5C6C2592"/>
    <w:rsid w:val="5C6C4B26"/>
    <w:rsid w:val="5C7165E1"/>
    <w:rsid w:val="5C735EB5"/>
    <w:rsid w:val="5C7B120D"/>
    <w:rsid w:val="5C7E5B72"/>
    <w:rsid w:val="5C877D57"/>
    <w:rsid w:val="5C8F1F25"/>
    <w:rsid w:val="5C906961"/>
    <w:rsid w:val="5C974299"/>
    <w:rsid w:val="5C9A78E6"/>
    <w:rsid w:val="5C9C18B0"/>
    <w:rsid w:val="5CA2679A"/>
    <w:rsid w:val="5CA46243"/>
    <w:rsid w:val="5CA85A91"/>
    <w:rsid w:val="5CAB54B0"/>
    <w:rsid w:val="5CBC52F3"/>
    <w:rsid w:val="5CBC5AAE"/>
    <w:rsid w:val="5CBF734C"/>
    <w:rsid w:val="5CC27531"/>
    <w:rsid w:val="5CC4641D"/>
    <w:rsid w:val="5CD01559"/>
    <w:rsid w:val="5CD1707F"/>
    <w:rsid w:val="5CD250E3"/>
    <w:rsid w:val="5CD329E2"/>
    <w:rsid w:val="5CDA5287"/>
    <w:rsid w:val="5CDC597D"/>
    <w:rsid w:val="5CDD08DC"/>
    <w:rsid w:val="5CF06F9D"/>
    <w:rsid w:val="5CF47E44"/>
    <w:rsid w:val="5CF8285E"/>
    <w:rsid w:val="5D0D455B"/>
    <w:rsid w:val="5D0F6CD8"/>
    <w:rsid w:val="5D113FC1"/>
    <w:rsid w:val="5D1A4582"/>
    <w:rsid w:val="5D1C02FB"/>
    <w:rsid w:val="5D1D22C5"/>
    <w:rsid w:val="5D211DB5"/>
    <w:rsid w:val="5D263918"/>
    <w:rsid w:val="5D290C69"/>
    <w:rsid w:val="5D325D70"/>
    <w:rsid w:val="5D3B2C91"/>
    <w:rsid w:val="5D3C274B"/>
    <w:rsid w:val="5D3F66DF"/>
    <w:rsid w:val="5D4635C9"/>
    <w:rsid w:val="5D4D2BAA"/>
    <w:rsid w:val="5D5A5331"/>
    <w:rsid w:val="5D5C66E2"/>
    <w:rsid w:val="5D635F29"/>
    <w:rsid w:val="5D641CA2"/>
    <w:rsid w:val="5D681792"/>
    <w:rsid w:val="5D6D6DA8"/>
    <w:rsid w:val="5D6E5CB4"/>
    <w:rsid w:val="5D7F6ADB"/>
    <w:rsid w:val="5D811FD2"/>
    <w:rsid w:val="5D833BA8"/>
    <w:rsid w:val="5D8440F2"/>
    <w:rsid w:val="5D847EF4"/>
    <w:rsid w:val="5D853F2C"/>
    <w:rsid w:val="5D9205BD"/>
    <w:rsid w:val="5D944335"/>
    <w:rsid w:val="5D9E3405"/>
    <w:rsid w:val="5DA402F0"/>
    <w:rsid w:val="5DAF73C1"/>
    <w:rsid w:val="5DB46785"/>
    <w:rsid w:val="5DB97B3B"/>
    <w:rsid w:val="5DC10D1E"/>
    <w:rsid w:val="5DC15346"/>
    <w:rsid w:val="5DC75882"/>
    <w:rsid w:val="5DC828A5"/>
    <w:rsid w:val="5DCC7F73"/>
    <w:rsid w:val="5DD11505"/>
    <w:rsid w:val="5DD66B15"/>
    <w:rsid w:val="5DDE1A54"/>
    <w:rsid w:val="5DEC23C3"/>
    <w:rsid w:val="5DF03535"/>
    <w:rsid w:val="5DF474C9"/>
    <w:rsid w:val="5DF63E5F"/>
    <w:rsid w:val="5DF748C4"/>
    <w:rsid w:val="5E085C0C"/>
    <w:rsid w:val="5E0F3507"/>
    <w:rsid w:val="5E154C51"/>
    <w:rsid w:val="5E1E26DD"/>
    <w:rsid w:val="5E2558D5"/>
    <w:rsid w:val="5E262E91"/>
    <w:rsid w:val="5E3922A0"/>
    <w:rsid w:val="5E3B2A02"/>
    <w:rsid w:val="5E4A70E9"/>
    <w:rsid w:val="5E736640"/>
    <w:rsid w:val="5E744166"/>
    <w:rsid w:val="5E951A89"/>
    <w:rsid w:val="5E9860A7"/>
    <w:rsid w:val="5EAE1426"/>
    <w:rsid w:val="5EB01642"/>
    <w:rsid w:val="5EBE53E1"/>
    <w:rsid w:val="5EC0115A"/>
    <w:rsid w:val="5EC76B4E"/>
    <w:rsid w:val="5ECC254F"/>
    <w:rsid w:val="5ECC7AFE"/>
    <w:rsid w:val="5ED56C4A"/>
    <w:rsid w:val="5EDF5A84"/>
    <w:rsid w:val="5EEC2A03"/>
    <w:rsid w:val="5EF7101F"/>
    <w:rsid w:val="5EF73E17"/>
    <w:rsid w:val="5EF86B45"/>
    <w:rsid w:val="5EFA5CD3"/>
    <w:rsid w:val="5F003FA4"/>
    <w:rsid w:val="5F047586"/>
    <w:rsid w:val="5F0C428E"/>
    <w:rsid w:val="5F1051B1"/>
    <w:rsid w:val="5F1178CF"/>
    <w:rsid w:val="5F145C5C"/>
    <w:rsid w:val="5F147B14"/>
    <w:rsid w:val="5F15483D"/>
    <w:rsid w:val="5F1801D9"/>
    <w:rsid w:val="5F182D44"/>
    <w:rsid w:val="5F211C7E"/>
    <w:rsid w:val="5F250980"/>
    <w:rsid w:val="5F357D99"/>
    <w:rsid w:val="5F465B03"/>
    <w:rsid w:val="5F531FCE"/>
    <w:rsid w:val="5F546472"/>
    <w:rsid w:val="5F553F98"/>
    <w:rsid w:val="5F5C0E82"/>
    <w:rsid w:val="5F6314A8"/>
    <w:rsid w:val="5F631599"/>
    <w:rsid w:val="5F6E604F"/>
    <w:rsid w:val="5F700DD2"/>
    <w:rsid w:val="5F752C58"/>
    <w:rsid w:val="5F773F0E"/>
    <w:rsid w:val="5F797C86"/>
    <w:rsid w:val="5F7E529D"/>
    <w:rsid w:val="5F812FDF"/>
    <w:rsid w:val="5F816B3B"/>
    <w:rsid w:val="5F830B05"/>
    <w:rsid w:val="5F8403D9"/>
    <w:rsid w:val="5F8C7A4C"/>
    <w:rsid w:val="5F920D48"/>
    <w:rsid w:val="5F955707"/>
    <w:rsid w:val="5F991667"/>
    <w:rsid w:val="5F9F2D4E"/>
    <w:rsid w:val="5FA6034F"/>
    <w:rsid w:val="5FB15AA1"/>
    <w:rsid w:val="5FC058B5"/>
    <w:rsid w:val="5FC353A5"/>
    <w:rsid w:val="5FE44556"/>
    <w:rsid w:val="5FE506D1"/>
    <w:rsid w:val="5FE84E0C"/>
    <w:rsid w:val="5FE86BBA"/>
    <w:rsid w:val="5FEB66AA"/>
    <w:rsid w:val="5FF57EA4"/>
    <w:rsid w:val="5FFE018B"/>
    <w:rsid w:val="600532C8"/>
    <w:rsid w:val="600734E4"/>
    <w:rsid w:val="60082E8B"/>
    <w:rsid w:val="6013472D"/>
    <w:rsid w:val="60180DE9"/>
    <w:rsid w:val="601C07A3"/>
    <w:rsid w:val="60234096"/>
    <w:rsid w:val="602776E2"/>
    <w:rsid w:val="602A0F80"/>
    <w:rsid w:val="602A71D2"/>
    <w:rsid w:val="60327E35"/>
    <w:rsid w:val="60340051"/>
    <w:rsid w:val="605129B1"/>
    <w:rsid w:val="60557590"/>
    <w:rsid w:val="605D21F4"/>
    <w:rsid w:val="605E50CE"/>
    <w:rsid w:val="606566E6"/>
    <w:rsid w:val="60676979"/>
    <w:rsid w:val="6068343A"/>
    <w:rsid w:val="60716BAF"/>
    <w:rsid w:val="6077540C"/>
    <w:rsid w:val="608476D0"/>
    <w:rsid w:val="60885663"/>
    <w:rsid w:val="609E63B5"/>
    <w:rsid w:val="60A01243"/>
    <w:rsid w:val="60BB42CE"/>
    <w:rsid w:val="60C50CA9"/>
    <w:rsid w:val="60C56EFB"/>
    <w:rsid w:val="60D10378"/>
    <w:rsid w:val="60D96503"/>
    <w:rsid w:val="60DD4245"/>
    <w:rsid w:val="60E1459E"/>
    <w:rsid w:val="60ED42B5"/>
    <w:rsid w:val="60EE0200"/>
    <w:rsid w:val="60F670B5"/>
    <w:rsid w:val="6109503A"/>
    <w:rsid w:val="611501B6"/>
    <w:rsid w:val="612B4FB0"/>
    <w:rsid w:val="612E4AA0"/>
    <w:rsid w:val="61300818"/>
    <w:rsid w:val="6131633F"/>
    <w:rsid w:val="614222FA"/>
    <w:rsid w:val="61461DEA"/>
    <w:rsid w:val="614C3178"/>
    <w:rsid w:val="61561E4F"/>
    <w:rsid w:val="615C42F2"/>
    <w:rsid w:val="615D7134"/>
    <w:rsid w:val="616927E9"/>
    <w:rsid w:val="616D55C9"/>
    <w:rsid w:val="617050B9"/>
    <w:rsid w:val="61756B0B"/>
    <w:rsid w:val="61805C84"/>
    <w:rsid w:val="618A333F"/>
    <w:rsid w:val="619532DD"/>
    <w:rsid w:val="61970898"/>
    <w:rsid w:val="619E1C26"/>
    <w:rsid w:val="61AA3B7A"/>
    <w:rsid w:val="61AC2857"/>
    <w:rsid w:val="61AE5968"/>
    <w:rsid w:val="61BD65C3"/>
    <w:rsid w:val="61BF025D"/>
    <w:rsid w:val="61C15914"/>
    <w:rsid w:val="61C16673"/>
    <w:rsid w:val="61C176C2"/>
    <w:rsid w:val="61CD42B9"/>
    <w:rsid w:val="61CE6A3A"/>
    <w:rsid w:val="61D513C0"/>
    <w:rsid w:val="61D820E5"/>
    <w:rsid w:val="61DC44EC"/>
    <w:rsid w:val="61DE5866"/>
    <w:rsid w:val="61DF11C0"/>
    <w:rsid w:val="61DF5D9B"/>
    <w:rsid w:val="61E82D68"/>
    <w:rsid w:val="61ED04B8"/>
    <w:rsid w:val="61F12F76"/>
    <w:rsid w:val="61F47A98"/>
    <w:rsid w:val="61F555BE"/>
    <w:rsid w:val="61F66E8A"/>
    <w:rsid w:val="620C12EF"/>
    <w:rsid w:val="621349BB"/>
    <w:rsid w:val="621E68C3"/>
    <w:rsid w:val="621F7349"/>
    <w:rsid w:val="6223534F"/>
    <w:rsid w:val="622A34BA"/>
    <w:rsid w:val="62352662"/>
    <w:rsid w:val="623600B0"/>
    <w:rsid w:val="62387745"/>
    <w:rsid w:val="624327CD"/>
    <w:rsid w:val="624633C5"/>
    <w:rsid w:val="624F1172"/>
    <w:rsid w:val="624F1626"/>
    <w:rsid w:val="62564A6C"/>
    <w:rsid w:val="625C563D"/>
    <w:rsid w:val="625D4BD7"/>
    <w:rsid w:val="626304DA"/>
    <w:rsid w:val="626369CC"/>
    <w:rsid w:val="62650996"/>
    <w:rsid w:val="62791D4B"/>
    <w:rsid w:val="62854B94"/>
    <w:rsid w:val="628F77C1"/>
    <w:rsid w:val="629152E7"/>
    <w:rsid w:val="62953E38"/>
    <w:rsid w:val="62970423"/>
    <w:rsid w:val="62A97B60"/>
    <w:rsid w:val="62AC0373"/>
    <w:rsid w:val="62AE5E99"/>
    <w:rsid w:val="62BC7E8A"/>
    <w:rsid w:val="62BE1E54"/>
    <w:rsid w:val="62D90A3C"/>
    <w:rsid w:val="62EF200D"/>
    <w:rsid w:val="62F0780B"/>
    <w:rsid w:val="62F277E6"/>
    <w:rsid w:val="62FD41E2"/>
    <w:rsid w:val="631255D7"/>
    <w:rsid w:val="63147CC6"/>
    <w:rsid w:val="631B1054"/>
    <w:rsid w:val="631F2F2E"/>
    <w:rsid w:val="632C6098"/>
    <w:rsid w:val="63332842"/>
    <w:rsid w:val="63375561"/>
    <w:rsid w:val="633B5253"/>
    <w:rsid w:val="63422A85"/>
    <w:rsid w:val="63442359"/>
    <w:rsid w:val="63493E13"/>
    <w:rsid w:val="634E77A0"/>
    <w:rsid w:val="63564074"/>
    <w:rsid w:val="635946C8"/>
    <w:rsid w:val="6361084A"/>
    <w:rsid w:val="636B5B38"/>
    <w:rsid w:val="636D5D54"/>
    <w:rsid w:val="63780255"/>
    <w:rsid w:val="637A221F"/>
    <w:rsid w:val="637B3DDE"/>
    <w:rsid w:val="637C0048"/>
    <w:rsid w:val="63844E4C"/>
    <w:rsid w:val="63864720"/>
    <w:rsid w:val="638766EA"/>
    <w:rsid w:val="638E7A78"/>
    <w:rsid w:val="63932CB3"/>
    <w:rsid w:val="639B5A84"/>
    <w:rsid w:val="639D1A14"/>
    <w:rsid w:val="63A245D2"/>
    <w:rsid w:val="63AD5074"/>
    <w:rsid w:val="63B514A9"/>
    <w:rsid w:val="63BC2837"/>
    <w:rsid w:val="63C27722"/>
    <w:rsid w:val="63CF256B"/>
    <w:rsid w:val="63D47B81"/>
    <w:rsid w:val="63D650EB"/>
    <w:rsid w:val="63DF02D4"/>
    <w:rsid w:val="63E91B17"/>
    <w:rsid w:val="63EC3E4B"/>
    <w:rsid w:val="63F26259"/>
    <w:rsid w:val="63F50388"/>
    <w:rsid w:val="63F7386F"/>
    <w:rsid w:val="63F862D5"/>
    <w:rsid w:val="64065861"/>
    <w:rsid w:val="64091998"/>
    <w:rsid w:val="640970FF"/>
    <w:rsid w:val="640B3FF5"/>
    <w:rsid w:val="641A69EF"/>
    <w:rsid w:val="641C6E32"/>
    <w:rsid w:val="641C7510"/>
    <w:rsid w:val="641F4B74"/>
    <w:rsid w:val="6424428B"/>
    <w:rsid w:val="642B2624"/>
    <w:rsid w:val="642F5488"/>
    <w:rsid w:val="643F0D73"/>
    <w:rsid w:val="64487C27"/>
    <w:rsid w:val="64520AA6"/>
    <w:rsid w:val="64555881"/>
    <w:rsid w:val="6457430E"/>
    <w:rsid w:val="6459763E"/>
    <w:rsid w:val="645A795A"/>
    <w:rsid w:val="64644848"/>
    <w:rsid w:val="64713622"/>
    <w:rsid w:val="64790347"/>
    <w:rsid w:val="64794284"/>
    <w:rsid w:val="647E189B"/>
    <w:rsid w:val="64872E45"/>
    <w:rsid w:val="648C2131"/>
    <w:rsid w:val="648F0463"/>
    <w:rsid w:val="64954B41"/>
    <w:rsid w:val="64970455"/>
    <w:rsid w:val="649E720B"/>
    <w:rsid w:val="64A42AC1"/>
    <w:rsid w:val="64AA2690"/>
    <w:rsid w:val="64AE1A1F"/>
    <w:rsid w:val="64AE2C0F"/>
    <w:rsid w:val="64BE613B"/>
    <w:rsid w:val="64CC6F37"/>
    <w:rsid w:val="64CD1C95"/>
    <w:rsid w:val="64CE2822"/>
    <w:rsid w:val="64CF0348"/>
    <w:rsid w:val="64D4770D"/>
    <w:rsid w:val="64DA5323"/>
    <w:rsid w:val="64DF4A2F"/>
    <w:rsid w:val="64E56FC5"/>
    <w:rsid w:val="64EA33D4"/>
    <w:rsid w:val="64EF09EB"/>
    <w:rsid w:val="65015C46"/>
    <w:rsid w:val="6518584B"/>
    <w:rsid w:val="65260B2B"/>
    <w:rsid w:val="653A413B"/>
    <w:rsid w:val="653F56B9"/>
    <w:rsid w:val="654664C9"/>
    <w:rsid w:val="6548459E"/>
    <w:rsid w:val="65515A4A"/>
    <w:rsid w:val="65561E5B"/>
    <w:rsid w:val="65646CE3"/>
    <w:rsid w:val="65694555"/>
    <w:rsid w:val="657447EF"/>
    <w:rsid w:val="65815AE7"/>
    <w:rsid w:val="65870C23"/>
    <w:rsid w:val="65901886"/>
    <w:rsid w:val="65921AA2"/>
    <w:rsid w:val="65930011"/>
    <w:rsid w:val="65965345"/>
    <w:rsid w:val="65A92947"/>
    <w:rsid w:val="65AC525A"/>
    <w:rsid w:val="65B117CA"/>
    <w:rsid w:val="65C634F9"/>
    <w:rsid w:val="65D33363"/>
    <w:rsid w:val="65D56B0E"/>
    <w:rsid w:val="65D702E7"/>
    <w:rsid w:val="65D75707"/>
    <w:rsid w:val="65DD4A1C"/>
    <w:rsid w:val="65EB115A"/>
    <w:rsid w:val="65FA7647"/>
    <w:rsid w:val="66003738"/>
    <w:rsid w:val="661029C7"/>
    <w:rsid w:val="66107515"/>
    <w:rsid w:val="66140709"/>
    <w:rsid w:val="6615622F"/>
    <w:rsid w:val="66173D55"/>
    <w:rsid w:val="66196513"/>
    <w:rsid w:val="661A4BCD"/>
    <w:rsid w:val="66263F98"/>
    <w:rsid w:val="66290E28"/>
    <w:rsid w:val="662A2464"/>
    <w:rsid w:val="662E109F"/>
    <w:rsid w:val="66392D50"/>
    <w:rsid w:val="663A090B"/>
    <w:rsid w:val="6649551B"/>
    <w:rsid w:val="6659611C"/>
    <w:rsid w:val="665B5E69"/>
    <w:rsid w:val="66611474"/>
    <w:rsid w:val="66652D12"/>
    <w:rsid w:val="666703C9"/>
    <w:rsid w:val="666845B1"/>
    <w:rsid w:val="666B40A1"/>
    <w:rsid w:val="666B43AE"/>
    <w:rsid w:val="666C3F70"/>
    <w:rsid w:val="66773423"/>
    <w:rsid w:val="66897DBA"/>
    <w:rsid w:val="668A7384"/>
    <w:rsid w:val="668C4743"/>
    <w:rsid w:val="668D04BB"/>
    <w:rsid w:val="66923532"/>
    <w:rsid w:val="66A001EE"/>
    <w:rsid w:val="66B9528C"/>
    <w:rsid w:val="66C57C55"/>
    <w:rsid w:val="66D954AE"/>
    <w:rsid w:val="66E14363"/>
    <w:rsid w:val="66E80418"/>
    <w:rsid w:val="66ED4AB6"/>
    <w:rsid w:val="66F10A4A"/>
    <w:rsid w:val="66F31ADC"/>
    <w:rsid w:val="6706405B"/>
    <w:rsid w:val="67092027"/>
    <w:rsid w:val="670C09AE"/>
    <w:rsid w:val="670D6F06"/>
    <w:rsid w:val="670E0792"/>
    <w:rsid w:val="670F2C7E"/>
    <w:rsid w:val="67151119"/>
    <w:rsid w:val="67186744"/>
    <w:rsid w:val="673D77EB"/>
    <w:rsid w:val="67430B7A"/>
    <w:rsid w:val="674A1F08"/>
    <w:rsid w:val="676416AF"/>
    <w:rsid w:val="67656D42"/>
    <w:rsid w:val="67670D0C"/>
    <w:rsid w:val="676A5A51"/>
    <w:rsid w:val="676B07FC"/>
    <w:rsid w:val="676D0A99"/>
    <w:rsid w:val="676E0E59"/>
    <w:rsid w:val="67750862"/>
    <w:rsid w:val="67760F4F"/>
    <w:rsid w:val="67762CFD"/>
    <w:rsid w:val="6779459B"/>
    <w:rsid w:val="67804D2B"/>
    <w:rsid w:val="678278F4"/>
    <w:rsid w:val="678B49FB"/>
    <w:rsid w:val="67902011"/>
    <w:rsid w:val="679118E5"/>
    <w:rsid w:val="6792035A"/>
    <w:rsid w:val="67A519A4"/>
    <w:rsid w:val="67B850C4"/>
    <w:rsid w:val="67BB124F"/>
    <w:rsid w:val="67BF46A4"/>
    <w:rsid w:val="67C779D4"/>
    <w:rsid w:val="67CA4DF7"/>
    <w:rsid w:val="67D363A2"/>
    <w:rsid w:val="67D57A24"/>
    <w:rsid w:val="67DE751F"/>
    <w:rsid w:val="67F26828"/>
    <w:rsid w:val="67FA04CE"/>
    <w:rsid w:val="68064081"/>
    <w:rsid w:val="682312A9"/>
    <w:rsid w:val="68242759"/>
    <w:rsid w:val="68297A85"/>
    <w:rsid w:val="682B2B30"/>
    <w:rsid w:val="683727D4"/>
    <w:rsid w:val="6840045B"/>
    <w:rsid w:val="68444BA9"/>
    <w:rsid w:val="684D4FDA"/>
    <w:rsid w:val="68525518"/>
    <w:rsid w:val="68550B65"/>
    <w:rsid w:val="68556DB7"/>
    <w:rsid w:val="68580655"/>
    <w:rsid w:val="685968A7"/>
    <w:rsid w:val="6860788C"/>
    <w:rsid w:val="68690428"/>
    <w:rsid w:val="686B65DA"/>
    <w:rsid w:val="686D2352"/>
    <w:rsid w:val="687C2595"/>
    <w:rsid w:val="6881195A"/>
    <w:rsid w:val="68833924"/>
    <w:rsid w:val="688558EE"/>
    <w:rsid w:val="68892422"/>
    <w:rsid w:val="68906041"/>
    <w:rsid w:val="68925915"/>
    <w:rsid w:val="689E56BE"/>
    <w:rsid w:val="68A51AEC"/>
    <w:rsid w:val="68AF64C7"/>
    <w:rsid w:val="68C1269E"/>
    <w:rsid w:val="68C161FA"/>
    <w:rsid w:val="68C754F8"/>
    <w:rsid w:val="68CC49F4"/>
    <w:rsid w:val="68CC52CB"/>
    <w:rsid w:val="68D0468F"/>
    <w:rsid w:val="68DB550E"/>
    <w:rsid w:val="68E50F3D"/>
    <w:rsid w:val="68E72104"/>
    <w:rsid w:val="68EC771B"/>
    <w:rsid w:val="68EF65EF"/>
    <w:rsid w:val="68F24605"/>
    <w:rsid w:val="68FB5BB0"/>
    <w:rsid w:val="69030527"/>
    <w:rsid w:val="69142D50"/>
    <w:rsid w:val="69163295"/>
    <w:rsid w:val="691B2690"/>
    <w:rsid w:val="691C396C"/>
    <w:rsid w:val="692073C4"/>
    <w:rsid w:val="69263136"/>
    <w:rsid w:val="693D4B9E"/>
    <w:rsid w:val="69472D1F"/>
    <w:rsid w:val="69531548"/>
    <w:rsid w:val="69586B5E"/>
    <w:rsid w:val="695D23C7"/>
    <w:rsid w:val="695D4175"/>
    <w:rsid w:val="695E1C9B"/>
    <w:rsid w:val="69672308"/>
    <w:rsid w:val="696B1E57"/>
    <w:rsid w:val="69723ED3"/>
    <w:rsid w:val="697D0373"/>
    <w:rsid w:val="697D4817"/>
    <w:rsid w:val="697F247E"/>
    <w:rsid w:val="69802D51"/>
    <w:rsid w:val="698B4E2D"/>
    <w:rsid w:val="699219DD"/>
    <w:rsid w:val="699851AD"/>
    <w:rsid w:val="699A7177"/>
    <w:rsid w:val="699F5234"/>
    <w:rsid w:val="69BF098B"/>
    <w:rsid w:val="69D16911"/>
    <w:rsid w:val="69D4109F"/>
    <w:rsid w:val="69D7467A"/>
    <w:rsid w:val="69DA69FB"/>
    <w:rsid w:val="69EC5884"/>
    <w:rsid w:val="69F04FE9"/>
    <w:rsid w:val="69FB573C"/>
    <w:rsid w:val="69FD450A"/>
    <w:rsid w:val="6A0445F0"/>
    <w:rsid w:val="6A0E36C1"/>
    <w:rsid w:val="6A1A2066"/>
    <w:rsid w:val="6A1A7CB9"/>
    <w:rsid w:val="6A234EB3"/>
    <w:rsid w:val="6A2627B9"/>
    <w:rsid w:val="6A2E7F6E"/>
    <w:rsid w:val="6A3055DB"/>
    <w:rsid w:val="6A320EAD"/>
    <w:rsid w:val="6A412D5B"/>
    <w:rsid w:val="6A42336B"/>
    <w:rsid w:val="6A463F09"/>
    <w:rsid w:val="6A4B5AE1"/>
    <w:rsid w:val="6A4B66C3"/>
    <w:rsid w:val="6A5224AC"/>
    <w:rsid w:val="6A5539B2"/>
    <w:rsid w:val="6A633A0D"/>
    <w:rsid w:val="6A670C5E"/>
    <w:rsid w:val="6A6908F7"/>
    <w:rsid w:val="6A696B49"/>
    <w:rsid w:val="6A75729C"/>
    <w:rsid w:val="6A813E93"/>
    <w:rsid w:val="6A873FD3"/>
    <w:rsid w:val="6A8A71EB"/>
    <w:rsid w:val="6A924D0C"/>
    <w:rsid w:val="6A9A7ABE"/>
    <w:rsid w:val="6AA30955"/>
    <w:rsid w:val="6AA41B3A"/>
    <w:rsid w:val="6AB06526"/>
    <w:rsid w:val="6AB06781"/>
    <w:rsid w:val="6ABC136F"/>
    <w:rsid w:val="6ABF49BB"/>
    <w:rsid w:val="6AC21871"/>
    <w:rsid w:val="6ACB2952"/>
    <w:rsid w:val="6ACB34D6"/>
    <w:rsid w:val="6AD40467"/>
    <w:rsid w:val="6ADA35A3"/>
    <w:rsid w:val="6AE85CC0"/>
    <w:rsid w:val="6AE85F35"/>
    <w:rsid w:val="6AEF34F2"/>
    <w:rsid w:val="6AF05DD4"/>
    <w:rsid w:val="6AF723A7"/>
    <w:rsid w:val="6AF82FA3"/>
    <w:rsid w:val="6AFA59F3"/>
    <w:rsid w:val="6B014BEA"/>
    <w:rsid w:val="6B0831C2"/>
    <w:rsid w:val="6B216E94"/>
    <w:rsid w:val="6B252A70"/>
    <w:rsid w:val="6B2C02A3"/>
    <w:rsid w:val="6B3375EC"/>
    <w:rsid w:val="6B4355EC"/>
    <w:rsid w:val="6B596BBE"/>
    <w:rsid w:val="6B5B0B88"/>
    <w:rsid w:val="6B6214E3"/>
    <w:rsid w:val="6B6451A9"/>
    <w:rsid w:val="6B6E1F2A"/>
    <w:rsid w:val="6B70410E"/>
    <w:rsid w:val="6B88119E"/>
    <w:rsid w:val="6B96431A"/>
    <w:rsid w:val="6B966935"/>
    <w:rsid w:val="6B967029"/>
    <w:rsid w:val="6B9800E1"/>
    <w:rsid w:val="6B9D4848"/>
    <w:rsid w:val="6B9E1D44"/>
    <w:rsid w:val="6BAA2A46"/>
    <w:rsid w:val="6BB14D59"/>
    <w:rsid w:val="6BB838E4"/>
    <w:rsid w:val="6BC524A5"/>
    <w:rsid w:val="6BCB69E2"/>
    <w:rsid w:val="6BD076FD"/>
    <w:rsid w:val="6BD46244"/>
    <w:rsid w:val="6BD6020E"/>
    <w:rsid w:val="6BD61FBC"/>
    <w:rsid w:val="6BD9385B"/>
    <w:rsid w:val="6BD9765A"/>
    <w:rsid w:val="6BDC37FC"/>
    <w:rsid w:val="6BE0108D"/>
    <w:rsid w:val="6BEA1033"/>
    <w:rsid w:val="6BEB2C57"/>
    <w:rsid w:val="6BEC7A32"/>
    <w:rsid w:val="6BF07522"/>
    <w:rsid w:val="6BF6440D"/>
    <w:rsid w:val="6BFB79DF"/>
    <w:rsid w:val="6C060AF4"/>
    <w:rsid w:val="6C111659"/>
    <w:rsid w:val="6C131A48"/>
    <w:rsid w:val="6C186A79"/>
    <w:rsid w:val="6C1F1BB5"/>
    <w:rsid w:val="6C22436F"/>
    <w:rsid w:val="6C292A34"/>
    <w:rsid w:val="6C2B67AC"/>
    <w:rsid w:val="6C353187"/>
    <w:rsid w:val="6C376EFF"/>
    <w:rsid w:val="6C4A6891"/>
    <w:rsid w:val="6C4E249B"/>
    <w:rsid w:val="6C515AE7"/>
    <w:rsid w:val="6C5D24CE"/>
    <w:rsid w:val="6C5D623A"/>
    <w:rsid w:val="6C6250C7"/>
    <w:rsid w:val="6C627C1D"/>
    <w:rsid w:val="6C6B4DFB"/>
    <w:rsid w:val="6C704726"/>
    <w:rsid w:val="6C784D7C"/>
    <w:rsid w:val="6C7E1E44"/>
    <w:rsid w:val="6C8639E2"/>
    <w:rsid w:val="6C896D9A"/>
    <w:rsid w:val="6C8B2DA7"/>
    <w:rsid w:val="6C947445"/>
    <w:rsid w:val="6C9500C9"/>
    <w:rsid w:val="6C986FF7"/>
    <w:rsid w:val="6C9A6C74"/>
    <w:rsid w:val="6C9D2ADA"/>
    <w:rsid w:val="6CA1081C"/>
    <w:rsid w:val="6CA60C54"/>
    <w:rsid w:val="6CB322FE"/>
    <w:rsid w:val="6CB41F7C"/>
    <w:rsid w:val="6CB4220A"/>
    <w:rsid w:val="6CB57E24"/>
    <w:rsid w:val="6CBE317C"/>
    <w:rsid w:val="6CC12C6C"/>
    <w:rsid w:val="6CC369E5"/>
    <w:rsid w:val="6CD02B75"/>
    <w:rsid w:val="6CD24E7A"/>
    <w:rsid w:val="6CDB65B5"/>
    <w:rsid w:val="6CE32BE3"/>
    <w:rsid w:val="6CE46CE6"/>
    <w:rsid w:val="6CE63139"/>
    <w:rsid w:val="6CED5810"/>
    <w:rsid w:val="6CFC5A53"/>
    <w:rsid w:val="6D0E5786"/>
    <w:rsid w:val="6D111CC3"/>
    <w:rsid w:val="6D15307C"/>
    <w:rsid w:val="6D1608FC"/>
    <w:rsid w:val="6D1E7A9D"/>
    <w:rsid w:val="6D1F38B5"/>
    <w:rsid w:val="6D2711FF"/>
    <w:rsid w:val="6D2A0812"/>
    <w:rsid w:val="6D2D3681"/>
    <w:rsid w:val="6D3056A3"/>
    <w:rsid w:val="6D3276C6"/>
    <w:rsid w:val="6D3E250F"/>
    <w:rsid w:val="6D3E5CF7"/>
    <w:rsid w:val="6D435297"/>
    <w:rsid w:val="6D4A74FE"/>
    <w:rsid w:val="6D4F1ACC"/>
    <w:rsid w:val="6D525599"/>
    <w:rsid w:val="6D567859"/>
    <w:rsid w:val="6D5835D1"/>
    <w:rsid w:val="6D592A35"/>
    <w:rsid w:val="6D604233"/>
    <w:rsid w:val="6D631F76"/>
    <w:rsid w:val="6D6811E3"/>
    <w:rsid w:val="6D6C1AD9"/>
    <w:rsid w:val="6D7221B9"/>
    <w:rsid w:val="6D7A0157"/>
    <w:rsid w:val="6D8F27FB"/>
    <w:rsid w:val="6D943EDD"/>
    <w:rsid w:val="6D9C0FE4"/>
    <w:rsid w:val="6DA85831"/>
    <w:rsid w:val="6DB30807"/>
    <w:rsid w:val="6DB36A59"/>
    <w:rsid w:val="6DBB3B60"/>
    <w:rsid w:val="6DD54C21"/>
    <w:rsid w:val="6DDB7754"/>
    <w:rsid w:val="6DE035C6"/>
    <w:rsid w:val="6DE74955"/>
    <w:rsid w:val="6DEA0257"/>
    <w:rsid w:val="6DEE7A91"/>
    <w:rsid w:val="6DF350A8"/>
    <w:rsid w:val="6DF6526F"/>
    <w:rsid w:val="6DF8446C"/>
    <w:rsid w:val="6E072901"/>
    <w:rsid w:val="6E0F6CB3"/>
    <w:rsid w:val="6E166FE8"/>
    <w:rsid w:val="6E2024CA"/>
    <w:rsid w:val="6E204AEB"/>
    <w:rsid w:val="6E354644"/>
    <w:rsid w:val="6E382E12"/>
    <w:rsid w:val="6E552738"/>
    <w:rsid w:val="6E55366C"/>
    <w:rsid w:val="6E740ADC"/>
    <w:rsid w:val="6E8403F6"/>
    <w:rsid w:val="6E867CCA"/>
    <w:rsid w:val="6E963C85"/>
    <w:rsid w:val="6E971ED7"/>
    <w:rsid w:val="6E9817AB"/>
    <w:rsid w:val="6E9A25FF"/>
    <w:rsid w:val="6E9F6FDD"/>
    <w:rsid w:val="6EA8685E"/>
    <w:rsid w:val="6EAB3BD4"/>
    <w:rsid w:val="6EB23CAB"/>
    <w:rsid w:val="6EB32A89"/>
    <w:rsid w:val="6EB90BDA"/>
    <w:rsid w:val="6ED15C97"/>
    <w:rsid w:val="6EE5491F"/>
    <w:rsid w:val="6EE87094"/>
    <w:rsid w:val="6EE964AB"/>
    <w:rsid w:val="6EEA37CD"/>
    <w:rsid w:val="6EFA6314"/>
    <w:rsid w:val="6EFC7F8C"/>
    <w:rsid w:val="6EFF182A"/>
    <w:rsid w:val="6F042906"/>
    <w:rsid w:val="6F0E7CBF"/>
    <w:rsid w:val="6F173018"/>
    <w:rsid w:val="6F2754A3"/>
    <w:rsid w:val="6F2B0638"/>
    <w:rsid w:val="6F2D6397"/>
    <w:rsid w:val="6F324855"/>
    <w:rsid w:val="6F343BCA"/>
    <w:rsid w:val="6F4715E0"/>
    <w:rsid w:val="6F4B1FB9"/>
    <w:rsid w:val="6F4D07E7"/>
    <w:rsid w:val="6F4F630E"/>
    <w:rsid w:val="6F50598C"/>
    <w:rsid w:val="6F5222A2"/>
    <w:rsid w:val="6F563B40"/>
    <w:rsid w:val="6F563FB6"/>
    <w:rsid w:val="6F5B73A8"/>
    <w:rsid w:val="6F5D454B"/>
    <w:rsid w:val="6F6130C6"/>
    <w:rsid w:val="6F62408F"/>
    <w:rsid w:val="6F64164E"/>
    <w:rsid w:val="6F64777C"/>
    <w:rsid w:val="6F7579AF"/>
    <w:rsid w:val="6F936B31"/>
    <w:rsid w:val="6F98353C"/>
    <w:rsid w:val="6F997ED1"/>
    <w:rsid w:val="6FA0300D"/>
    <w:rsid w:val="6FA04DBB"/>
    <w:rsid w:val="6FA26D85"/>
    <w:rsid w:val="6FAF14A2"/>
    <w:rsid w:val="6FB203BD"/>
    <w:rsid w:val="6FB97C2B"/>
    <w:rsid w:val="6FBC5660"/>
    <w:rsid w:val="6FC0545D"/>
    <w:rsid w:val="6FC5656F"/>
    <w:rsid w:val="6FCA008A"/>
    <w:rsid w:val="6FE32EFA"/>
    <w:rsid w:val="6FE949B4"/>
    <w:rsid w:val="6FF11ABB"/>
    <w:rsid w:val="6FF46EB5"/>
    <w:rsid w:val="6FF62C2D"/>
    <w:rsid w:val="6FFD220E"/>
    <w:rsid w:val="70052E70"/>
    <w:rsid w:val="70074E3A"/>
    <w:rsid w:val="700D5040"/>
    <w:rsid w:val="701227F0"/>
    <w:rsid w:val="70147557"/>
    <w:rsid w:val="701900CD"/>
    <w:rsid w:val="701D6BD4"/>
    <w:rsid w:val="7027728A"/>
    <w:rsid w:val="702C48A1"/>
    <w:rsid w:val="70366EC6"/>
    <w:rsid w:val="703F45D4"/>
    <w:rsid w:val="70454938"/>
    <w:rsid w:val="704C0A9F"/>
    <w:rsid w:val="704F17B5"/>
    <w:rsid w:val="705309F1"/>
    <w:rsid w:val="705507DD"/>
    <w:rsid w:val="70603795"/>
    <w:rsid w:val="706302B0"/>
    <w:rsid w:val="7064228D"/>
    <w:rsid w:val="70643A4D"/>
    <w:rsid w:val="706933FF"/>
    <w:rsid w:val="706C1141"/>
    <w:rsid w:val="706C7393"/>
    <w:rsid w:val="70702763"/>
    <w:rsid w:val="70716758"/>
    <w:rsid w:val="70727FC2"/>
    <w:rsid w:val="70805630"/>
    <w:rsid w:val="7080699B"/>
    <w:rsid w:val="70825DE6"/>
    <w:rsid w:val="708564FF"/>
    <w:rsid w:val="70872684"/>
    <w:rsid w:val="70981F36"/>
    <w:rsid w:val="70A24249"/>
    <w:rsid w:val="70A4425D"/>
    <w:rsid w:val="70AD3C34"/>
    <w:rsid w:val="70B054D2"/>
    <w:rsid w:val="70B07280"/>
    <w:rsid w:val="70B36D70"/>
    <w:rsid w:val="70B67EF3"/>
    <w:rsid w:val="70C745CA"/>
    <w:rsid w:val="70CE7706"/>
    <w:rsid w:val="70D34D1C"/>
    <w:rsid w:val="70E100D0"/>
    <w:rsid w:val="70E62CA2"/>
    <w:rsid w:val="70E64A50"/>
    <w:rsid w:val="70EF4E36"/>
    <w:rsid w:val="70F25AEA"/>
    <w:rsid w:val="70FB41F2"/>
    <w:rsid w:val="7104645B"/>
    <w:rsid w:val="710A284E"/>
    <w:rsid w:val="71151FF8"/>
    <w:rsid w:val="71153587"/>
    <w:rsid w:val="71155335"/>
    <w:rsid w:val="71175551"/>
    <w:rsid w:val="711B3B09"/>
    <w:rsid w:val="712E63F7"/>
    <w:rsid w:val="713C6D66"/>
    <w:rsid w:val="713D5101"/>
    <w:rsid w:val="7143350E"/>
    <w:rsid w:val="714479C8"/>
    <w:rsid w:val="714B0D57"/>
    <w:rsid w:val="714F7796"/>
    <w:rsid w:val="7150636D"/>
    <w:rsid w:val="7157594D"/>
    <w:rsid w:val="71597917"/>
    <w:rsid w:val="715A2873"/>
    <w:rsid w:val="71615492"/>
    <w:rsid w:val="716419ED"/>
    <w:rsid w:val="716A38D3"/>
    <w:rsid w:val="71723771"/>
    <w:rsid w:val="717E112C"/>
    <w:rsid w:val="71902C0D"/>
    <w:rsid w:val="71922E29"/>
    <w:rsid w:val="71946BA2"/>
    <w:rsid w:val="71A712B9"/>
    <w:rsid w:val="71AB4182"/>
    <w:rsid w:val="71AD06B9"/>
    <w:rsid w:val="71B1268E"/>
    <w:rsid w:val="71C23209"/>
    <w:rsid w:val="71C34D91"/>
    <w:rsid w:val="71C805F9"/>
    <w:rsid w:val="71D60F68"/>
    <w:rsid w:val="71DC5BF5"/>
    <w:rsid w:val="71DF2938"/>
    <w:rsid w:val="72021D5D"/>
    <w:rsid w:val="72165809"/>
    <w:rsid w:val="721825FF"/>
    <w:rsid w:val="721E46BD"/>
    <w:rsid w:val="72255AF0"/>
    <w:rsid w:val="722F0678"/>
    <w:rsid w:val="723D78FB"/>
    <w:rsid w:val="7249173A"/>
    <w:rsid w:val="724C16FF"/>
    <w:rsid w:val="7251239D"/>
    <w:rsid w:val="72534367"/>
    <w:rsid w:val="7259263D"/>
    <w:rsid w:val="72600832"/>
    <w:rsid w:val="72606B25"/>
    <w:rsid w:val="72621826"/>
    <w:rsid w:val="72621D08"/>
    <w:rsid w:val="72671BC0"/>
    <w:rsid w:val="726C53CA"/>
    <w:rsid w:val="72760055"/>
    <w:rsid w:val="72802C82"/>
    <w:rsid w:val="72903084"/>
    <w:rsid w:val="7295497F"/>
    <w:rsid w:val="729A761C"/>
    <w:rsid w:val="729C17BF"/>
    <w:rsid w:val="729C5554"/>
    <w:rsid w:val="72B847C8"/>
    <w:rsid w:val="72C06E2F"/>
    <w:rsid w:val="72C139C6"/>
    <w:rsid w:val="72CE60E3"/>
    <w:rsid w:val="72D51220"/>
    <w:rsid w:val="72D875CA"/>
    <w:rsid w:val="72ED690F"/>
    <w:rsid w:val="72EE5E3E"/>
    <w:rsid w:val="72F153E5"/>
    <w:rsid w:val="72F21DD2"/>
    <w:rsid w:val="72F40B96"/>
    <w:rsid w:val="72F5601B"/>
    <w:rsid w:val="72F92A45"/>
    <w:rsid w:val="730E4732"/>
    <w:rsid w:val="73102258"/>
    <w:rsid w:val="73102551"/>
    <w:rsid w:val="73131D48"/>
    <w:rsid w:val="73142912"/>
    <w:rsid w:val="731C29AB"/>
    <w:rsid w:val="731F249B"/>
    <w:rsid w:val="73267CCD"/>
    <w:rsid w:val="7329156C"/>
    <w:rsid w:val="732B4136"/>
    <w:rsid w:val="73351CBE"/>
    <w:rsid w:val="73373C88"/>
    <w:rsid w:val="733817AF"/>
    <w:rsid w:val="7338355D"/>
    <w:rsid w:val="734819F2"/>
    <w:rsid w:val="734E4B2E"/>
    <w:rsid w:val="73610D05"/>
    <w:rsid w:val="736425A4"/>
    <w:rsid w:val="736667A4"/>
    <w:rsid w:val="736D1458"/>
    <w:rsid w:val="737427E7"/>
    <w:rsid w:val="73797DFD"/>
    <w:rsid w:val="73832A2A"/>
    <w:rsid w:val="7384337B"/>
    <w:rsid w:val="73880040"/>
    <w:rsid w:val="738A200A"/>
    <w:rsid w:val="738D2FA0"/>
    <w:rsid w:val="73927111"/>
    <w:rsid w:val="739369E5"/>
    <w:rsid w:val="73944C37"/>
    <w:rsid w:val="739F3D5B"/>
    <w:rsid w:val="73A04F19"/>
    <w:rsid w:val="73A051F4"/>
    <w:rsid w:val="73A66718"/>
    <w:rsid w:val="73AD3F4B"/>
    <w:rsid w:val="73B61051"/>
    <w:rsid w:val="73C357A9"/>
    <w:rsid w:val="73CA68AB"/>
    <w:rsid w:val="73CA7418"/>
    <w:rsid w:val="73CB43D1"/>
    <w:rsid w:val="73D03C1B"/>
    <w:rsid w:val="73DA3A6B"/>
    <w:rsid w:val="73DA4614"/>
    <w:rsid w:val="73DC27D7"/>
    <w:rsid w:val="73DE4104"/>
    <w:rsid w:val="73E90BC8"/>
    <w:rsid w:val="73EE5E10"/>
    <w:rsid w:val="73F17A55"/>
    <w:rsid w:val="73F9363E"/>
    <w:rsid w:val="74082FD3"/>
    <w:rsid w:val="740A314B"/>
    <w:rsid w:val="740A7D83"/>
    <w:rsid w:val="740D49E9"/>
    <w:rsid w:val="741A083D"/>
    <w:rsid w:val="7421721D"/>
    <w:rsid w:val="742835D1"/>
    <w:rsid w:val="74312A1D"/>
    <w:rsid w:val="743401C8"/>
    <w:rsid w:val="74373B90"/>
    <w:rsid w:val="743B1556"/>
    <w:rsid w:val="743C0E2B"/>
    <w:rsid w:val="74407A64"/>
    <w:rsid w:val="744426B4"/>
    <w:rsid w:val="744469C1"/>
    <w:rsid w:val="744D6746"/>
    <w:rsid w:val="745443C6"/>
    <w:rsid w:val="7459071E"/>
    <w:rsid w:val="745C0078"/>
    <w:rsid w:val="746414A6"/>
    <w:rsid w:val="746565D3"/>
    <w:rsid w:val="74681C20"/>
    <w:rsid w:val="746A3BEA"/>
    <w:rsid w:val="747D391D"/>
    <w:rsid w:val="748038B2"/>
    <w:rsid w:val="74822CE1"/>
    <w:rsid w:val="74827185"/>
    <w:rsid w:val="748D5D33"/>
    <w:rsid w:val="749018A2"/>
    <w:rsid w:val="749E1C6E"/>
    <w:rsid w:val="74A278C7"/>
    <w:rsid w:val="74A54E21"/>
    <w:rsid w:val="74AE3AD6"/>
    <w:rsid w:val="74B254E5"/>
    <w:rsid w:val="74BB2697"/>
    <w:rsid w:val="74C21BE6"/>
    <w:rsid w:val="74CE4179"/>
    <w:rsid w:val="74D3178F"/>
    <w:rsid w:val="74D472B5"/>
    <w:rsid w:val="74D75FDE"/>
    <w:rsid w:val="74D774D1"/>
    <w:rsid w:val="74E23A71"/>
    <w:rsid w:val="74E54B1E"/>
    <w:rsid w:val="74E76FE8"/>
    <w:rsid w:val="74E92D60"/>
    <w:rsid w:val="74FE10BC"/>
    <w:rsid w:val="7500355D"/>
    <w:rsid w:val="75021481"/>
    <w:rsid w:val="75022074"/>
    <w:rsid w:val="75091655"/>
    <w:rsid w:val="750B717B"/>
    <w:rsid w:val="750D4D68"/>
    <w:rsid w:val="751A116C"/>
    <w:rsid w:val="751B4EE4"/>
    <w:rsid w:val="7521074C"/>
    <w:rsid w:val="752815A8"/>
    <w:rsid w:val="752C40FF"/>
    <w:rsid w:val="75306BE1"/>
    <w:rsid w:val="753164B5"/>
    <w:rsid w:val="753C7334"/>
    <w:rsid w:val="75433484"/>
    <w:rsid w:val="75504B8E"/>
    <w:rsid w:val="75524DAA"/>
    <w:rsid w:val="755A1EB0"/>
    <w:rsid w:val="755F1275"/>
    <w:rsid w:val="75614FED"/>
    <w:rsid w:val="75682EC7"/>
    <w:rsid w:val="756845CD"/>
    <w:rsid w:val="756E5C1E"/>
    <w:rsid w:val="756E770A"/>
    <w:rsid w:val="757A60AE"/>
    <w:rsid w:val="75812F99"/>
    <w:rsid w:val="7581743D"/>
    <w:rsid w:val="758275AE"/>
    <w:rsid w:val="75846F2D"/>
    <w:rsid w:val="7591430D"/>
    <w:rsid w:val="7599749A"/>
    <w:rsid w:val="759B1B2A"/>
    <w:rsid w:val="759D3EF5"/>
    <w:rsid w:val="759E1D9D"/>
    <w:rsid w:val="75A8108C"/>
    <w:rsid w:val="75A86778"/>
    <w:rsid w:val="75AB0A14"/>
    <w:rsid w:val="75AD36EC"/>
    <w:rsid w:val="75BF1D13"/>
    <w:rsid w:val="75C0214A"/>
    <w:rsid w:val="75C115D7"/>
    <w:rsid w:val="75C13CDD"/>
    <w:rsid w:val="75C80BC8"/>
    <w:rsid w:val="75CC556C"/>
    <w:rsid w:val="75D237F5"/>
    <w:rsid w:val="75D532E5"/>
    <w:rsid w:val="75D62561"/>
    <w:rsid w:val="75DC28C5"/>
    <w:rsid w:val="75E31EA6"/>
    <w:rsid w:val="75E44737"/>
    <w:rsid w:val="75FB71EF"/>
    <w:rsid w:val="76041807"/>
    <w:rsid w:val="760B6D06"/>
    <w:rsid w:val="7610256F"/>
    <w:rsid w:val="76107730"/>
    <w:rsid w:val="76124239"/>
    <w:rsid w:val="76124539"/>
    <w:rsid w:val="761C5F12"/>
    <w:rsid w:val="7621652A"/>
    <w:rsid w:val="763C15B6"/>
    <w:rsid w:val="76654669"/>
    <w:rsid w:val="766A6123"/>
    <w:rsid w:val="76706C16"/>
    <w:rsid w:val="76876CD5"/>
    <w:rsid w:val="768805CB"/>
    <w:rsid w:val="768F7938"/>
    <w:rsid w:val="76901DB2"/>
    <w:rsid w:val="76987ECA"/>
    <w:rsid w:val="76992564"/>
    <w:rsid w:val="76A21419"/>
    <w:rsid w:val="76A333E3"/>
    <w:rsid w:val="76AE24B4"/>
    <w:rsid w:val="76B31878"/>
    <w:rsid w:val="76B44450"/>
    <w:rsid w:val="76B4739E"/>
    <w:rsid w:val="76B94E2F"/>
    <w:rsid w:val="76BD2A30"/>
    <w:rsid w:val="76C375E1"/>
    <w:rsid w:val="76C82A13"/>
    <w:rsid w:val="76C92180"/>
    <w:rsid w:val="76C92E49"/>
    <w:rsid w:val="76D8308D"/>
    <w:rsid w:val="76E934EC"/>
    <w:rsid w:val="76F20A6E"/>
    <w:rsid w:val="76FB321F"/>
    <w:rsid w:val="77016BB2"/>
    <w:rsid w:val="77035102"/>
    <w:rsid w:val="770E2F52"/>
    <w:rsid w:val="771340C5"/>
    <w:rsid w:val="77147D59"/>
    <w:rsid w:val="77162BA5"/>
    <w:rsid w:val="77170059"/>
    <w:rsid w:val="771A166C"/>
    <w:rsid w:val="771A5453"/>
    <w:rsid w:val="772A140E"/>
    <w:rsid w:val="773A3D47"/>
    <w:rsid w:val="77473CD3"/>
    <w:rsid w:val="77487425"/>
    <w:rsid w:val="774B7774"/>
    <w:rsid w:val="77534E09"/>
    <w:rsid w:val="775841CD"/>
    <w:rsid w:val="775B5A6C"/>
    <w:rsid w:val="7769611D"/>
    <w:rsid w:val="776C561B"/>
    <w:rsid w:val="776C5B76"/>
    <w:rsid w:val="776F42E7"/>
    <w:rsid w:val="777828B1"/>
    <w:rsid w:val="77786069"/>
    <w:rsid w:val="777B4184"/>
    <w:rsid w:val="77903967"/>
    <w:rsid w:val="77935205"/>
    <w:rsid w:val="77976CB5"/>
    <w:rsid w:val="779E6C78"/>
    <w:rsid w:val="77AA4C21"/>
    <w:rsid w:val="77BE11F1"/>
    <w:rsid w:val="77BF1E80"/>
    <w:rsid w:val="77C56E86"/>
    <w:rsid w:val="77D6348D"/>
    <w:rsid w:val="77DB72D8"/>
    <w:rsid w:val="77ED2B68"/>
    <w:rsid w:val="77F90F9F"/>
    <w:rsid w:val="77F9150C"/>
    <w:rsid w:val="77FA7033"/>
    <w:rsid w:val="77FC2DAB"/>
    <w:rsid w:val="78085BF3"/>
    <w:rsid w:val="780D6D66"/>
    <w:rsid w:val="78146346"/>
    <w:rsid w:val="78224B9D"/>
    <w:rsid w:val="78261A79"/>
    <w:rsid w:val="78381E67"/>
    <w:rsid w:val="784527E2"/>
    <w:rsid w:val="78473495"/>
    <w:rsid w:val="78496AB4"/>
    <w:rsid w:val="784E23E8"/>
    <w:rsid w:val="78561E2E"/>
    <w:rsid w:val="785D50C3"/>
    <w:rsid w:val="78622A88"/>
    <w:rsid w:val="78680440"/>
    <w:rsid w:val="786848E4"/>
    <w:rsid w:val="7879264D"/>
    <w:rsid w:val="788A6608"/>
    <w:rsid w:val="788B3CE4"/>
    <w:rsid w:val="78915BE9"/>
    <w:rsid w:val="78B378BC"/>
    <w:rsid w:val="78B673FD"/>
    <w:rsid w:val="78C0027C"/>
    <w:rsid w:val="78C80EDF"/>
    <w:rsid w:val="78CC6C21"/>
    <w:rsid w:val="78D36201"/>
    <w:rsid w:val="78D930EC"/>
    <w:rsid w:val="78E24696"/>
    <w:rsid w:val="78E71CAD"/>
    <w:rsid w:val="78E9172F"/>
    <w:rsid w:val="78E977D3"/>
    <w:rsid w:val="78EC78E8"/>
    <w:rsid w:val="78EF5A8A"/>
    <w:rsid w:val="78F41CD4"/>
    <w:rsid w:val="78FD502C"/>
    <w:rsid w:val="790243F1"/>
    <w:rsid w:val="79053EE1"/>
    <w:rsid w:val="790B2EA9"/>
    <w:rsid w:val="79113C0D"/>
    <w:rsid w:val="79166AA4"/>
    <w:rsid w:val="79183C14"/>
    <w:rsid w:val="79226841"/>
    <w:rsid w:val="79346574"/>
    <w:rsid w:val="79382508"/>
    <w:rsid w:val="793B0222"/>
    <w:rsid w:val="793B144B"/>
    <w:rsid w:val="794E5888"/>
    <w:rsid w:val="7956298E"/>
    <w:rsid w:val="79646E59"/>
    <w:rsid w:val="79653958"/>
    <w:rsid w:val="79691187"/>
    <w:rsid w:val="7974769E"/>
    <w:rsid w:val="797A2A0C"/>
    <w:rsid w:val="797D6FE1"/>
    <w:rsid w:val="7980527B"/>
    <w:rsid w:val="798474FC"/>
    <w:rsid w:val="79892065"/>
    <w:rsid w:val="798B2638"/>
    <w:rsid w:val="798B6ADC"/>
    <w:rsid w:val="798B6FB4"/>
    <w:rsid w:val="79955265"/>
    <w:rsid w:val="7996601B"/>
    <w:rsid w:val="79A25E1B"/>
    <w:rsid w:val="79AA3928"/>
    <w:rsid w:val="79AB6836"/>
    <w:rsid w:val="79B17BC5"/>
    <w:rsid w:val="79B575AB"/>
    <w:rsid w:val="79B7342D"/>
    <w:rsid w:val="79BB2CB0"/>
    <w:rsid w:val="79BC0A44"/>
    <w:rsid w:val="79C1605A"/>
    <w:rsid w:val="79C21DD2"/>
    <w:rsid w:val="79C70EB1"/>
    <w:rsid w:val="79CD3424"/>
    <w:rsid w:val="79CF368F"/>
    <w:rsid w:val="79D12015"/>
    <w:rsid w:val="79D57D57"/>
    <w:rsid w:val="79DD5930"/>
    <w:rsid w:val="79E1716A"/>
    <w:rsid w:val="79E31F2E"/>
    <w:rsid w:val="79EB5E4E"/>
    <w:rsid w:val="79ED6E4F"/>
    <w:rsid w:val="79F04B91"/>
    <w:rsid w:val="79F77CCE"/>
    <w:rsid w:val="79F857F4"/>
    <w:rsid w:val="79FC7092"/>
    <w:rsid w:val="7A036D87"/>
    <w:rsid w:val="7A037A88"/>
    <w:rsid w:val="7A122D59"/>
    <w:rsid w:val="7A146AD1"/>
    <w:rsid w:val="7A204A74"/>
    <w:rsid w:val="7A37631C"/>
    <w:rsid w:val="7A3A405E"/>
    <w:rsid w:val="7A4078C7"/>
    <w:rsid w:val="7A432F13"/>
    <w:rsid w:val="7A4822D7"/>
    <w:rsid w:val="7A4D5B40"/>
    <w:rsid w:val="7A543372"/>
    <w:rsid w:val="7A59103E"/>
    <w:rsid w:val="7A601A8A"/>
    <w:rsid w:val="7A613399"/>
    <w:rsid w:val="7A652E89"/>
    <w:rsid w:val="7A664E53"/>
    <w:rsid w:val="7A6730A5"/>
    <w:rsid w:val="7A7632E8"/>
    <w:rsid w:val="7A777060"/>
    <w:rsid w:val="7A792DD8"/>
    <w:rsid w:val="7A7C6425"/>
    <w:rsid w:val="7A807CC3"/>
    <w:rsid w:val="7A865511"/>
    <w:rsid w:val="7A8D418E"/>
    <w:rsid w:val="7A995229"/>
    <w:rsid w:val="7A9C2623"/>
    <w:rsid w:val="7A9D1251"/>
    <w:rsid w:val="7AA00365"/>
    <w:rsid w:val="7AA17C39"/>
    <w:rsid w:val="7AA80FC8"/>
    <w:rsid w:val="7AC53928"/>
    <w:rsid w:val="7AC5601E"/>
    <w:rsid w:val="7AC70021"/>
    <w:rsid w:val="7AC73B44"/>
    <w:rsid w:val="7AC878BC"/>
    <w:rsid w:val="7AD86D9F"/>
    <w:rsid w:val="7ADD720B"/>
    <w:rsid w:val="7AF00340"/>
    <w:rsid w:val="7AF86833"/>
    <w:rsid w:val="7B02692A"/>
    <w:rsid w:val="7B0F54EB"/>
    <w:rsid w:val="7B170AE6"/>
    <w:rsid w:val="7B19062C"/>
    <w:rsid w:val="7B1E74DC"/>
    <w:rsid w:val="7B203254"/>
    <w:rsid w:val="7B211FD9"/>
    <w:rsid w:val="7B2849CC"/>
    <w:rsid w:val="7B2C7E4B"/>
    <w:rsid w:val="7B306C6D"/>
    <w:rsid w:val="7B30793B"/>
    <w:rsid w:val="7B327A25"/>
    <w:rsid w:val="7B3454C7"/>
    <w:rsid w:val="7B3E01CE"/>
    <w:rsid w:val="7B3F0586"/>
    <w:rsid w:val="7B4B6523"/>
    <w:rsid w:val="7B503B39"/>
    <w:rsid w:val="7B5159FC"/>
    <w:rsid w:val="7B546F7E"/>
    <w:rsid w:val="7B705F89"/>
    <w:rsid w:val="7B711D02"/>
    <w:rsid w:val="7B7B1D2B"/>
    <w:rsid w:val="7B7D2B1A"/>
    <w:rsid w:val="7B7E7AB3"/>
    <w:rsid w:val="7B917CAE"/>
    <w:rsid w:val="7B9524AE"/>
    <w:rsid w:val="7B9652C4"/>
    <w:rsid w:val="7B9B4B89"/>
    <w:rsid w:val="7B9D0BEA"/>
    <w:rsid w:val="7BA0052F"/>
    <w:rsid w:val="7BA9149B"/>
    <w:rsid w:val="7BAF7DB0"/>
    <w:rsid w:val="7BB33FBF"/>
    <w:rsid w:val="7BB726C2"/>
    <w:rsid w:val="7BBB10FB"/>
    <w:rsid w:val="7BBB6450"/>
    <w:rsid w:val="7BC41E31"/>
    <w:rsid w:val="7BC50449"/>
    <w:rsid w:val="7BC77B74"/>
    <w:rsid w:val="7BDF0A19"/>
    <w:rsid w:val="7BEE4D6E"/>
    <w:rsid w:val="7BEE5100"/>
    <w:rsid w:val="7BF24BF0"/>
    <w:rsid w:val="7BF30969"/>
    <w:rsid w:val="7BF50912"/>
    <w:rsid w:val="7BF76D30"/>
    <w:rsid w:val="7BF81ADB"/>
    <w:rsid w:val="7BFC0690"/>
    <w:rsid w:val="7C06116F"/>
    <w:rsid w:val="7C0B3F04"/>
    <w:rsid w:val="7C275DD2"/>
    <w:rsid w:val="7C286864"/>
    <w:rsid w:val="7C2A4643"/>
    <w:rsid w:val="7C2E374F"/>
    <w:rsid w:val="7C30396B"/>
    <w:rsid w:val="7C306240"/>
    <w:rsid w:val="7C306534"/>
    <w:rsid w:val="7C314985"/>
    <w:rsid w:val="7C345209"/>
    <w:rsid w:val="7C3670D8"/>
    <w:rsid w:val="7C3E7E36"/>
    <w:rsid w:val="7C3F770A"/>
    <w:rsid w:val="7C4168DC"/>
    <w:rsid w:val="7C4411C4"/>
    <w:rsid w:val="7C4E5B9F"/>
    <w:rsid w:val="7C5308F9"/>
    <w:rsid w:val="7C5613CF"/>
    <w:rsid w:val="7C5A2796"/>
    <w:rsid w:val="7C6020EE"/>
    <w:rsid w:val="7C662EE9"/>
    <w:rsid w:val="7C695805"/>
    <w:rsid w:val="7C701FB9"/>
    <w:rsid w:val="7C9061B7"/>
    <w:rsid w:val="7CA44FD9"/>
    <w:rsid w:val="7CA9476E"/>
    <w:rsid w:val="7CB62A82"/>
    <w:rsid w:val="7CB9333B"/>
    <w:rsid w:val="7CBC0D5A"/>
    <w:rsid w:val="7CBE0F77"/>
    <w:rsid w:val="7CC77E2B"/>
    <w:rsid w:val="7CD82038"/>
    <w:rsid w:val="7CDD7BE2"/>
    <w:rsid w:val="7CE33047"/>
    <w:rsid w:val="7CF229CE"/>
    <w:rsid w:val="7CFE75C5"/>
    <w:rsid w:val="7D036989"/>
    <w:rsid w:val="7D050953"/>
    <w:rsid w:val="7D0874E2"/>
    <w:rsid w:val="7D0A7D18"/>
    <w:rsid w:val="7D1172F8"/>
    <w:rsid w:val="7D1A3AA4"/>
    <w:rsid w:val="7D252DA4"/>
    <w:rsid w:val="7D256900"/>
    <w:rsid w:val="7D374579"/>
    <w:rsid w:val="7D387999"/>
    <w:rsid w:val="7D3B75E0"/>
    <w:rsid w:val="7D423956"/>
    <w:rsid w:val="7D4303A3"/>
    <w:rsid w:val="7D492DAE"/>
    <w:rsid w:val="7D55537E"/>
    <w:rsid w:val="7D5B4A17"/>
    <w:rsid w:val="7D733B0F"/>
    <w:rsid w:val="7D7D498E"/>
    <w:rsid w:val="7D8B5CE3"/>
    <w:rsid w:val="7D913F95"/>
    <w:rsid w:val="7D9A5540"/>
    <w:rsid w:val="7DA63EE4"/>
    <w:rsid w:val="7DB12889"/>
    <w:rsid w:val="7DB2368B"/>
    <w:rsid w:val="7DBD3124"/>
    <w:rsid w:val="7DC9372F"/>
    <w:rsid w:val="7DCC76C3"/>
    <w:rsid w:val="7DD02D0F"/>
    <w:rsid w:val="7DD255A1"/>
    <w:rsid w:val="7DE66FEC"/>
    <w:rsid w:val="7DF503CD"/>
    <w:rsid w:val="7DFD162B"/>
    <w:rsid w:val="7E002EC9"/>
    <w:rsid w:val="7E0B1F99"/>
    <w:rsid w:val="7E152E18"/>
    <w:rsid w:val="7E1846B6"/>
    <w:rsid w:val="7E1D1694"/>
    <w:rsid w:val="7E260B81"/>
    <w:rsid w:val="7E290672"/>
    <w:rsid w:val="7E292420"/>
    <w:rsid w:val="7E2B4ACB"/>
    <w:rsid w:val="7E2E3EDA"/>
    <w:rsid w:val="7E3379ED"/>
    <w:rsid w:val="7E49363D"/>
    <w:rsid w:val="7E4B05E8"/>
    <w:rsid w:val="7E4E00D8"/>
    <w:rsid w:val="7E576F8D"/>
    <w:rsid w:val="7E5A4CCF"/>
    <w:rsid w:val="7E6104C2"/>
    <w:rsid w:val="7E6D4A02"/>
    <w:rsid w:val="7E7B692C"/>
    <w:rsid w:val="7E886E3D"/>
    <w:rsid w:val="7E8D6703"/>
    <w:rsid w:val="7E9E4AB9"/>
    <w:rsid w:val="7EA001ED"/>
    <w:rsid w:val="7EA36676"/>
    <w:rsid w:val="7EA45680"/>
    <w:rsid w:val="7EB443DF"/>
    <w:rsid w:val="7EB50D93"/>
    <w:rsid w:val="7EB5123F"/>
    <w:rsid w:val="7ED0741F"/>
    <w:rsid w:val="7ED96E5D"/>
    <w:rsid w:val="7EDA1FB1"/>
    <w:rsid w:val="7EDC7492"/>
    <w:rsid w:val="7EE527EB"/>
    <w:rsid w:val="7EF43484"/>
    <w:rsid w:val="7EF667A6"/>
    <w:rsid w:val="7F006358"/>
    <w:rsid w:val="7F070B46"/>
    <w:rsid w:val="7F0772EF"/>
    <w:rsid w:val="7F0B46C3"/>
    <w:rsid w:val="7F0C291C"/>
    <w:rsid w:val="7F166A0D"/>
    <w:rsid w:val="7F1B5C00"/>
    <w:rsid w:val="7F222895"/>
    <w:rsid w:val="7F2257ED"/>
    <w:rsid w:val="7F2C21C7"/>
    <w:rsid w:val="7F3411DD"/>
    <w:rsid w:val="7F453223"/>
    <w:rsid w:val="7F4712BC"/>
    <w:rsid w:val="7F5311F6"/>
    <w:rsid w:val="7F581813"/>
    <w:rsid w:val="7F594F87"/>
    <w:rsid w:val="7F5E259D"/>
    <w:rsid w:val="7F6A272C"/>
    <w:rsid w:val="7F710F96"/>
    <w:rsid w:val="7F744861"/>
    <w:rsid w:val="7F7D6EC7"/>
    <w:rsid w:val="7F855D7C"/>
    <w:rsid w:val="7F9C3A4F"/>
    <w:rsid w:val="7F9C7CF1"/>
    <w:rsid w:val="7F9E6889"/>
    <w:rsid w:val="7FAF0D43"/>
    <w:rsid w:val="7FB37720"/>
    <w:rsid w:val="7FB56661"/>
    <w:rsid w:val="7FBA0E5B"/>
    <w:rsid w:val="7FBD5985"/>
    <w:rsid w:val="7FC0018F"/>
    <w:rsid w:val="7FD25B0D"/>
    <w:rsid w:val="7FD5285F"/>
    <w:rsid w:val="7FD76DB4"/>
    <w:rsid w:val="7FD921AA"/>
    <w:rsid w:val="7FDB3BED"/>
    <w:rsid w:val="7FDD3D43"/>
    <w:rsid w:val="7FDF68AC"/>
    <w:rsid w:val="7FDF723A"/>
    <w:rsid w:val="7FE505C8"/>
    <w:rsid w:val="7FEE3921"/>
    <w:rsid w:val="7FF60A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1"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spacing w:beforeAutospacing="1" w:afterAutospacing="1"/>
      <w:jc w:val="left"/>
      <w:outlineLvl w:val="0"/>
    </w:pPr>
    <w:rPr>
      <w:rFonts w:hint="eastAsia" w:ascii="宋体" w:hAnsi="宋体"/>
      <w:b/>
      <w:bCs/>
      <w:kern w:val="44"/>
      <w:sz w:val="48"/>
      <w:szCs w:val="48"/>
    </w:rPr>
  </w:style>
  <w:style w:type="paragraph" w:styleId="3">
    <w:name w:val="heading 2"/>
    <w:basedOn w:val="1"/>
    <w:next w:val="1"/>
    <w:qFormat/>
    <w:uiPriority w:val="0"/>
    <w:pPr>
      <w:keepNext/>
      <w:keepLines/>
      <w:spacing w:before="120" w:after="120"/>
      <w:outlineLvl w:val="1"/>
    </w:pPr>
    <w:rPr>
      <w:rFonts w:hAnsi="Arial" w:eastAsia="黑体"/>
      <w:b/>
      <w:kern w:val="44"/>
      <w:sz w:val="28"/>
    </w:rPr>
  </w:style>
  <w:style w:type="paragraph" w:styleId="4">
    <w:name w:val="heading 3"/>
    <w:basedOn w:val="1"/>
    <w:next w:val="1"/>
    <w:qFormat/>
    <w:uiPriority w:val="1"/>
    <w:pPr>
      <w:ind w:left="1132"/>
      <w:outlineLvl w:val="2"/>
    </w:pPr>
    <w:rPr>
      <w:rFonts w:ascii="宋体" w:hAnsi="宋体" w:cs="宋体"/>
      <w:b/>
      <w:bCs/>
      <w:sz w:val="24"/>
      <w:lang w:val="zh-CN" w:bidi="zh-CN"/>
    </w:rPr>
  </w:style>
  <w:style w:type="paragraph" w:styleId="5">
    <w:name w:val="heading 4"/>
    <w:basedOn w:val="1"/>
    <w:next w:val="1"/>
    <w:qFormat/>
    <w:uiPriority w:val="9"/>
    <w:pPr>
      <w:keepNext/>
      <w:keepLines/>
      <w:adjustRightInd w:val="0"/>
      <w:snapToGrid w:val="0"/>
      <w:spacing w:line="360" w:lineRule="auto"/>
      <w:outlineLvl w:val="3"/>
    </w:pPr>
    <w:rPr>
      <w:rFonts w:eastAsia="黑体"/>
      <w:bCs/>
      <w:sz w:val="24"/>
      <w:szCs w:val="28"/>
    </w:rPr>
  </w:style>
  <w:style w:type="character" w:default="1" w:styleId="40">
    <w:name w:val="Default Paragraph Font"/>
    <w:semiHidden/>
    <w:unhideWhenUsed/>
    <w:qFormat/>
    <w:uiPriority w:val="1"/>
  </w:style>
  <w:style w:type="table" w:default="1" w:styleId="38">
    <w:name w:val="Normal Table"/>
    <w:semiHidden/>
    <w:unhideWhenUsed/>
    <w:qFormat/>
    <w:uiPriority w:val="99"/>
    <w:tblPr>
      <w:tblCellMar>
        <w:top w:w="0" w:type="dxa"/>
        <w:left w:w="108" w:type="dxa"/>
        <w:bottom w:w="0" w:type="dxa"/>
        <w:right w:w="108" w:type="dxa"/>
      </w:tblCellMar>
    </w:tblPr>
  </w:style>
  <w:style w:type="paragraph" w:styleId="6">
    <w:name w:val="Normal Indent"/>
    <w:basedOn w:val="1"/>
    <w:next w:val="1"/>
    <w:qFormat/>
    <w:uiPriority w:val="0"/>
    <w:pPr>
      <w:adjustRightInd w:val="0"/>
      <w:spacing w:line="312" w:lineRule="atLeast"/>
      <w:ind w:firstLine="420"/>
      <w:textAlignment w:val="baseline"/>
    </w:pPr>
    <w:rPr>
      <w:rFonts w:hAnsi="Courier New"/>
      <w:kern w:val="0"/>
      <w:szCs w:val="20"/>
    </w:rPr>
  </w:style>
  <w:style w:type="paragraph" w:styleId="7">
    <w:name w:val="caption"/>
    <w:basedOn w:val="1"/>
    <w:next w:val="1"/>
    <w:unhideWhenUsed/>
    <w:qFormat/>
    <w:uiPriority w:val="0"/>
    <w:pPr>
      <w:widowControl/>
      <w:snapToGrid w:val="0"/>
      <w:spacing w:before="50" w:beforeLines="50" w:line="360" w:lineRule="auto"/>
      <w:jc w:val="center"/>
    </w:pPr>
    <w:rPr>
      <w:rFonts w:hint="eastAsia" w:ascii="黑体" w:hAnsi="宋体" w:eastAsia="黑体"/>
    </w:rPr>
  </w:style>
  <w:style w:type="paragraph" w:styleId="8">
    <w:name w:val="Document Map"/>
    <w:basedOn w:val="1"/>
    <w:next w:val="1"/>
    <w:qFormat/>
    <w:uiPriority w:val="0"/>
    <w:rPr>
      <w:rFonts w:ascii="宋体"/>
      <w:sz w:val="18"/>
      <w:szCs w:val="18"/>
    </w:rPr>
  </w:style>
  <w:style w:type="paragraph" w:styleId="9">
    <w:name w:val="annotation text"/>
    <w:basedOn w:val="1"/>
    <w:link w:val="131"/>
    <w:semiHidden/>
    <w:qFormat/>
    <w:uiPriority w:val="0"/>
    <w:pPr>
      <w:jc w:val="left"/>
    </w:pPr>
    <w:rPr>
      <w:kern w:val="0"/>
      <w:sz w:val="20"/>
    </w:rPr>
  </w:style>
  <w:style w:type="paragraph" w:styleId="10">
    <w:name w:val="Body Text"/>
    <w:basedOn w:val="1"/>
    <w:next w:val="11"/>
    <w:qFormat/>
    <w:uiPriority w:val="0"/>
  </w:style>
  <w:style w:type="paragraph" w:customStyle="1" w:styleId="11">
    <w:name w:val="Default"/>
    <w:basedOn w:val="12"/>
    <w:qFormat/>
    <w:uiPriority w:val="0"/>
    <w:pPr>
      <w:widowControl w:val="0"/>
      <w:autoSpaceDE w:val="0"/>
      <w:autoSpaceDN w:val="0"/>
      <w:adjustRightInd w:val="0"/>
    </w:pPr>
    <w:rPr>
      <w:rFonts w:ascii="宋体" w:eastAsia="宋体" w:cs="宋体"/>
      <w:color w:val="000000"/>
      <w:sz w:val="24"/>
    </w:rPr>
  </w:style>
  <w:style w:type="paragraph" w:customStyle="1" w:styleId="12">
    <w:name w:val="纯文本1"/>
    <w:basedOn w:val="1"/>
    <w:qFormat/>
    <w:uiPriority w:val="0"/>
    <w:rPr>
      <w:rFonts w:ascii="宋体" w:hAnsi="Courier New"/>
    </w:rPr>
  </w:style>
  <w:style w:type="paragraph" w:styleId="13">
    <w:name w:val="Body Text Indent"/>
    <w:basedOn w:val="1"/>
    <w:next w:val="1"/>
    <w:semiHidden/>
    <w:qFormat/>
    <w:uiPriority w:val="0"/>
    <w:pPr>
      <w:spacing w:after="120"/>
      <w:ind w:left="420" w:leftChars="200"/>
    </w:pPr>
  </w:style>
  <w:style w:type="paragraph" w:styleId="14">
    <w:name w:val="List Bullet 2"/>
    <w:basedOn w:val="1"/>
    <w:next w:val="15"/>
    <w:qFormat/>
    <w:uiPriority w:val="0"/>
    <w:pPr>
      <w:numPr>
        <w:ilvl w:val="0"/>
        <w:numId w:val="1"/>
      </w:numPr>
    </w:pPr>
  </w:style>
  <w:style w:type="paragraph" w:customStyle="1" w:styleId="15">
    <w:name w:val="xl70"/>
    <w:basedOn w:val="1"/>
    <w:next w:val="16"/>
    <w:qFormat/>
    <w:uiPriority w:val="0"/>
    <w:pPr>
      <w:widowControl/>
      <w:spacing w:before="280" w:after="280"/>
    </w:pPr>
    <w:rPr>
      <w:rFonts w:ascii="宋体"/>
    </w:rPr>
  </w:style>
  <w:style w:type="paragraph" w:customStyle="1" w:styleId="16">
    <w:name w:val="正文缩进1"/>
    <w:basedOn w:val="1"/>
    <w:next w:val="17"/>
    <w:qFormat/>
    <w:uiPriority w:val="0"/>
    <w:pPr>
      <w:ind w:firstLine="420"/>
    </w:pPr>
    <w:rPr>
      <w:szCs w:val="20"/>
    </w:rPr>
  </w:style>
  <w:style w:type="paragraph" w:customStyle="1" w:styleId="17">
    <w:name w:val="td1"/>
    <w:basedOn w:val="1"/>
    <w:next w:val="1"/>
    <w:qFormat/>
    <w:uiPriority w:val="0"/>
    <w:pPr>
      <w:widowControl/>
      <w:spacing w:before="280" w:after="280" w:line="300" w:lineRule="atLeast"/>
      <w:ind w:firstLine="200"/>
    </w:pPr>
    <w:rPr>
      <w:color w:val="000000"/>
      <w:sz w:val="18"/>
    </w:rPr>
  </w:style>
  <w:style w:type="paragraph" w:styleId="18">
    <w:name w:val="Plain Text"/>
    <w:basedOn w:val="1"/>
    <w:qFormat/>
    <w:uiPriority w:val="0"/>
    <w:rPr>
      <w:rFonts w:hAnsi="Courier New"/>
    </w:rPr>
  </w:style>
  <w:style w:type="paragraph" w:styleId="19">
    <w:name w:val="List Bullet 5"/>
    <w:basedOn w:val="1"/>
    <w:qFormat/>
    <w:uiPriority w:val="0"/>
    <w:pPr>
      <w:numPr>
        <w:ilvl w:val="0"/>
        <w:numId w:val="2"/>
      </w:numPr>
    </w:pPr>
  </w:style>
  <w:style w:type="paragraph" w:styleId="20">
    <w:name w:val="Body Text Indent 2"/>
    <w:basedOn w:val="1"/>
    <w:next w:val="21"/>
    <w:qFormat/>
    <w:uiPriority w:val="0"/>
    <w:pPr>
      <w:tabs>
        <w:tab w:val="left" w:pos="0"/>
      </w:tabs>
      <w:ind w:firstLine="473" w:firstLineChars="197"/>
      <w:jc w:val="left"/>
    </w:pPr>
    <w:rPr>
      <w:sz w:val="24"/>
    </w:rPr>
  </w:style>
  <w:style w:type="paragraph" w:customStyle="1" w:styleId="21">
    <w:name w:val="reader-word-layer reader-word-s46-2"/>
    <w:basedOn w:val="1"/>
    <w:next w:val="22"/>
    <w:qFormat/>
    <w:uiPriority w:val="0"/>
    <w:pPr>
      <w:widowControl/>
      <w:spacing w:before="280" w:after="280" w:line="240" w:lineRule="auto"/>
      <w:jc w:val="both"/>
    </w:pPr>
    <w:rPr>
      <w:rFonts w:ascii="宋体"/>
      <w:sz w:val="24"/>
    </w:rPr>
  </w:style>
  <w:style w:type="paragraph" w:customStyle="1" w:styleId="22">
    <w:name w:val="xl35"/>
    <w:basedOn w:val="1"/>
    <w:next w:val="1"/>
    <w:qFormat/>
    <w:uiPriority w:val="0"/>
    <w:pPr>
      <w:widowControl/>
      <w:shd w:val="clear" w:color="FFFFFF" w:fill="FFFFFF"/>
      <w:spacing w:before="280" w:after="280" w:line="240" w:lineRule="auto"/>
      <w:jc w:val="both"/>
    </w:pPr>
    <w:rPr>
      <w:rFonts w:ascii="Arial Unicode MS" w:eastAsia="Arial Unicode MS"/>
      <w:sz w:val="24"/>
    </w:rPr>
  </w:style>
  <w:style w:type="paragraph" w:styleId="23">
    <w:name w:val="endnote text"/>
    <w:basedOn w:val="1"/>
    <w:qFormat/>
    <w:uiPriority w:val="0"/>
    <w:pPr>
      <w:autoSpaceDE w:val="0"/>
      <w:autoSpaceDN w:val="0"/>
      <w:snapToGrid w:val="0"/>
      <w:jc w:val="left"/>
    </w:pPr>
    <w:rPr>
      <w:rFonts w:ascii="Noto Sans CJK JP Regular" w:hAnsi="Noto Sans CJK JP Regular" w:eastAsia="Noto Sans CJK JP Regular" w:cs="Noto Sans CJK JP Regular"/>
      <w:kern w:val="0"/>
      <w:sz w:val="22"/>
      <w:szCs w:val="22"/>
      <w:lang w:eastAsia="en-US"/>
    </w:rPr>
  </w:style>
  <w:style w:type="paragraph" w:styleId="24">
    <w:name w:val="Balloon Text"/>
    <w:basedOn w:val="1"/>
    <w:link w:val="133"/>
    <w:qFormat/>
    <w:uiPriority w:val="0"/>
    <w:rPr>
      <w:sz w:val="18"/>
      <w:szCs w:val="18"/>
    </w:rPr>
  </w:style>
  <w:style w:type="paragraph" w:styleId="25">
    <w:name w:val="footer"/>
    <w:basedOn w:val="1"/>
    <w:qFormat/>
    <w:uiPriority w:val="0"/>
    <w:pPr>
      <w:tabs>
        <w:tab w:val="center" w:pos="4153"/>
        <w:tab w:val="right" w:pos="8306"/>
      </w:tabs>
      <w:snapToGrid w:val="0"/>
      <w:jc w:val="left"/>
    </w:pPr>
    <w:rPr>
      <w:sz w:val="18"/>
      <w:szCs w:val="18"/>
    </w:rPr>
  </w:style>
  <w:style w:type="paragraph" w:styleId="26">
    <w:name w:val="header"/>
    <w:basedOn w:val="1"/>
    <w:next w:val="27"/>
    <w:qFormat/>
    <w:uiPriority w:val="0"/>
    <w:pPr>
      <w:pBdr>
        <w:bottom w:val="single" w:color="auto" w:sz="6" w:space="1"/>
      </w:pBdr>
      <w:tabs>
        <w:tab w:val="center" w:pos="4153"/>
        <w:tab w:val="right" w:pos="8306"/>
      </w:tabs>
      <w:snapToGrid w:val="0"/>
      <w:jc w:val="center"/>
    </w:pPr>
    <w:rPr>
      <w:sz w:val="18"/>
      <w:szCs w:val="18"/>
    </w:rPr>
  </w:style>
  <w:style w:type="paragraph" w:customStyle="1" w:styleId="27">
    <w:name w:val="样式5"/>
    <w:basedOn w:val="28"/>
    <w:next w:val="1"/>
    <w:qFormat/>
    <w:uiPriority w:val="0"/>
    <w:pPr>
      <w:widowControl/>
      <w:tabs>
        <w:tab w:val="center" w:pos="4153"/>
        <w:tab w:val="right" w:pos="8306"/>
      </w:tabs>
      <w:spacing w:line="355" w:lineRule="auto"/>
      <w:ind w:firstLine="360" w:firstLineChars="200"/>
    </w:pPr>
    <w:rPr>
      <w:rFonts w:ascii="楷体_GB2312" w:hAnsi="宋体" w:eastAsia="楷体_GB2312"/>
    </w:rPr>
  </w:style>
  <w:style w:type="paragraph" w:customStyle="1" w:styleId="28">
    <w:name w:val="正文1"/>
    <w:basedOn w:val="8"/>
    <w:next w:val="1"/>
    <w:qFormat/>
    <w:uiPriority w:val="0"/>
    <w:pPr>
      <w:adjustRightInd w:val="0"/>
      <w:snapToGrid w:val="0"/>
      <w:spacing w:line="500" w:lineRule="atLeast"/>
      <w:ind w:firstLine="567"/>
    </w:pPr>
    <w:rPr>
      <w:sz w:val="28"/>
    </w:rPr>
  </w:style>
  <w:style w:type="paragraph" w:styleId="29">
    <w:name w:val="index heading"/>
    <w:basedOn w:val="1"/>
    <w:next w:val="30"/>
    <w:qFormat/>
    <w:uiPriority w:val="0"/>
    <w:rPr>
      <w:rFonts w:ascii="Arial" w:hAnsi="Arial" w:cs="Arial"/>
      <w:b/>
      <w:bCs/>
    </w:rPr>
  </w:style>
  <w:style w:type="paragraph" w:styleId="30">
    <w:name w:val="index 1"/>
    <w:basedOn w:val="1"/>
    <w:next w:val="1"/>
    <w:semiHidden/>
    <w:qFormat/>
    <w:uiPriority w:val="0"/>
    <w:pPr>
      <w:spacing w:line="300" w:lineRule="exact"/>
    </w:pPr>
    <w:rPr>
      <w:rFonts w:ascii="宋体" w:hAnsi="宋体"/>
      <w:spacing w:val="10"/>
    </w:rPr>
  </w:style>
  <w:style w:type="paragraph" w:styleId="31">
    <w:name w:val="List"/>
    <w:basedOn w:val="1"/>
    <w:next w:val="14"/>
    <w:qFormat/>
    <w:uiPriority w:val="0"/>
    <w:pPr>
      <w:adjustRightInd w:val="0"/>
      <w:spacing w:line="560" w:lineRule="atLeast"/>
      <w:ind w:left="420" w:hanging="420"/>
    </w:pPr>
    <w:rPr>
      <w:rFonts w:hint="eastAsia" w:ascii="仿宋_GB2312" w:eastAsia="仿宋_GB2312"/>
      <w:color w:val="000000"/>
      <w:kern w:val="0"/>
      <w:sz w:val="32"/>
      <w:szCs w:val="20"/>
    </w:rPr>
  </w:style>
  <w:style w:type="paragraph" w:styleId="32">
    <w:name w:val="footnote text"/>
    <w:basedOn w:val="1"/>
    <w:qFormat/>
    <w:uiPriority w:val="0"/>
    <w:pPr>
      <w:snapToGrid w:val="0"/>
      <w:jc w:val="left"/>
    </w:pPr>
    <w:rPr>
      <w:sz w:val="18"/>
      <w:szCs w:val="18"/>
    </w:rPr>
  </w:style>
  <w:style w:type="paragraph" w:styleId="33">
    <w:name w:val="Normal (Web)"/>
    <w:basedOn w:val="1"/>
    <w:qFormat/>
    <w:uiPriority w:val="0"/>
    <w:pPr>
      <w:widowControl/>
      <w:spacing w:before="100" w:beforeAutospacing="1" w:after="100" w:afterAutospacing="1"/>
      <w:jc w:val="left"/>
    </w:pPr>
    <w:rPr>
      <w:rFonts w:ascii="宋体" w:hAnsi="宋体"/>
      <w:kern w:val="0"/>
      <w:sz w:val="24"/>
    </w:rPr>
  </w:style>
  <w:style w:type="paragraph" w:styleId="34">
    <w:name w:val="Title"/>
    <w:basedOn w:val="1"/>
    <w:next w:val="1"/>
    <w:qFormat/>
    <w:uiPriority w:val="0"/>
    <w:pPr>
      <w:spacing w:line="360" w:lineRule="auto"/>
      <w:jc w:val="center"/>
      <w:outlineLvl w:val="0"/>
    </w:pPr>
    <w:rPr>
      <w:rFonts w:hAnsi="Arial" w:cs="Arial"/>
      <w:b/>
      <w:bCs/>
      <w:sz w:val="32"/>
      <w:szCs w:val="18"/>
    </w:rPr>
  </w:style>
  <w:style w:type="paragraph" w:styleId="35">
    <w:name w:val="annotation subject"/>
    <w:basedOn w:val="9"/>
    <w:next w:val="9"/>
    <w:link w:val="132"/>
    <w:qFormat/>
    <w:uiPriority w:val="0"/>
    <w:rPr>
      <w:b/>
      <w:bCs/>
      <w:kern w:val="2"/>
      <w:sz w:val="21"/>
    </w:rPr>
  </w:style>
  <w:style w:type="paragraph" w:styleId="36">
    <w:name w:val="Body Text First Indent"/>
    <w:basedOn w:val="10"/>
    <w:next w:val="1"/>
    <w:qFormat/>
    <w:uiPriority w:val="0"/>
    <w:pPr>
      <w:adjustRightInd w:val="0"/>
      <w:snapToGrid w:val="0"/>
      <w:spacing w:line="360" w:lineRule="auto"/>
      <w:ind w:firstLine="420" w:firstLineChars="100"/>
    </w:pPr>
    <w:rPr>
      <w:snapToGrid w:val="0"/>
      <w:kern w:val="0"/>
      <w:sz w:val="24"/>
      <w:szCs w:val="18"/>
    </w:rPr>
  </w:style>
  <w:style w:type="paragraph" w:styleId="37">
    <w:name w:val="Body Text First Indent 2"/>
    <w:basedOn w:val="13"/>
    <w:next w:val="1"/>
    <w:unhideWhenUsed/>
    <w:qFormat/>
    <w:uiPriority w:val="99"/>
    <w:pPr>
      <w:ind w:firstLine="420" w:firstLineChars="200"/>
    </w:pPr>
  </w:style>
  <w:style w:type="table" w:styleId="39">
    <w:name w:val="Table Grid"/>
    <w:basedOn w:val="3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1">
    <w:name w:val="Strong"/>
    <w:basedOn w:val="40"/>
    <w:qFormat/>
    <w:uiPriority w:val="0"/>
    <w:rPr>
      <w:b/>
    </w:rPr>
  </w:style>
  <w:style w:type="character" w:styleId="42">
    <w:name w:val="page number"/>
    <w:basedOn w:val="40"/>
    <w:qFormat/>
    <w:uiPriority w:val="0"/>
  </w:style>
  <w:style w:type="character" w:styleId="43">
    <w:name w:val="FollowedHyperlink"/>
    <w:basedOn w:val="40"/>
    <w:qFormat/>
    <w:uiPriority w:val="0"/>
    <w:rPr>
      <w:color w:val="800080"/>
      <w:u w:val="none"/>
    </w:rPr>
  </w:style>
  <w:style w:type="character" w:styleId="44">
    <w:name w:val="Emphasis"/>
    <w:basedOn w:val="40"/>
    <w:qFormat/>
    <w:uiPriority w:val="0"/>
  </w:style>
  <w:style w:type="character" w:styleId="45">
    <w:name w:val="Hyperlink"/>
    <w:basedOn w:val="40"/>
    <w:qFormat/>
    <w:uiPriority w:val="0"/>
    <w:rPr>
      <w:color w:val="0000FF"/>
      <w:u w:val="none"/>
    </w:rPr>
  </w:style>
  <w:style w:type="character" w:styleId="46">
    <w:name w:val="annotation reference"/>
    <w:qFormat/>
    <w:uiPriority w:val="0"/>
    <w:rPr>
      <w:sz w:val="21"/>
    </w:rPr>
  </w:style>
  <w:style w:type="paragraph" w:customStyle="1" w:styleId="47">
    <w:name w:val="样式 正文文本缩进 + 行距: 1.5 倍行距"/>
    <w:basedOn w:val="48"/>
    <w:next w:val="1"/>
    <w:qFormat/>
    <w:uiPriority w:val="0"/>
    <w:pPr>
      <w:spacing w:after="120" w:line="360" w:lineRule="auto"/>
      <w:ind w:left="90" w:leftChars="32" w:firstLine="560" w:firstLineChars="200"/>
    </w:pPr>
    <w:rPr>
      <w:rFonts w:cs="宋体"/>
    </w:rPr>
  </w:style>
  <w:style w:type="paragraph" w:customStyle="1" w:styleId="48">
    <w:name w:val="Body Text Indent"/>
    <w:basedOn w:val="1"/>
    <w:next w:val="47"/>
    <w:qFormat/>
    <w:uiPriority w:val="0"/>
    <w:pPr>
      <w:spacing w:after="120" w:afterLines="0"/>
      <w:ind w:left="420" w:leftChars="200"/>
    </w:pPr>
    <w:rPr>
      <w:rFonts w:ascii="Times New Roman" w:hAnsi="Times New Roman" w:eastAsia="宋体"/>
      <w:sz w:val="24"/>
    </w:rPr>
  </w:style>
  <w:style w:type="paragraph" w:customStyle="1" w:styleId="49">
    <w:name w:val=" Char Char Char Char Char Char1 Char Char Char Char Char Char Char"/>
    <w:basedOn w:val="1"/>
    <w:next w:val="50"/>
    <w:qFormat/>
    <w:uiPriority w:val="0"/>
    <w:pPr>
      <w:ind w:firstLine="5632"/>
    </w:pPr>
    <w:rPr>
      <w:kern w:val="0"/>
      <w:szCs w:val="21"/>
    </w:rPr>
  </w:style>
  <w:style w:type="paragraph" w:customStyle="1" w:styleId="50">
    <w:name w:val="默认段落字体 Para Char Char Char Char Char Char Char"/>
    <w:basedOn w:val="1"/>
    <w:next w:val="51"/>
    <w:qFormat/>
    <w:uiPriority w:val="0"/>
  </w:style>
  <w:style w:type="paragraph" w:customStyle="1" w:styleId="51">
    <w:name w:val="我的正文"/>
    <w:basedOn w:val="1"/>
    <w:next w:val="52"/>
    <w:qFormat/>
    <w:uiPriority w:val="0"/>
    <w:pPr>
      <w:spacing w:line="360" w:lineRule="auto"/>
      <w:ind w:firstLine="480" w:firstLineChars="200"/>
    </w:pPr>
    <w:rPr>
      <w:kern w:val="0"/>
      <w:sz w:val="24"/>
    </w:rPr>
  </w:style>
  <w:style w:type="paragraph" w:customStyle="1" w:styleId="52">
    <w:name w:val="表提11111"/>
    <w:basedOn w:val="36"/>
    <w:next w:val="53"/>
    <w:qFormat/>
    <w:uiPriority w:val="0"/>
    <w:pPr>
      <w:autoSpaceDE w:val="0"/>
      <w:autoSpaceDN w:val="0"/>
      <w:snapToGrid w:val="0"/>
      <w:spacing w:before="60" w:after="160" w:line="360" w:lineRule="auto"/>
      <w:ind w:left="510" w:right="113" w:firstLine="5886"/>
    </w:pPr>
    <w:rPr>
      <w:rFonts w:ascii="Calibri" w:hAnsi="Calibri"/>
      <w:kern w:val="0"/>
      <w:sz w:val="18"/>
    </w:rPr>
  </w:style>
  <w:style w:type="paragraph" w:customStyle="1" w:styleId="53">
    <w:name w:val="样式 正文缩进 + 宋体 四号 首行缩进:  2 字符 行距: 固定值 22 磅"/>
    <w:basedOn w:val="6"/>
    <w:next w:val="54"/>
    <w:qFormat/>
    <w:uiPriority w:val="0"/>
    <w:pPr>
      <w:topLinePunct w:val="0"/>
      <w:adjustRightInd/>
      <w:snapToGrid/>
      <w:spacing w:line="440" w:lineRule="exact"/>
      <w:ind w:left="560" w:firstLine="5680"/>
    </w:pPr>
    <w:rPr>
      <w:rFonts w:ascii="Calibri" w:hAnsi="Calibri"/>
      <w:kern w:val="0"/>
      <w:sz w:val="21"/>
      <w:szCs w:val="21"/>
    </w:rPr>
  </w:style>
  <w:style w:type="paragraph" w:customStyle="1" w:styleId="54">
    <w:name w:val="段落文字 Char Char1 Char"/>
    <w:basedOn w:val="1"/>
    <w:next w:val="55"/>
    <w:qFormat/>
    <w:uiPriority w:val="0"/>
    <w:pPr>
      <w:spacing w:line="360" w:lineRule="auto"/>
      <w:ind w:left="560" w:firstLine="5680"/>
    </w:pPr>
    <w:rPr>
      <w:kern w:val="0"/>
      <w:szCs w:val="21"/>
    </w:rPr>
  </w:style>
  <w:style w:type="paragraph" w:customStyle="1" w:styleId="55">
    <w:name w:val="五号表格"/>
    <w:next w:val="1"/>
    <w:qFormat/>
    <w:uiPriority w:val="0"/>
    <w:pPr>
      <w:ind w:firstLine="3584"/>
    </w:pPr>
    <w:rPr>
      <w:rFonts w:ascii="Calibri" w:hAnsi="Calibri" w:eastAsia="宋体" w:cs="Times New Roman"/>
      <w:lang w:val="en-US" w:eastAsia="zh-CN" w:bidi="ar-SA"/>
    </w:rPr>
  </w:style>
  <w:style w:type="paragraph" w:customStyle="1" w:styleId="56">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57">
    <w:name w:val="样式35"/>
    <w:basedOn w:val="1"/>
    <w:next w:val="1"/>
    <w:qFormat/>
    <w:uiPriority w:val="0"/>
    <w:pPr>
      <w:spacing w:line="312" w:lineRule="auto"/>
      <w:ind w:firstLine="567"/>
    </w:pPr>
    <w:rPr>
      <w:rFonts w:ascii="宋体"/>
      <w:sz w:val="28"/>
    </w:rPr>
  </w:style>
  <w:style w:type="paragraph" w:customStyle="1" w:styleId="58">
    <w:name w:val="样式 标题 1一级标题 + 段前: 0.5 行 段后: 0.5 行"/>
    <w:basedOn w:val="2"/>
    <w:qFormat/>
    <w:uiPriority w:val="99"/>
    <w:pPr>
      <w:spacing w:line="320" w:lineRule="exact"/>
      <w:outlineLvl w:val="9"/>
    </w:pPr>
    <w:rPr>
      <w:spacing w:val="-6"/>
      <w:sz w:val="21"/>
      <w:szCs w:val="21"/>
    </w:rPr>
  </w:style>
  <w:style w:type="paragraph" w:customStyle="1" w:styleId="59">
    <w:name w:val="正文文本缩进1"/>
    <w:basedOn w:val="1"/>
    <w:next w:val="47"/>
    <w:qFormat/>
    <w:uiPriority w:val="0"/>
    <w:pPr>
      <w:ind w:left="420" w:leftChars="200"/>
    </w:pPr>
    <w:rPr>
      <w:sz w:val="24"/>
    </w:rPr>
  </w:style>
  <w:style w:type="paragraph" w:customStyle="1" w:styleId="60">
    <w:name w:val="Date1"/>
    <w:basedOn w:val="1"/>
    <w:next w:val="1"/>
    <w:qFormat/>
    <w:uiPriority w:val="0"/>
  </w:style>
  <w:style w:type="paragraph" w:customStyle="1" w:styleId="61">
    <w:name w:val="正文文本缩进2"/>
    <w:basedOn w:val="1"/>
    <w:next w:val="47"/>
    <w:qFormat/>
    <w:uiPriority w:val="0"/>
    <w:pPr>
      <w:spacing w:after="120"/>
      <w:ind w:left="420" w:leftChars="200"/>
    </w:pPr>
    <w:rPr>
      <w:sz w:val="24"/>
    </w:rPr>
  </w:style>
  <w:style w:type="paragraph" w:customStyle="1" w:styleId="62">
    <w:name w:val="li_正文"/>
    <w:basedOn w:val="1"/>
    <w:qFormat/>
    <w:uiPriority w:val="0"/>
    <w:pPr>
      <w:ind w:firstLine="530" w:firstLineChars="200"/>
      <w:jc w:val="left"/>
    </w:pPr>
    <w:rPr>
      <w:rFonts w:ascii="Calibri" w:hAnsi="Calibri"/>
      <w:sz w:val="28"/>
      <w:szCs w:val="28"/>
    </w:rPr>
  </w:style>
  <w:style w:type="paragraph" w:customStyle="1" w:styleId="63">
    <w:name w:val="正文11"/>
    <w:basedOn w:val="1"/>
    <w:qFormat/>
    <w:uiPriority w:val="0"/>
    <w:pPr>
      <w:adjustRightInd w:val="0"/>
      <w:snapToGrid w:val="0"/>
      <w:spacing w:line="360" w:lineRule="auto"/>
      <w:ind w:firstLine="420" w:firstLineChars="200"/>
    </w:pPr>
    <w:rPr>
      <w:color w:val="000000"/>
      <w:sz w:val="24"/>
    </w:rPr>
  </w:style>
  <w:style w:type="paragraph" w:customStyle="1" w:styleId="64">
    <w:name w:val="表格编号"/>
    <w:basedOn w:val="1"/>
    <w:next w:val="65"/>
    <w:qFormat/>
    <w:uiPriority w:val="99"/>
    <w:pPr>
      <w:snapToGrid w:val="0"/>
      <w:spacing w:before="300" w:after="200" w:line="500" w:lineRule="exact"/>
      <w:jc w:val="left"/>
    </w:pPr>
    <w:rPr>
      <w:sz w:val="24"/>
    </w:rPr>
  </w:style>
  <w:style w:type="paragraph" w:customStyle="1" w:styleId="65">
    <w:name w:val="表格文字"/>
    <w:basedOn w:val="6"/>
    <w:qFormat/>
    <w:uiPriority w:val="0"/>
    <w:pPr>
      <w:jc w:val="center"/>
    </w:pPr>
    <w:rPr>
      <w:szCs w:val="24"/>
    </w:rPr>
  </w:style>
  <w:style w:type="paragraph" w:customStyle="1" w:styleId="66">
    <w:name w:val="Body Text First Indent 21"/>
    <w:basedOn w:val="67"/>
    <w:next w:val="11"/>
    <w:qFormat/>
    <w:uiPriority w:val="0"/>
    <w:pPr>
      <w:tabs>
        <w:tab w:val="left" w:pos="6615"/>
      </w:tabs>
      <w:ind w:firstLine="200"/>
    </w:pPr>
  </w:style>
  <w:style w:type="paragraph" w:customStyle="1" w:styleId="67">
    <w:name w:val="Body Text Indent1"/>
    <w:basedOn w:val="1"/>
    <w:next w:val="68"/>
    <w:qFormat/>
    <w:uiPriority w:val="0"/>
    <w:pPr>
      <w:ind w:firstLine="480" w:firstLineChars="200"/>
    </w:pPr>
    <w:rPr>
      <w:sz w:val="24"/>
    </w:rPr>
  </w:style>
  <w:style w:type="paragraph" w:customStyle="1" w:styleId="68">
    <w:name w:val="Body Text First Indent1"/>
    <w:basedOn w:val="10"/>
    <w:qFormat/>
    <w:uiPriority w:val="0"/>
    <w:pPr>
      <w:spacing w:after="120"/>
      <w:ind w:firstLine="420" w:firstLineChars="100"/>
    </w:pPr>
  </w:style>
  <w:style w:type="paragraph" w:customStyle="1" w:styleId="69">
    <w:name w:val="表格标题"/>
    <w:basedOn w:val="7"/>
    <w:next w:val="1"/>
    <w:qFormat/>
    <w:uiPriority w:val="0"/>
    <w:pPr>
      <w:spacing w:line="240" w:lineRule="auto"/>
    </w:pPr>
    <w:rPr>
      <w:b/>
      <w:kern w:val="0"/>
    </w:rPr>
  </w:style>
  <w:style w:type="paragraph" w:customStyle="1" w:styleId="70">
    <w:name w:val="样式 正文文本 + 首行缩进:  2 字符"/>
    <w:basedOn w:val="10"/>
    <w:qFormat/>
    <w:uiPriority w:val="99"/>
    <w:pPr>
      <w:spacing w:after="200" w:line="480" w:lineRule="exact"/>
      <w:ind w:firstLine="480" w:firstLineChars="200"/>
    </w:pPr>
    <w:rPr>
      <w:rFonts w:ascii="宋体" w:hAnsi="宋体"/>
      <w:sz w:val="24"/>
    </w:rPr>
  </w:style>
  <w:style w:type="paragraph" w:customStyle="1" w:styleId="71">
    <w:name w:val="BodyText1I2"/>
    <w:basedOn w:val="72"/>
    <w:next w:val="1"/>
    <w:qFormat/>
    <w:uiPriority w:val="0"/>
    <w:pPr>
      <w:ind w:firstLine="420" w:firstLineChars="200"/>
    </w:pPr>
    <w:rPr>
      <w:rFonts w:eastAsia="仿宋_GB2312"/>
      <w:color w:val="000000"/>
      <w:kern w:val="0"/>
      <w:sz w:val="28"/>
      <w:szCs w:val="20"/>
    </w:rPr>
  </w:style>
  <w:style w:type="paragraph" w:customStyle="1" w:styleId="72">
    <w:name w:val="BodyTextIndent"/>
    <w:basedOn w:val="1"/>
    <w:next w:val="1"/>
    <w:qFormat/>
    <w:uiPriority w:val="0"/>
    <w:pPr>
      <w:spacing w:after="120"/>
      <w:ind w:left="420" w:leftChars="200"/>
    </w:pPr>
  </w:style>
  <w:style w:type="paragraph" w:customStyle="1" w:styleId="73">
    <w:name w:val="标题2"/>
    <w:basedOn w:val="1"/>
    <w:qFormat/>
    <w:uiPriority w:val="0"/>
    <w:rPr>
      <w:rFonts w:asciiTheme="minorHAnsi" w:hAnsiTheme="minorHAnsi"/>
      <w:b/>
      <w:sz w:val="28"/>
    </w:rPr>
  </w:style>
  <w:style w:type="paragraph" w:customStyle="1" w:styleId="74">
    <w:name w:val="样式1"/>
    <w:basedOn w:val="29"/>
    <w:next w:val="1"/>
    <w:qFormat/>
    <w:uiPriority w:val="0"/>
    <w:pPr>
      <w:adjustRightInd w:val="0"/>
      <w:spacing w:line="480" w:lineRule="atLeast"/>
      <w:ind w:firstLine="539"/>
    </w:pPr>
    <w:rPr>
      <w:rFonts w:eastAsia="仿宋_GB2312"/>
      <w:kern w:val="0"/>
      <w:sz w:val="28"/>
      <w:szCs w:val="20"/>
    </w:rPr>
  </w:style>
  <w:style w:type="paragraph" w:customStyle="1" w:styleId="75">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76">
    <w:name w:val="表头"/>
    <w:basedOn w:val="77"/>
    <w:next w:val="1"/>
    <w:qFormat/>
    <w:uiPriority w:val="0"/>
    <w:pPr>
      <w:spacing w:before="50" w:beforeLines="50" w:after="50" w:afterLines="50"/>
    </w:pPr>
    <w:rPr>
      <w:b/>
      <w:szCs w:val="24"/>
    </w:rPr>
  </w:style>
  <w:style w:type="paragraph" w:customStyle="1" w:styleId="77">
    <w:name w:val="表格内容"/>
    <w:basedOn w:val="6"/>
    <w:qFormat/>
    <w:uiPriority w:val="0"/>
    <w:pPr>
      <w:spacing w:line="240" w:lineRule="auto"/>
      <w:jc w:val="center"/>
    </w:pPr>
    <w:rPr>
      <w:szCs w:val="21"/>
    </w:rPr>
  </w:style>
  <w:style w:type="paragraph" w:customStyle="1" w:styleId="78">
    <w:name w:val="正文 首行缩进:  2 字符"/>
    <w:basedOn w:val="1"/>
    <w:qFormat/>
    <w:uiPriority w:val="0"/>
    <w:pPr>
      <w:ind w:firstLine="579"/>
    </w:pPr>
  </w:style>
  <w:style w:type="paragraph" w:customStyle="1" w:styleId="79">
    <w:name w:val="Table Paragraph"/>
    <w:basedOn w:val="1"/>
    <w:qFormat/>
    <w:uiPriority w:val="1"/>
    <w:rPr>
      <w:rFonts w:ascii="宋体" w:hAnsi="宋体" w:cs="宋体"/>
      <w:lang w:val="zh-CN" w:bidi="zh-CN"/>
    </w:rPr>
  </w:style>
  <w:style w:type="paragraph" w:customStyle="1" w:styleId="80">
    <w:name w:val="格"/>
    <w:basedOn w:val="1"/>
    <w:qFormat/>
    <w:uiPriority w:val="0"/>
    <w:pPr>
      <w:widowControl/>
      <w:jc w:val="center"/>
    </w:pPr>
    <w:rPr>
      <w:bCs/>
      <w:snapToGrid w:val="0"/>
      <w:kern w:val="0"/>
    </w:rPr>
  </w:style>
  <w:style w:type="paragraph" w:customStyle="1" w:styleId="81">
    <w:name w:val="表内容"/>
    <w:basedOn w:val="1"/>
    <w:next w:val="1"/>
    <w:qFormat/>
    <w:uiPriority w:val="0"/>
    <w:pPr>
      <w:jc w:val="center"/>
    </w:pPr>
    <w:rPr>
      <w:rFonts w:eastAsia="Arial"/>
      <w:snapToGrid w:val="0"/>
      <w:szCs w:val="21"/>
    </w:rPr>
  </w:style>
  <w:style w:type="paragraph" w:customStyle="1" w:styleId="82">
    <w:name w:val="表内表"/>
    <w:basedOn w:val="1"/>
    <w:qFormat/>
    <w:uiPriority w:val="0"/>
    <w:pPr>
      <w:spacing w:line="240" w:lineRule="atLeast"/>
      <w:jc w:val="center"/>
    </w:pPr>
    <w:rPr>
      <w:bCs/>
      <w:szCs w:val="21"/>
    </w:rPr>
  </w:style>
  <w:style w:type="paragraph" w:customStyle="1" w:styleId="83">
    <w:name w:val="表格"/>
    <w:basedOn w:val="31"/>
    <w:next w:val="1"/>
    <w:qFormat/>
    <w:uiPriority w:val="0"/>
    <w:pPr>
      <w:snapToGrid w:val="0"/>
      <w:spacing w:beforeLines="10" w:afterLines="10" w:line="259" w:lineRule="auto"/>
    </w:pPr>
    <w:rPr>
      <w:rFonts w:ascii="宋体"/>
      <w:sz w:val="20"/>
    </w:rPr>
  </w:style>
  <w:style w:type="paragraph" w:customStyle="1" w:styleId="84">
    <w:name w:val="表格内文字格式"/>
    <w:basedOn w:val="1"/>
    <w:qFormat/>
    <w:uiPriority w:val="99"/>
    <w:pPr>
      <w:spacing w:line="360" w:lineRule="auto"/>
      <w:ind w:right="-49" w:rightChars="-26" w:firstLine="436" w:firstLineChars="200"/>
      <w:jc w:val="left"/>
    </w:pPr>
    <w:rPr>
      <w:rFonts w:ascii="Arial" w:hAnsi="Arial" w:cs="Arial"/>
      <w:bCs/>
      <w:kern w:val="10"/>
      <w:szCs w:val="21"/>
    </w:rPr>
  </w:style>
  <w:style w:type="paragraph" w:customStyle="1" w:styleId="85">
    <w:name w:val="表标题编号"/>
    <w:basedOn w:val="1"/>
    <w:qFormat/>
    <w:uiPriority w:val="0"/>
    <w:pPr>
      <w:numPr>
        <w:ilvl w:val="0"/>
        <w:numId w:val="3"/>
      </w:numPr>
      <w:tabs>
        <w:tab w:val="left" w:pos="0"/>
      </w:tabs>
      <w:adjustRightInd w:val="0"/>
      <w:snapToGrid w:val="0"/>
      <w:jc w:val="center"/>
    </w:pPr>
    <w:rPr>
      <w:sz w:val="24"/>
      <w:szCs w:val="22"/>
    </w:rPr>
  </w:style>
  <w:style w:type="character" w:customStyle="1" w:styleId="86">
    <w:name w:val="fontstyle01"/>
    <w:basedOn w:val="40"/>
    <w:qFormat/>
    <w:uiPriority w:val="0"/>
    <w:rPr>
      <w:rFonts w:hint="eastAsia" w:ascii="宋体" w:hAnsi="宋体" w:eastAsia="宋体"/>
      <w:color w:val="000000"/>
      <w:sz w:val="24"/>
      <w:szCs w:val="24"/>
    </w:rPr>
  </w:style>
  <w:style w:type="paragraph" w:customStyle="1" w:styleId="87">
    <w:name w:val="标准正文文本"/>
    <w:basedOn w:val="1"/>
    <w:qFormat/>
    <w:uiPriority w:val="0"/>
    <w:pPr>
      <w:adjustRightInd w:val="0"/>
      <w:snapToGrid w:val="0"/>
      <w:spacing w:line="360" w:lineRule="auto"/>
      <w:ind w:firstLine="643" w:firstLineChars="200"/>
    </w:pPr>
    <w:rPr>
      <w:kern w:val="0"/>
      <w:sz w:val="24"/>
      <w:szCs w:val="22"/>
    </w:rPr>
  </w:style>
  <w:style w:type="paragraph" w:customStyle="1" w:styleId="88">
    <w:name w:val="Body text|1"/>
    <w:basedOn w:val="1"/>
    <w:qFormat/>
    <w:uiPriority w:val="0"/>
    <w:pPr>
      <w:spacing w:line="439" w:lineRule="auto"/>
    </w:pPr>
    <w:rPr>
      <w:rFonts w:ascii="宋体" w:hAnsi="宋体" w:cs="宋体"/>
      <w:sz w:val="30"/>
      <w:szCs w:val="30"/>
      <w:lang w:val="zh-TW" w:eastAsia="zh-TW" w:bidi="zh-TW"/>
    </w:rPr>
  </w:style>
  <w:style w:type="paragraph" w:customStyle="1" w:styleId="89">
    <w:name w:val="Body text|3"/>
    <w:basedOn w:val="1"/>
    <w:qFormat/>
    <w:uiPriority w:val="0"/>
    <w:pPr>
      <w:spacing w:after="100"/>
    </w:pPr>
    <w:rPr>
      <w:sz w:val="22"/>
      <w:szCs w:val="22"/>
    </w:rPr>
  </w:style>
  <w:style w:type="paragraph" w:customStyle="1" w:styleId="90">
    <w:name w:val="Header or footer|2"/>
    <w:basedOn w:val="1"/>
    <w:qFormat/>
    <w:uiPriority w:val="0"/>
    <w:rPr>
      <w:sz w:val="20"/>
      <w:szCs w:val="20"/>
      <w:lang w:val="zh-TW" w:eastAsia="zh-TW" w:bidi="zh-TW"/>
    </w:rPr>
  </w:style>
  <w:style w:type="paragraph" w:customStyle="1" w:styleId="91">
    <w:name w:val="Header or footer|1"/>
    <w:basedOn w:val="1"/>
    <w:qFormat/>
    <w:uiPriority w:val="0"/>
    <w:rPr>
      <w:sz w:val="22"/>
      <w:szCs w:val="22"/>
    </w:rPr>
  </w:style>
  <w:style w:type="paragraph" w:customStyle="1" w:styleId="92">
    <w:name w:val="hhcwt表头"/>
    <w:basedOn w:val="1"/>
    <w:qFormat/>
    <w:uiPriority w:val="0"/>
    <w:pPr>
      <w:widowControl/>
      <w:spacing w:after="120" w:line="500" w:lineRule="exact"/>
      <w:jc w:val="center"/>
    </w:pPr>
    <w:rPr>
      <w:rFonts w:ascii="楷体_GB2312" w:eastAsia="楷体_GB2312" w:cs="宋体"/>
      <w:b/>
      <w:bCs/>
      <w:kern w:val="0"/>
      <w:sz w:val="22"/>
      <w:szCs w:val="22"/>
      <w:lang w:eastAsia="en-US" w:bidi="en-US"/>
    </w:rPr>
  </w:style>
  <w:style w:type="paragraph" w:customStyle="1" w:styleId="93">
    <w:name w:val="表格文字（小）"/>
    <w:basedOn w:val="1"/>
    <w:qFormat/>
    <w:uiPriority w:val="0"/>
    <w:pPr>
      <w:jc w:val="center"/>
    </w:pPr>
  </w:style>
  <w:style w:type="paragraph" w:customStyle="1" w:styleId="94">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szCs w:val="22"/>
      <w:lang w:val="en-US" w:eastAsia="zh-CN" w:bidi="ar-SA"/>
    </w:rPr>
  </w:style>
  <w:style w:type="paragraph" w:customStyle="1" w:styleId="95">
    <w:name w:val="列出段落2"/>
    <w:basedOn w:val="1"/>
    <w:qFormat/>
    <w:uiPriority w:val="34"/>
    <w:pPr>
      <w:ind w:firstLine="420" w:firstLineChars="200"/>
    </w:pPr>
  </w:style>
  <w:style w:type="paragraph" w:customStyle="1" w:styleId="96">
    <w:name w:val="样式4"/>
    <w:basedOn w:val="1"/>
    <w:qFormat/>
    <w:uiPriority w:val="0"/>
    <w:pPr>
      <w:spacing w:line="360" w:lineRule="auto"/>
      <w:ind w:firstLine="200" w:firstLineChars="200"/>
      <w:jc w:val="left"/>
    </w:pPr>
    <w:rPr>
      <w:rFonts w:ascii="Calibri" w:hAnsi="Calibri"/>
      <w:sz w:val="28"/>
      <w:szCs w:val="22"/>
    </w:rPr>
  </w:style>
  <w:style w:type="paragraph" w:customStyle="1" w:styleId="97">
    <w:name w:val="表格内容111"/>
    <w:basedOn w:val="1"/>
    <w:qFormat/>
    <w:uiPriority w:val="0"/>
    <w:pPr>
      <w:spacing w:line="312" w:lineRule="atLeast"/>
      <w:jc w:val="center"/>
      <w:textAlignment w:val="center"/>
    </w:pPr>
    <w:rPr>
      <w:szCs w:val="18"/>
    </w:rPr>
  </w:style>
  <w:style w:type="character" w:customStyle="1" w:styleId="98">
    <w:name w:val="样式 小四"/>
    <w:qFormat/>
    <w:uiPriority w:val="99"/>
    <w:rPr>
      <w:sz w:val="24"/>
    </w:rPr>
  </w:style>
  <w:style w:type="paragraph" w:customStyle="1" w:styleId="99">
    <w:name w:val="表、图标题"/>
    <w:basedOn w:val="1"/>
    <w:qFormat/>
    <w:uiPriority w:val="0"/>
    <w:pPr>
      <w:topLinePunct/>
      <w:adjustRightInd w:val="0"/>
      <w:snapToGrid w:val="0"/>
      <w:spacing w:line="480" w:lineRule="exact"/>
      <w:jc w:val="center"/>
    </w:pPr>
    <w:rPr>
      <w:b/>
      <w:caps/>
      <w:kern w:val="16"/>
      <w:sz w:val="24"/>
    </w:rPr>
  </w:style>
  <w:style w:type="character" w:customStyle="1" w:styleId="100">
    <w:name w:val="font01"/>
    <w:basedOn w:val="40"/>
    <w:qFormat/>
    <w:uiPriority w:val="0"/>
    <w:rPr>
      <w:rFonts w:hint="eastAsia" w:ascii="宋体" w:hAnsi="宋体" w:eastAsia="宋体" w:cs="宋体"/>
      <w:color w:val="000000"/>
      <w:sz w:val="21"/>
      <w:szCs w:val="21"/>
      <w:u w:val="none"/>
    </w:rPr>
  </w:style>
  <w:style w:type="character" w:customStyle="1" w:styleId="101">
    <w:name w:val="font41"/>
    <w:basedOn w:val="40"/>
    <w:qFormat/>
    <w:uiPriority w:val="0"/>
    <w:rPr>
      <w:rFonts w:hint="eastAsia" w:ascii="宋体" w:hAnsi="宋体" w:eastAsia="宋体" w:cs="宋体"/>
      <w:color w:val="000000"/>
      <w:sz w:val="21"/>
      <w:szCs w:val="21"/>
      <w:u w:val="none"/>
    </w:rPr>
  </w:style>
  <w:style w:type="character" w:customStyle="1" w:styleId="102">
    <w:name w:val="font71"/>
    <w:basedOn w:val="40"/>
    <w:qFormat/>
    <w:uiPriority w:val="0"/>
    <w:rPr>
      <w:rFonts w:hint="default" w:ascii="Times New Roman" w:hAnsi="Times New Roman" w:cs="Times New Roman"/>
      <w:color w:val="000000"/>
      <w:sz w:val="21"/>
      <w:szCs w:val="21"/>
      <w:u w:val="none"/>
      <w:vertAlign w:val="subscript"/>
    </w:rPr>
  </w:style>
  <w:style w:type="character" w:customStyle="1" w:styleId="103">
    <w:name w:val="font21"/>
    <w:basedOn w:val="40"/>
    <w:qFormat/>
    <w:uiPriority w:val="0"/>
    <w:rPr>
      <w:rFonts w:hint="default" w:ascii="Times New Roman" w:hAnsi="Times New Roman" w:cs="Times New Roman"/>
      <w:color w:val="000000"/>
      <w:sz w:val="21"/>
      <w:szCs w:val="21"/>
      <w:u w:val="none"/>
    </w:rPr>
  </w:style>
  <w:style w:type="character" w:customStyle="1" w:styleId="104">
    <w:name w:val="font61"/>
    <w:basedOn w:val="40"/>
    <w:qFormat/>
    <w:uiPriority w:val="0"/>
    <w:rPr>
      <w:rFonts w:hint="default" w:ascii="Times New Roman" w:hAnsi="Times New Roman" w:cs="Times New Roman"/>
      <w:color w:val="000000"/>
      <w:sz w:val="21"/>
      <w:szCs w:val="21"/>
      <w:u w:val="none"/>
      <w:vertAlign w:val="superscript"/>
    </w:rPr>
  </w:style>
  <w:style w:type="character" w:customStyle="1" w:styleId="105">
    <w:name w:val="font11"/>
    <w:basedOn w:val="40"/>
    <w:qFormat/>
    <w:uiPriority w:val="0"/>
    <w:rPr>
      <w:rFonts w:hint="default" w:ascii="Times New Roman" w:hAnsi="Times New Roman" w:cs="Times New Roman"/>
      <w:color w:val="000000"/>
      <w:sz w:val="21"/>
      <w:szCs w:val="21"/>
      <w:u w:val="none"/>
    </w:rPr>
  </w:style>
  <w:style w:type="character" w:customStyle="1" w:styleId="106">
    <w:name w:val="font51"/>
    <w:basedOn w:val="40"/>
    <w:qFormat/>
    <w:uiPriority w:val="0"/>
    <w:rPr>
      <w:rFonts w:hint="eastAsia" w:ascii="宋体" w:hAnsi="宋体" w:eastAsia="宋体" w:cs="宋体"/>
      <w:color w:val="000000"/>
      <w:sz w:val="21"/>
      <w:szCs w:val="21"/>
      <w:u w:val="none"/>
    </w:rPr>
  </w:style>
  <w:style w:type="character" w:customStyle="1" w:styleId="107">
    <w:name w:val="font31"/>
    <w:basedOn w:val="40"/>
    <w:qFormat/>
    <w:uiPriority w:val="0"/>
    <w:rPr>
      <w:rFonts w:hint="default" w:ascii="Times New Roman" w:hAnsi="Times New Roman" w:cs="Times New Roman"/>
      <w:color w:val="000000"/>
      <w:sz w:val="21"/>
      <w:szCs w:val="21"/>
      <w:u w:val="none"/>
    </w:rPr>
  </w:style>
  <w:style w:type="paragraph" w:customStyle="1" w:styleId="108">
    <w:name w:val="样式 小四 行距: 1.5 倍行距 首行缩进:  2 字符"/>
    <w:basedOn w:val="1"/>
    <w:qFormat/>
    <w:uiPriority w:val="99"/>
    <w:pPr>
      <w:spacing w:line="360" w:lineRule="auto"/>
      <w:ind w:firstLine="480" w:firstLineChars="200"/>
    </w:pPr>
    <w:rPr>
      <w:color w:val="000000"/>
      <w:sz w:val="24"/>
    </w:rPr>
  </w:style>
  <w:style w:type="character" w:customStyle="1" w:styleId="109">
    <w:name w:val="znspantitle"/>
    <w:basedOn w:val="40"/>
    <w:qFormat/>
    <w:uiPriority w:val="0"/>
    <w:rPr>
      <w:b/>
      <w:bCs/>
      <w:color w:val="333333"/>
    </w:rPr>
  </w:style>
  <w:style w:type="character" w:customStyle="1" w:styleId="110">
    <w:name w:val="disabled"/>
    <w:basedOn w:val="40"/>
    <w:qFormat/>
    <w:uiPriority w:val="0"/>
    <w:rPr>
      <w:vanish/>
    </w:rPr>
  </w:style>
  <w:style w:type="paragraph" w:customStyle="1" w:styleId="111">
    <w:name w:val="填表内容"/>
    <w:basedOn w:val="1"/>
    <w:qFormat/>
    <w:uiPriority w:val="0"/>
    <w:pPr>
      <w:adjustRightInd w:val="0"/>
      <w:spacing w:line="480" w:lineRule="exact"/>
      <w:ind w:firstLine="560" w:firstLineChars="200"/>
      <w:jc w:val="left"/>
      <w:textAlignment w:val="baseline"/>
    </w:pPr>
    <w:rPr>
      <w:rFonts w:ascii="楷体_GB2312" w:eastAsia="楷体_GB2312"/>
      <w:sz w:val="28"/>
      <w:szCs w:val="20"/>
    </w:rPr>
  </w:style>
  <w:style w:type="paragraph" w:customStyle="1" w:styleId="112">
    <w:name w:val="新格式表"/>
    <w:basedOn w:val="1"/>
    <w:qFormat/>
    <w:uiPriority w:val="0"/>
    <w:pPr>
      <w:spacing w:line="0" w:lineRule="atLeast"/>
      <w:jc w:val="center"/>
    </w:pPr>
    <w:rPr>
      <w:color w:val="000000"/>
      <w:kern w:val="0"/>
      <w:szCs w:val="21"/>
    </w:rPr>
  </w:style>
  <w:style w:type="paragraph" w:customStyle="1" w:styleId="113">
    <w:name w:val="表格内"/>
    <w:qFormat/>
    <w:uiPriority w:val="0"/>
    <w:pPr>
      <w:adjustRightInd w:val="0"/>
      <w:snapToGrid w:val="0"/>
      <w:jc w:val="center"/>
    </w:pPr>
    <w:rPr>
      <w:rFonts w:ascii="宋体" w:hAnsi="宋体" w:eastAsia="宋体" w:cs="Times New Roman"/>
      <w:snapToGrid w:val="0"/>
      <w:sz w:val="21"/>
      <w:szCs w:val="22"/>
      <w:lang w:val="en-US" w:eastAsia="zh-CN" w:bidi="ar-SA"/>
    </w:rPr>
  </w:style>
  <w:style w:type="paragraph" w:customStyle="1" w:styleId="114">
    <w:name w:val="表格-标题"/>
    <w:basedOn w:val="1"/>
    <w:qFormat/>
    <w:uiPriority w:val="0"/>
    <w:pPr>
      <w:spacing w:line="320" w:lineRule="exact"/>
      <w:jc w:val="center"/>
    </w:pPr>
    <w:rPr>
      <w:rFonts w:ascii="宋体"/>
      <w:b/>
      <w:szCs w:val="21"/>
    </w:rPr>
  </w:style>
  <w:style w:type="paragraph" w:customStyle="1" w:styleId="115">
    <w:name w:val="表格-居中"/>
    <w:basedOn w:val="1"/>
    <w:qFormat/>
    <w:uiPriority w:val="0"/>
    <w:pPr>
      <w:spacing w:line="320" w:lineRule="exact"/>
      <w:jc w:val="center"/>
    </w:pPr>
    <w:rPr>
      <w:rFonts w:ascii="宋体"/>
      <w:szCs w:val="21"/>
    </w:rPr>
  </w:style>
  <w:style w:type="paragraph" w:customStyle="1" w:styleId="116">
    <w:name w:val="报告正文"/>
    <w:basedOn w:val="1"/>
    <w:qFormat/>
    <w:uiPriority w:val="0"/>
    <w:pPr>
      <w:adjustRightInd w:val="0"/>
      <w:snapToGrid w:val="0"/>
      <w:spacing w:line="360" w:lineRule="auto"/>
      <w:ind w:firstLine="200" w:firstLineChars="200"/>
    </w:pPr>
    <w:rPr>
      <w:lang w:val="zh-CN"/>
    </w:rPr>
  </w:style>
  <w:style w:type="paragraph" w:styleId="117">
    <w:name w:val="List Paragraph"/>
    <w:basedOn w:val="1"/>
    <w:qFormat/>
    <w:uiPriority w:val="34"/>
    <w:pPr>
      <w:ind w:firstLine="420" w:firstLineChars="200"/>
    </w:pPr>
    <w:rPr>
      <w:szCs w:val="20"/>
    </w:rPr>
  </w:style>
  <w:style w:type="character" w:customStyle="1" w:styleId="118">
    <w:name w:val="zw1"/>
    <w:basedOn w:val="40"/>
    <w:qFormat/>
    <w:uiPriority w:val="0"/>
    <w:rPr>
      <w:rFonts w:hint="eastAsia" w:ascii="宋体" w:hAnsi="宋体" w:eastAsia="宋体"/>
      <w:sz w:val="22"/>
      <w:szCs w:val="22"/>
    </w:rPr>
  </w:style>
  <w:style w:type="character" w:customStyle="1" w:styleId="119">
    <w:name w:val="bt21"/>
    <w:basedOn w:val="40"/>
    <w:qFormat/>
    <w:uiPriority w:val="0"/>
    <w:rPr>
      <w:rFonts w:hint="eastAsia" w:ascii="黑体" w:eastAsia="黑体"/>
      <w:sz w:val="24"/>
      <w:szCs w:val="24"/>
    </w:rPr>
  </w:style>
  <w:style w:type="paragraph" w:customStyle="1" w:styleId="120">
    <w:name w:val="表内居中"/>
    <w:basedOn w:val="1"/>
    <w:qFormat/>
    <w:uiPriority w:val="0"/>
    <w:pPr>
      <w:adjustRightInd w:val="0"/>
      <w:snapToGrid w:val="0"/>
      <w:spacing w:line="400" w:lineRule="exact"/>
      <w:jc w:val="center"/>
    </w:pPr>
    <w:rPr>
      <w:rFonts w:ascii="宋体" w:hAnsi="宋体"/>
      <w:bCs/>
      <w:kern w:val="0"/>
      <w:sz w:val="20"/>
      <w:szCs w:val="21"/>
    </w:rPr>
  </w:style>
  <w:style w:type="character" w:customStyle="1" w:styleId="121">
    <w:name w:val="font12"/>
    <w:basedOn w:val="40"/>
    <w:qFormat/>
    <w:uiPriority w:val="0"/>
    <w:rPr>
      <w:rFonts w:hint="eastAsia" w:ascii="宋体" w:hAnsi="宋体" w:eastAsia="宋体" w:cs="宋体"/>
      <w:color w:val="000000"/>
      <w:sz w:val="21"/>
      <w:szCs w:val="21"/>
      <w:u w:val="none"/>
    </w:rPr>
  </w:style>
  <w:style w:type="character" w:customStyle="1" w:styleId="122">
    <w:name w:val="font91"/>
    <w:basedOn w:val="40"/>
    <w:qFormat/>
    <w:uiPriority w:val="0"/>
    <w:rPr>
      <w:rFonts w:hint="eastAsia" w:ascii="宋体" w:hAnsi="宋体" w:eastAsia="宋体" w:cs="宋体"/>
      <w:color w:val="FF0000"/>
      <w:sz w:val="21"/>
      <w:szCs w:val="21"/>
      <w:u w:val="none"/>
    </w:rPr>
  </w:style>
  <w:style w:type="paragraph" w:customStyle="1" w:styleId="123">
    <w:name w:val="Table Text"/>
    <w:basedOn w:val="1"/>
    <w:semiHidden/>
    <w:qFormat/>
    <w:uiPriority w:val="0"/>
    <w:rPr>
      <w:rFonts w:ascii="宋体" w:hAnsi="宋体" w:cs="宋体"/>
      <w:szCs w:val="21"/>
      <w:lang w:eastAsia="en-US"/>
    </w:rPr>
  </w:style>
  <w:style w:type="table" w:customStyle="1" w:styleId="124">
    <w:name w:val="Table Normal"/>
    <w:autoRedefine/>
    <w:semiHidden/>
    <w:unhideWhenUsed/>
    <w:qFormat/>
    <w:uiPriority w:val="0"/>
    <w:tblPr>
      <w:tblCellMar>
        <w:top w:w="0" w:type="dxa"/>
        <w:left w:w="0" w:type="dxa"/>
        <w:bottom w:w="0" w:type="dxa"/>
        <w:right w:w="0" w:type="dxa"/>
      </w:tblCellMar>
    </w:tblPr>
  </w:style>
  <w:style w:type="paragraph" w:customStyle="1" w:styleId="125">
    <w:name w:val="表格使用文字"/>
    <w:basedOn w:val="1"/>
    <w:qFormat/>
    <w:uiPriority w:val="99"/>
    <w:pPr>
      <w:jc w:val="center"/>
    </w:pPr>
    <w:rPr>
      <w:color w:val="000000"/>
      <w:szCs w:val="21"/>
    </w:rPr>
  </w:style>
  <w:style w:type="paragraph" w:customStyle="1" w:styleId="126">
    <w:name w:val="表格格式"/>
    <w:basedOn w:val="1"/>
    <w:qFormat/>
    <w:uiPriority w:val="99"/>
    <w:pPr>
      <w:spacing w:line="360" w:lineRule="exact"/>
      <w:jc w:val="center"/>
    </w:pPr>
  </w:style>
  <w:style w:type="paragraph" w:customStyle="1" w:styleId="127">
    <w:name w:val="6正文报告"/>
    <w:basedOn w:val="1"/>
    <w:qFormat/>
    <w:uiPriority w:val="0"/>
    <w:pPr>
      <w:widowControl/>
      <w:adjustRightInd w:val="0"/>
      <w:snapToGrid w:val="0"/>
      <w:spacing w:line="360" w:lineRule="auto"/>
      <w:ind w:firstLine="480" w:firstLineChars="200"/>
    </w:pPr>
    <w:rPr>
      <w:rFonts w:cs="宋体"/>
      <w:snapToGrid w:val="0"/>
      <w:kern w:val="0"/>
      <w:sz w:val="24"/>
    </w:rPr>
  </w:style>
  <w:style w:type="character" w:customStyle="1" w:styleId="128">
    <w:name w:val="16p"/>
    <w:qFormat/>
    <w:uiPriority w:val="0"/>
  </w:style>
  <w:style w:type="paragraph" w:customStyle="1" w:styleId="129">
    <w:name w:val="xl57"/>
    <w:basedOn w:val="1"/>
    <w:qFormat/>
    <w:uiPriority w:val="0"/>
    <w:pPr>
      <w:widowControl/>
      <w:spacing w:before="100" w:beforeAutospacing="1" w:after="100" w:afterAutospacing="1"/>
      <w:jc w:val="left"/>
    </w:pPr>
    <w:rPr>
      <w:rFonts w:ascii="宋体" w:hAnsi="宋体"/>
      <w:b/>
      <w:bCs/>
      <w:kern w:val="0"/>
      <w:sz w:val="22"/>
      <w:szCs w:val="22"/>
    </w:rPr>
  </w:style>
  <w:style w:type="paragraph" w:customStyle="1" w:styleId="130">
    <w:name w:val="正文lcc"/>
    <w:basedOn w:val="1"/>
    <w:qFormat/>
    <w:uiPriority w:val="0"/>
    <w:pPr>
      <w:snapToGrid w:val="0"/>
      <w:spacing w:line="360" w:lineRule="auto"/>
      <w:ind w:firstLine="480" w:firstLineChars="200"/>
    </w:pPr>
    <w:rPr>
      <w:color w:val="000000"/>
      <w:sz w:val="24"/>
      <w:szCs w:val="20"/>
    </w:rPr>
  </w:style>
  <w:style w:type="character" w:customStyle="1" w:styleId="131">
    <w:name w:val="批注文字 Char"/>
    <w:basedOn w:val="40"/>
    <w:link w:val="9"/>
    <w:semiHidden/>
    <w:qFormat/>
    <w:uiPriority w:val="0"/>
    <w:rPr>
      <w:szCs w:val="24"/>
    </w:rPr>
  </w:style>
  <w:style w:type="character" w:customStyle="1" w:styleId="132">
    <w:name w:val="批注主题 Char"/>
    <w:basedOn w:val="131"/>
    <w:link w:val="35"/>
    <w:qFormat/>
    <w:uiPriority w:val="0"/>
    <w:rPr>
      <w:b/>
      <w:bCs/>
      <w:kern w:val="2"/>
      <w:sz w:val="21"/>
      <w:szCs w:val="24"/>
    </w:rPr>
  </w:style>
  <w:style w:type="character" w:customStyle="1" w:styleId="133">
    <w:name w:val="批注框文本 Char"/>
    <w:basedOn w:val="40"/>
    <w:link w:val="24"/>
    <w:qFormat/>
    <w:uiPriority w:val="0"/>
    <w:rPr>
      <w:kern w:val="2"/>
      <w:sz w:val="18"/>
      <w:szCs w:val="18"/>
    </w:rPr>
  </w:style>
  <w:style w:type="paragraph" w:customStyle="1" w:styleId="134">
    <w:name w:val="胡正文"/>
    <w:basedOn w:val="1"/>
    <w:qFormat/>
    <w:uiPriority w:val="0"/>
    <w:pPr>
      <w:spacing w:line="360" w:lineRule="auto"/>
      <w:ind w:firstLine="200" w:firstLineChars="200"/>
      <w:jc w:val="left"/>
    </w:pPr>
    <w:rPr>
      <w:rFonts w:ascii="宋体" w:hAnsi="宋体"/>
      <w:sz w:val="24"/>
      <w:szCs w:val="28"/>
    </w:rPr>
  </w:style>
  <w:style w:type="character" w:customStyle="1" w:styleId="135">
    <w:name w:val="NormalCharacter"/>
    <w:qFormat/>
    <w:uiPriority w:val="0"/>
    <w:rPr>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 Type="http://schemas.openxmlformats.org/officeDocument/2006/relationships/footer" Target="footer5.xml"/><Relationship Id="rId7" Type="http://schemas.openxmlformats.org/officeDocument/2006/relationships/footer" Target="footer4.xml"/><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48.jpeg"/><Relationship Id="rId61" Type="http://schemas.openxmlformats.org/officeDocument/2006/relationships/image" Target="media/image47.jpeg"/><Relationship Id="rId60" Type="http://schemas.openxmlformats.org/officeDocument/2006/relationships/image" Target="media/image46.jpeg"/><Relationship Id="rId6" Type="http://schemas.openxmlformats.org/officeDocument/2006/relationships/footer" Target="footer3.xml"/><Relationship Id="rId59" Type="http://schemas.openxmlformats.org/officeDocument/2006/relationships/image" Target="media/image45.jpeg"/><Relationship Id="rId58" Type="http://schemas.openxmlformats.org/officeDocument/2006/relationships/image" Target="media/image44.jpeg"/><Relationship Id="rId57" Type="http://schemas.openxmlformats.org/officeDocument/2006/relationships/image" Target="media/image43.jpe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jpe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jpeg"/><Relationship Id="rId45" Type="http://schemas.openxmlformats.org/officeDocument/2006/relationships/image" Target="media/image31.png"/><Relationship Id="rId44" Type="http://schemas.openxmlformats.org/officeDocument/2006/relationships/image" Target="media/image30.jpe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jpeg"/><Relationship Id="rId30" Type="http://schemas.openxmlformats.org/officeDocument/2006/relationships/image" Target="media/image16.wmf"/><Relationship Id="rId3" Type="http://schemas.openxmlformats.org/officeDocument/2006/relationships/footer" Target="footer1.xml"/><Relationship Id="rId29" Type="http://schemas.openxmlformats.org/officeDocument/2006/relationships/oleObject" Target="embeddings/oleObject3.bin"/><Relationship Id="rId28" Type="http://schemas.openxmlformats.org/officeDocument/2006/relationships/image" Target="media/image15.wmf"/><Relationship Id="rId27" Type="http://schemas.openxmlformats.org/officeDocument/2006/relationships/oleObject" Target="embeddings/oleObject2.bin"/><Relationship Id="rId26" Type="http://schemas.openxmlformats.org/officeDocument/2006/relationships/image" Target="media/image14.wmf"/><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emf"/><Relationship Id="rId21" Type="http://schemas.openxmlformats.org/officeDocument/2006/relationships/oleObject" Target="embeddings/oleObject1.bin"/><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jpe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88</Pages>
  <Words>3264</Words>
  <Characters>3652</Characters>
  <Lines>325</Lines>
  <Paragraphs>91</Paragraphs>
  <TotalTime>3</TotalTime>
  <ScaleCrop>false</ScaleCrop>
  <LinksUpToDate>false</LinksUpToDate>
  <CharactersWithSpaces>3709</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吖嗨</cp:lastModifiedBy>
  <cp:lastPrinted>2025-03-26T07:02:00Z</cp:lastPrinted>
  <dcterms:modified xsi:type="dcterms:W3CDTF">2025-10-27T07:49:28Z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900ED8D78386469F914A989C33E0C98F_13</vt:lpwstr>
  </property>
  <property fmtid="{D5CDD505-2E9C-101B-9397-08002B2CF9AE}" pid="4" name="KSOTemplateDocerSaveRecord">
    <vt:lpwstr>eyJoZGlkIjoiZGJlYjg4ZTIyMzliOWI1Mzg0NmVhNDdlN2Y1NzJjZWIiLCJ1c2VySWQiOiI0MDQ1Nzc4ODIifQ==</vt:lpwstr>
  </property>
</Properties>
</file>