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auto"/>
          <w:sz w:val="36"/>
          <w:szCs w:val="36"/>
          <w:highlight w:val="none"/>
        </w:rPr>
      </w:pPr>
    </w:p>
    <w:p>
      <w:pPr>
        <w:rPr>
          <w:rFonts w:eastAsia="仿宋_GB2312"/>
          <w:color w:val="auto"/>
          <w:sz w:val="36"/>
          <w:szCs w:val="36"/>
          <w:highlight w:val="none"/>
        </w:rPr>
      </w:pPr>
    </w:p>
    <w:p>
      <w:pPr>
        <w:rPr>
          <w:rFonts w:eastAsia="仿宋_GB2312"/>
          <w:color w:val="auto"/>
          <w:sz w:val="36"/>
          <w:szCs w:val="36"/>
          <w:highlight w:val="none"/>
        </w:rPr>
      </w:pPr>
    </w:p>
    <w:p>
      <w:pPr>
        <w:rPr>
          <w:rFonts w:eastAsia="仿宋_GB2312"/>
          <w:color w:val="auto"/>
          <w:sz w:val="36"/>
          <w:szCs w:val="36"/>
          <w:highlight w:val="none"/>
        </w:rPr>
      </w:pPr>
    </w:p>
    <w:p>
      <w:pPr>
        <w:adjustRightInd w:val="0"/>
        <w:snapToGrid w:val="0"/>
        <w:jc w:val="center"/>
        <w:outlineLvl w:val="0"/>
        <w:rPr>
          <w:rFonts w:eastAsia="方正小标宋_GBK"/>
          <w:bCs/>
          <w:color w:val="auto"/>
          <w:sz w:val="72"/>
          <w:szCs w:val="72"/>
          <w:highlight w:val="none"/>
        </w:rPr>
      </w:pPr>
      <w:r>
        <w:rPr>
          <w:rFonts w:eastAsia="方正小标宋_GBK"/>
          <w:bCs/>
          <w:color w:val="auto"/>
          <w:sz w:val="72"/>
          <w:szCs w:val="72"/>
          <w:highlight w:val="none"/>
        </w:rPr>
        <w:t>建设项目环境影响报告表</w:t>
      </w:r>
    </w:p>
    <w:p>
      <w:pPr>
        <w:adjustRightInd w:val="0"/>
        <w:snapToGrid w:val="0"/>
        <w:spacing w:before="192" w:beforeLines="80"/>
        <w:jc w:val="center"/>
        <w:rPr>
          <w:rFonts w:eastAsia="楷体_GB2312"/>
          <w:bCs/>
          <w:color w:val="auto"/>
          <w:sz w:val="48"/>
          <w:szCs w:val="48"/>
          <w:highlight w:val="none"/>
        </w:rPr>
      </w:pPr>
      <w:r>
        <w:rPr>
          <w:rFonts w:eastAsia="楷体_GB2312"/>
          <w:bCs/>
          <w:color w:val="auto"/>
          <w:sz w:val="48"/>
          <w:szCs w:val="48"/>
          <w:highlight w:val="none"/>
        </w:rPr>
        <w:t>（污染影响类）</w:t>
      </w: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adjustRightInd w:val="0"/>
        <w:snapToGrid w:val="0"/>
        <w:spacing w:line="288" w:lineRule="auto"/>
        <w:ind w:left="422" w:leftChars="201" w:firstLine="720" w:firstLineChars="200"/>
        <w:rPr>
          <w:rFonts w:eastAsia="仿宋_GB2312"/>
          <w:color w:val="auto"/>
          <w:sz w:val="36"/>
          <w:szCs w:val="36"/>
          <w:highlight w:val="none"/>
          <w:u w:val="single"/>
        </w:rPr>
      </w:pPr>
      <w:r>
        <w:rPr>
          <w:rFonts w:eastAsia="仿宋_GB2312"/>
          <w:color w:val="auto"/>
          <w:sz w:val="36"/>
          <w:szCs w:val="36"/>
          <w:highlight w:val="none"/>
        </w:rPr>
        <w:t>项目名称：</w:t>
      </w:r>
      <w:r>
        <w:rPr>
          <w:rFonts w:hint="eastAsia" w:eastAsia="仿宋_GB2312"/>
          <w:color w:val="auto"/>
          <w:sz w:val="36"/>
          <w:szCs w:val="36"/>
          <w:highlight w:val="none"/>
          <w:u w:val="single"/>
        </w:rPr>
        <w:t xml:space="preserve">  </w:t>
      </w:r>
      <w:r>
        <w:rPr>
          <w:rFonts w:hint="eastAsia" w:eastAsia="仿宋_GB2312"/>
          <w:color w:val="auto"/>
          <w:sz w:val="36"/>
          <w:szCs w:val="36"/>
          <w:highlight w:val="none"/>
          <w:u w:val="single"/>
          <w:lang w:val="en-US" w:eastAsia="zh-CN"/>
        </w:rPr>
        <w:t xml:space="preserve">   淄博口腔医院新院区建设项目</w:t>
      </w:r>
      <w:r>
        <w:rPr>
          <w:rFonts w:hint="eastAsia" w:eastAsia="仿宋_GB2312"/>
          <w:color w:val="auto"/>
          <w:sz w:val="36"/>
          <w:szCs w:val="36"/>
          <w:highlight w:val="none"/>
          <w:u w:val="single"/>
        </w:rPr>
        <w:t xml:space="preserve">      </w:t>
      </w:r>
    </w:p>
    <w:p>
      <w:pPr>
        <w:adjustRightInd w:val="0"/>
        <w:snapToGrid w:val="0"/>
        <w:spacing w:line="288" w:lineRule="auto"/>
        <w:ind w:left="2008" w:leftChars="202" w:hanging="1584" w:hangingChars="440"/>
        <w:jc w:val="center"/>
        <w:rPr>
          <w:rFonts w:eastAsia="仿宋_GB2312"/>
          <w:color w:val="auto"/>
          <w:sz w:val="36"/>
          <w:szCs w:val="36"/>
          <w:highlight w:val="none"/>
          <w:u w:val="single"/>
        </w:rPr>
      </w:pPr>
      <w:r>
        <w:rPr>
          <w:rFonts w:hint="eastAsia" w:eastAsia="仿宋_GB2312"/>
          <w:color w:val="auto"/>
          <w:sz w:val="36"/>
          <w:szCs w:val="36"/>
          <w:highlight w:val="none"/>
        </w:rPr>
        <w:t xml:space="preserve">   </w:t>
      </w:r>
      <w:r>
        <w:rPr>
          <w:rFonts w:eastAsia="仿宋_GB2312"/>
          <w:color w:val="auto"/>
          <w:sz w:val="36"/>
          <w:szCs w:val="36"/>
          <w:highlight w:val="none"/>
        </w:rPr>
        <w:t>建设单位（盖章）：</w:t>
      </w:r>
      <w:r>
        <w:rPr>
          <w:rFonts w:eastAsia="仿宋_GB2312"/>
          <w:color w:val="auto"/>
          <w:sz w:val="36"/>
          <w:szCs w:val="36"/>
          <w:highlight w:val="none"/>
          <w:u w:val="single"/>
        </w:rPr>
        <w:t>淄博市张店区第二人民医院</w:t>
      </w:r>
    </w:p>
    <w:p>
      <w:pPr>
        <w:adjustRightInd w:val="0"/>
        <w:snapToGrid w:val="0"/>
        <w:spacing w:line="288" w:lineRule="auto"/>
        <w:ind w:left="3054" w:leftChars="700" w:hanging="1584" w:hangingChars="440"/>
        <w:jc w:val="center"/>
        <w:rPr>
          <w:rFonts w:eastAsia="仿宋_GB2312"/>
          <w:color w:val="auto"/>
          <w:sz w:val="36"/>
          <w:szCs w:val="36"/>
          <w:highlight w:val="none"/>
          <w:u w:val="single"/>
        </w:rPr>
      </w:pPr>
      <w:r>
        <w:rPr>
          <w:rFonts w:hint="eastAsia" w:eastAsia="仿宋_GB2312"/>
          <w:color w:val="auto"/>
          <w:sz w:val="36"/>
          <w:szCs w:val="36"/>
          <w:highlight w:val="none"/>
          <w:u w:val="single"/>
        </w:rPr>
        <w:t xml:space="preserve">          </w:t>
      </w:r>
      <w:r>
        <w:rPr>
          <w:rFonts w:eastAsia="仿宋_GB2312"/>
          <w:color w:val="auto"/>
          <w:sz w:val="36"/>
          <w:szCs w:val="36"/>
          <w:highlight w:val="none"/>
          <w:u w:val="single"/>
        </w:rPr>
        <w:t>（淄博口腔医院）</w:t>
      </w:r>
      <w:r>
        <w:rPr>
          <w:rFonts w:hint="eastAsia" w:eastAsia="仿宋_GB2312"/>
          <w:color w:val="auto"/>
          <w:sz w:val="36"/>
          <w:szCs w:val="36"/>
          <w:highlight w:val="none"/>
          <w:u w:val="single"/>
        </w:rPr>
        <w:t xml:space="preserve">      </w:t>
      </w:r>
    </w:p>
    <w:p>
      <w:pPr>
        <w:adjustRightInd w:val="0"/>
        <w:snapToGrid w:val="0"/>
        <w:spacing w:line="288" w:lineRule="auto"/>
        <w:ind w:firstLine="1080" w:firstLineChars="300"/>
        <w:rPr>
          <w:rFonts w:eastAsia="仿宋_GB2312"/>
          <w:color w:val="auto"/>
          <w:sz w:val="36"/>
          <w:szCs w:val="36"/>
          <w:highlight w:val="none"/>
          <w:u w:val="single"/>
        </w:rPr>
      </w:pPr>
      <w:r>
        <w:rPr>
          <w:rFonts w:eastAsia="仿宋_GB2312"/>
          <w:color w:val="auto"/>
          <w:sz w:val="36"/>
          <w:szCs w:val="36"/>
          <w:highlight w:val="none"/>
        </w:rPr>
        <w:t>编制日期：</w:t>
      </w:r>
      <w:r>
        <w:rPr>
          <w:rFonts w:eastAsia="仿宋_GB2312"/>
          <w:color w:val="auto"/>
          <w:sz w:val="36"/>
          <w:szCs w:val="36"/>
          <w:highlight w:val="none"/>
          <w:u w:val="single"/>
        </w:rPr>
        <w:t xml:space="preserve">           202</w:t>
      </w:r>
      <w:r>
        <w:rPr>
          <w:rFonts w:hint="eastAsia" w:eastAsia="仿宋_GB2312"/>
          <w:color w:val="auto"/>
          <w:sz w:val="36"/>
          <w:szCs w:val="36"/>
          <w:highlight w:val="none"/>
          <w:u w:val="single"/>
          <w:lang w:val="en-US" w:eastAsia="zh-CN"/>
        </w:rPr>
        <w:t>3</w:t>
      </w:r>
      <w:r>
        <w:rPr>
          <w:rFonts w:eastAsia="仿宋_GB2312"/>
          <w:color w:val="auto"/>
          <w:sz w:val="36"/>
          <w:szCs w:val="36"/>
          <w:highlight w:val="none"/>
          <w:u w:val="single"/>
        </w:rPr>
        <w:t>年</w:t>
      </w:r>
      <w:r>
        <w:rPr>
          <w:rFonts w:hint="eastAsia" w:eastAsia="仿宋_GB2312"/>
          <w:color w:val="auto"/>
          <w:sz w:val="36"/>
          <w:szCs w:val="36"/>
          <w:highlight w:val="none"/>
          <w:u w:val="single"/>
          <w:lang w:val="en-US" w:eastAsia="zh-CN"/>
        </w:rPr>
        <w:t>4</w:t>
      </w:r>
      <w:r>
        <w:rPr>
          <w:rFonts w:eastAsia="仿宋_GB2312"/>
          <w:color w:val="auto"/>
          <w:sz w:val="36"/>
          <w:szCs w:val="36"/>
          <w:highlight w:val="none"/>
          <w:u w:val="single"/>
        </w:rPr>
        <w:t xml:space="preserve">月   </w:t>
      </w:r>
      <w:r>
        <w:rPr>
          <w:rFonts w:hint="eastAsia" w:eastAsia="仿宋_GB2312"/>
          <w:color w:val="auto"/>
          <w:sz w:val="36"/>
          <w:szCs w:val="36"/>
          <w:highlight w:val="none"/>
          <w:u w:val="single"/>
        </w:rPr>
        <w:t xml:space="preserve">    </w:t>
      </w:r>
      <w:r>
        <w:rPr>
          <w:rFonts w:eastAsia="仿宋_GB2312"/>
          <w:color w:val="auto"/>
          <w:sz w:val="36"/>
          <w:szCs w:val="36"/>
          <w:highlight w:val="none"/>
          <w:u w:val="single"/>
        </w:rPr>
        <w:t xml:space="preserve">  </w:t>
      </w:r>
    </w:p>
    <w:p>
      <w:pPr>
        <w:adjustRightInd w:val="0"/>
        <w:snapToGrid w:val="0"/>
        <w:spacing w:line="288" w:lineRule="auto"/>
        <w:ind w:firstLine="1040"/>
        <w:rPr>
          <w:rFonts w:eastAsia="仿宋_GB2312"/>
          <w:color w:val="auto"/>
          <w:sz w:val="36"/>
          <w:szCs w:val="36"/>
          <w:highlight w:val="none"/>
        </w:rPr>
      </w:pPr>
      <w:bookmarkStart w:id="0" w:name="_Hlk57884087"/>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pPr>
    </w:p>
    <w:p>
      <w:pPr>
        <w:adjustRightInd w:val="0"/>
        <w:snapToGrid w:val="0"/>
        <w:spacing w:line="288" w:lineRule="auto"/>
        <w:ind w:firstLine="1040"/>
        <w:rPr>
          <w:rFonts w:eastAsia="仿宋_GB2312"/>
          <w:color w:val="auto"/>
          <w:sz w:val="36"/>
          <w:szCs w:val="36"/>
          <w:highlight w:val="none"/>
        </w:rPr>
      </w:pPr>
    </w:p>
    <w:bookmarkEnd w:id="0"/>
    <w:p>
      <w:pPr>
        <w:adjustRightInd w:val="0"/>
        <w:snapToGrid w:val="0"/>
        <w:spacing w:line="288" w:lineRule="auto"/>
        <w:jc w:val="center"/>
        <w:rPr>
          <w:rFonts w:eastAsia="楷体_GB2312"/>
          <w:color w:val="auto"/>
          <w:sz w:val="36"/>
          <w:szCs w:val="36"/>
          <w:highlight w:val="none"/>
        </w:rPr>
      </w:pPr>
      <w:r>
        <w:rPr>
          <w:rFonts w:eastAsia="楷体_GB2312"/>
          <w:color w:val="auto"/>
          <w:sz w:val="36"/>
          <w:szCs w:val="36"/>
          <w:highlight w:val="none"/>
        </w:rPr>
        <w:t>中华人民共和国生态环境部制</w:t>
      </w:r>
    </w:p>
    <w:p>
      <w:pPr>
        <w:adjustRightInd w:val="0"/>
        <w:snapToGrid w:val="0"/>
        <w:spacing w:line="288" w:lineRule="auto"/>
        <w:ind w:firstLine="1040"/>
        <w:rPr>
          <w:rFonts w:eastAsia="仿宋_GB2312"/>
          <w:color w:val="auto"/>
          <w:sz w:val="36"/>
          <w:szCs w:val="36"/>
          <w:highlight w:val="none"/>
        </w:rPr>
        <w:sectPr>
          <w:footerReference r:id="rId3" w:type="default"/>
          <w:pgSz w:w="11906" w:h="16838"/>
          <w:pgMar w:top="1701" w:right="1531" w:bottom="1701" w:left="1531" w:header="851" w:footer="1077" w:gutter="0"/>
          <w:pgNumType w:fmt="numberInDash" w:start="1"/>
          <w:cols w:space="720" w:num="1"/>
          <w:docGrid w:linePitch="312" w:charSpace="0"/>
        </w:sectPr>
      </w:pPr>
    </w:p>
    <w:p>
      <w:pPr>
        <w:pStyle w:val="22"/>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一、建设项目基本情况</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0"/>
        <w:gridCol w:w="979"/>
        <w:gridCol w:w="2176"/>
        <w:gridCol w:w="2274"/>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建设项目名称</w:t>
            </w:r>
          </w:p>
        </w:tc>
        <w:tc>
          <w:tcPr>
            <w:tcW w:w="7481" w:type="dxa"/>
            <w:gridSpan w:val="3"/>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淄博口腔医院新院区建设项目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项目代码</w:t>
            </w:r>
          </w:p>
        </w:tc>
        <w:tc>
          <w:tcPr>
            <w:tcW w:w="7481" w:type="dxa"/>
            <w:gridSpan w:val="3"/>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2211-370303-04-01-569766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建设单位联系人</w:t>
            </w:r>
          </w:p>
        </w:tc>
        <w:tc>
          <w:tcPr>
            <w:tcW w:w="2176" w:type="dxa"/>
            <w:vAlign w:val="center"/>
          </w:tcPr>
          <w:p>
            <w:pPr>
              <w:adjustRightInd w:val="0"/>
              <w:snapToGrid w:val="0"/>
              <w:jc w:val="center"/>
              <w:rPr>
                <w:color w:val="auto"/>
                <w:szCs w:val="21"/>
                <w:highlight w:val="none"/>
              </w:rPr>
            </w:pPr>
            <w:r>
              <w:rPr>
                <w:color w:val="auto"/>
                <w:szCs w:val="21"/>
                <w:highlight w:val="none"/>
              </w:rPr>
              <w:t>丁宁</w:t>
            </w:r>
          </w:p>
        </w:tc>
        <w:tc>
          <w:tcPr>
            <w:tcW w:w="2274" w:type="dxa"/>
            <w:vAlign w:val="center"/>
          </w:tcPr>
          <w:p>
            <w:pPr>
              <w:adjustRightInd w:val="0"/>
              <w:snapToGrid w:val="0"/>
              <w:jc w:val="center"/>
              <w:rPr>
                <w:color w:val="auto"/>
                <w:szCs w:val="21"/>
                <w:highlight w:val="none"/>
              </w:rPr>
            </w:pPr>
            <w:r>
              <w:rPr>
                <w:color w:val="auto"/>
                <w:szCs w:val="21"/>
                <w:highlight w:val="none"/>
              </w:rPr>
              <w:t>联系方式</w:t>
            </w:r>
          </w:p>
        </w:tc>
        <w:tc>
          <w:tcPr>
            <w:tcW w:w="3031" w:type="dxa"/>
            <w:vAlign w:val="center"/>
          </w:tcPr>
          <w:p>
            <w:pPr>
              <w:adjustRightInd w:val="0"/>
              <w:snapToGrid w:val="0"/>
              <w:jc w:val="center"/>
              <w:rPr>
                <w:color w:val="auto"/>
                <w:szCs w:val="21"/>
                <w:highlight w:val="none"/>
              </w:rPr>
            </w:pPr>
            <w:r>
              <w:rPr>
                <w:color w:val="auto"/>
                <w:szCs w:val="21"/>
                <w:highlight w:val="none"/>
              </w:rPr>
              <w:t>13853324425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建设地点</w:t>
            </w:r>
          </w:p>
        </w:tc>
        <w:tc>
          <w:tcPr>
            <w:tcW w:w="7481" w:type="dxa"/>
            <w:gridSpan w:val="3"/>
            <w:vAlign w:val="center"/>
          </w:tcPr>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淄博市张店区共青团路与原山大道交接处以东路北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地理坐标</w:t>
            </w:r>
          </w:p>
        </w:tc>
        <w:tc>
          <w:tcPr>
            <w:tcW w:w="7481" w:type="dxa"/>
            <w:gridSpan w:val="3"/>
            <w:vAlign w:val="center"/>
          </w:tcPr>
          <w:p>
            <w:pPr>
              <w:jc w:val="center"/>
              <w:rPr>
                <w:color w:val="auto"/>
                <w:szCs w:val="21"/>
                <w:highlight w:val="none"/>
              </w:rPr>
            </w:pPr>
            <w:r>
              <w:rPr>
                <w:color w:val="auto"/>
                <w:szCs w:val="21"/>
                <w:highlight w:val="none"/>
              </w:rPr>
              <w:t>（</w:t>
            </w:r>
            <w:r>
              <w:rPr>
                <w:color w:val="auto"/>
                <w:szCs w:val="21"/>
                <w:highlight w:val="none"/>
                <w:u w:val="single"/>
              </w:rPr>
              <w:t xml:space="preserve"> 11</w:t>
            </w:r>
            <w:r>
              <w:rPr>
                <w:rFonts w:hint="eastAsia"/>
                <w:color w:val="auto"/>
                <w:szCs w:val="21"/>
                <w:highlight w:val="none"/>
                <w:u w:val="single"/>
                <w:lang w:val="en-US" w:eastAsia="zh-CN"/>
              </w:rPr>
              <w:t>7</w:t>
            </w:r>
            <w:r>
              <w:rPr>
                <w:color w:val="auto"/>
                <w:szCs w:val="21"/>
                <w:highlight w:val="none"/>
                <w:u w:val="single"/>
              </w:rPr>
              <w:t xml:space="preserve"> </w:t>
            </w:r>
            <w:r>
              <w:rPr>
                <w:color w:val="auto"/>
                <w:szCs w:val="21"/>
                <w:highlight w:val="none"/>
              </w:rPr>
              <w:t>度</w:t>
            </w:r>
            <w:r>
              <w:rPr>
                <w:color w:val="auto"/>
                <w:szCs w:val="21"/>
                <w:highlight w:val="none"/>
                <w:u w:val="single"/>
              </w:rPr>
              <w:t xml:space="preserve"> </w:t>
            </w:r>
            <w:r>
              <w:rPr>
                <w:rFonts w:hint="eastAsia"/>
                <w:color w:val="auto"/>
                <w:szCs w:val="21"/>
                <w:highlight w:val="none"/>
                <w:u w:val="single"/>
                <w:lang w:val="en-US" w:eastAsia="zh-CN"/>
              </w:rPr>
              <w:t>57</w:t>
            </w:r>
            <w:r>
              <w:rPr>
                <w:color w:val="auto"/>
                <w:szCs w:val="21"/>
                <w:highlight w:val="none"/>
                <w:u w:val="single"/>
              </w:rPr>
              <w:t xml:space="preserve">  </w:t>
            </w:r>
            <w:r>
              <w:rPr>
                <w:color w:val="auto"/>
                <w:szCs w:val="21"/>
                <w:highlight w:val="none"/>
              </w:rPr>
              <w:t>分</w:t>
            </w:r>
            <w:r>
              <w:rPr>
                <w:color w:val="auto"/>
                <w:szCs w:val="21"/>
                <w:highlight w:val="none"/>
                <w:u w:val="single"/>
              </w:rPr>
              <w:t xml:space="preserve"> </w:t>
            </w:r>
            <w:r>
              <w:rPr>
                <w:rFonts w:hint="eastAsia"/>
                <w:color w:val="auto"/>
                <w:szCs w:val="21"/>
                <w:highlight w:val="none"/>
                <w:u w:val="single"/>
                <w:lang w:val="en-US" w:eastAsia="zh-CN"/>
              </w:rPr>
              <w:t>30.952</w:t>
            </w:r>
            <w:r>
              <w:rPr>
                <w:color w:val="auto"/>
                <w:szCs w:val="21"/>
                <w:highlight w:val="none"/>
                <w:u w:val="single"/>
              </w:rPr>
              <w:t xml:space="preserve"> </w:t>
            </w:r>
            <w:r>
              <w:rPr>
                <w:color w:val="auto"/>
                <w:szCs w:val="21"/>
                <w:highlight w:val="none"/>
              </w:rPr>
              <w:t>秒，</w:t>
            </w:r>
            <w:r>
              <w:rPr>
                <w:color w:val="auto"/>
                <w:szCs w:val="21"/>
                <w:highlight w:val="none"/>
                <w:u w:val="single"/>
              </w:rPr>
              <w:t xml:space="preserve"> 36 </w:t>
            </w:r>
            <w:r>
              <w:rPr>
                <w:color w:val="auto"/>
                <w:szCs w:val="21"/>
                <w:highlight w:val="none"/>
              </w:rPr>
              <w:t>度</w:t>
            </w:r>
            <w:r>
              <w:rPr>
                <w:color w:val="auto"/>
                <w:szCs w:val="21"/>
                <w:highlight w:val="none"/>
                <w:u w:val="single"/>
              </w:rPr>
              <w:t xml:space="preserve"> 48 </w:t>
            </w:r>
            <w:r>
              <w:rPr>
                <w:color w:val="auto"/>
                <w:szCs w:val="21"/>
                <w:highlight w:val="none"/>
              </w:rPr>
              <w:t>分</w:t>
            </w:r>
            <w:r>
              <w:rPr>
                <w:color w:val="auto"/>
                <w:szCs w:val="21"/>
                <w:highlight w:val="none"/>
                <w:u w:val="single"/>
              </w:rPr>
              <w:t xml:space="preserve"> </w:t>
            </w:r>
            <w:r>
              <w:rPr>
                <w:rFonts w:hint="eastAsia"/>
                <w:color w:val="auto"/>
                <w:szCs w:val="21"/>
                <w:highlight w:val="none"/>
                <w:u w:val="single"/>
                <w:lang w:val="en-US" w:eastAsia="zh-CN"/>
              </w:rPr>
              <w:t>45.892</w:t>
            </w:r>
            <w:r>
              <w:rPr>
                <w:color w:val="auto"/>
                <w:szCs w:val="21"/>
                <w:highlight w:val="none"/>
                <w:u w:val="single"/>
              </w:rPr>
              <w:t xml:space="preserve"> </w:t>
            </w:r>
            <w:r>
              <w:rPr>
                <w:color w:val="auto"/>
                <w:szCs w:val="21"/>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国民经济</w:t>
            </w:r>
          </w:p>
          <w:p>
            <w:pPr>
              <w:adjustRightInd w:val="0"/>
              <w:snapToGrid w:val="0"/>
              <w:jc w:val="center"/>
              <w:rPr>
                <w:color w:val="auto"/>
                <w:szCs w:val="21"/>
                <w:highlight w:val="none"/>
              </w:rPr>
            </w:pPr>
            <w:r>
              <w:rPr>
                <w:color w:val="auto"/>
                <w:szCs w:val="21"/>
                <w:highlight w:val="none"/>
              </w:rPr>
              <w:t>行业类别</w:t>
            </w:r>
          </w:p>
        </w:tc>
        <w:tc>
          <w:tcPr>
            <w:tcW w:w="2176" w:type="dxa"/>
            <w:vAlign w:val="center"/>
          </w:tcPr>
          <w:p>
            <w:pPr>
              <w:adjustRightInd w:val="0"/>
              <w:snapToGrid w:val="0"/>
              <w:jc w:val="center"/>
              <w:rPr>
                <w:rFonts w:hint="eastAsia"/>
                <w:color w:val="auto"/>
                <w:szCs w:val="21"/>
                <w:highlight w:val="none"/>
                <w:lang w:eastAsia="zh-CN"/>
              </w:rPr>
            </w:pPr>
            <w:r>
              <w:rPr>
                <w:color w:val="auto"/>
                <w:szCs w:val="21"/>
                <w:highlight w:val="none"/>
              </w:rPr>
              <w:t>Q8415专科医院</w:t>
            </w:r>
            <w:r>
              <w:rPr>
                <w:rFonts w:hint="eastAsia"/>
                <w:color w:val="auto"/>
                <w:szCs w:val="21"/>
                <w:highlight w:val="none"/>
                <w:lang w:eastAsia="zh-CN"/>
              </w:rPr>
              <w:t>；</w:t>
            </w:r>
          </w:p>
          <w:p>
            <w:pPr>
              <w:adjustRightInd w:val="0"/>
              <w:snapToGrid w:val="0"/>
              <w:jc w:val="center"/>
              <w:rPr>
                <w:rFonts w:hint="eastAsia" w:eastAsia="宋体"/>
                <w:color w:val="auto"/>
                <w:szCs w:val="21"/>
                <w:highlight w:val="none"/>
                <w:lang w:eastAsia="zh-CN"/>
              </w:rPr>
            </w:pPr>
            <w:r>
              <w:rPr>
                <w:rFonts w:hint="eastAsia"/>
                <w:color w:val="auto"/>
                <w:szCs w:val="21"/>
                <w:highlight w:val="none"/>
                <w:lang w:eastAsia="zh-CN"/>
              </w:rPr>
              <w:t>Q8</w:t>
            </w:r>
            <w:r>
              <w:rPr>
                <w:rFonts w:hint="eastAsia"/>
                <w:color w:val="auto"/>
                <w:szCs w:val="21"/>
                <w:highlight w:val="none"/>
                <w:lang w:val="en-US" w:eastAsia="zh-CN"/>
              </w:rPr>
              <w:t>416医养综合楼</w:t>
            </w:r>
          </w:p>
        </w:tc>
        <w:tc>
          <w:tcPr>
            <w:tcW w:w="2274" w:type="dxa"/>
            <w:vAlign w:val="center"/>
          </w:tcPr>
          <w:p>
            <w:pPr>
              <w:adjustRightInd w:val="0"/>
              <w:snapToGrid w:val="0"/>
              <w:jc w:val="center"/>
              <w:rPr>
                <w:color w:val="auto"/>
                <w:szCs w:val="21"/>
                <w:highlight w:val="none"/>
              </w:rPr>
            </w:pPr>
            <w:bookmarkStart w:id="1" w:name="_Hlk49843745"/>
            <w:r>
              <w:rPr>
                <w:color w:val="auto"/>
                <w:szCs w:val="21"/>
                <w:highlight w:val="none"/>
              </w:rPr>
              <w:t>建设项目</w:t>
            </w:r>
          </w:p>
          <w:p>
            <w:pPr>
              <w:adjustRightInd w:val="0"/>
              <w:snapToGrid w:val="0"/>
              <w:jc w:val="center"/>
              <w:rPr>
                <w:color w:val="auto"/>
                <w:szCs w:val="21"/>
                <w:highlight w:val="none"/>
              </w:rPr>
            </w:pPr>
            <w:r>
              <w:rPr>
                <w:color w:val="auto"/>
                <w:szCs w:val="21"/>
                <w:highlight w:val="none"/>
              </w:rPr>
              <w:t>行业类别</w:t>
            </w:r>
            <w:bookmarkEnd w:id="1"/>
          </w:p>
        </w:tc>
        <w:tc>
          <w:tcPr>
            <w:tcW w:w="3031" w:type="dxa"/>
            <w:tcMar>
              <w:top w:w="0" w:type="dxa"/>
              <w:left w:w="28" w:type="dxa"/>
              <w:bottom w:w="0" w:type="dxa"/>
              <w:right w:w="28" w:type="dxa"/>
            </w:tcMar>
            <w:vAlign w:val="center"/>
          </w:tcPr>
          <w:p>
            <w:pPr>
              <w:adjustRightInd w:val="0"/>
              <w:snapToGrid w:val="0"/>
              <w:rPr>
                <w:color w:val="auto"/>
                <w:szCs w:val="21"/>
                <w:highlight w:val="none"/>
              </w:rPr>
            </w:pPr>
            <w:r>
              <w:rPr>
                <w:color w:val="auto"/>
                <w:szCs w:val="21"/>
                <w:highlight w:val="none"/>
              </w:rPr>
              <w:t>四十九、卫生84</w:t>
            </w:r>
          </w:p>
          <w:p>
            <w:pPr>
              <w:adjustRightInd w:val="0"/>
              <w:snapToGrid w:val="0"/>
              <w:rPr>
                <w:color w:val="auto"/>
                <w:szCs w:val="21"/>
                <w:highlight w:val="none"/>
              </w:rPr>
            </w:pPr>
            <w:r>
              <w:rPr>
                <w:color w:val="auto"/>
                <w:szCs w:val="21"/>
                <w:highlight w:val="none"/>
              </w:rPr>
              <w:t>108-841医院--其他（住院床位20张以下的除外）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建设性质</w:t>
            </w:r>
          </w:p>
        </w:tc>
        <w:tc>
          <w:tcPr>
            <w:tcW w:w="2176" w:type="dxa"/>
            <w:vAlign w:val="center"/>
          </w:tcPr>
          <w:p>
            <w:pPr>
              <w:jc w:val="left"/>
              <w:rPr>
                <w:color w:val="auto"/>
                <w:szCs w:val="21"/>
                <w:highlight w:val="none"/>
              </w:rPr>
            </w:pPr>
            <w:r>
              <w:rPr>
                <w:color w:val="auto"/>
                <w:szCs w:val="21"/>
                <w:highlight w:val="none"/>
              </w:rPr>
              <w:sym w:font="Wingdings 2" w:char="0052"/>
            </w:r>
            <w:r>
              <w:rPr>
                <w:color w:val="auto"/>
                <w:szCs w:val="21"/>
                <w:highlight w:val="none"/>
              </w:rPr>
              <w:t>新建（迁建）</w:t>
            </w:r>
          </w:p>
          <w:p>
            <w:pPr>
              <w:jc w:val="left"/>
              <w:rPr>
                <w:color w:val="auto"/>
                <w:szCs w:val="21"/>
                <w:highlight w:val="none"/>
              </w:rPr>
            </w:pPr>
            <w:r>
              <w:rPr>
                <w:color w:val="auto"/>
                <w:szCs w:val="21"/>
                <w:highlight w:val="none"/>
              </w:rPr>
              <w:sym w:font="Wingdings 2" w:char="00A3"/>
            </w:r>
            <w:r>
              <w:rPr>
                <w:color w:val="auto"/>
                <w:szCs w:val="21"/>
                <w:highlight w:val="none"/>
              </w:rPr>
              <w:t>改建</w:t>
            </w:r>
          </w:p>
          <w:p>
            <w:pPr>
              <w:jc w:val="left"/>
              <w:rPr>
                <w:color w:val="auto"/>
                <w:szCs w:val="21"/>
                <w:highlight w:val="none"/>
              </w:rPr>
            </w:pPr>
            <w:r>
              <w:rPr>
                <w:color w:val="auto"/>
                <w:szCs w:val="21"/>
                <w:highlight w:val="none"/>
              </w:rPr>
              <w:sym w:font="Wingdings 2" w:char="00A3"/>
            </w:r>
            <w:r>
              <w:rPr>
                <w:color w:val="auto"/>
                <w:szCs w:val="21"/>
                <w:highlight w:val="none"/>
              </w:rPr>
              <w:t>扩建</w:t>
            </w:r>
          </w:p>
          <w:p>
            <w:pPr>
              <w:jc w:val="left"/>
              <w:rPr>
                <w:color w:val="auto"/>
                <w:szCs w:val="21"/>
                <w:highlight w:val="none"/>
              </w:rPr>
            </w:pPr>
            <w:r>
              <w:rPr>
                <w:color w:val="auto"/>
                <w:szCs w:val="21"/>
                <w:highlight w:val="none"/>
              </w:rPr>
              <w:sym w:font="Wingdings 2" w:char="00A3"/>
            </w:r>
            <w:r>
              <w:rPr>
                <w:color w:val="auto"/>
                <w:szCs w:val="21"/>
                <w:highlight w:val="none"/>
              </w:rPr>
              <w:t>技术改造</w:t>
            </w:r>
          </w:p>
        </w:tc>
        <w:tc>
          <w:tcPr>
            <w:tcW w:w="2274" w:type="dxa"/>
            <w:vAlign w:val="center"/>
          </w:tcPr>
          <w:p>
            <w:pPr>
              <w:adjustRightInd w:val="0"/>
              <w:snapToGrid w:val="0"/>
              <w:jc w:val="center"/>
              <w:rPr>
                <w:color w:val="auto"/>
                <w:szCs w:val="21"/>
                <w:highlight w:val="none"/>
              </w:rPr>
            </w:pPr>
            <w:r>
              <w:rPr>
                <w:color w:val="auto"/>
                <w:szCs w:val="21"/>
                <w:highlight w:val="none"/>
              </w:rPr>
              <w:t>建设项目</w:t>
            </w:r>
          </w:p>
          <w:p>
            <w:pPr>
              <w:adjustRightInd w:val="0"/>
              <w:snapToGrid w:val="0"/>
              <w:jc w:val="center"/>
              <w:rPr>
                <w:color w:val="auto"/>
                <w:szCs w:val="21"/>
                <w:highlight w:val="none"/>
              </w:rPr>
            </w:pPr>
            <w:r>
              <w:rPr>
                <w:color w:val="auto"/>
                <w:szCs w:val="21"/>
                <w:highlight w:val="none"/>
              </w:rPr>
              <w:t>申报情形</w:t>
            </w:r>
          </w:p>
        </w:tc>
        <w:tc>
          <w:tcPr>
            <w:tcW w:w="3031" w:type="dxa"/>
            <w:vAlign w:val="center"/>
          </w:tcPr>
          <w:p>
            <w:pPr>
              <w:jc w:val="left"/>
              <w:rPr>
                <w:color w:val="auto"/>
                <w:szCs w:val="21"/>
                <w:highlight w:val="none"/>
              </w:rPr>
            </w:pPr>
            <w:r>
              <w:rPr>
                <w:rFonts w:hint="eastAsia" w:ascii="MS Gothic" w:hAnsi="MS Gothic" w:eastAsia="MS Gothic" w:cs="MS Gothic"/>
                <w:color w:val="auto"/>
                <w:szCs w:val="21"/>
                <w:highlight w:val="none"/>
              </w:rPr>
              <w:t>☑</w:t>
            </w:r>
            <w:r>
              <w:rPr>
                <w:color w:val="auto"/>
                <w:szCs w:val="21"/>
                <w:highlight w:val="none"/>
              </w:rPr>
              <w:t xml:space="preserve">首次申报项目             </w:t>
            </w:r>
          </w:p>
          <w:p>
            <w:pPr>
              <w:jc w:val="left"/>
              <w:rPr>
                <w:color w:val="auto"/>
                <w:szCs w:val="21"/>
                <w:highlight w:val="none"/>
              </w:rPr>
            </w:pPr>
            <w:r>
              <w:rPr>
                <w:color w:val="auto"/>
                <w:szCs w:val="21"/>
                <w:highlight w:val="none"/>
              </w:rPr>
              <w:t>□不予批准后再次申报项目</w:t>
            </w:r>
          </w:p>
          <w:p>
            <w:pPr>
              <w:jc w:val="left"/>
              <w:rPr>
                <w:color w:val="auto"/>
                <w:szCs w:val="21"/>
                <w:highlight w:val="none"/>
              </w:rPr>
            </w:pPr>
            <w:r>
              <w:rPr>
                <w:color w:val="auto"/>
                <w:szCs w:val="21"/>
                <w:highlight w:val="none"/>
              </w:rPr>
              <w:t xml:space="preserve">□超五年重新审核项目     </w:t>
            </w:r>
          </w:p>
          <w:p>
            <w:pPr>
              <w:jc w:val="left"/>
              <w:rPr>
                <w:color w:val="auto"/>
                <w:szCs w:val="21"/>
                <w:highlight w:val="none"/>
              </w:rPr>
            </w:pPr>
            <w:r>
              <w:rPr>
                <w:color w:val="auto"/>
                <w:szCs w:val="21"/>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项目审批部门</w:t>
            </w:r>
          </w:p>
        </w:tc>
        <w:tc>
          <w:tcPr>
            <w:tcW w:w="2176" w:type="dxa"/>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张店区发展和改革局</w:t>
            </w:r>
          </w:p>
        </w:tc>
        <w:tc>
          <w:tcPr>
            <w:tcW w:w="2274" w:type="dxa"/>
            <w:vAlign w:val="center"/>
          </w:tcPr>
          <w:p>
            <w:pPr>
              <w:adjustRightInd w:val="0"/>
              <w:snapToGrid w:val="0"/>
              <w:jc w:val="center"/>
              <w:rPr>
                <w:color w:val="auto"/>
                <w:szCs w:val="21"/>
                <w:highlight w:val="none"/>
              </w:rPr>
            </w:pPr>
            <w:r>
              <w:rPr>
                <w:color w:val="auto"/>
                <w:szCs w:val="21"/>
                <w:highlight w:val="none"/>
              </w:rPr>
              <w:t>项目审批文号</w:t>
            </w:r>
          </w:p>
        </w:tc>
        <w:tc>
          <w:tcPr>
            <w:tcW w:w="3031" w:type="dxa"/>
            <w:vAlign w:val="center"/>
          </w:tcPr>
          <w:p>
            <w:pPr>
              <w:adjustRightInd w:val="0"/>
              <w:snapToGrid w:val="0"/>
              <w:jc w:val="center"/>
              <w:rPr>
                <w:color w:val="auto"/>
                <w:szCs w:val="21"/>
                <w:highlight w:val="none"/>
              </w:rPr>
            </w:pPr>
            <w:r>
              <w:rPr>
                <w:rFonts w:hint="eastAsia"/>
                <w:color w:val="auto"/>
                <w:szCs w:val="21"/>
                <w:highlight w:val="none"/>
                <w:lang w:val="en-US" w:eastAsia="zh-CN"/>
              </w:rPr>
              <w:t>张发改项审（2022）20号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总投资（万元）</w:t>
            </w:r>
          </w:p>
        </w:tc>
        <w:tc>
          <w:tcPr>
            <w:tcW w:w="2176" w:type="dxa"/>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66000</w:t>
            </w:r>
            <w:r>
              <w:rPr>
                <w:rFonts w:hint="eastAsia"/>
                <w:color w:val="auto"/>
                <w:highlight w:val="none"/>
                <w:lang w:val="en-US" w:eastAsia="zh-CN"/>
              </w:rPr>
              <w:t>.00</w:t>
            </w:r>
          </w:p>
        </w:tc>
        <w:tc>
          <w:tcPr>
            <w:tcW w:w="2274" w:type="dxa"/>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环保投资（万元）</w:t>
            </w:r>
          </w:p>
        </w:tc>
        <w:tc>
          <w:tcPr>
            <w:tcW w:w="3031" w:type="dxa"/>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89" w:type="dxa"/>
            <w:gridSpan w:val="2"/>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环保投资占比（%）</w:t>
            </w:r>
          </w:p>
        </w:tc>
        <w:tc>
          <w:tcPr>
            <w:tcW w:w="2176" w:type="dxa"/>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0.3</w:t>
            </w:r>
          </w:p>
        </w:tc>
        <w:tc>
          <w:tcPr>
            <w:tcW w:w="2274" w:type="dxa"/>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施工工期</w:t>
            </w:r>
          </w:p>
        </w:tc>
        <w:tc>
          <w:tcPr>
            <w:tcW w:w="3031" w:type="dxa"/>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389" w:type="dxa"/>
            <w:gridSpan w:val="2"/>
            <w:tcMar>
              <w:top w:w="16" w:type="dxa"/>
              <w:left w:w="16" w:type="dxa"/>
              <w:right w:w="16" w:type="dxa"/>
            </w:tcMar>
            <w:vAlign w:val="center"/>
          </w:tcPr>
          <w:p>
            <w:pPr>
              <w:adjustRightInd w:val="0"/>
              <w:snapToGrid w:val="0"/>
              <w:jc w:val="center"/>
              <w:rPr>
                <w:color w:val="auto"/>
                <w:szCs w:val="21"/>
                <w:highlight w:val="none"/>
              </w:rPr>
            </w:pPr>
            <w:r>
              <w:rPr>
                <w:color w:val="auto"/>
                <w:szCs w:val="21"/>
                <w:highlight w:val="none"/>
              </w:rPr>
              <w:t>是否开工建设</w:t>
            </w:r>
          </w:p>
        </w:tc>
        <w:tc>
          <w:tcPr>
            <w:tcW w:w="2176" w:type="dxa"/>
            <w:vAlign w:val="center"/>
          </w:tcPr>
          <w:p>
            <w:pPr>
              <w:adjustRightInd w:val="0"/>
              <w:snapToGrid w:val="0"/>
              <w:rPr>
                <w:color w:val="auto"/>
                <w:szCs w:val="21"/>
                <w:highlight w:val="none"/>
              </w:rPr>
            </w:pPr>
            <w:r>
              <w:rPr>
                <w:color w:val="auto"/>
                <w:szCs w:val="21"/>
                <w:highlight w:val="none"/>
              </w:rPr>
              <w:sym w:font="Wingdings 2" w:char="0052"/>
            </w:r>
            <w:r>
              <w:rPr>
                <w:color w:val="auto"/>
                <w:szCs w:val="21"/>
                <w:highlight w:val="none"/>
              </w:rPr>
              <w:t>否</w:t>
            </w:r>
          </w:p>
          <w:p>
            <w:pPr>
              <w:adjustRightInd w:val="0"/>
              <w:snapToGrid w:val="0"/>
              <w:rPr>
                <w:color w:val="auto"/>
                <w:szCs w:val="21"/>
                <w:highlight w:val="none"/>
              </w:rPr>
            </w:pPr>
            <w:r>
              <w:rPr>
                <w:color w:val="auto"/>
                <w:szCs w:val="21"/>
                <w:highlight w:val="none"/>
              </w:rPr>
              <w:sym w:font="Wingdings 2" w:char="00A3"/>
            </w:r>
            <w:r>
              <w:rPr>
                <w:color w:val="auto"/>
                <w:szCs w:val="21"/>
                <w:highlight w:val="none"/>
              </w:rPr>
              <w:t>是</w:t>
            </w:r>
          </w:p>
        </w:tc>
        <w:tc>
          <w:tcPr>
            <w:tcW w:w="2274" w:type="dxa"/>
            <w:tcMar>
              <w:top w:w="16" w:type="dxa"/>
              <w:left w:w="16" w:type="dxa"/>
              <w:right w:w="16" w:type="dxa"/>
            </w:tcMar>
            <w:vAlign w:val="center"/>
          </w:tcPr>
          <w:p>
            <w:pPr>
              <w:adjustRightInd w:val="0"/>
              <w:snapToGrid w:val="0"/>
              <w:jc w:val="center"/>
              <w:rPr>
                <w:color w:val="auto"/>
                <w:spacing w:val="-6"/>
                <w:szCs w:val="21"/>
                <w:highlight w:val="none"/>
              </w:rPr>
            </w:pPr>
            <w:r>
              <w:rPr>
                <w:color w:val="auto"/>
                <w:spacing w:val="-6"/>
                <w:szCs w:val="21"/>
                <w:highlight w:val="none"/>
              </w:rPr>
              <w:t>用地（用海）</w:t>
            </w:r>
          </w:p>
          <w:p>
            <w:pPr>
              <w:adjustRightInd w:val="0"/>
              <w:snapToGrid w:val="0"/>
              <w:jc w:val="center"/>
              <w:rPr>
                <w:color w:val="auto"/>
                <w:szCs w:val="21"/>
                <w:highlight w:val="none"/>
              </w:rPr>
            </w:pPr>
            <w:r>
              <w:rPr>
                <w:color w:val="auto"/>
                <w:spacing w:val="-6"/>
                <w:szCs w:val="21"/>
                <w:highlight w:val="none"/>
              </w:rPr>
              <w:t>面积（m</w:t>
            </w:r>
            <w:r>
              <w:rPr>
                <w:color w:val="auto"/>
                <w:spacing w:val="-6"/>
                <w:szCs w:val="21"/>
                <w:highlight w:val="none"/>
                <w:vertAlign w:val="superscript"/>
              </w:rPr>
              <w:t>2</w:t>
            </w:r>
            <w:r>
              <w:rPr>
                <w:color w:val="auto"/>
                <w:spacing w:val="-6"/>
                <w:szCs w:val="21"/>
                <w:highlight w:val="none"/>
              </w:rPr>
              <w:t>）</w:t>
            </w:r>
          </w:p>
        </w:tc>
        <w:tc>
          <w:tcPr>
            <w:tcW w:w="3031" w:type="dxa"/>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21815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89" w:type="dxa"/>
            <w:gridSpan w:val="2"/>
            <w:vAlign w:val="center"/>
          </w:tcPr>
          <w:p>
            <w:pPr>
              <w:autoSpaceDE w:val="0"/>
              <w:autoSpaceDN w:val="0"/>
              <w:adjustRightInd w:val="0"/>
              <w:snapToGrid w:val="0"/>
              <w:jc w:val="center"/>
              <w:rPr>
                <w:color w:val="auto"/>
                <w:kern w:val="0"/>
                <w:szCs w:val="21"/>
                <w:highlight w:val="none"/>
              </w:rPr>
            </w:pPr>
            <w:r>
              <w:rPr>
                <w:color w:val="auto"/>
                <w:kern w:val="0"/>
                <w:szCs w:val="21"/>
                <w:highlight w:val="none"/>
              </w:rPr>
              <w:t>专项评价设置情况</w:t>
            </w:r>
          </w:p>
        </w:tc>
        <w:tc>
          <w:tcPr>
            <w:tcW w:w="7481" w:type="dxa"/>
            <w:gridSpan w:val="3"/>
            <w:vAlign w:val="center"/>
          </w:tcPr>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067"/>
              <w:gridCol w:w="1985"/>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专项评价的类别</w:t>
                  </w:r>
                </w:p>
              </w:tc>
              <w:tc>
                <w:tcPr>
                  <w:tcW w:w="3067"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设置原则</w:t>
                  </w:r>
                </w:p>
              </w:tc>
              <w:tc>
                <w:tcPr>
                  <w:tcW w:w="1985"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本项目情况</w:t>
                  </w:r>
                </w:p>
              </w:tc>
              <w:tc>
                <w:tcPr>
                  <w:tcW w:w="1089"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是否设置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大气</w:t>
                  </w:r>
                </w:p>
              </w:tc>
              <w:tc>
                <w:tcPr>
                  <w:tcW w:w="3067"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排放废气含有毒有害污染物、二噁英、苯并[a]芘、氰化物、氯气且厂界外500米范围内有环境空气保护目标的建设项目</w:t>
                  </w:r>
                </w:p>
              </w:tc>
              <w:tc>
                <w:tcPr>
                  <w:tcW w:w="1985"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本项目不涉及上述特征污染物</w:t>
                  </w:r>
                </w:p>
              </w:tc>
              <w:tc>
                <w:tcPr>
                  <w:tcW w:w="1089"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地表水</w:t>
                  </w:r>
                </w:p>
              </w:tc>
              <w:tc>
                <w:tcPr>
                  <w:tcW w:w="3067"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新增工业废水直排建设项目（槽罐车外送污水处理厂的除外）；新增废水直排的污水集中处理厂</w:t>
                  </w:r>
                </w:p>
              </w:tc>
              <w:tc>
                <w:tcPr>
                  <w:tcW w:w="1985"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本项目不属于工业项目，且属于间接排放</w:t>
                  </w:r>
                </w:p>
              </w:tc>
              <w:tc>
                <w:tcPr>
                  <w:tcW w:w="1089"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环境风险</w:t>
                  </w:r>
                </w:p>
              </w:tc>
              <w:tc>
                <w:tcPr>
                  <w:tcW w:w="3067"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有毒有害和易燃易爆危险物质存储量超过临界量的建设项目</w:t>
                  </w:r>
                </w:p>
              </w:tc>
              <w:tc>
                <w:tcPr>
                  <w:tcW w:w="1985"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本项目危险物质储存量未超过临界量</w:t>
                  </w:r>
                </w:p>
              </w:tc>
              <w:tc>
                <w:tcPr>
                  <w:tcW w:w="1089"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生态</w:t>
                  </w:r>
                </w:p>
              </w:tc>
              <w:tc>
                <w:tcPr>
                  <w:tcW w:w="3067"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取水口下游500 米范围内有重要水生生物的自然产卵场、索饵场、越冬场和洄游通道的新增河道取水的污染类建设项目</w:t>
                  </w:r>
                </w:p>
              </w:tc>
              <w:tc>
                <w:tcPr>
                  <w:tcW w:w="1985"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不涉及</w:t>
                  </w:r>
                </w:p>
              </w:tc>
              <w:tc>
                <w:tcPr>
                  <w:tcW w:w="1089"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14"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海洋</w:t>
                  </w:r>
                </w:p>
              </w:tc>
              <w:tc>
                <w:tcPr>
                  <w:tcW w:w="3067"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直接向海排放污染物的海洋工程建设项目</w:t>
                  </w:r>
                </w:p>
              </w:tc>
              <w:tc>
                <w:tcPr>
                  <w:tcW w:w="1985"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不涉及</w:t>
                  </w:r>
                </w:p>
              </w:tc>
              <w:tc>
                <w:tcPr>
                  <w:tcW w:w="1089" w:type="dxa"/>
                  <w:vAlign w:val="center"/>
                </w:tcPr>
                <w:p>
                  <w:pPr>
                    <w:autoSpaceDE w:val="0"/>
                    <w:autoSpaceDN w:val="0"/>
                    <w:adjustRightInd w:val="0"/>
                    <w:snapToGrid w:val="0"/>
                    <w:jc w:val="center"/>
                    <w:rPr>
                      <w:color w:val="auto"/>
                      <w:kern w:val="0"/>
                      <w:sz w:val="18"/>
                      <w:szCs w:val="18"/>
                      <w:highlight w:val="none"/>
                    </w:rPr>
                  </w:pPr>
                  <w:r>
                    <w:rPr>
                      <w:color w:val="auto"/>
                      <w:kern w:val="0"/>
                      <w:sz w:val="18"/>
                      <w:szCs w:val="18"/>
                      <w:highlight w:val="none"/>
                    </w:rPr>
                    <w:t>否</w:t>
                  </w:r>
                </w:p>
              </w:tc>
            </w:tr>
          </w:tbl>
          <w:p>
            <w:pPr>
              <w:autoSpaceDE w:val="0"/>
              <w:autoSpaceDN w:val="0"/>
              <w:adjustRightInd w:val="0"/>
              <w:snapToGrid w:val="0"/>
              <w:jc w:val="center"/>
              <w:rPr>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389" w:type="dxa"/>
            <w:gridSpan w:val="2"/>
            <w:vAlign w:val="center"/>
          </w:tcPr>
          <w:p>
            <w:pPr>
              <w:autoSpaceDE w:val="0"/>
              <w:autoSpaceDN w:val="0"/>
              <w:adjustRightInd w:val="0"/>
              <w:snapToGrid w:val="0"/>
              <w:jc w:val="center"/>
              <w:rPr>
                <w:color w:val="auto"/>
                <w:kern w:val="0"/>
                <w:szCs w:val="21"/>
                <w:highlight w:val="none"/>
              </w:rPr>
            </w:pPr>
            <w:r>
              <w:rPr>
                <w:color w:val="auto"/>
                <w:szCs w:val="21"/>
                <w:highlight w:val="none"/>
              </w:rPr>
              <w:t>规划情况</w:t>
            </w:r>
          </w:p>
        </w:tc>
        <w:tc>
          <w:tcPr>
            <w:tcW w:w="7481" w:type="dxa"/>
            <w:gridSpan w:val="3"/>
            <w:vAlign w:val="center"/>
          </w:tcPr>
          <w:p>
            <w:pPr>
              <w:spacing w:line="360" w:lineRule="auto"/>
              <w:jc w:val="center"/>
              <w:rPr>
                <w:color w:val="auto"/>
                <w:kern w:val="0"/>
                <w:szCs w:val="21"/>
                <w:highlight w:val="none"/>
              </w:rPr>
            </w:pPr>
            <w:r>
              <w:rPr>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389" w:type="dxa"/>
            <w:gridSpan w:val="2"/>
            <w:vAlign w:val="center"/>
          </w:tcPr>
          <w:p>
            <w:pPr>
              <w:adjustRightInd w:val="0"/>
              <w:snapToGrid w:val="0"/>
              <w:jc w:val="center"/>
              <w:rPr>
                <w:color w:val="auto"/>
                <w:kern w:val="0"/>
                <w:szCs w:val="21"/>
                <w:highlight w:val="none"/>
              </w:rPr>
            </w:pPr>
            <w:r>
              <w:rPr>
                <w:color w:val="auto"/>
                <w:szCs w:val="21"/>
                <w:highlight w:val="none"/>
              </w:rPr>
              <w:t>规划环境影响评价情况</w:t>
            </w:r>
          </w:p>
        </w:tc>
        <w:tc>
          <w:tcPr>
            <w:tcW w:w="7481" w:type="dxa"/>
            <w:gridSpan w:val="3"/>
            <w:vAlign w:val="center"/>
          </w:tcPr>
          <w:p>
            <w:pPr>
              <w:autoSpaceDE w:val="0"/>
              <w:autoSpaceDN w:val="0"/>
              <w:adjustRightInd w:val="0"/>
              <w:snapToGrid w:val="0"/>
              <w:jc w:val="center"/>
              <w:rPr>
                <w:color w:val="auto"/>
                <w:kern w:val="0"/>
                <w:szCs w:val="21"/>
                <w:highlight w:val="none"/>
              </w:rPr>
            </w:pPr>
            <w:r>
              <w:rPr>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89" w:type="dxa"/>
            <w:gridSpan w:val="2"/>
            <w:vAlign w:val="center"/>
          </w:tcPr>
          <w:p>
            <w:pPr>
              <w:autoSpaceDE w:val="0"/>
              <w:autoSpaceDN w:val="0"/>
              <w:adjustRightInd w:val="0"/>
              <w:snapToGrid w:val="0"/>
              <w:jc w:val="center"/>
              <w:rPr>
                <w:color w:val="auto"/>
                <w:szCs w:val="21"/>
                <w:highlight w:val="none"/>
              </w:rPr>
            </w:pPr>
            <w:r>
              <w:rPr>
                <w:color w:val="auto"/>
                <w:kern w:val="0"/>
                <w:szCs w:val="21"/>
                <w:highlight w:val="none"/>
              </w:rPr>
              <w:t>规划及规划环境影响评价符合性分析</w:t>
            </w:r>
          </w:p>
        </w:tc>
        <w:tc>
          <w:tcPr>
            <w:tcW w:w="7481" w:type="dxa"/>
            <w:gridSpan w:val="3"/>
            <w:vAlign w:val="center"/>
          </w:tcPr>
          <w:p>
            <w:pPr>
              <w:autoSpaceDE w:val="0"/>
              <w:autoSpaceDN w:val="0"/>
              <w:adjustRightInd w:val="0"/>
              <w:snapToGrid w:val="0"/>
              <w:spacing w:line="360" w:lineRule="auto"/>
              <w:jc w:val="center"/>
              <w:rPr>
                <w:color w:val="auto"/>
                <w:kern w:val="0"/>
                <w:szCs w:val="21"/>
                <w:highlight w:val="none"/>
              </w:rPr>
            </w:pPr>
            <w:r>
              <w:rPr>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8" w:hRule="atLeast"/>
          <w:jc w:val="center"/>
        </w:trPr>
        <w:tc>
          <w:tcPr>
            <w:tcW w:w="410" w:type="dxa"/>
            <w:vAlign w:val="center"/>
          </w:tcPr>
          <w:p>
            <w:pPr>
              <w:autoSpaceDE w:val="0"/>
              <w:autoSpaceDN w:val="0"/>
              <w:adjustRightInd w:val="0"/>
              <w:snapToGrid w:val="0"/>
              <w:jc w:val="left"/>
              <w:rPr>
                <w:color w:val="auto"/>
                <w:kern w:val="0"/>
                <w:szCs w:val="21"/>
                <w:highlight w:val="none"/>
              </w:rPr>
            </w:pPr>
            <w:r>
              <w:rPr>
                <w:color w:val="auto"/>
                <w:kern w:val="0"/>
                <w:szCs w:val="21"/>
                <w:highlight w:val="none"/>
              </w:rPr>
              <w:t>其他符合性分析</w:t>
            </w:r>
          </w:p>
        </w:tc>
        <w:tc>
          <w:tcPr>
            <w:tcW w:w="8460" w:type="dxa"/>
            <w:gridSpan w:val="4"/>
            <w:vAlign w:val="center"/>
          </w:tcPr>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1、产业政策的符合性分析</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本项目属于专科医院，根据《产业结构调整指导目录（2021年修订）》，本项目属于</w:t>
            </w:r>
            <w:r>
              <w:rPr>
                <w:rFonts w:hint="eastAsia"/>
                <w:color w:val="auto"/>
                <w:kern w:val="0"/>
                <w:szCs w:val="21"/>
                <w:highlight w:val="none"/>
                <w:lang w:eastAsia="zh-CN"/>
              </w:rPr>
              <w:t>“</w:t>
            </w:r>
            <w:r>
              <w:rPr>
                <w:color w:val="auto"/>
                <w:kern w:val="0"/>
                <w:szCs w:val="21"/>
                <w:highlight w:val="none"/>
              </w:rPr>
              <w:t>鼓励类</w:t>
            </w:r>
            <w:r>
              <w:rPr>
                <w:rFonts w:hint="eastAsia"/>
                <w:color w:val="auto"/>
                <w:kern w:val="0"/>
                <w:szCs w:val="21"/>
                <w:highlight w:val="none"/>
                <w:lang w:eastAsia="zh-CN"/>
              </w:rPr>
              <w:t>”</w:t>
            </w:r>
            <w:r>
              <w:rPr>
                <w:color w:val="auto"/>
                <w:kern w:val="0"/>
                <w:szCs w:val="21"/>
                <w:highlight w:val="none"/>
              </w:rPr>
              <w:t>第三十七类</w:t>
            </w:r>
            <w:r>
              <w:rPr>
                <w:rFonts w:hint="eastAsia"/>
                <w:color w:val="auto"/>
                <w:kern w:val="0"/>
                <w:szCs w:val="21"/>
                <w:highlight w:val="none"/>
                <w:lang w:eastAsia="zh-CN"/>
              </w:rPr>
              <w:t>“</w:t>
            </w:r>
            <w:r>
              <w:rPr>
                <w:color w:val="auto"/>
                <w:kern w:val="0"/>
                <w:szCs w:val="21"/>
                <w:highlight w:val="none"/>
              </w:rPr>
              <w:t>卫生健康</w:t>
            </w:r>
            <w:r>
              <w:rPr>
                <w:rFonts w:hint="eastAsia"/>
                <w:color w:val="auto"/>
                <w:kern w:val="0"/>
                <w:szCs w:val="21"/>
                <w:highlight w:val="none"/>
                <w:lang w:eastAsia="zh-CN"/>
              </w:rPr>
              <w:t>”</w:t>
            </w:r>
            <w:r>
              <w:rPr>
                <w:color w:val="auto"/>
                <w:kern w:val="0"/>
                <w:szCs w:val="21"/>
                <w:highlight w:val="none"/>
              </w:rPr>
              <w:t>第5款</w:t>
            </w:r>
            <w:r>
              <w:rPr>
                <w:rFonts w:hint="eastAsia"/>
                <w:color w:val="auto"/>
                <w:kern w:val="0"/>
                <w:szCs w:val="21"/>
                <w:highlight w:val="none"/>
                <w:lang w:eastAsia="zh-CN"/>
              </w:rPr>
              <w:t>“</w:t>
            </w:r>
            <w:r>
              <w:rPr>
                <w:color w:val="auto"/>
                <w:kern w:val="0"/>
                <w:szCs w:val="21"/>
                <w:highlight w:val="none"/>
              </w:rPr>
              <w:t>医疗卫生服务设施建设</w:t>
            </w:r>
            <w:r>
              <w:rPr>
                <w:rFonts w:hint="eastAsia"/>
                <w:color w:val="auto"/>
                <w:kern w:val="0"/>
                <w:szCs w:val="21"/>
                <w:highlight w:val="none"/>
                <w:lang w:eastAsia="zh-CN"/>
              </w:rPr>
              <w:t>”</w:t>
            </w:r>
            <w:r>
              <w:rPr>
                <w:color w:val="auto"/>
                <w:kern w:val="0"/>
                <w:szCs w:val="21"/>
                <w:highlight w:val="none"/>
              </w:rPr>
              <w:t>，因此，本项目属于鼓励类项目，符合国家产业政策要求。</w:t>
            </w:r>
          </w:p>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2、相关规划符合性分析</w:t>
            </w:r>
          </w:p>
          <w:p>
            <w:pPr>
              <w:spacing w:line="360" w:lineRule="auto"/>
              <w:ind w:firstLine="420" w:firstLineChars="200"/>
              <w:jc w:val="left"/>
              <w:rPr>
                <w:color w:val="auto"/>
                <w:szCs w:val="21"/>
                <w:highlight w:val="none"/>
                <w:lang w:val="zh-CN"/>
              </w:rPr>
            </w:pPr>
            <w:r>
              <w:rPr>
                <w:color w:val="auto"/>
                <w:szCs w:val="21"/>
                <w:highlight w:val="none"/>
                <w:lang w:val="zh-CN"/>
              </w:rPr>
              <w:t>本项目位于</w:t>
            </w:r>
            <w:r>
              <w:rPr>
                <w:rFonts w:hint="eastAsia"/>
                <w:color w:val="auto"/>
                <w:szCs w:val="21"/>
                <w:highlight w:val="none"/>
                <w:lang w:val="zh-CN"/>
              </w:rPr>
              <w:t>淄博市张店区共青团路与原山大道交接处以东路北</w:t>
            </w:r>
            <w:r>
              <w:rPr>
                <w:color w:val="auto"/>
                <w:szCs w:val="21"/>
                <w:highlight w:val="none"/>
                <w:lang w:val="zh-CN"/>
              </w:rPr>
              <w:t>，属于</w:t>
            </w:r>
            <w:r>
              <w:rPr>
                <w:rFonts w:hint="eastAsia"/>
                <w:color w:val="auto"/>
                <w:szCs w:val="21"/>
                <w:highlight w:val="none"/>
                <w:lang w:val="zh-CN"/>
              </w:rPr>
              <w:t>专科</w:t>
            </w:r>
            <w:r>
              <w:rPr>
                <w:color w:val="auto"/>
                <w:szCs w:val="21"/>
                <w:highlight w:val="none"/>
                <w:lang w:val="zh-CN"/>
              </w:rPr>
              <w:t>医院，根据</w:t>
            </w:r>
            <w:r>
              <w:rPr>
                <w:rFonts w:hint="eastAsia"/>
                <w:color w:val="auto"/>
                <w:szCs w:val="21"/>
                <w:highlight w:val="none"/>
                <w:lang w:val="en-US" w:eastAsia="zh-CN"/>
              </w:rPr>
              <w:t>淄博市自然资源和规划局张店分局出具的《关于出具淄博口腔医院新院区建设项目符合土地利用规划和城市规划的函》（张自然规划函[2022]579号）可知项目用地规划用途为医疗卫生用地，详见附件</w:t>
            </w:r>
            <w:r>
              <w:rPr>
                <w:rFonts w:hint="eastAsia"/>
                <w:color w:val="auto"/>
                <w:szCs w:val="21"/>
                <w:highlight w:val="none"/>
                <w:lang w:val="zh-CN"/>
              </w:rPr>
              <w:t>。</w:t>
            </w:r>
          </w:p>
          <w:p>
            <w:pPr>
              <w:spacing w:line="360" w:lineRule="auto"/>
              <w:ind w:firstLine="420" w:firstLineChars="200"/>
              <w:jc w:val="left"/>
              <w:rPr>
                <w:rFonts w:hint="default" w:eastAsia="宋体"/>
                <w:b/>
                <w:color w:val="auto"/>
                <w:szCs w:val="21"/>
                <w:highlight w:val="none"/>
                <w:lang w:val="en-US" w:eastAsia="zh-CN"/>
              </w:rPr>
            </w:pPr>
            <w:r>
              <w:rPr>
                <w:rFonts w:hint="eastAsia"/>
                <w:color w:val="auto"/>
                <w:szCs w:val="21"/>
                <w:highlight w:val="none"/>
                <w:lang w:val="zh-CN"/>
              </w:rPr>
              <w:t>根据张店区土地利用总体规划（2006-2020年）可知，本项目用地性质为建设用地，符合张店区土地利用总体规划要求，具体详见附图5。</w:t>
            </w:r>
            <w:r>
              <w:rPr>
                <w:rFonts w:hint="eastAsia"/>
                <w:color w:val="auto"/>
                <w:szCs w:val="21"/>
                <w:highlight w:val="none"/>
                <w:lang w:val="en-US" w:eastAsia="zh-CN"/>
              </w:rPr>
              <w:t>根据淄博市自然资源和规划局张店分局关于《关于出具淄博市口腔医院新院区建设项目符合土地利用规划和城市规划的函》的复函（张自然规划函[2022]573号）可知项目所在地符合张店区土地利用总体规划及三区三线要求，详见附件。</w:t>
            </w:r>
          </w:p>
          <w:p>
            <w:pPr>
              <w:spacing w:line="360" w:lineRule="auto"/>
              <w:ind w:firstLine="422" w:firstLineChars="200"/>
              <w:jc w:val="left"/>
              <w:rPr>
                <w:b/>
                <w:color w:val="auto"/>
                <w:szCs w:val="21"/>
                <w:highlight w:val="none"/>
                <w:lang w:val="zh-CN"/>
              </w:rPr>
            </w:pPr>
            <w:r>
              <w:rPr>
                <w:b/>
                <w:color w:val="auto"/>
                <w:szCs w:val="21"/>
                <w:highlight w:val="none"/>
              </w:rPr>
              <w:t>3</w:t>
            </w:r>
            <w:r>
              <w:rPr>
                <w:b/>
                <w:color w:val="auto"/>
                <w:szCs w:val="21"/>
                <w:highlight w:val="none"/>
                <w:lang w:val="zh-CN"/>
              </w:rPr>
              <w:t>、项目选址合理性分析</w:t>
            </w:r>
          </w:p>
          <w:p>
            <w:pPr>
              <w:autoSpaceDE w:val="0"/>
              <w:autoSpaceDN w:val="0"/>
              <w:adjustRightInd w:val="0"/>
              <w:snapToGrid w:val="0"/>
              <w:spacing w:line="360" w:lineRule="auto"/>
              <w:ind w:firstLine="420" w:firstLineChars="200"/>
              <w:jc w:val="left"/>
              <w:rPr>
                <w:color w:val="auto"/>
                <w:kern w:val="0"/>
                <w:szCs w:val="21"/>
                <w:highlight w:val="none"/>
              </w:rPr>
            </w:pPr>
            <w:r>
              <w:rPr>
                <w:color w:val="auto"/>
                <w:szCs w:val="21"/>
                <w:highlight w:val="none"/>
                <w:lang w:val="zh-CN"/>
              </w:rPr>
              <w:t>（1）</w:t>
            </w:r>
            <w:r>
              <w:rPr>
                <w:color w:val="auto"/>
                <w:kern w:val="0"/>
                <w:szCs w:val="21"/>
                <w:highlight w:val="none"/>
              </w:rPr>
              <w:t>本项目位于</w:t>
            </w:r>
            <w:r>
              <w:rPr>
                <w:rFonts w:hint="eastAsia"/>
                <w:color w:val="auto"/>
                <w:kern w:val="0"/>
                <w:szCs w:val="21"/>
                <w:highlight w:val="none"/>
                <w:lang w:eastAsia="zh-CN"/>
              </w:rPr>
              <w:t>淄博市张店区共青团路与原山大道交接处以东路北</w:t>
            </w:r>
            <w:r>
              <w:rPr>
                <w:color w:val="auto"/>
                <w:kern w:val="0"/>
                <w:szCs w:val="21"/>
                <w:highlight w:val="none"/>
              </w:rPr>
              <w:t>，项目用地</w:t>
            </w:r>
            <w:r>
              <w:rPr>
                <w:rFonts w:hint="eastAsia"/>
                <w:color w:val="auto"/>
                <w:kern w:val="0"/>
                <w:szCs w:val="21"/>
                <w:highlight w:val="none"/>
              </w:rPr>
              <w:t>符合</w:t>
            </w:r>
            <w:r>
              <w:rPr>
                <w:color w:val="auto"/>
                <w:kern w:val="0"/>
                <w:szCs w:val="21"/>
                <w:highlight w:val="none"/>
              </w:rPr>
              <w:t>张店区土地利用总体规划要求。</w:t>
            </w:r>
          </w:p>
          <w:p>
            <w:pPr>
              <w:spacing w:line="360" w:lineRule="auto"/>
              <w:ind w:firstLine="420" w:firstLineChars="200"/>
              <w:jc w:val="left"/>
              <w:rPr>
                <w:color w:val="auto"/>
                <w:szCs w:val="21"/>
                <w:highlight w:val="none"/>
              </w:rPr>
            </w:pPr>
            <w:r>
              <w:rPr>
                <w:color w:val="auto"/>
                <w:szCs w:val="21"/>
                <w:highlight w:val="none"/>
              </w:rPr>
              <w:t>（2）本项目为医院，属于敏感目标，项目500m范围内不存在工业企业，周边均为居民生活区，不在工业企业防护距离范围内。</w:t>
            </w:r>
          </w:p>
          <w:p>
            <w:pPr>
              <w:autoSpaceDE w:val="0"/>
              <w:autoSpaceDN w:val="0"/>
              <w:adjustRightInd w:val="0"/>
              <w:snapToGrid w:val="0"/>
              <w:spacing w:line="360" w:lineRule="auto"/>
              <w:ind w:firstLine="422" w:firstLineChars="200"/>
              <w:jc w:val="left"/>
              <w:rPr>
                <w:b/>
                <w:color w:val="auto"/>
                <w:highlight w:val="none"/>
              </w:rPr>
            </w:pPr>
            <w:r>
              <w:rPr>
                <w:rFonts w:hint="eastAsia"/>
                <w:b/>
                <w:color w:val="auto"/>
                <w:highlight w:val="none"/>
                <w:lang w:val="en-US" w:eastAsia="zh-CN"/>
              </w:rPr>
              <w:t>4</w:t>
            </w:r>
            <w:r>
              <w:rPr>
                <w:b/>
                <w:color w:val="auto"/>
                <w:highlight w:val="none"/>
              </w:rPr>
              <w:t>、与</w:t>
            </w:r>
            <w:r>
              <w:rPr>
                <w:rFonts w:hint="eastAsia"/>
                <w:b/>
                <w:color w:val="auto"/>
                <w:highlight w:val="none"/>
                <w:lang w:eastAsia="zh-CN"/>
              </w:rPr>
              <w:t>“</w:t>
            </w:r>
            <w:r>
              <w:rPr>
                <w:b/>
                <w:color w:val="auto"/>
                <w:highlight w:val="none"/>
              </w:rPr>
              <w:t>三线一单</w:t>
            </w:r>
            <w:r>
              <w:rPr>
                <w:rFonts w:hint="eastAsia"/>
                <w:b/>
                <w:color w:val="auto"/>
                <w:highlight w:val="none"/>
                <w:lang w:eastAsia="zh-CN"/>
              </w:rPr>
              <w:t>”</w:t>
            </w:r>
            <w:r>
              <w:rPr>
                <w:b/>
                <w:color w:val="auto"/>
                <w:highlight w:val="none"/>
              </w:rPr>
              <w:t>符合性分析</w:t>
            </w:r>
          </w:p>
          <w:p>
            <w:pPr>
              <w:autoSpaceDE w:val="0"/>
              <w:autoSpaceDN w:val="0"/>
              <w:adjustRightInd w:val="0"/>
              <w:snapToGrid w:val="0"/>
              <w:spacing w:line="360" w:lineRule="auto"/>
              <w:ind w:firstLine="420" w:firstLineChars="200"/>
              <w:jc w:val="left"/>
              <w:rPr>
                <w:color w:val="auto"/>
                <w:highlight w:val="none"/>
              </w:rPr>
            </w:pPr>
            <w:r>
              <w:rPr>
                <w:color w:val="auto"/>
                <w:highlight w:val="none"/>
              </w:rPr>
              <w:t>根据</w:t>
            </w:r>
            <w:r>
              <w:rPr>
                <w:rFonts w:hint="eastAsia"/>
                <w:color w:val="auto"/>
                <w:highlight w:val="none"/>
              </w:rPr>
              <w:t>《关于实施</w:t>
            </w:r>
            <w:r>
              <w:rPr>
                <w:rFonts w:hint="eastAsia"/>
                <w:color w:val="auto"/>
                <w:highlight w:val="none"/>
                <w:lang w:eastAsia="zh-CN"/>
              </w:rPr>
              <w:t>“</w:t>
            </w:r>
            <w:r>
              <w:rPr>
                <w:rFonts w:hint="eastAsia"/>
                <w:color w:val="auto"/>
                <w:highlight w:val="none"/>
              </w:rPr>
              <w:t>三线一单</w:t>
            </w:r>
            <w:r>
              <w:rPr>
                <w:rFonts w:hint="eastAsia"/>
                <w:color w:val="auto"/>
                <w:highlight w:val="none"/>
                <w:lang w:eastAsia="zh-CN"/>
              </w:rPr>
              <w:t>”</w:t>
            </w:r>
            <w:r>
              <w:rPr>
                <w:rFonts w:hint="eastAsia"/>
                <w:color w:val="auto"/>
                <w:highlight w:val="none"/>
              </w:rPr>
              <w:t>生态环境分区管控的指导意见(试行)》(环环评(2021〕108号)</w:t>
            </w:r>
            <w:r>
              <w:rPr>
                <w:color w:val="auto"/>
                <w:highlight w:val="none"/>
              </w:rPr>
              <w:t>要求，</w:t>
            </w:r>
            <w:r>
              <w:rPr>
                <w:rFonts w:hint="eastAsia"/>
                <w:color w:val="auto"/>
                <w:highlight w:val="none"/>
              </w:rPr>
              <w:t>实施</w:t>
            </w:r>
            <w:r>
              <w:rPr>
                <w:rFonts w:hint="eastAsia"/>
                <w:color w:val="auto"/>
                <w:highlight w:val="none"/>
                <w:lang w:eastAsia="zh-CN"/>
              </w:rPr>
              <w:t>“</w:t>
            </w:r>
            <w:r>
              <w:rPr>
                <w:rFonts w:hint="eastAsia"/>
                <w:color w:val="auto"/>
                <w:highlight w:val="none"/>
              </w:rPr>
              <w:t>三线一单</w:t>
            </w:r>
            <w:r>
              <w:rPr>
                <w:rFonts w:hint="eastAsia"/>
                <w:color w:val="auto"/>
                <w:highlight w:val="none"/>
                <w:lang w:eastAsia="zh-CN"/>
              </w:rPr>
              <w:t>”</w:t>
            </w:r>
            <w:r>
              <w:rPr>
                <w:rFonts w:hint="eastAsia"/>
                <w:color w:val="auto"/>
                <w:highlight w:val="none"/>
              </w:rPr>
              <w:t>（生态保护红线、环境质量底线、资源利用上线和生态环境准入清单）生态环境分区管控制度，分析内容具体如下：</w:t>
            </w:r>
          </w:p>
          <w:p>
            <w:pPr>
              <w:autoSpaceDE w:val="0"/>
              <w:autoSpaceDN w:val="0"/>
              <w:adjustRightInd w:val="0"/>
              <w:snapToGrid w:val="0"/>
              <w:spacing w:line="360" w:lineRule="auto"/>
              <w:ind w:firstLine="420" w:firstLineChars="200"/>
              <w:jc w:val="left"/>
              <w:rPr>
                <w:color w:val="auto"/>
                <w:highlight w:val="none"/>
              </w:rPr>
            </w:pPr>
            <w:r>
              <w:rPr>
                <w:color w:val="auto"/>
                <w:highlight w:val="none"/>
              </w:rPr>
              <w:t>（1）生态保护红线符合性判定</w:t>
            </w:r>
          </w:p>
          <w:p>
            <w:pPr>
              <w:autoSpaceDE w:val="0"/>
              <w:autoSpaceDN w:val="0"/>
              <w:adjustRightInd w:val="0"/>
              <w:spacing w:line="360" w:lineRule="auto"/>
              <w:ind w:firstLine="420" w:firstLineChars="200"/>
              <w:rPr>
                <w:color w:val="auto"/>
                <w:kern w:val="0"/>
                <w:szCs w:val="21"/>
                <w:highlight w:val="none"/>
              </w:rPr>
            </w:pPr>
            <w:r>
              <w:rPr>
                <w:color w:val="auto"/>
                <w:kern w:val="0"/>
                <w:szCs w:val="21"/>
                <w:highlight w:val="none"/>
              </w:rPr>
              <w:t>根据《山东省生态保护红线规划（2016-2020 年）》，规划将省级及以上自然保护区、风景名胜区、湿地公园、森林公园、地质公园以及世界文化自然遗产的全部区域纳入生态保护红线。</w:t>
            </w:r>
          </w:p>
          <w:p>
            <w:pPr>
              <w:autoSpaceDE w:val="0"/>
              <w:autoSpaceDN w:val="0"/>
              <w:adjustRightInd w:val="0"/>
              <w:spacing w:line="360" w:lineRule="auto"/>
              <w:ind w:firstLine="420" w:firstLineChars="200"/>
              <w:rPr>
                <w:color w:val="auto"/>
                <w:kern w:val="0"/>
                <w:szCs w:val="21"/>
                <w:highlight w:val="none"/>
              </w:rPr>
            </w:pPr>
            <w:r>
              <w:rPr>
                <w:color w:val="auto"/>
                <w:kern w:val="0"/>
                <w:szCs w:val="21"/>
                <w:highlight w:val="none"/>
              </w:rPr>
              <w:t>张店区生态保护红线区为四宝山以西生物多样性维护生态保护红线区，具体范围见表1-1</w:t>
            </w:r>
            <w:r>
              <w:rPr>
                <w:color w:val="auto"/>
                <w:kern w:val="0"/>
                <w:szCs w:val="21"/>
                <w:highlight w:val="none"/>
                <w:lang w:val="zh-CN"/>
              </w:rPr>
              <w:t>。</w:t>
            </w:r>
          </w:p>
          <w:p>
            <w:pPr>
              <w:autoSpaceDE w:val="0"/>
              <w:autoSpaceDN w:val="0"/>
              <w:adjustRightInd w:val="0"/>
              <w:snapToGrid w:val="0"/>
              <w:jc w:val="center"/>
              <w:rPr>
                <w:b/>
                <w:bCs/>
                <w:color w:val="auto"/>
                <w:kern w:val="0"/>
                <w:szCs w:val="21"/>
                <w:highlight w:val="none"/>
                <w:lang w:val="zh-CN"/>
              </w:rPr>
            </w:pPr>
          </w:p>
          <w:p>
            <w:pPr>
              <w:autoSpaceDE w:val="0"/>
              <w:autoSpaceDN w:val="0"/>
              <w:adjustRightInd w:val="0"/>
              <w:snapToGrid w:val="0"/>
              <w:jc w:val="center"/>
              <w:rPr>
                <w:b/>
                <w:bCs/>
                <w:color w:val="auto"/>
                <w:kern w:val="0"/>
                <w:szCs w:val="21"/>
                <w:highlight w:val="none"/>
                <w:lang w:val="zh-CN"/>
              </w:rPr>
            </w:pPr>
            <w:r>
              <w:rPr>
                <w:b/>
                <w:bCs/>
                <w:color w:val="auto"/>
                <w:kern w:val="0"/>
                <w:szCs w:val="21"/>
                <w:highlight w:val="none"/>
                <w:lang w:val="zh-CN"/>
              </w:rPr>
              <w:t>表</w:t>
            </w:r>
            <w:r>
              <w:rPr>
                <w:b/>
                <w:bCs/>
                <w:color w:val="auto"/>
                <w:kern w:val="0"/>
                <w:szCs w:val="21"/>
                <w:highlight w:val="none"/>
              </w:rPr>
              <w:t>1-1</w:t>
            </w:r>
            <w:r>
              <w:rPr>
                <w:b/>
                <w:bCs/>
                <w:color w:val="auto"/>
                <w:kern w:val="0"/>
                <w:szCs w:val="21"/>
                <w:highlight w:val="none"/>
                <w:lang w:val="zh-CN"/>
              </w:rPr>
              <w:t xml:space="preserve">  生态保护红线区具体范围一览表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275"/>
              <w:gridCol w:w="851"/>
              <w:gridCol w:w="1276"/>
              <w:gridCol w:w="708"/>
              <w:gridCol w:w="993"/>
              <w:gridCol w:w="85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pct"/>
                  <w:vAlign w:val="center"/>
                </w:tcPr>
                <w:p>
                  <w:pPr>
                    <w:jc w:val="center"/>
                    <w:rPr>
                      <w:color w:val="auto"/>
                      <w:sz w:val="18"/>
                      <w:szCs w:val="18"/>
                      <w:highlight w:val="none"/>
                    </w:rPr>
                  </w:pPr>
                  <w:r>
                    <w:rPr>
                      <w:b/>
                      <w:bCs/>
                      <w:color w:val="auto"/>
                      <w:sz w:val="18"/>
                      <w:szCs w:val="18"/>
                      <w:highlight w:val="none"/>
                    </w:rPr>
                    <w:t>生态保护红线区名称</w:t>
                  </w:r>
                </w:p>
              </w:tc>
              <w:tc>
                <w:tcPr>
                  <w:tcW w:w="774" w:type="pct"/>
                  <w:vAlign w:val="center"/>
                </w:tcPr>
                <w:p>
                  <w:pPr>
                    <w:jc w:val="center"/>
                    <w:rPr>
                      <w:color w:val="auto"/>
                      <w:sz w:val="18"/>
                      <w:szCs w:val="18"/>
                      <w:highlight w:val="none"/>
                    </w:rPr>
                  </w:pPr>
                  <w:r>
                    <w:rPr>
                      <w:b/>
                      <w:bCs/>
                      <w:color w:val="auto"/>
                      <w:sz w:val="18"/>
                      <w:szCs w:val="18"/>
                      <w:highlight w:val="none"/>
                    </w:rPr>
                    <w:t>代码</w:t>
                  </w:r>
                </w:p>
              </w:tc>
              <w:tc>
                <w:tcPr>
                  <w:tcW w:w="517" w:type="pct"/>
                  <w:vAlign w:val="center"/>
                </w:tcPr>
                <w:p>
                  <w:pPr>
                    <w:jc w:val="center"/>
                    <w:rPr>
                      <w:color w:val="auto"/>
                      <w:sz w:val="18"/>
                      <w:szCs w:val="18"/>
                      <w:highlight w:val="none"/>
                    </w:rPr>
                  </w:pPr>
                  <w:r>
                    <w:rPr>
                      <w:b/>
                      <w:bCs/>
                      <w:color w:val="auto"/>
                      <w:sz w:val="18"/>
                      <w:szCs w:val="18"/>
                      <w:highlight w:val="none"/>
                    </w:rPr>
                    <w:t>所在行政区域</w:t>
                  </w:r>
                </w:p>
              </w:tc>
              <w:tc>
                <w:tcPr>
                  <w:tcW w:w="775" w:type="pct"/>
                  <w:vAlign w:val="center"/>
                </w:tcPr>
                <w:p>
                  <w:pPr>
                    <w:jc w:val="center"/>
                    <w:rPr>
                      <w:color w:val="auto"/>
                      <w:sz w:val="18"/>
                      <w:szCs w:val="18"/>
                      <w:highlight w:val="none"/>
                    </w:rPr>
                  </w:pPr>
                  <w:r>
                    <w:rPr>
                      <w:b/>
                      <w:bCs/>
                      <w:color w:val="auto"/>
                      <w:sz w:val="18"/>
                      <w:szCs w:val="18"/>
                      <w:highlight w:val="none"/>
                    </w:rPr>
                    <w:t>边界描述</w:t>
                  </w:r>
                </w:p>
              </w:tc>
              <w:tc>
                <w:tcPr>
                  <w:tcW w:w="430" w:type="pct"/>
                  <w:vAlign w:val="center"/>
                </w:tcPr>
                <w:p>
                  <w:pPr>
                    <w:jc w:val="center"/>
                    <w:rPr>
                      <w:color w:val="auto"/>
                      <w:sz w:val="18"/>
                      <w:szCs w:val="18"/>
                      <w:highlight w:val="none"/>
                    </w:rPr>
                  </w:pPr>
                  <w:r>
                    <w:rPr>
                      <w:b/>
                      <w:bCs/>
                      <w:color w:val="auto"/>
                      <w:sz w:val="18"/>
                      <w:szCs w:val="18"/>
                      <w:highlight w:val="none"/>
                    </w:rPr>
                    <w:t>面积(km</w:t>
                  </w:r>
                  <w:r>
                    <w:rPr>
                      <w:b/>
                      <w:bCs/>
                      <w:color w:val="auto"/>
                      <w:sz w:val="18"/>
                      <w:szCs w:val="18"/>
                      <w:highlight w:val="none"/>
                      <w:vertAlign w:val="superscript"/>
                    </w:rPr>
                    <w:t>2</w:t>
                  </w:r>
                  <w:r>
                    <w:rPr>
                      <w:b/>
                      <w:bCs/>
                      <w:color w:val="auto"/>
                      <w:sz w:val="18"/>
                      <w:szCs w:val="18"/>
                      <w:highlight w:val="none"/>
                    </w:rPr>
                    <w:t>)</w:t>
                  </w:r>
                </w:p>
              </w:tc>
              <w:tc>
                <w:tcPr>
                  <w:tcW w:w="603" w:type="pct"/>
                  <w:vAlign w:val="center"/>
                </w:tcPr>
                <w:p>
                  <w:pPr>
                    <w:jc w:val="center"/>
                    <w:rPr>
                      <w:color w:val="auto"/>
                      <w:sz w:val="18"/>
                      <w:szCs w:val="18"/>
                      <w:highlight w:val="none"/>
                    </w:rPr>
                  </w:pPr>
                  <w:r>
                    <w:rPr>
                      <w:b/>
                      <w:bCs/>
                      <w:color w:val="auto"/>
                      <w:sz w:val="18"/>
                      <w:szCs w:val="18"/>
                      <w:highlight w:val="none"/>
                    </w:rPr>
                    <w:t>生态功能</w:t>
                  </w:r>
                </w:p>
              </w:tc>
              <w:tc>
                <w:tcPr>
                  <w:tcW w:w="516" w:type="pct"/>
                  <w:vAlign w:val="center"/>
                </w:tcPr>
                <w:p>
                  <w:pPr>
                    <w:jc w:val="center"/>
                    <w:rPr>
                      <w:color w:val="auto"/>
                      <w:sz w:val="18"/>
                      <w:szCs w:val="18"/>
                      <w:highlight w:val="none"/>
                    </w:rPr>
                  </w:pPr>
                  <w:r>
                    <w:rPr>
                      <w:b/>
                      <w:bCs/>
                      <w:color w:val="auto"/>
                      <w:sz w:val="18"/>
                      <w:szCs w:val="18"/>
                      <w:highlight w:val="none"/>
                    </w:rPr>
                    <w:t>类型</w:t>
                  </w:r>
                </w:p>
              </w:tc>
              <w:tc>
                <w:tcPr>
                  <w:tcW w:w="403" w:type="pct"/>
                  <w:vAlign w:val="center"/>
                </w:tcPr>
                <w:p>
                  <w:pPr>
                    <w:jc w:val="center"/>
                    <w:rPr>
                      <w:color w:val="auto"/>
                      <w:sz w:val="18"/>
                      <w:szCs w:val="18"/>
                      <w:highlight w:val="none"/>
                    </w:rPr>
                  </w:pPr>
                  <w:r>
                    <w:rPr>
                      <w:b/>
                      <w:bCs/>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2" w:type="pct"/>
                  <w:vAlign w:val="center"/>
                </w:tcPr>
                <w:p>
                  <w:pPr>
                    <w:pStyle w:val="55"/>
                    <w:spacing w:before="24" w:after="24"/>
                    <w:ind w:left="67"/>
                    <w:rPr>
                      <w:rFonts w:ascii="Times New Roman"/>
                      <w:color w:val="auto"/>
                      <w:sz w:val="18"/>
                      <w:szCs w:val="18"/>
                      <w:highlight w:val="none"/>
                    </w:rPr>
                  </w:pPr>
                  <w:r>
                    <w:rPr>
                      <w:rFonts w:ascii="Times New Roman"/>
                      <w:color w:val="auto"/>
                      <w:sz w:val="18"/>
                      <w:szCs w:val="18"/>
                      <w:highlight w:val="none"/>
                    </w:rPr>
                    <w:t>四宝山以西生物多样性维护生态保护红线区</w:t>
                  </w:r>
                </w:p>
              </w:tc>
              <w:tc>
                <w:tcPr>
                  <w:tcW w:w="774" w:type="pct"/>
                  <w:vAlign w:val="center"/>
                </w:tcPr>
                <w:p>
                  <w:pPr>
                    <w:pStyle w:val="55"/>
                    <w:spacing w:before="24" w:after="24"/>
                    <w:ind w:left="67"/>
                    <w:rPr>
                      <w:rFonts w:ascii="Times New Roman"/>
                      <w:color w:val="auto"/>
                      <w:sz w:val="18"/>
                      <w:szCs w:val="18"/>
                      <w:highlight w:val="none"/>
                    </w:rPr>
                  </w:pPr>
                  <w:r>
                    <w:rPr>
                      <w:rFonts w:ascii="Times New Roman"/>
                      <w:color w:val="auto"/>
                      <w:sz w:val="18"/>
                      <w:szCs w:val="18"/>
                      <w:highlight w:val="none"/>
                    </w:rPr>
                    <w:t>SD-03-B4-03</w:t>
                  </w:r>
                </w:p>
              </w:tc>
              <w:tc>
                <w:tcPr>
                  <w:tcW w:w="517" w:type="pct"/>
                  <w:vAlign w:val="center"/>
                </w:tcPr>
                <w:p>
                  <w:pPr>
                    <w:pStyle w:val="55"/>
                    <w:spacing w:before="24" w:after="24"/>
                    <w:rPr>
                      <w:rFonts w:ascii="Times New Roman"/>
                      <w:color w:val="auto"/>
                      <w:sz w:val="18"/>
                      <w:szCs w:val="18"/>
                      <w:highlight w:val="none"/>
                    </w:rPr>
                  </w:pPr>
                  <w:r>
                    <w:rPr>
                      <w:rFonts w:ascii="Times New Roman"/>
                      <w:color w:val="auto"/>
                      <w:sz w:val="18"/>
                      <w:szCs w:val="18"/>
                      <w:highlight w:val="none"/>
                    </w:rPr>
                    <w:t>张店区、高新区</w:t>
                  </w:r>
                </w:p>
              </w:tc>
              <w:tc>
                <w:tcPr>
                  <w:tcW w:w="775" w:type="pct"/>
                  <w:vAlign w:val="center"/>
                </w:tcPr>
                <w:p>
                  <w:pPr>
                    <w:pStyle w:val="55"/>
                    <w:spacing w:before="24" w:after="24"/>
                    <w:rPr>
                      <w:rFonts w:ascii="Times New Roman"/>
                      <w:color w:val="auto"/>
                      <w:sz w:val="18"/>
                      <w:szCs w:val="18"/>
                      <w:highlight w:val="none"/>
                    </w:rPr>
                  </w:pPr>
                  <w:r>
                    <w:rPr>
                      <w:rFonts w:ascii="Times New Roman"/>
                      <w:color w:val="auto"/>
                      <w:sz w:val="18"/>
                      <w:szCs w:val="18"/>
                      <w:highlight w:val="none"/>
                    </w:rPr>
                    <w:t>龙泉山庄西北、四宝山环山路以南、化工设备厂以东。</w:t>
                  </w:r>
                </w:p>
              </w:tc>
              <w:tc>
                <w:tcPr>
                  <w:tcW w:w="430" w:type="pct"/>
                  <w:vAlign w:val="center"/>
                </w:tcPr>
                <w:p>
                  <w:pPr>
                    <w:pStyle w:val="55"/>
                    <w:spacing w:before="24" w:after="24"/>
                    <w:rPr>
                      <w:rFonts w:ascii="Times New Roman"/>
                      <w:color w:val="auto"/>
                      <w:sz w:val="18"/>
                      <w:szCs w:val="18"/>
                      <w:highlight w:val="none"/>
                    </w:rPr>
                  </w:pPr>
                  <w:r>
                    <w:rPr>
                      <w:rFonts w:ascii="Times New Roman"/>
                      <w:color w:val="auto"/>
                      <w:sz w:val="18"/>
                      <w:szCs w:val="18"/>
                      <w:highlight w:val="none"/>
                    </w:rPr>
                    <w:t>1.21</w:t>
                  </w:r>
                </w:p>
              </w:tc>
              <w:tc>
                <w:tcPr>
                  <w:tcW w:w="603" w:type="pct"/>
                  <w:vAlign w:val="center"/>
                </w:tcPr>
                <w:p>
                  <w:pPr>
                    <w:pStyle w:val="55"/>
                    <w:spacing w:before="24" w:after="24"/>
                    <w:rPr>
                      <w:rFonts w:ascii="Times New Roman"/>
                      <w:color w:val="auto"/>
                      <w:sz w:val="18"/>
                      <w:szCs w:val="18"/>
                      <w:highlight w:val="none"/>
                    </w:rPr>
                  </w:pPr>
                  <w:r>
                    <w:rPr>
                      <w:rFonts w:ascii="Times New Roman"/>
                      <w:color w:val="auto"/>
                      <w:sz w:val="18"/>
                      <w:szCs w:val="18"/>
                      <w:highlight w:val="none"/>
                    </w:rPr>
                    <w:t>水源涵养、生物多样性维护</w:t>
                  </w:r>
                </w:p>
              </w:tc>
              <w:tc>
                <w:tcPr>
                  <w:tcW w:w="516" w:type="pct"/>
                  <w:vAlign w:val="center"/>
                </w:tcPr>
                <w:p>
                  <w:pPr>
                    <w:pStyle w:val="55"/>
                    <w:spacing w:before="24" w:after="24"/>
                    <w:ind w:left="67"/>
                    <w:rPr>
                      <w:rFonts w:ascii="Times New Roman"/>
                      <w:color w:val="auto"/>
                      <w:sz w:val="18"/>
                      <w:szCs w:val="18"/>
                      <w:highlight w:val="none"/>
                    </w:rPr>
                  </w:pPr>
                  <w:r>
                    <w:rPr>
                      <w:rFonts w:ascii="Times New Roman"/>
                      <w:color w:val="auto"/>
                      <w:sz w:val="18"/>
                      <w:szCs w:val="18"/>
                      <w:highlight w:val="none"/>
                    </w:rPr>
                    <w:t>森林、草地</w:t>
                  </w:r>
                </w:p>
              </w:tc>
              <w:tc>
                <w:tcPr>
                  <w:tcW w:w="403" w:type="pct"/>
                  <w:vAlign w:val="center"/>
                </w:tcPr>
                <w:p>
                  <w:pPr>
                    <w:pStyle w:val="55"/>
                    <w:spacing w:before="24" w:after="24"/>
                    <w:rPr>
                      <w:rFonts w:ascii="Times New Roman"/>
                      <w:color w:val="auto"/>
                      <w:sz w:val="18"/>
                      <w:szCs w:val="18"/>
                      <w:highlight w:val="none"/>
                    </w:rPr>
                  </w:pPr>
                  <w:r>
                    <w:rPr>
                      <w:rFonts w:ascii="Times New Roman"/>
                      <w:color w:val="auto"/>
                      <w:sz w:val="18"/>
                      <w:szCs w:val="18"/>
                      <w:highlight w:val="none"/>
                    </w:rPr>
                    <w:t>/</w:t>
                  </w:r>
                </w:p>
              </w:tc>
            </w:tr>
          </w:tbl>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本项目位于</w:t>
            </w:r>
            <w:r>
              <w:rPr>
                <w:rFonts w:hint="eastAsia"/>
                <w:color w:val="auto"/>
                <w:kern w:val="0"/>
                <w:szCs w:val="21"/>
                <w:highlight w:val="none"/>
                <w:lang w:eastAsia="zh-CN"/>
              </w:rPr>
              <w:t>淄博市张店区共青团路与原山大道交接处以东路北</w:t>
            </w:r>
            <w:r>
              <w:rPr>
                <w:color w:val="auto"/>
                <w:kern w:val="0"/>
                <w:szCs w:val="21"/>
                <w:highlight w:val="none"/>
              </w:rPr>
              <w:t>，四宝山以西生物多样性维护生态保护红线区位于项目区东北侧</w:t>
            </w:r>
            <w:r>
              <w:rPr>
                <w:rFonts w:hint="eastAsia"/>
                <w:color w:val="auto"/>
                <w:kern w:val="0"/>
                <w:szCs w:val="21"/>
                <w:highlight w:val="none"/>
                <w:lang w:val="en-US" w:eastAsia="zh-CN"/>
              </w:rPr>
              <w:t>11.07</w:t>
            </w:r>
            <w:r>
              <w:rPr>
                <w:color w:val="auto"/>
                <w:kern w:val="0"/>
                <w:szCs w:val="21"/>
                <w:highlight w:val="none"/>
              </w:rPr>
              <w:t>km处，项目所在区域无生态保护红线区，不涉及占用或穿越生态保护红线，本项目与生态保护红线区位置关系图见附图6。</w:t>
            </w:r>
          </w:p>
          <w:p>
            <w:pPr>
              <w:autoSpaceDE w:val="0"/>
              <w:autoSpaceDN w:val="0"/>
              <w:adjustRightInd w:val="0"/>
              <w:snapToGrid w:val="0"/>
              <w:spacing w:line="360" w:lineRule="auto"/>
              <w:ind w:firstLine="420" w:firstLineChars="200"/>
              <w:jc w:val="left"/>
              <w:rPr>
                <w:color w:val="auto"/>
                <w:highlight w:val="none"/>
              </w:rPr>
            </w:pPr>
            <w:r>
              <w:rPr>
                <w:color w:val="auto"/>
                <w:highlight w:val="none"/>
              </w:rPr>
              <w:t>（2）环境质量底线符合性判定</w:t>
            </w:r>
          </w:p>
          <w:p>
            <w:pPr>
              <w:autoSpaceDE w:val="0"/>
              <w:autoSpaceDN w:val="0"/>
              <w:adjustRightInd w:val="0"/>
              <w:spacing w:line="360" w:lineRule="auto"/>
              <w:ind w:firstLine="420" w:firstLineChars="200"/>
              <w:rPr>
                <w:color w:val="auto"/>
                <w:highlight w:val="none"/>
              </w:rPr>
            </w:pPr>
            <w:r>
              <w:rPr>
                <w:bCs/>
                <w:color w:val="auto"/>
                <w:szCs w:val="21"/>
                <w:highlight w:val="none"/>
              </w:rPr>
              <w:t>环境质量底线是指国家和地方设置的大气、水环境质量目标，也是改善环境质量的基准线。根据</w:t>
            </w:r>
            <w:r>
              <w:rPr>
                <w:color w:val="auto"/>
                <w:szCs w:val="21"/>
                <w:highlight w:val="none"/>
              </w:rPr>
              <w:t>《生态淄博建设工作简报》（202</w:t>
            </w:r>
            <w:r>
              <w:rPr>
                <w:rFonts w:hint="eastAsia"/>
                <w:color w:val="auto"/>
                <w:szCs w:val="21"/>
                <w:highlight w:val="none"/>
                <w:lang w:val="en-US" w:eastAsia="zh-CN"/>
              </w:rPr>
              <w:t>3</w:t>
            </w:r>
            <w:r>
              <w:rPr>
                <w:color w:val="auto"/>
                <w:szCs w:val="21"/>
                <w:highlight w:val="none"/>
              </w:rPr>
              <w:t>年第</w:t>
            </w:r>
            <w:r>
              <w:rPr>
                <w:rFonts w:hint="eastAsia"/>
                <w:color w:val="auto"/>
                <w:szCs w:val="21"/>
                <w:highlight w:val="none"/>
                <w:lang w:val="en-US" w:eastAsia="zh-CN"/>
              </w:rPr>
              <w:t>1</w:t>
            </w:r>
            <w:r>
              <w:rPr>
                <w:color w:val="auto"/>
                <w:szCs w:val="21"/>
                <w:highlight w:val="none"/>
              </w:rPr>
              <w:t>期）</w:t>
            </w:r>
            <w:r>
              <w:rPr>
                <w:bCs/>
                <w:color w:val="auto"/>
                <w:szCs w:val="21"/>
                <w:highlight w:val="none"/>
              </w:rPr>
              <w:t>，</w:t>
            </w:r>
            <w:r>
              <w:rPr>
                <w:color w:val="auto"/>
                <w:szCs w:val="21"/>
                <w:highlight w:val="none"/>
              </w:rPr>
              <w:t>项目区域环境空气质量不能满足《环境空气质量标准》(GB3095-2012)二级标准要求</w:t>
            </w:r>
            <w:r>
              <w:rPr>
                <w:bCs/>
                <w:color w:val="auto"/>
                <w:szCs w:val="21"/>
                <w:highlight w:val="none"/>
              </w:rPr>
              <w:t>；声环境质量满足</w:t>
            </w:r>
            <w:r>
              <w:rPr>
                <w:color w:val="auto"/>
                <w:szCs w:val="21"/>
                <w:highlight w:val="none"/>
              </w:rPr>
              <w:t>《声环境质量标准》(GB3096-2008)中的1类区标准；</w:t>
            </w:r>
            <w:r>
              <w:rPr>
                <w:bCs/>
                <w:color w:val="auto"/>
                <w:szCs w:val="21"/>
                <w:highlight w:val="none"/>
              </w:rPr>
              <w:t>地表水质量满足</w:t>
            </w:r>
            <w:r>
              <w:rPr>
                <w:color w:val="auto"/>
                <w:szCs w:val="21"/>
                <w:highlight w:val="none"/>
              </w:rPr>
              <w:t>《地表水环境质量标准》（GB3838-2002）中</w:t>
            </w:r>
            <w:r>
              <w:rPr>
                <w:rFonts w:hint="eastAsia"/>
                <w:color w:val="auto"/>
                <w:szCs w:val="21"/>
                <w:highlight w:val="none"/>
              </w:rPr>
              <w:t>Ⅴ</w:t>
            </w:r>
            <w:r>
              <w:rPr>
                <w:color w:val="auto"/>
                <w:szCs w:val="21"/>
                <w:highlight w:val="none"/>
              </w:rPr>
              <w:t>类标准</w:t>
            </w:r>
            <w:r>
              <w:rPr>
                <w:bCs/>
                <w:color w:val="auto"/>
                <w:szCs w:val="21"/>
                <w:highlight w:val="none"/>
              </w:rPr>
              <w:t>；地下水质量满足</w:t>
            </w:r>
            <w:r>
              <w:rPr>
                <w:color w:val="auto"/>
                <w:szCs w:val="21"/>
                <w:highlight w:val="none"/>
              </w:rPr>
              <w:t>《地下水质量标准》（GB/T14848-2017）Ⅲ类标准。</w:t>
            </w:r>
          </w:p>
          <w:p>
            <w:pPr>
              <w:autoSpaceDE w:val="0"/>
              <w:autoSpaceDN w:val="0"/>
              <w:adjustRightInd w:val="0"/>
              <w:snapToGrid w:val="0"/>
              <w:spacing w:line="360" w:lineRule="auto"/>
              <w:ind w:firstLine="420" w:firstLineChars="200"/>
              <w:jc w:val="left"/>
              <w:rPr>
                <w:color w:val="auto"/>
                <w:highlight w:val="none"/>
              </w:rPr>
            </w:pPr>
            <w:r>
              <w:rPr>
                <w:color w:val="auto"/>
                <w:highlight w:val="none"/>
              </w:rPr>
              <w:t>本项目运行过程中废气、废水、噪声经处理后满足相应标准，不会加重对环境质量的不利影响，同时，项目产生的固体废物均能妥善处置，对周围环境影响较小，项目建设符合环境质量底线要求。</w:t>
            </w:r>
          </w:p>
          <w:p>
            <w:pPr>
              <w:autoSpaceDE w:val="0"/>
              <w:autoSpaceDN w:val="0"/>
              <w:adjustRightInd w:val="0"/>
              <w:snapToGrid w:val="0"/>
              <w:spacing w:line="360" w:lineRule="auto"/>
              <w:ind w:firstLine="420" w:firstLineChars="200"/>
              <w:jc w:val="left"/>
              <w:rPr>
                <w:color w:val="auto"/>
                <w:highlight w:val="none"/>
              </w:rPr>
            </w:pPr>
            <w:r>
              <w:rPr>
                <w:color w:val="auto"/>
                <w:highlight w:val="none"/>
              </w:rPr>
              <w:t>（3）资源利用上线符合性判定</w:t>
            </w:r>
          </w:p>
          <w:p>
            <w:pPr>
              <w:autoSpaceDE w:val="0"/>
              <w:autoSpaceDN w:val="0"/>
              <w:adjustRightInd w:val="0"/>
              <w:snapToGrid w:val="0"/>
              <w:spacing w:line="360" w:lineRule="auto"/>
              <w:ind w:firstLine="420" w:firstLineChars="200"/>
              <w:jc w:val="left"/>
              <w:rPr>
                <w:color w:val="auto"/>
                <w:highlight w:val="none"/>
              </w:rPr>
            </w:pPr>
            <w:r>
              <w:rPr>
                <w:color w:val="auto"/>
                <w:highlight w:val="none"/>
              </w:rPr>
              <w:t>资源是环境的载体，资源利用上线是各地区能源、水、土地等资源消耗不得突破的</w:t>
            </w:r>
            <w:r>
              <w:rPr>
                <w:rFonts w:hint="eastAsia"/>
                <w:color w:val="auto"/>
                <w:highlight w:val="none"/>
                <w:lang w:eastAsia="zh-CN"/>
              </w:rPr>
              <w:t>“</w:t>
            </w:r>
            <w:r>
              <w:rPr>
                <w:color w:val="auto"/>
                <w:highlight w:val="none"/>
              </w:rPr>
              <w:t>天花板</w:t>
            </w:r>
            <w:r>
              <w:rPr>
                <w:rFonts w:hint="eastAsia"/>
                <w:color w:val="auto"/>
                <w:highlight w:val="none"/>
                <w:lang w:eastAsia="zh-CN"/>
              </w:rPr>
              <w:t>”</w:t>
            </w:r>
            <w:r>
              <w:rPr>
                <w:color w:val="auto"/>
                <w:highlight w:val="none"/>
              </w:rPr>
              <w:t>。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autoSpaceDE w:val="0"/>
              <w:autoSpaceDN w:val="0"/>
              <w:adjustRightInd w:val="0"/>
              <w:snapToGrid w:val="0"/>
              <w:spacing w:line="360" w:lineRule="auto"/>
              <w:ind w:firstLine="420" w:firstLineChars="200"/>
              <w:jc w:val="left"/>
              <w:rPr>
                <w:color w:val="auto"/>
                <w:highlight w:val="none"/>
              </w:rPr>
            </w:pPr>
            <w:r>
              <w:rPr>
                <w:color w:val="auto"/>
                <w:highlight w:val="none"/>
              </w:rPr>
              <w:t>项目资源消耗较少，</w:t>
            </w:r>
            <w:r>
              <w:rPr>
                <w:rFonts w:hint="eastAsia"/>
                <w:color w:val="auto"/>
                <w:highlight w:val="none"/>
                <w:lang w:val="en-US" w:eastAsia="zh-CN"/>
              </w:rPr>
              <w:t>主要能源为电能，食堂使用少量天然气以及院区日常用水</w:t>
            </w:r>
            <w:r>
              <w:rPr>
                <w:color w:val="auto"/>
                <w:highlight w:val="none"/>
              </w:rPr>
              <w:t>产生的固体废物量不大，且得到有效妥善的处置，因此项目整体资源消耗不大，不会对当地的资源产生明显的影响，不会触及当地资源分配的上线，项目建设在资源利用上是合理的。</w:t>
            </w:r>
          </w:p>
          <w:p>
            <w:pPr>
              <w:autoSpaceDE w:val="0"/>
              <w:autoSpaceDN w:val="0"/>
              <w:adjustRightInd w:val="0"/>
              <w:snapToGrid w:val="0"/>
              <w:spacing w:line="360" w:lineRule="auto"/>
              <w:ind w:firstLine="420" w:firstLineChars="200"/>
              <w:jc w:val="left"/>
              <w:rPr>
                <w:color w:val="auto"/>
                <w:highlight w:val="none"/>
              </w:rPr>
            </w:pPr>
            <w:r>
              <w:rPr>
                <w:color w:val="auto"/>
                <w:highlight w:val="none"/>
              </w:rPr>
              <w:t>（4）与生态环境准入清单符合性</w:t>
            </w:r>
          </w:p>
          <w:p>
            <w:pPr>
              <w:autoSpaceDE w:val="0"/>
              <w:autoSpaceDN w:val="0"/>
              <w:adjustRightInd w:val="0"/>
              <w:snapToGrid w:val="0"/>
              <w:spacing w:line="360" w:lineRule="auto"/>
              <w:ind w:firstLine="420" w:firstLineChars="200"/>
              <w:jc w:val="left"/>
              <w:rPr>
                <w:color w:val="auto"/>
                <w:highlight w:val="none"/>
              </w:rPr>
            </w:pPr>
            <w:r>
              <w:rPr>
                <w:color w:val="auto"/>
                <w:highlight w:val="none"/>
              </w:rPr>
              <w:t>对照《淄博市人民政府 关于印发&lt;淄博市</w:t>
            </w:r>
            <w:r>
              <w:rPr>
                <w:rFonts w:hint="eastAsia"/>
                <w:color w:val="auto"/>
                <w:highlight w:val="none"/>
                <w:lang w:eastAsia="zh-CN"/>
              </w:rPr>
              <w:t>“</w:t>
            </w:r>
            <w:r>
              <w:rPr>
                <w:color w:val="auto"/>
                <w:highlight w:val="none"/>
              </w:rPr>
              <w:t>三线一单</w:t>
            </w:r>
            <w:r>
              <w:rPr>
                <w:rFonts w:hint="eastAsia"/>
                <w:color w:val="auto"/>
                <w:highlight w:val="none"/>
                <w:lang w:eastAsia="zh-CN"/>
              </w:rPr>
              <w:t>”</w:t>
            </w:r>
            <w:r>
              <w:rPr>
                <w:color w:val="auto"/>
                <w:highlight w:val="none"/>
              </w:rPr>
              <w:t>生态环境分区管控方案&gt;的通知》（淄政字[2021]49号）中淄博市环境管控单元图，本项目位于重点管控单元区域内。依据《淄博市生态环境委员会办公室 关于印发&lt;淄博市</w:t>
            </w:r>
            <w:r>
              <w:rPr>
                <w:rFonts w:hint="eastAsia"/>
                <w:color w:val="auto"/>
                <w:highlight w:val="none"/>
                <w:lang w:eastAsia="zh-CN"/>
              </w:rPr>
              <w:t>“</w:t>
            </w:r>
            <w:r>
              <w:rPr>
                <w:color w:val="auto"/>
                <w:highlight w:val="none"/>
              </w:rPr>
              <w:t>三线一单</w:t>
            </w:r>
            <w:r>
              <w:rPr>
                <w:rFonts w:hint="eastAsia"/>
                <w:color w:val="auto"/>
                <w:highlight w:val="none"/>
                <w:lang w:eastAsia="zh-CN"/>
              </w:rPr>
              <w:t>”</w:t>
            </w:r>
            <w:r>
              <w:rPr>
                <w:color w:val="auto"/>
                <w:highlight w:val="none"/>
              </w:rPr>
              <w:t>生态环境准入清单&gt;的通知》（淄环委办[2021]24号）中所述的</w:t>
            </w:r>
            <w:r>
              <w:rPr>
                <w:rFonts w:hint="eastAsia"/>
                <w:color w:val="auto"/>
                <w:highlight w:val="none"/>
                <w:lang w:eastAsia="zh-CN"/>
              </w:rPr>
              <w:t>“</w:t>
            </w:r>
            <w:r>
              <w:rPr>
                <w:color w:val="auto"/>
                <w:highlight w:val="none"/>
              </w:rPr>
              <w:t>附件淄博市</w:t>
            </w:r>
            <w:r>
              <w:rPr>
                <w:rFonts w:hint="eastAsia"/>
                <w:color w:val="auto"/>
                <w:highlight w:val="none"/>
                <w:lang w:eastAsia="zh-CN"/>
              </w:rPr>
              <w:t>“</w:t>
            </w:r>
            <w:r>
              <w:rPr>
                <w:color w:val="auto"/>
                <w:highlight w:val="none"/>
              </w:rPr>
              <w:t>三线一单</w:t>
            </w:r>
            <w:r>
              <w:rPr>
                <w:rFonts w:hint="eastAsia"/>
                <w:color w:val="auto"/>
                <w:highlight w:val="none"/>
                <w:lang w:eastAsia="zh-CN"/>
              </w:rPr>
              <w:t>”</w:t>
            </w:r>
            <w:r>
              <w:rPr>
                <w:color w:val="auto"/>
                <w:highlight w:val="none"/>
              </w:rPr>
              <w:t>生态环境准入清单</w:t>
            </w:r>
            <w:r>
              <w:rPr>
                <w:rFonts w:hint="eastAsia"/>
                <w:color w:val="auto"/>
                <w:highlight w:val="none"/>
                <w:lang w:eastAsia="zh-CN"/>
              </w:rPr>
              <w:t>（</w:t>
            </w:r>
            <w:r>
              <w:rPr>
                <w:rFonts w:hint="eastAsia"/>
                <w:color w:val="auto"/>
                <w:highlight w:val="none"/>
                <w:lang w:val="en-US" w:eastAsia="zh-CN"/>
              </w:rPr>
              <w:t>动态更新版</w:t>
            </w:r>
            <w:r>
              <w:rPr>
                <w:rFonts w:hint="eastAsia"/>
                <w:color w:val="auto"/>
                <w:highlight w:val="none"/>
                <w:lang w:eastAsia="zh-CN"/>
              </w:rPr>
              <w:t>）”</w:t>
            </w:r>
            <w:r>
              <w:rPr>
                <w:color w:val="auto"/>
                <w:highlight w:val="none"/>
              </w:rPr>
              <w:t>要求，本项目符合性判定情况如下表。</w:t>
            </w:r>
          </w:p>
          <w:p>
            <w:pPr>
              <w:autoSpaceDE w:val="0"/>
              <w:autoSpaceDN w:val="0"/>
              <w:adjustRightInd w:val="0"/>
              <w:snapToGrid w:val="0"/>
              <w:jc w:val="center"/>
              <w:rPr>
                <w:b/>
                <w:bCs/>
                <w:color w:val="auto"/>
                <w:kern w:val="0"/>
                <w:szCs w:val="21"/>
                <w:highlight w:val="none"/>
              </w:rPr>
            </w:pPr>
          </w:p>
          <w:p>
            <w:pPr>
              <w:autoSpaceDE w:val="0"/>
              <w:autoSpaceDN w:val="0"/>
              <w:adjustRightInd w:val="0"/>
              <w:snapToGrid w:val="0"/>
              <w:jc w:val="center"/>
              <w:rPr>
                <w:b/>
                <w:bCs/>
                <w:color w:val="auto"/>
                <w:kern w:val="0"/>
                <w:szCs w:val="21"/>
                <w:highlight w:val="none"/>
              </w:rPr>
            </w:pPr>
          </w:p>
          <w:p>
            <w:pPr>
              <w:autoSpaceDE w:val="0"/>
              <w:autoSpaceDN w:val="0"/>
              <w:adjustRightInd w:val="0"/>
              <w:snapToGrid w:val="0"/>
              <w:jc w:val="center"/>
              <w:rPr>
                <w:b/>
                <w:bCs/>
                <w:color w:val="auto"/>
                <w:kern w:val="0"/>
                <w:szCs w:val="21"/>
                <w:highlight w:val="none"/>
              </w:rPr>
            </w:pPr>
            <w:r>
              <w:rPr>
                <w:b/>
                <w:bCs/>
                <w:color w:val="auto"/>
                <w:kern w:val="0"/>
                <w:szCs w:val="21"/>
                <w:highlight w:val="none"/>
              </w:rPr>
              <w:t>表1-2  《淄博市</w:t>
            </w:r>
            <w:r>
              <w:rPr>
                <w:rFonts w:hint="eastAsia"/>
                <w:b/>
                <w:bCs/>
                <w:color w:val="auto"/>
                <w:kern w:val="0"/>
                <w:szCs w:val="21"/>
                <w:highlight w:val="none"/>
                <w:lang w:eastAsia="zh-CN"/>
              </w:rPr>
              <w:t>“</w:t>
            </w:r>
            <w:r>
              <w:rPr>
                <w:b/>
                <w:bCs/>
                <w:color w:val="auto"/>
                <w:kern w:val="0"/>
                <w:szCs w:val="21"/>
                <w:highlight w:val="none"/>
              </w:rPr>
              <w:t>三线一单</w:t>
            </w:r>
            <w:r>
              <w:rPr>
                <w:rFonts w:hint="eastAsia"/>
                <w:b/>
                <w:bCs/>
                <w:color w:val="auto"/>
                <w:kern w:val="0"/>
                <w:szCs w:val="21"/>
                <w:highlight w:val="none"/>
                <w:lang w:eastAsia="zh-CN"/>
              </w:rPr>
              <w:t>”</w:t>
            </w:r>
            <w:r>
              <w:rPr>
                <w:b/>
                <w:bCs/>
                <w:color w:val="auto"/>
                <w:kern w:val="0"/>
                <w:szCs w:val="21"/>
                <w:highlight w:val="none"/>
              </w:rPr>
              <w:t>生态环境准入清单》</w:t>
            </w:r>
            <w:r>
              <w:rPr>
                <w:rFonts w:hint="eastAsia"/>
                <w:b/>
                <w:bCs/>
                <w:color w:val="auto"/>
                <w:kern w:val="0"/>
                <w:szCs w:val="21"/>
                <w:highlight w:val="none"/>
                <w:lang w:eastAsia="zh-CN"/>
              </w:rPr>
              <w:t>（</w:t>
            </w:r>
            <w:r>
              <w:rPr>
                <w:rFonts w:hint="eastAsia"/>
                <w:b/>
                <w:bCs/>
                <w:color w:val="auto"/>
                <w:kern w:val="0"/>
                <w:szCs w:val="21"/>
                <w:highlight w:val="none"/>
                <w:lang w:val="en-US" w:eastAsia="zh-CN"/>
              </w:rPr>
              <w:t>动态更新版</w:t>
            </w:r>
            <w:r>
              <w:rPr>
                <w:rFonts w:hint="eastAsia"/>
                <w:b/>
                <w:bCs/>
                <w:color w:val="auto"/>
                <w:kern w:val="0"/>
                <w:szCs w:val="21"/>
                <w:highlight w:val="none"/>
                <w:lang w:eastAsia="zh-CN"/>
              </w:rPr>
              <w:t>）</w:t>
            </w:r>
            <w:r>
              <w:rPr>
                <w:b/>
                <w:bCs/>
                <w:color w:val="auto"/>
                <w:kern w:val="0"/>
                <w:szCs w:val="21"/>
                <w:highlight w:val="none"/>
              </w:rPr>
              <w:t>符合性分析</w:t>
            </w:r>
          </w:p>
          <w:tbl>
            <w:tblPr>
              <w:tblStyle w:val="27"/>
              <w:tblW w:w="4995"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3"/>
              <w:gridCol w:w="2519"/>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环境管控单元编码：ZH37030320006</w:t>
                  </w:r>
                </w:p>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环境管控单元名称：马尚街道</w:t>
                  </w:r>
                </w:p>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行政区划：山东省淄博市张店区</w:t>
                  </w:r>
                </w:p>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管控单元分类：重点管控单元</w:t>
                  </w:r>
                </w:p>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单元面积(km</w:t>
                  </w:r>
                  <w:r>
                    <w:rPr>
                      <w:color w:val="auto"/>
                      <w:sz w:val="18"/>
                      <w:szCs w:val="18"/>
                      <w:highlight w:val="none"/>
                      <w:vertAlign w:val="superscript"/>
                    </w:rPr>
                    <w:t>2</w:t>
                  </w:r>
                  <w:r>
                    <w:rPr>
                      <w:color w:val="auto"/>
                      <w:sz w:val="18"/>
                      <w:szCs w:val="18"/>
                      <w:highlight w:val="none"/>
                    </w:rPr>
                    <w:t>）：24.82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序号</w:t>
                  </w:r>
                </w:p>
              </w:tc>
              <w:tc>
                <w:tcPr>
                  <w:tcW w:w="2579"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文件要求</w:t>
                  </w:r>
                </w:p>
              </w:tc>
              <w:tc>
                <w:tcPr>
                  <w:tcW w:w="1531"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本项目情况</w:t>
                  </w:r>
                </w:p>
              </w:tc>
              <w:tc>
                <w:tcPr>
                  <w:tcW w:w="497"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一、空间布局约束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禁止新建、扩建《产业结构调整指导目录》（现行）明确的淘汰类项目和引入《市场准入负面清单》（现行）禁止准入类事项；鼓励对列入《产业结构调整指导目录》的限制类、淘汰类工业项目进行淘汰和提升改造。</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本项目属于《产业结构调整指导目录（2021年修订）》中鼓励类项目、不属于《市场准入负面清单》（2020年版）中禁止准入类项目。</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按《土壤污染防治行动计划》的要求管理：严格控制在优先保护类耕地集中区域新建有色金属冶炼、石油加工、化工、焦化、电镀、制革等行业企业。对永久基本农田实行严格保护，确保其面积不减少、土壤环境质量不下降，除法律规定的重点建设项目选址确实无法避让外，其他任何建设不得占用。</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本项目不属于化工类项目，不涉及农田占用。</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按《山东省水利厅关于公布我省地下水限采区和禁采区的通知》要求，执行超采区管控要求。</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本项目用水由张店区市政自来水管网供给，不取用地下水。</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4</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从严控制新建、扩建排放大气污染物的工业项目；科学合理规划布局商业、居住并严格执行。</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本项目不属于排放大气污染物的工业项目。</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5</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污水处理设施不健全、未正常运行或污水管网未覆盖的地区，未配套污水处理设施的项目不得建设。</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本项目废水经院内污水处理站处理后排入市政污水管网。</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6</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rFonts w:hint="default"/>
                      <w:color w:val="auto"/>
                      <w:sz w:val="18"/>
                      <w:szCs w:val="18"/>
                      <w:highlight w:val="none"/>
                      <w:lang w:val="en-US" w:eastAsia="zh-CN"/>
                    </w:rPr>
                    <w:t>新建有污染物排放的工业项目，除在安全生产等方面有特殊要求的以外，应当进入工业园区或工业聚集区。</w:t>
                  </w:r>
                </w:p>
              </w:tc>
              <w:tc>
                <w:tcPr>
                  <w:tcW w:w="1531" w:type="pct"/>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本项目为医院建设项目不属于工业项目</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二、污染物排放管控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rFonts w:hint="default"/>
                      <w:color w:val="auto"/>
                      <w:sz w:val="18"/>
                      <w:szCs w:val="18"/>
                      <w:highlight w:val="none"/>
                      <w:lang w:val="en-US" w:eastAsia="zh-CN"/>
                    </w:rPr>
                    <w:t>落实主要污染物总量替代要求，按照山东省生态环境厅《关于印发山东省建设项目主要大气污染物排放总量替代指标核算及管理办法的通知》，实施动态管控替代。</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w:t>
                  </w:r>
                  <w:r>
                    <w:rPr>
                      <w:rFonts w:hint="eastAsia"/>
                      <w:color w:val="auto"/>
                      <w:sz w:val="18"/>
                      <w:szCs w:val="18"/>
                      <w:highlight w:val="none"/>
                      <w:lang w:val="en-US" w:eastAsia="zh-CN"/>
                    </w:rPr>
                    <w:t>按要求进行总量替代</w:t>
                  </w:r>
                  <w:r>
                    <w:rPr>
                      <w:color w:val="auto"/>
                      <w:sz w:val="18"/>
                      <w:szCs w:val="18"/>
                      <w:highlight w:val="none"/>
                    </w:rPr>
                    <w:t>。</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w:t>
                  </w:r>
                </w:p>
              </w:tc>
              <w:tc>
                <w:tcPr>
                  <w:tcW w:w="2579" w:type="pct"/>
                  <w:vAlign w:val="center"/>
                </w:tcPr>
                <w:p>
                  <w:pPr>
                    <w:pStyle w:val="26"/>
                    <w:snapToGrid w:val="0"/>
                    <w:spacing w:before="24" w:after="24" w:line="240" w:lineRule="exact"/>
                    <w:ind w:left="0" w:leftChars="0" w:firstLine="0" w:firstLineChars="0"/>
                    <w:jc w:val="lef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废水应当按照要求进行预处理，达到行业排放标准或是综合排放标准后方可排放。</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本项目废水经院内污水处理站处理后排入市政污水管网</w:t>
                  </w:r>
                  <w:r>
                    <w:rPr>
                      <w:rFonts w:hint="eastAsia"/>
                      <w:color w:val="auto"/>
                      <w:sz w:val="18"/>
                      <w:szCs w:val="18"/>
                      <w:highlight w:val="none"/>
                      <w:lang w:eastAsia="zh-CN"/>
                    </w:rPr>
                    <w:t>，</w:t>
                  </w:r>
                  <w:r>
                    <w:rPr>
                      <w:rFonts w:hint="eastAsia"/>
                      <w:color w:val="auto"/>
                      <w:sz w:val="18"/>
                      <w:szCs w:val="18"/>
                      <w:highlight w:val="none"/>
                      <w:lang w:val="en-US" w:eastAsia="zh-CN"/>
                    </w:rPr>
                    <w:t>废水排放浓度满足《山东省医疗机构污染物排放控制标准》（DB37/596-2020）排放限值要求</w:t>
                  </w:r>
                  <w:r>
                    <w:rPr>
                      <w:color w:val="auto"/>
                      <w:sz w:val="18"/>
                      <w:szCs w:val="18"/>
                      <w:highlight w:val="none"/>
                    </w:rPr>
                    <w:t>。</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w:t>
                  </w:r>
                </w:p>
              </w:tc>
              <w:tc>
                <w:tcPr>
                  <w:tcW w:w="2579" w:type="pct"/>
                  <w:vAlign w:val="center"/>
                </w:tcPr>
                <w:p>
                  <w:pPr>
                    <w:pStyle w:val="26"/>
                    <w:snapToGrid w:val="0"/>
                    <w:spacing w:before="24" w:after="24" w:line="240" w:lineRule="exact"/>
                    <w:ind w:left="0" w:leftChars="0" w:firstLine="0" w:firstLineChars="0"/>
                    <w:jc w:val="lef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禁止工业废水和生活污水未经处理直排环境；原则上除工业污水集中处理设施、城镇污水处理厂外不得新建入河排污口。</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本项目废水经院内污水处理站处理后排入市政污水管网。</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4</w:t>
                  </w:r>
                </w:p>
              </w:tc>
              <w:tc>
                <w:tcPr>
                  <w:tcW w:w="2579" w:type="pct"/>
                  <w:vAlign w:val="center"/>
                </w:tcPr>
                <w:p>
                  <w:pPr>
                    <w:pStyle w:val="26"/>
                    <w:snapToGrid w:val="0"/>
                    <w:spacing w:before="24" w:after="24" w:line="240" w:lineRule="exact"/>
                    <w:ind w:left="0" w:leftChars="0" w:firstLine="0" w:firstLineChars="0"/>
                    <w:jc w:val="lef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进一步加强对建设工程施工、建筑物拆除、交通运输、道路保洁、物料运输与堆存、采石取土、养护绿化等活动的扬尘管理。</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本项目施工期</w:t>
                  </w:r>
                  <w:r>
                    <w:rPr>
                      <w:rFonts w:hint="eastAsia"/>
                      <w:color w:val="auto"/>
                      <w:sz w:val="18"/>
                      <w:szCs w:val="18"/>
                      <w:highlight w:val="none"/>
                      <w:lang w:val="en-US" w:eastAsia="zh-CN"/>
                    </w:rPr>
                    <w:t>按要求进行污染物防控</w:t>
                  </w:r>
                  <w:r>
                    <w:rPr>
                      <w:color w:val="auto"/>
                      <w:sz w:val="18"/>
                      <w:szCs w:val="18"/>
                      <w:highlight w:val="none"/>
                    </w:rPr>
                    <w:t>，院内定期进行保洁、绿化管理，可控制扬尘产生。</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5</w:t>
                  </w:r>
                </w:p>
              </w:tc>
              <w:tc>
                <w:tcPr>
                  <w:tcW w:w="2579" w:type="pct"/>
                  <w:vAlign w:val="center"/>
                </w:tcPr>
                <w:p>
                  <w:pPr>
                    <w:pStyle w:val="26"/>
                    <w:snapToGrid w:val="0"/>
                    <w:spacing w:before="24" w:after="24" w:line="240" w:lineRule="exact"/>
                    <w:ind w:left="0" w:leftChars="0" w:firstLine="0" w:firstLineChars="0"/>
                    <w:jc w:val="lef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加强餐饮服务业燃料烟气及油烟防治，鼓励餐饮业及居民生活能源使用天然气、液化石油气等洁净能源。餐饮行业按要求安装油烟高效净化设备并定期清洗和维护。</w:t>
                  </w:r>
                </w:p>
              </w:tc>
              <w:tc>
                <w:tcPr>
                  <w:tcW w:w="1531" w:type="pct"/>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项目食堂使用天然气，并安装油烟净化器，按要求定期进行</w:t>
                  </w:r>
                  <w:r>
                    <w:rPr>
                      <w:rFonts w:hint="default" w:ascii="Times New Roman" w:hAnsi="Times New Roman" w:cs="Times New Roman"/>
                      <w:color w:val="auto"/>
                      <w:sz w:val="18"/>
                      <w:szCs w:val="18"/>
                      <w:highlight w:val="none"/>
                      <w:lang w:val="en-US" w:eastAsia="zh-CN"/>
                    </w:rPr>
                    <w:t>清洗和维护</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三、环境风险防控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紧邻居住、科教、医院等环境敏感点的工业用地，禁止新建环境风险潜势等级高建设项目。</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本项目属于</w:t>
                  </w:r>
                  <w:r>
                    <w:rPr>
                      <w:rFonts w:hint="eastAsia"/>
                      <w:color w:val="auto"/>
                      <w:sz w:val="18"/>
                      <w:szCs w:val="18"/>
                      <w:highlight w:val="none"/>
                      <w:lang w:val="en-US" w:eastAsia="zh-CN"/>
                    </w:rPr>
                    <w:t>专科</w:t>
                  </w:r>
                  <w:r>
                    <w:rPr>
                      <w:color w:val="auto"/>
                      <w:sz w:val="18"/>
                      <w:szCs w:val="18"/>
                      <w:highlight w:val="none"/>
                    </w:rPr>
                    <w:t>医院，不属于工业项目，不属于环境风险潜势等级高建设项目。</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企业应按照《企业事业单位突发环境事件应急预案备案管理办法（试行）》等要求，依法依规编制环境应急预案并定期开展演练。</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医院依法依规编制环境应急预案并定期开展演练。</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建立各企业危险废物的贮存、申报、经营许可、转移及处置管理制度，并负责对危废相应活动的全程监管和环境安全保障。</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医院严格按照要求进行危废管理。</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rFonts w:hint="default"/>
                      <w:color w:val="auto"/>
                      <w:sz w:val="18"/>
                      <w:szCs w:val="18"/>
                      <w:highlight w:val="none"/>
                      <w:lang w:val="en-US" w:eastAsia="zh-CN"/>
                    </w:rPr>
                    <w:t>按照省市要求，做好清洁取暖改造工作。</w:t>
                  </w:r>
                </w:p>
              </w:tc>
              <w:tc>
                <w:tcPr>
                  <w:tcW w:w="1531" w:type="pct"/>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按要求进行建设</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四、资源开发效率要求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rFonts w:hint="default"/>
                      <w:color w:val="auto"/>
                      <w:sz w:val="18"/>
                      <w:szCs w:val="18"/>
                      <w:highlight w:val="none"/>
                      <w:lang w:val="en-US" w:eastAsia="zh-CN"/>
                    </w:rPr>
                    <w:t>高污染燃料禁燃区内执行淄博市高污染燃料禁燃区划定文件的管控要求。</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本项目能源消耗用电，不使用高污染</w:t>
                  </w:r>
                  <w:r>
                    <w:rPr>
                      <w:rFonts w:hint="default"/>
                      <w:color w:val="auto"/>
                      <w:sz w:val="18"/>
                      <w:szCs w:val="18"/>
                      <w:highlight w:val="none"/>
                      <w:lang w:val="en-US" w:eastAsia="zh-CN"/>
                    </w:rPr>
                    <w:t>燃料</w:t>
                  </w:r>
                  <w:r>
                    <w:rPr>
                      <w:color w:val="auto"/>
                      <w:sz w:val="18"/>
                      <w:szCs w:val="18"/>
                      <w:highlight w:val="none"/>
                    </w:rPr>
                    <w:t>。</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未经许可不得开采地下水，执行浅层地下水限采区管理规定。</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本项目用水由张店区市政自来水管网供给，不取用地下水。</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w:t>
                  </w:r>
                </w:p>
              </w:tc>
              <w:tc>
                <w:tcPr>
                  <w:tcW w:w="2579"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提升土地集约化水平。</w:t>
                  </w:r>
                </w:p>
              </w:tc>
              <w:tc>
                <w:tcPr>
                  <w:tcW w:w="1531"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本项目土地集约化水平较高。</w:t>
                  </w:r>
                </w:p>
              </w:tc>
              <w:tc>
                <w:tcPr>
                  <w:tcW w:w="497" w:type="pct"/>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符合</w:t>
                  </w:r>
                </w:p>
              </w:tc>
            </w:tr>
          </w:tbl>
          <w:p>
            <w:pPr>
              <w:autoSpaceDE w:val="0"/>
              <w:autoSpaceDN w:val="0"/>
              <w:adjustRightInd w:val="0"/>
              <w:snapToGrid w:val="0"/>
              <w:spacing w:line="360" w:lineRule="auto"/>
              <w:ind w:firstLine="420" w:firstLineChars="200"/>
              <w:jc w:val="left"/>
              <w:rPr>
                <w:color w:val="auto"/>
                <w:highlight w:val="none"/>
              </w:rPr>
            </w:pPr>
            <w:r>
              <w:rPr>
                <w:color w:val="auto"/>
                <w:highlight w:val="none"/>
              </w:rPr>
              <w:t>综上，本项目建设满足</w:t>
            </w:r>
            <w:r>
              <w:rPr>
                <w:rFonts w:hint="eastAsia"/>
                <w:color w:val="auto"/>
                <w:highlight w:val="none"/>
                <w:lang w:eastAsia="zh-CN"/>
              </w:rPr>
              <w:t>“</w:t>
            </w:r>
            <w:r>
              <w:rPr>
                <w:color w:val="auto"/>
                <w:highlight w:val="none"/>
              </w:rPr>
              <w:t>三线一单</w:t>
            </w:r>
            <w:r>
              <w:rPr>
                <w:rFonts w:hint="eastAsia"/>
                <w:color w:val="auto"/>
                <w:highlight w:val="none"/>
                <w:lang w:eastAsia="zh-CN"/>
              </w:rPr>
              <w:t>”</w:t>
            </w:r>
            <w:r>
              <w:rPr>
                <w:color w:val="auto"/>
                <w:highlight w:val="none"/>
              </w:rPr>
              <w:t>环境管理要求。</w:t>
            </w:r>
          </w:p>
          <w:p>
            <w:pPr>
              <w:autoSpaceDE w:val="0"/>
              <w:autoSpaceDN w:val="0"/>
              <w:adjustRightInd w:val="0"/>
              <w:snapToGrid w:val="0"/>
              <w:spacing w:line="360" w:lineRule="auto"/>
              <w:ind w:firstLine="420" w:firstLineChars="200"/>
              <w:jc w:val="left"/>
              <w:rPr>
                <w:color w:val="auto"/>
                <w:highlight w:val="none"/>
              </w:rPr>
            </w:pPr>
            <w:r>
              <w:rPr>
                <w:color w:val="auto"/>
                <w:highlight w:val="none"/>
              </w:rPr>
              <w:t>淄博市环境管控单元位置图见附图7。</w:t>
            </w:r>
          </w:p>
          <w:p>
            <w:pPr>
              <w:autoSpaceDE w:val="0"/>
              <w:autoSpaceDN w:val="0"/>
              <w:adjustRightInd w:val="0"/>
              <w:snapToGrid w:val="0"/>
              <w:spacing w:line="360" w:lineRule="auto"/>
              <w:ind w:firstLine="422" w:firstLineChars="200"/>
              <w:jc w:val="left"/>
              <w:rPr>
                <w:rFonts w:hint="default" w:eastAsia="宋体"/>
                <w:b/>
                <w:color w:val="auto"/>
                <w:highlight w:val="none"/>
                <w:lang w:val="en-US" w:eastAsia="zh-CN"/>
              </w:rPr>
            </w:pPr>
            <w:r>
              <w:rPr>
                <w:rFonts w:hint="eastAsia"/>
                <w:b/>
                <w:color w:val="auto"/>
                <w:highlight w:val="none"/>
                <w:lang w:val="en-US" w:eastAsia="zh-CN"/>
              </w:rPr>
              <w:t>5、三区三线要求</w:t>
            </w:r>
          </w:p>
          <w:p>
            <w:pPr>
              <w:spacing w:line="360" w:lineRule="auto"/>
              <w:ind w:firstLine="420" w:firstLineChars="200"/>
              <w:jc w:val="left"/>
              <w:rPr>
                <w:color w:val="auto"/>
                <w:szCs w:val="21"/>
                <w:highlight w:val="none"/>
                <w:lang w:val="zh-CN"/>
              </w:rPr>
            </w:pPr>
            <w:r>
              <w:rPr>
                <w:color w:val="auto"/>
                <w:szCs w:val="21"/>
                <w:highlight w:val="none"/>
                <w:lang w:val="zh-CN"/>
              </w:rPr>
              <w:t>根据</w:t>
            </w:r>
            <w:r>
              <w:rPr>
                <w:rFonts w:hint="eastAsia"/>
                <w:color w:val="auto"/>
                <w:szCs w:val="21"/>
                <w:highlight w:val="none"/>
                <w:lang w:val="en-US" w:eastAsia="zh-CN"/>
              </w:rPr>
              <w:t>淄博市自然资源和规划局张店分局出具的《关于出具淄博口腔医院新院区建设项目符合土地利用规划和城市规划的函》（张自然规划函[2022]573号）可知项目位于城镇开发区边界内，不涉及基本农田，符合三区三线要求，详见附件</w:t>
            </w:r>
            <w:r>
              <w:rPr>
                <w:rFonts w:hint="eastAsia"/>
                <w:color w:val="auto"/>
                <w:szCs w:val="21"/>
                <w:highlight w:val="none"/>
                <w:lang w:val="zh-CN"/>
              </w:rPr>
              <w:t>。</w:t>
            </w:r>
          </w:p>
          <w:p>
            <w:pPr>
              <w:autoSpaceDE w:val="0"/>
              <w:autoSpaceDN w:val="0"/>
              <w:adjustRightInd w:val="0"/>
              <w:snapToGrid w:val="0"/>
              <w:spacing w:line="360" w:lineRule="auto"/>
              <w:ind w:firstLine="422" w:firstLineChars="200"/>
              <w:jc w:val="left"/>
              <w:rPr>
                <w:color w:val="auto"/>
                <w:highlight w:val="none"/>
              </w:rPr>
            </w:pPr>
            <w:r>
              <w:rPr>
                <w:rFonts w:hint="eastAsia"/>
                <w:b/>
                <w:color w:val="auto"/>
                <w:highlight w:val="none"/>
                <w:lang w:val="en-US" w:eastAsia="zh-CN"/>
              </w:rPr>
              <w:t>6</w:t>
            </w:r>
            <w:r>
              <w:rPr>
                <w:b/>
                <w:color w:val="auto"/>
                <w:highlight w:val="none"/>
              </w:rPr>
              <w:t>、环保政策符合性分析</w:t>
            </w:r>
          </w:p>
          <w:p>
            <w:pPr>
              <w:spacing w:line="360" w:lineRule="auto"/>
              <w:ind w:firstLine="420" w:firstLineChars="200"/>
              <w:rPr>
                <w:b/>
                <w:color w:val="auto"/>
                <w:szCs w:val="21"/>
                <w:highlight w:val="none"/>
              </w:rPr>
            </w:pPr>
            <w:r>
              <w:rPr>
                <w:color w:val="auto"/>
                <w:highlight w:val="none"/>
              </w:rPr>
              <w:t>（1）</w:t>
            </w:r>
            <w:r>
              <w:rPr>
                <w:b/>
                <w:color w:val="auto"/>
                <w:szCs w:val="21"/>
                <w:highlight w:val="none"/>
              </w:rPr>
              <w:t>与《山东省深入打好蓝天保卫战行动计划（2021-2025年）》符合性分析</w:t>
            </w:r>
          </w:p>
          <w:p>
            <w:pPr>
              <w:jc w:val="center"/>
              <w:rPr>
                <w:b/>
                <w:bCs/>
                <w:color w:val="auto"/>
                <w:kern w:val="0"/>
                <w:szCs w:val="21"/>
                <w:highlight w:val="none"/>
                <w:lang w:val="zh-CN"/>
              </w:rPr>
            </w:pPr>
            <w:r>
              <w:rPr>
                <w:b/>
                <w:bCs/>
                <w:color w:val="auto"/>
                <w:kern w:val="0"/>
                <w:szCs w:val="21"/>
                <w:highlight w:val="none"/>
                <w:lang w:val="zh-CN"/>
              </w:rPr>
              <w:t>表1-</w:t>
            </w:r>
            <w:r>
              <w:rPr>
                <w:rFonts w:hint="eastAsia"/>
                <w:b/>
                <w:bCs/>
                <w:color w:val="auto"/>
                <w:kern w:val="0"/>
                <w:szCs w:val="21"/>
                <w:highlight w:val="none"/>
                <w:lang w:val="en-US" w:eastAsia="zh-CN"/>
              </w:rPr>
              <w:t>3</w:t>
            </w:r>
            <w:r>
              <w:rPr>
                <w:b/>
                <w:bCs/>
                <w:color w:val="auto"/>
                <w:kern w:val="0"/>
                <w:szCs w:val="21"/>
                <w:highlight w:val="none"/>
                <w:lang w:val="zh-CN"/>
              </w:rPr>
              <w:t xml:space="preserve">  与《山东省深入打好蓝天保卫战行动计划》（2021-2025年）符合性</w:t>
            </w:r>
          </w:p>
          <w:tbl>
            <w:tblPr>
              <w:tblStyle w:val="27"/>
              <w:tblW w:w="50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9"/>
              <w:gridCol w:w="144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3690" w:type="pct"/>
                  <w:tcBorders>
                    <w:tl2br w:val="nil"/>
                    <w:tr2bl w:val="nil"/>
                  </w:tcBorders>
                  <w:vAlign w:val="center"/>
                </w:tcPr>
                <w:p>
                  <w:pPr>
                    <w:jc w:val="center"/>
                    <w:textAlignment w:val="center"/>
                    <w:rPr>
                      <w:b/>
                      <w:bCs/>
                      <w:color w:val="auto"/>
                      <w:sz w:val="18"/>
                      <w:szCs w:val="18"/>
                      <w:highlight w:val="none"/>
                    </w:rPr>
                  </w:pPr>
                  <w:r>
                    <w:rPr>
                      <w:b/>
                      <w:bCs/>
                      <w:color w:val="auto"/>
                      <w:sz w:val="18"/>
                      <w:szCs w:val="18"/>
                      <w:highlight w:val="none"/>
                    </w:rPr>
                    <w:t>文件要求</w:t>
                  </w:r>
                </w:p>
              </w:tc>
              <w:tc>
                <w:tcPr>
                  <w:tcW w:w="874" w:type="pct"/>
                  <w:tcBorders>
                    <w:tl2br w:val="nil"/>
                    <w:tr2bl w:val="nil"/>
                  </w:tcBorders>
                  <w:vAlign w:val="center"/>
                </w:tcPr>
                <w:p>
                  <w:pPr>
                    <w:jc w:val="center"/>
                    <w:textAlignment w:val="center"/>
                    <w:rPr>
                      <w:b/>
                      <w:bCs/>
                      <w:color w:val="auto"/>
                      <w:sz w:val="18"/>
                      <w:szCs w:val="18"/>
                      <w:highlight w:val="none"/>
                    </w:rPr>
                  </w:pPr>
                  <w:r>
                    <w:rPr>
                      <w:b/>
                      <w:bCs/>
                      <w:color w:val="auto"/>
                      <w:sz w:val="18"/>
                      <w:szCs w:val="18"/>
                      <w:highlight w:val="none"/>
                    </w:rPr>
                    <w:t>项目情况</w:t>
                  </w:r>
                </w:p>
              </w:tc>
              <w:tc>
                <w:tcPr>
                  <w:tcW w:w="434" w:type="pct"/>
                  <w:tcBorders>
                    <w:tl2br w:val="nil"/>
                    <w:tr2bl w:val="nil"/>
                  </w:tcBorders>
                  <w:vAlign w:val="center"/>
                </w:tcPr>
                <w:p>
                  <w:pPr>
                    <w:jc w:val="center"/>
                    <w:textAlignment w:val="center"/>
                    <w:rPr>
                      <w:b/>
                      <w:bCs/>
                      <w:color w:val="auto"/>
                      <w:sz w:val="18"/>
                      <w:szCs w:val="18"/>
                      <w:highlight w:val="none"/>
                    </w:rPr>
                  </w:pPr>
                  <w:r>
                    <w:rPr>
                      <w:b/>
                      <w:bCs/>
                      <w:color w:val="auto"/>
                      <w:sz w:val="18"/>
                      <w:szCs w:val="18"/>
                      <w:highlight w:val="none"/>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textAlignment w:val="center"/>
                    <w:rPr>
                      <w:color w:val="auto"/>
                      <w:sz w:val="18"/>
                      <w:szCs w:val="18"/>
                      <w:highlight w:val="none"/>
                    </w:rPr>
                  </w:pPr>
                  <w:r>
                    <w:rPr>
                      <w:color w:val="auto"/>
                      <w:sz w:val="18"/>
                      <w:szCs w:val="18"/>
                      <w:highlight w:val="none"/>
                    </w:rPr>
                    <w:t>一、淘汰低效落后产能</w:t>
                  </w:r>
                </w:p>
                <w:p>
                  <w:pPr>
                    <w:jc w:val="left"/>
                    <w:textAlignment w:val="center"/>
                    <w:rPr>
                      <w:color w:val="auto"/>
                      <w:sz w:val="18"/>
                      <w:szCs w:val="18"/>
                      <w:highlight w:val="none"/>
                    </w:rPr>
                  </w:pPr>
                  <w:r>
                    <w:rPr>
                      <w:color w:val="auto"/>
                      <w:sz w:val="18"/>
                      <w:szCs w:val="18"/>
                      <w:highlight w:val="none"/>
                    </w:rPr>
                    <w:t>聚焦钢铁、地炼、焦化、煤电、水泥、轮胎、煤炭、化工8个重点行业，加快淘汰低效落后产能。严格执行质量、环保、能耗、安全等法规标准，按照《产业结构调整指导目录》，对</w:t>
                  </w:r>
                  <w:r>
                    <w:rPr>
                      <w:rFonts w:hint="eastAsia"/>
                      <w:color w:val="auto"/>
                      <w:sz w:val="18"/>
                      <w:szCs w:val="18"/>
                      <w:highlight w:val="none"/>
                      <w:lang w:eastAsia="zh-CN"/>
                    </w:rPr>
                    <w:t>“</w:t>
                  </w:r>
                  <w:r>
                    <w:rPr>
                      <w:color w:val="auto"/>
                      <w:sz w:val="18"/>
                      <w:szCs w:val="18"/>
                      <w:highlight w:val="none"/>
                    </w:rPr>
                    <w:t>淘汰类</w:t>
                  </w:r>
                  <w:r>
                    <w:rPr>
                      <w:rFonts w:hint="eastAsia"/>
                      <w:color w:val="auto"/>
                      <w:sz w:val="18"/>
                      <w:szCs w:val="18"/>
                      <w:highlight w:val="none"/>
                      <w:lang w:eastAsia="zh-CN"/>
                    </w:rPr>
                    <w:t>”</w:t>
                  </w:r>
                  <w:r>
                    <w:rPr>
                      <w:color w:val="auto"/>
                      <w:sz w:val="18"/>
                      <w:szCs w:val="18"/>
                      <w:highlight w:val="none"/>
                    </w:rPr>
                    <w:t>落后生产工艺装备和落后产品全部淘汰出清。各市聚焦</w:t>
                  </w:r>
                  <w:r>
                    <w:rPr>
                      <w:rFonts w:hint="eastAsia"/>
                      <w:color w:val="auto"/>
                      <w:sz w:val="18"/>
                      <w:szCs w:val="18"/>
                      <w:highlight w:val="none"/>
                      <w:lang w:eastAsia="zh-CN"/>
                    </w:rPr>
                    <w:t>“</w:t>
                  </w:r>
                  <w:r>
                    <w:rPr>
                      <w:color w:val="auto"/>
                      <w:sz w:val="18"/>
                      <w:szCs w:val="18"/>
                      <w:highlight w:val="none"/>
                    </w:rPr>
                    <w:t>高耗能、高污染、高排放、高风险</w:t>
                  </w:r>
                  <w:r>
                    <w:rPr>
                      <w:rFonts w:hint="eastAsia"/>
                      <w:color w:val="auto"/>
                      <w:sz w:val="18"/>
                      <w:szCs w:val="18"/>
                      <w:highlight w:val="none"/>
                      <w:lang w:eastAsia="zh-CN"/>
                    </w:rPr>
                    <w:t>”</w:t>
                  </w:r>
                  <w:r>
                    <w:rPr>
                      <w:color w:val="auto"/>
                      <w:sz w:val="18"/>
                      <w:szCs w:val="18"/>
                      <w:highlight w:val="none"/>
                    </w:rPr>
                    <w:t>等行业，分类组织实施转移、压减、整合、关停任务。</w:t>
                  </w:r>
                </w:p>
              </w:tc>
              <w:tc>
                <w:tcPr>
                  <w:tcW w:w="874" w:type="pct"/>
                  <w:tcBorders>
                    <w:tl2br w:val="nil"/>
                    <w:tr2bl w:val="nil"/>
                  </w:tcBorders>
                  <w:vAlign w:val="center"/>
                </w:tcPr>
                <w:p>
                  <w:pPr>
                    <w:jc w:val="left"/>
                    <w:textAlignment w:val="center"/>
                    <w:rPr>
                      <w:color w:val="auto"/>
                      <w:sz w:val="18"/>
                      <w:szCs w:val="18"/>
                      <w:highlight w:val="none"/>
                    </w:rPr>
                  </w:pPr>
                  <w:r>
                    <w:rPr>
                      <w:color w:val="auto"/>
                      <w:sz w:val="18"/>
                      <w:szCs w:val="18"/>
                      <w:highlight w:val="none"/>
                    </w:rPr>
                    <w:t>本项目不属于左栏所列重点行业。</w:t>
                  </w:r>
                </w:p>
              </w:tc>
              <w:tc>
                <w:tcPr>
                  <w:tcW w:w="434" w:type="pct"/>
                  <w:tcBorders>
                    <w:tl2br w:val="nil"/>
                    <w:tr2bl w:val="nil"/>
                  </w:tcBorders>
                  <w:vAlign w:val="center"/>
                </w:tcPr>
                <w:p>
                  <w:pPr>
                    <w:jc w:val="center"/>
                    <w:textAlignment w:val="center"/>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jc w:val="left"/>
                    <w:textAlignment w:val="center"/>
                    <w:rPr>
                      <w:color w:val="auto"/>
                      <w:sz w:val="18"/>
                      <w:szCs w:val="18"/>
                      <w:highlight w:val="none"/>
                    </w:rPr>
                  </w:pPr>
                  <w:r>
                    <w:rPr>
                      <w:color w:val="auto"/>
                      <w:sz w:val="18"/>
                      <w:szCs w:val="18"/>
                      <w:highlight w:val="none"/>
                    </w:rPr>
                    <w:t>二、压减煤炭消费量</w:t>
                  </w:r>
                </w:p>
                <w:p>
                  <w:pPr>
                    <w:jc w:val="left"/>
                    <w:textAlignment w:val="center"/>
                    <w:rPr>
                      <w:color w:val="auto"/>
                      <w:sz w:val="18"/>
                      <w:szCs w:val="18"/>
                      <w:highlight w:val="none"/>
                    </w:rPr>
                  </w:pPr>
                  <w:r>
                    <w:rPr>
                      <w:color w:val="auto"/>
                      <w:sz w:val="18"/>
                      <w:szCs w:val="18"/>
                      <w:highlight w:val="none"/>
                    </w:rPr>
                    <w:t>持续压减煤炭消费总量，</w:t>
                  </w:r>
                  <w:r>
                    <w:rPr>
                      <w:rFonts w:hint="eastAsia"/>
                      <w:color w:val="auto"/>
                      <w:sz w:val="18"/>
                      <w:szCs w:val="18"/>
                      <w:highlight w:val="none"/>
                      <w:lang w:eastAsia="zh-CN"/>
                    </w:rPr>
                    <w:t>“</w:t>
                  </w:r>
                  <w:r>
                    <w:rPr>
                      <w:color w:val="auto"/>
                      <w:sz w:val="18"/>
                      <w:szCs w:val="18"/>
                      <w:highlight w:val="none"/>
                    </w:rPr>
                    <w:t>十四五</w:t>
                  </w:r>
                  <w:r>
                    <w:rPr>
                      <w:rFonts w:hint="eastAsia"/>
                      <w:color w:val="auto"/>
                      <w:sz w:val="18"/>
                      <w:szCs w:val="18"/>
                      <w:highlight w:val="none"/>
                      <w:lang w:eastAsia="zh-CN"/>
                    </w:rPr>
                    <w:t>”</w:t>
                  </w:r>
                  <w:r>
                    <w:rPr>
                      <w:color w:val="auto"/>
                      <w:sz w:val="18"/>
                      <w:szCs w:val="18"/>
                      <w:highlight w:val="none"/>
                    </w:rPr>
                    <w:t>期间，全省煤炭消费总量下降10%，控制在3.5亿吨左右。</w:t>
                  </w:r>
                </w:p>
              </w:tc>
              <w:tc>
                <w:tcPr>
                  <w:tcW w:w="874" w:type="pct"/>
                  <w:tcBorders>
                    <w:tl2br w:val="nil"/>
                    <w:tr2bl w:val="nil"/>
                  </w:tcBorders>
                  <w:vAlign w:val="center"/>
                </w:tcPr>
                <w:p>
                  <w:pPr>
                    <w:jc w:val="left"/>
                    <w:textAlignment w:val="center"/>
                    <w:rPr>
                      <w:color w:val="auto"/>
                      <w:sz w:val="18"/>
                      <w:szCs w:val="18"/>
                      <w:highlight w:val="none"/>
                    </w:rPr>
                  </w:pPr>
                  <w:r>
                    <w:rPr>
                      <w:color w:val="auto"/>
                      <w:sz w:val="18"/>
                      <w:szCs w:val="18"/>
                      <w:highlight w:val="none"/>
                    </w:rPr>
                    <w:t>本项目不使用煤炭。</w:t>
                  </w:r>
                </w:p>
              </w:tc>
              <w:tc>
                <w:tcPr>
                  <w:tcW w:w="434" w:type="pct"/>
                  <w:tcBorders>
                    <w:tl2br w:val="nil"/>
                    <w:tr2bl w:val="nil"/>
                  </w:tcBorders>
                  <w:vAlign w:val="center"/>
                </w:tcPr>
                <w:p>
                  <w:pPr>
                    <w:jc w:val="center"/>
                    <w:textAlignment w:val="center"/>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jc w:val="left"/>
                    <w:textAlignment w:val="center"/>
                    <w:rPr>
                      <w:color w:val="auto"/>
                      <w:sz w:val="18"/>
                      <w:szCs w:val="18"/>
                      <w:highlight w:val="none"/>
                    </w:rPr>
                  </w:pPr>
                  <w:r>
                    <w:rPr>
                      <w:color w:val="auto"/>
                      <w:sz w:val="18"/>
                      <w:szCs w:val="18"/>
                      <w:highlight w:val="none"/>
                    </w:rPr>
                    <w:t>四、实施VOCs全过程污染防治</w:t>
                  </w:r>
                </w:p>
                <w:p>
                  <w:pPr>
                    <w:jc w:val="left"/>
                    <w:textAlignment w:val="center"/>
                    <w:rPr>
                      <w:color w:val="auto"/>
                      <w:sz w:val="18"/>
                      <w:szCs w:val="18"/>
                      <w:highlight w:val="none"/>
                    </w:rPr>
                  </w:pPr>
                  <w:r>
                    <w:rPr>
                      <w:color w:val="auto"/>
                      <w:sz w:val="18"/>
                      <w:szCs w:val="18"/>
                      <w:highlight w:val="none"/>
                    </w:rPr>
                    <w:t>实施低VOCs含量工业涂料、油墨、胶粘剂、清洗剂等原辅料使用替代。新、改、扩建工业涂装、包装印刷等含VOCs原辅材料使用的项目，原则上使用低（无）VOCs含量产品。</w:t>
                  </w:r>
                </w:p>
              </w:tc>
              <w:tc>
                <w:tcPr>
                  <w:tcW w:w="874" w:type="pct"/>
                  <w:tcBorders>
                    <w:tl2br w:val="nil"/>
                    <w:tr2bl w:val="nil"/>
                  </w:tcBorders>
                  <w:vAlign w:val="center"/>
                </w:tcPr>
                <w:p>
                  <w:pPr>
                    <w:jc w:val="left"/>
                    <w:textAlignment w:val="center"/>
                    <w:rPr>
                      <w:color w:val="auto"/>
                      <w:sz w:val="18"/>
                      <w:szCs w:val="18"/>
                      <w:highlight w:val="none"/>
                    </w:rPr>
                  </w:pPr>
                  <w:r>
                    <w:rPr>
                      <w:color w:val="auto"/>
                      <w:sz w:val="18"/>
                      <w:szCs w:val="18"/>
                      <w:highlight w:val="none"/>
                    </w:rPr>
                    <w:t>本项目不涉及。</w:t>
                  </w:r>
                </w:p>
              </w:tc>
              <w:tc>
                <w:tcPr>
                  <w:tcW w:w="434" w:type="pct"/>
                  <w:tcBorders>
                    <w:tl2br w:val="nil"/>
                    <w:tr2bl w:val="nil"/>
                  </w:tcBorders>
                  <w:vAlign w:val="center"/>
                </w:tcPr>
                <w:p>
                  <w:pPr>
                    <w:jc w:val="center"/>
                    <w:textAlignment w:val="center"/>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sz w:val="18"/>
                      <w:szCs w:val="18"/>
                      <w:highlight w:val="none"/>
                    </w:rPr>
                  </w:pPr>
                  <w:r>
                    <w:rPr>
                      <w:color w:val="auto"/>
                      <w:sz w:val="18"/>
                      <w:szCs w:val="18"/>
                      <w:highlight w:val="none"/>
                    </w:rPr>
                    <w:t>五、强化工业源NOx深度治理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auto"/>
                      <w:sz w:val="18"/>
                      <w:szCs w:val="18"/>
                      <w:highlight w:val="none"/>
                    </w:rPr>
                  </w:pPr>
                  <w:r>
                    <w:rPr>
                      <w:color w:val="auto"/>
                      <w:sz w:val="18"/>
                      <w:szCs w:val="18"/>
                      <w:highlight w:val="none"/>
                    </w:rPr>
                    <w:t>严格治理设施运行监管，燃煤机组、锅炉、钢铁企业污染排放稳定达到超低排放要求。2023年年底前，完成焦化、水泥行业超低排放改造。实施玻璃、陶瓷、铸造、铁合金、有色等行业污染深度治理，确保各类大气污染物稳定达标排放。重点涉气排放企业取消烟气旁路，确因安全生产等原因无法取消的，应安装有效监控装置纳入监管。引导重点企业在秋冬季安排停产检修、维修，减少污染物排放。</w:t>
                  </w:r>
                </w:p>
              </w:tc>
              <w:tc>
                <w:tcPr>
                  <w:tcW w:w="874" w:type="pct"/>
                  <w:tcBorders>
                    <w:tl2br w:val="nil"/>
                    <w:tr2bl w:val="nil"/>
                  </w:tcBorders>
                  <w:vAlign w:val="center"/>
                </w:tcPr>
                <w:p>
                  <w:pPr>
                    <w:jc w:val="left"/>
                    <w:textAlignment w:val="center"/>
                    <w:rPr>
                      <w:color w:val="auto"/>
                      <w:sz w:val="18"/>
                      <w:szCs w:val="18"/>
                      <w:highlight w:val="none"/>
                    </w:rPr>
                  </w:pPr>
                  <w:r>
                    <w:rPr>
                      <w:color w:val="auto"/>
                      <w:sz w:val="18"/>
                      <w:szCs w:val="18"/>
                      <w:highlight w:val="none"/>
                    </w:rPr>
                    <w:t>本项目不涉及NOx排放。</w:t>
                  </w:r>
                </w:p>
              </w:tc>
              <w:tc>
                <w:tcPr>
                  <w:tcW w:w="434" w:type="pct"/>
                  <w:tcBorders>
                    <w:tl2br w:val="nil"/>
                    <w:tr2bl w:val="nil"/>
                  </w:tcBorders>
                  <w:vAlign w:val="center"/>
                </w:tcPr>
                <w:p>
                  <w:pPr>
                    <w:jc w:val="center"/>
                    <w:textAlignment w:val="center"/>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0" w:type="pct"/>
                  <w:tcBorders>
                    <w:tl2br w:val="nil"/>
                    <w:tr2bl w:val="nil"/>
                  </w:tcBorders>
                  <w:vAlign w:val="center"/>
                </w:tcPr>
                <w:p>
                  <w:pPr>
                    <w:spacing w:line="312" w:lineRule="atLeast"/>
                    <w:jc w:val="left"/>
                    <w:textAlignment w:val="center"/>
                    <w:rPr>
                      <w:color w:val="auto"/>
                      <w:sz w:val="18"/>
                      <w:szCs w:val="18"/>
                      <w:highlight w:val="none"/>
                    </w:rPr>
                  </w:pPr>
                  <w:r>
                    <w:rPr>
                      <w:color w:val="auto"/>
                      <w:sz w:val="18"/>
                      <w:szCs w:val="18"/>
                      <w:highlight w:val="none"/>
                    </w:rPr>
                    <w:t>七、严格扬尘污染管控</w:t>
                  </w:r>
                </w:p>
                <w:p>
                  <w:pPr>
                    <w:jc w:val="left"/>
                    <w:textAlignment w:val="center"/>
                    <w:rPr>
                      <w:color w:val="auto"/>
                      <w:sz w:val="18"/>
                      <w:szCs w:val="18"/>
                      <w:highlight w:val="none"/>
                    </w:rPr>
                  </w:pPr>
                  <w:r>
                    <w:rPr>
                      <w:color w:val="auto"/>
                      <w:sz w:val="18"/>
                      <w:szCs w:val="18"/>
                      <w:highlight w:val="none"/>
                    </w:rPr>
                    <w:t>加强施工扬尘精细化管控，建立并动态更新施工工地清单。全面推行绿色施工，将扬尘污染防治费用纳入工程造价，各类施工工地严格落实扬尘污染防治措施，其中建筑施工工地严格执行</w:t>
                  </w:r>
                  <w:r>
                    <w:rPr>
                      <w:rFonts w:hint="eastAsia"/>
                      <w:color w:val="auto"/>
                      <w:sz w:val="18"/>
                      <w:szCs w:val="18"/>
                      <w:highlight w:val="none"/>
                      <w:lang w:eastAsia="zh-CN"/>
                    </w:rPr>
                    <w:t>“</w:t>
                  </w:r>
                  <w:r>
                    <w:rPr>
                      <w:color w:val="auto"/>
                      <w:sz w:val="18"/>
                      <w:szCs w:val="18"/>
                      <w:highlight w:val="none"/>
                    </w:rPr>
                    <w:t>六项措施</w:t>
                  </w:r>
                  <w:r>
                    <w:rPr>
                      <w:rFonts w:hint="eastAsia"/>
                      <w:color w:val="auto"/>
                      <w:sz w:val="18"/>
                      <w:szCs w:val="18"/>
                      <w:highlight w:val="none"/>
                      <w:lang w:eastAsia="zh-CN"/>
                    </w:rPr>
                    <w:t>”</w:t>
                  </w:r>
                  <w:r>
                    <w:rPr>
                      <w:color w:val="auto"/>
                      <w:sz w:val="18"/>
                      <w:szCs w:val="18"/>
                      <w:highlight w:val="none"/>
                    </w:rPr>
                    <w:t>。规模以上建筑施工工地安装在线监测和视频监控设施，并接入当地监管平台。加强执法监管，对问题严重的依法依规实施联合惩戒。</w:t>
                  </w:r>
                </w:p>
              </w:tc>
              <w:tc>
                <w:tcPr>
                  <w:tcW w:w="874" w:type="pct"/>
                  <w:tcBorders>
                    <w:tl2br w:val="nil"/>
                    <w:tr2bl w:val="nil"/>
                  </w:tcBorders>
                  <w:vAlign w:val="center"/>
                </w:tcPr>
                <w:p>
                  <w:pPr>
                    <w:jc w:val="left"/>
                    <w:textAlignment w:val="center"/>
                    <w:rPr>
                      <w:color w:val="auto"/>
                      <w:sz w:val="18"/>
                      <w:szCs w:val="18"/>
                      <w:highlight w:val="none"/>
                    </w:rPr>
                  </w:pPr>
                  <w:r>
                    <w:rPr>
                      <w:color w:val="auto"/>
                      <w:sz w:val="18"/>
                      <w:szCs w:val="18"/>
                      <w:highlight w:val="none"/>
                    </w:rPr>
                    <w:t>本项目不涉及施工期及工业生产，院内定期进行保洁、绿化管理，可控制扬尘产生。</w:t>
                  </w:r>
                </w:p>
              </w:tc>
              <w:tc>
                <w:tcPr>
                  <w:tcW w:w="434" w:type="pct"/>
                  <w:tcBorders>
                    <w:tl2br w:val="nil"/>
                    <w:tr2bl w:val="nil"/>
                  </w:tcBorders>
                  <w:vAlign w:val="center"/>
                </w:tcPr>
                <w:p>
                  <w:pPr>
                    <w:jc w:val="center"/>
                    <w:textAlignment w:val="center"/>
                    <w:rPr>
                      <w:color w:val="auto"/>
                      <w:sz w:val="18"/>
                      <w:szCs w:val="18"/>
                      <w:highlight w:val="none"/>
                    </w:rPr>
                  </w:pPr>
                  <w:r>
                    <w:rPr>
                      <w:color w:val="auto"/>
                      <w:sz w:val="18"/>
                      <w:szCs w:val="18"/>
                      <w:highlight w:val="none"/>
                    </w:rPr>
                    <w:t>符合</w:t>
                  </w:r>
                </w:p>
              </w:tc>
            </w:tr>
          </w:tbl>
          <w:p>
            <w:pPr>
              <w:spacing w:line="360" w:lineRule="auto"/>
              <w:ind w:firstLine="422" w:firstLineChars="200"/>
              <w:rPr>
                <w:b/>
                <w:color w:val="auto"/>
                <w:szCs w:val="21"/>
                <w:highlight w:val="none"/>
              </w:rPr>
            </w:pPr>
            <w:r>
              <w:rPr>
                <w:b/>
                <w:color w:val="auto"/>
                <w:szCs w:val="21"/>
                <w:highlight w:val="none"/>
              </w:rPr>
              <w:t>（2）与《山东省环境保护条例》(2018年修订）符合性分析</w:t>
            </w:r>
          </w:p>
          <w:p>
            <w:pPr>
              <w:jc w:val="center"/>
              <w:rPr>
                <w:b/>
                <w:bCs/>
                <w:color w:val="auto"/>
                <w:kern w:val="0"/>
                <w:szCs w:val="21"/>
                <w:highlight w:val="none"/>
                <w:lang w:val="zh-CN"/>
              </w:rPr>
            </w:pPr>
            <w:r>
              <w:rPr>
                <w:b/>
                <w:bCs/>
                <w:color w:val="auto"/>
                <w:kern w:val="0"/>
                <w:szCs w:val="21"/>
                <w:highlight w:val="none"/>
                <w:lang w:val="zh-CN"/>
              </w:rPr>
              <w:t>表1-</w:t>
            </w:r>
            <w:r>
              <w:rPr>
                <w:rFonts w:hint="eastAsia"/>
                <w:b/>
                <w:bCs/>
                <w:color w:val="auto"/>
                <w:kern w:val="0"/>
                <w:szCs w:val="21"/>
                <w:highlight w:val="none"/>
                <w:lang w:val="en-US" w:eastAsia="zh-CN"/>
              </w:rPr>
              <w:t>4</w:t>
            </w:r>
            <w:r>
              <w:rPr>
                <w:b/>
                <w:bCs/>
                <w:color w:val="auto"/>
                <w:kern w:val="0"/>
                <w:szCs w:val="21"/>
                <w:highlight w:val="none"/>
                <w:lang w:val="zh-CN"/>
              </w:rPr>
              <w:t xml:space="preserve">  项目与《山东省环境保护条例》(2018年修订）符合性</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1"/>
              <w:gridCol w:w="2367"/>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61" w:type="dxa"/>
                  <w:vAlign w:val="center"/>
                </w:tcPr>
                <w:p>
                  <w:pPr>
                    <w:pStyle w:val="85"/>
                    <w:rPr>
                      <w:color w:val="auto"/>
                      <w:sz w:val="18"/>
                      <w:szCs w:val="18"/>
                      <w:highlight w:val="none"/>
                    </w:rPr>
                  </w:pPr>
                  <w:r>
                    <w:rPr>
                      <w:color w:val="auto"/>
                      <w:sz w:val="18"/>
                      <w:szCs w:val="18"/>
                      <w:highlight w:val="none"/>
                    </w:rPr>
                    <w:t>山东省环境保护条例要求</w:t>
                  </w:r>
                </w:p>
              </w:tc>
              <w:tc>
                <w:tcPr>
                  <w:tcW w:w="2367" w:type="dxa"/>
                  <w:vAlign w:val="center"/>
                </w:tcPr>
                <w:p>
                  <w:pPr>
                    <w:pStyle w:val="85"/>
                    <w:rPr>
                      <w:color w:val="auto"/>
                      <w:sz w:val="18"/>
                      <w:szCs w:val="18"/>
                      <w:highlight w:val="none"/>
                    </w:rPr>
                  </w:pPr>
                  <w:r>
                    <w:rPr>
                      <w:color w:val="auto"/>
                      <w:sz w:val="18"/>
                      <w:szCs w:val="18"/>
                      <w:highlight w:val="none"/>
                    </w:rPr>
                    <w:t>项目情况</w:t>
                  </w:r>
                </w:p>
              </w:tc>
              <w:tc>
                <w:tcPr>
                  <w:tcW w:w="806" w:type="dxa"/>
                  <w:vAlign w:val="center"/>
                </w:tcPr>
                <w:p>
                  <w:pPr>
                    <w:pStyle w:val="85"/>
                    <w:rPr>
                      <w:color w:val="auto"/>
                      <w:sz w:val="18"/>
                      <w:szCs w:val="18"/>
                      <w:highlight w:val="none"/>
                    </w:rPr>
                  </w:pPr>
                  <w:r>
                    <w:rPr>
                      <w:color w:val="auto"/>
                      <w:sz w:val="18"/>
                      <w:szCs w:val="18"/>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1" w:type="dxa"/>
                  <w:vAlign w:val="center"/>
                </w:tcPr>
                <w:p>
                  <w:pPr>
                    <w:pStyle w:val="85"/>
                    <w:jc w:val="left"/>
                    <w:rPr>
                      <w:color w:val="auto"/>
                      <w:sz w:val="18"/>
                      <w:szCs w:val="18"/>
                      <w:highlight w:val="none"/>
                    </w:rPr>
                  </w:pPr>
                  <w:r>
                    <w:rPr>
                      <w:color w:val="auto"/>
                      <w:sz w:val="18"/>
                      <w:szCs w:val="18"/>
                      <w:highlight w:val="none"/>
                    </w:rPr>
                    <w:t>第十五条 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p>
              </w:tc>
              <w:tc>
                <w:tcPr>
                  <w:tcW w:w="2367" w:type="dxa"/>
                  <w:vAlign w:val="center"/>
                </w:tcPr>
                <w:p>
                  <w:pPr>
                    <w:pStyle w:val="85"/>
                    <w:rPr>
                      <w:color w:val="auto"/>
                      <w:sz w:val="18"/>
                      <w:szCs w:val="18"/>
                      <w:highlight w:val="none"/>
                    </w:rPr>
                  </w:pPr>
                  <w:r>
                    <w:rPr>
                      <w:color w:val="auto"/>
                      <w:sz w:val="18"/>
                      <w:szCs w:val="18"/>
                      <w:highlight w:val="none"/>
                    </w:rPr>
                    <w:t>本项目为医院建设项目，不属于严重污染环境的建设项目。</w:t>
                  </w:r>
                </w:p>
              </w:tc>
              <w:tc>
                <w:tcPr>
                  <w:tcW w:w="806"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1" w:type="dxa"/>
                  <w:vAlign w:val="center"/>
                </w:tcPr>
                <w:p>
                  <w:pPr>
                    <w:pStyle w:val="85"/>
                    <w:jc w:val="left"/>
                    <w:rPr>
                      <w:color w:val="auto"/>
                      <w:sz w:val="18"/>
                      <w:szCs w:val="18"/>
                      <w:highlight w:val="none"/>
                    </w:rPr>
                  </w:pPr>
                  <w:r>
                    <w:rPr>
                      <w:color w:val="auto"/>
                      <w:sz w:val="18"/>
                      <w:szCs w:val="18"/>
                      <w:highlight w:val="none"/>
                    </w:rPr>
                    <w:t>第四十三条 各级人民政府应当推进绿色低碳发展，制定循环经济、清洁生产、环境综合治理、废弃物资源化等政策措施，加强重点区域、重点流域、重点行业污染控制，鼓励、支持无污染或者低污染产业发展，提高资源利用效率，减少污染排放。</w:t>
                  </w:r>
                </w:p>
              </w:tc>
              <w:tc>
                <w:tcPr>
                  <w:tcW w:w="2367" w:type="dxa"/>
                  <w:vAlign w:val="center"/>
                </w:tcPr>
                <w:p>
                  <w:pPr>
                    <w:pStyle w:val="85"/>
                    <w:rPr>
                      <w:color w:val="auto"/>
                      <w:sz w:val="18"/>
                      <w:szCs w:val="18"/>
                      <w:highlight w:val="none"/>
                    </w:rPr>
                  </w:pPr>
                  <w:r>
                    <w:rPr>
                      <w:color w:val="auto"/>
                      <w:sz w:val="18"/>
                      <w:szCs w:val="18"/>
                      <w:highlight w:val="none"/>
                    </w:rPr>
                    <w:t>本项目不属于重点行业，采取合理有效的环保措施后对环境影响较小。</w:t>
                  </w:r>
                </w:p>
              </w:tc>
              <w:tc>
                <w:tcPr>
                  <w:tcW w:w="806"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1" w:type="dxa"/>
                  <w:vAlign w:val="center"/>
                </w:tcPr>
                <w:p>
                  <w:pPr>
                    <w:pStyle w:val="85"/>
                    <w:jc w:val="left"/>
                    <w:rPr>
                      <w:color w:val="auto"/>
                      <w:sz w:val="18"/>
                      <w:szCs w:val="18"/>
                      <w:highlight w:val="none"/>
                    </w:rPr>
                  </w:pPr>
                  <w:r>
                    <w:rPr>
                      <w:color w:val="auto"/>
                      <w:sz w:val="18"/>
                      <w:szCs w:val="18"/>
                      <w:highlight w:val="none"/>
                    </w:rPr>
                    <w:t>第四十四条 各级人民政府及其有关部门、园区管理机构应当做好环境基础设施规划，配套建设污水处理设施及配套管网、固体废物的收集处置设施、危险废物集中处置设施以及其他环境基础设施，建立环境基础设施的运行、维护制度，并保障其正常运行。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2367" w:type="dxa"/>
                  <w:vAlign w:val="center"/>
                </w:tcPr>
                <w:p>
                  <w:pPr>
                    <w:pStyle w:val="85"/>
                    <w:rPr>
                      <w:color w:val="auto"/>
                      <w:sz w:val="18"/>
                      <w:szCs w:val="18"/>
                      <w:highlight w:val="none"/>
                    </w:rPr>
                  </w:pPr>
                  <w:r>
                    <w:rPr>
                      <w:color w:val="auto"/>
                      <w:sz w:val="18"/>
                      <w:szCs w:val="18"/>
                      <w:highlight w:val="none"/>
                    </w:rPr>
                    <w:t>本项目不属于工业项目。</w:t>
                  </w:r>
                </w:p>
              </w:tc>
              <w:tc>
                <w:tcPr>
                  <w:tcW w:w="806"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061" w:type="dxa"/>
                  <w:vAlign w:val="center"/>
                </w:tcPr>
                <w:p>
                  <w:pPr>
                    <w:pStyle w:val="85"/>
                    <w:jc w:val="left"/>
                    <w:rPr>
                      <w:color w:val="auto"/>
                      <w:sz w:val="18"/>
                      <w:szCs w:val="18"/>
                      <w:highlight w:val="none"/>
                    </w:rPr>
                  </w:pPr>
                  <w:r>
                    <w:rPr>
                      <w:color w:val="auto"/>
                      <w:sz w:val="18"/>
                      <w:szCs w:val="18"/>
                      <w:highlight w:val="none"/>
                    </w:rPr>
                    <w:t>第四十六条 新建、改建、扩建建设项目，应当根据环境影响评价文件以及生态环境主管部门审批决定的要求建设环境保护设施、落实环境保护措施。环境保护设施应当与主体工程同时设计、同时施工、同时投产使用。</w:t>
                  </w:r>
                </w:p>
              </w:tc>
              <w:tc>
                <w:tcPr>
                  <w:tcW w:w="2367" w:type="dxa"/>
                  <w:vAlign w:val="center"/>
                </w:tcPr>
                <w:p>
                  <w:pPr>
                    <w:pStyle w:val="85"/>
                    <w:rPr>
                      <w:color w:val="auto"/>
                      <w:sz w:val="18"/>
                      <w:szCs w:val="18"/>
                      <w:highlight w:val="none"/>
                    </w:rPr>
                  </w:pPr>
                  <w:r>
                    <w:rPr>
                      <w:color w:val="auto"/>
                      <w:sz w:val="18"/>
                      <w:szCs w:val="18"/>
                      <w:highlight w:val="none"/>
                    </w:rPr>
                    <w:t>本项目建成后严格按照环保要求落实环境保护措施。</w:t>
                  </w:r>
                </w:p>
              </w:tc>
              <w:tc>
                <w:tcPr>
                  <w:tcW w:w="806"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1" w:type="dxa"/>
                  <w:vAlign w:val="center"/>
                </w:tcPr>
                <w:p>
                  <w:pPr>
                    <w:pStyle w:val="85"/>
                    <w:jc w:val="left"/>
                    <w:rPr>
                      <w:color w:val="auto"/>
                      <w:sz w:val="18"/>
                      <w:szCs w:val="18"/>
                      <w:highlight w:val="none"/>
                    </w:rPr>
                  </w:pPr>
                  <w:r>
                    <w:rPr>
                      <w:color w:val="auto"/>
                      <w:sz w:val="18"/>
                      <w:szCs w:val="18"/>
                      <w:highlight w:val="none"/>
                    </w:rPr>
                    <w:t>第四十五条 排污单位应当采取措施，防治在生产建设或者其他活动中产生的废气、废水、废渣、医疗废物、粉尘、恶臭气体、放射性物质以及噪声、振动、光辐射、电磁辐射等对环境的污染和危害，其污染排放不得超过排放标准和重点污染物排放总量控制指标。</w:t>
                  </w:r>
                </w:p>
              </w:tc>
              <w:tc>
                <w:tcPr>
                  <w:tcW w:w="2367" w:type="dxa"/>
                  <w:vAlign w:val="center"/>
                </w:tcPr>
                <w:p>
                  <w:pPr>
                    <w:autoSpaceDE w:val="0"/>
                    <w:autoSpaceDN w:val="0"/>
                    <w:jc w:val="center"/>
                    <w:rPr>
                      <w:color w:val="auto"/>
                      <w:sz w:val="18"/>
                      <w:szCs w:val="18"/>
                      <w:highlight w:val="none"/>
                    </w:rPr>
                  </w:pPr>
                  <w:r>
                    <w:rPr>
                      <w:color w:val="auto"/>
                      <w:kern w:val="0"/>
                      <w:sz w:val="18"/>
                      <w:szCs w:val="18"/>
                      <w:highlight w:val="none"/>
                      <w:lang w:val="zh-CN" w:bidi="zh-CN"/>
                    </w:rPr>
                    <w:t>本项目废气、废水、噪声经处理后满足相应标准。</w:t>
                  </w:r>
                </w:p>
              </w:tc>
              <w:tc>
                <w:tcPr>
                  <w:tcW w:w="806" w:type="dxa"/>
                  <w:vAlign w:val="center"/>
                </w:tcPr>
                <w:p>
                  <w:pPr>
                    <w:pStyle w:val="85"/>
                    <w:rPr>
                      <w:color w:val="auto"/>
                      <w:sz w:val="18"/>
                      <w:szCs w:val="18"/>
                      <w:highlight w:val="none"/>
                    </w:rPr>
                  </w:pPr>
                  <w:r>
                    <w:rPr>
                      <w:color w:val="auto"/>
                      <w:sz w:val="18"/>
                      <w:szCs w:val="18"/>
                      <w:highlight w:val="none"/>
                    </w:rPr>
                    <w:t>符合</w:t>
                  </w:r>
                </w:p>
              </w:tc>
            </w:tr>
          </w:tbl>
          <w:p>
            <w:pPr>
              <w:adjustRightInd w:val="0"/>
              <w:snapToGrid w:val="0"/>
              <w:spacing w:line="360" w:lineRule="auto"/>
              <w:ind w:firstLine="422" w:firstLineChars="200"/>
              <w:rPr>
                <w:b/>
                <w:color w:val="auto"/>
                <w:szCs w:val="21"/>
                <w:highlight w:val="none"/>
              </w:rPr>
            </w:pPr>
            <w:r>
              <w:rPr>
                <w:b/>
                <w:color w:val="auto"/>
                <w:szCs w:val="21"/>
                <w:highlight w:val="none"/>
              </w:rPr>
              <w:t>（</w:t>
            </w:r>
            <w:r>
              <w:rPr>
                <w:rFonts w:hint="eastAsia"/>
                <w:b/>
                <w:color w:val="auto"/>
                <w:szCs w:val="21"/>
                <w:highlight w:val="none"/>
                <w:lang w:val="en-US" w:eastAsia="zh-CN"/>
              </w:rPr>
              <w:t>3</w:t>
            </w:r>
            <w:r>
              <w:rPr>
                <w:b/>
                <w:color w:val="auto"/>
                <w:szCs w:val="21"/>
                <w:highlight w:val="none"/>
              </w:rPr>
              <w:t>）与《山东省医疗废物管理办法》符合性分析</w:t>
            </w:r>
          </w:p>
          <w:p>
            <w:pPr>
              <w:pStyle w:val="88"/>
              <w:rPr>
                <w:rFonts w:ascii="Times New Roman" w:hAnsi="Times New Roman" w:eastAsia="宋体"/>
                <w:bCs/>
                <w:color w:val="auto"/>
                <w:kern w:val="0"/>
                <w:szCs w:val="21"/>
                <w:highlight w:val="none"/>
                <w:lang w:val="zh-CN"/>
              </w:rPr>
            </w:pPr>
            <w:r>
              <w:rPr>
                <w:rFonts w:ascii="Times New Roman" w:hAnsi="Times New Roman" w:eastAsia="宋体"/>
                <w:bCs/>
                <w:color w:val="auto"/>
                <w:kern w:val="0"/>
                <w:szCs w:val="21"/>
                <w:highlight w:val="none"/>
                <w:lang w:val="zh-CN"/>
              </w:rPr>
              <w:t>表1-</w:t>
            </w:r>
            <w:r>
              <w:rPr>
                <w:rFonts w:hint="eastAsia" w:ascii="Times New Roman" w:hAnsi="Times New Roman" w:eastAsia="宋体"/>
                <w:bCs/>
                <w:color w:val="auto"/>
                <w:kern w:val="0"/>
                <w:szCs w:val="21"/>
                <w:highlight w:val="none"/>
                <w:lang w:val="en-US" w:eastAsia="zh-CN"/>
              </w:rPr>
              <w:t>5</w:t>
            </w:r>
            <w:r>
              <w:rPr>
                <w:rFonts w:ascii="Times New Roman" w:hAnsi="Times New Roman" w:eastAsia="宋体"/>
                <w:bCs/>
                <w:color w:val="auto"/>
                <w:kern w:val="0"/>
                <w:szCs w:val="21"/>
                <w:highlight w:val="none"/>
                <w:lang w:val="zh-CN"/>
              </w:rPr>
              <w:t xml:space="preserve">  与《山东省医疗废物管理办法》符合性分析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39"/>
              <w:gridCol w:w="2639"/>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5"/>
                    <w:rPr>
                      <w:color w:val="auto"/>
                      <w:sz w:val="18"/>
                      <w:szCs w:val="18"/>
                      <w:highlight w:val="none"/>
                    </w:rPr>
                  </w:pPr>
                  <w:r>
                    <w:rPr>
                      <w:color w:val="auto"/>
                      <w:sz w:val="18"/>
                      <w:szCs w:val="18"/>
                      <w:highlight w:val="none"/>
                    </w:rPr>
                    <w:t>山东省医疗废物管理办法要求</w:t>
                  </w:r>
                </w:p>
              </w:tc>
              <w:tc>
                <w:tcPr>
                  <w:tcW w:w="2410" w:type="dxa"/>
                  <w:vAlign w:val="center"/>
                </w:tcPr>
                <w:p>
                  <w:pPr>
                    <w:pStyle w:val="85"/>
                    <w:rPr>
                      <w:color w:val="auto"/>
                      <w:sz w:val="18"/>
                      <w:szCs w:val="18"/>
                      <w:highlight w:val="none"/>
                    </w:rPr>
                  </w:pPr>
                  <w:r>
                    <w:rPr>
                      <w:color w:val="auto"/>
                      <w:sz w:val="18"/>
                      <w:szCs w:val="18"/>
                      <w:highlight w:val="none"/>
                    </w:rPr>
                    <w:t>项目情况</w:t>
                  </w:r>
                </w:p>
              </w:tc>
              <w:tc>
                <w:tcPr>
                  <w:tcW w:w="690" w:type="dxa"/>
                  <w:vAlign w:val="center"/>
                </w:tcPr>
                <w:p>
                  <w:pPr>
                    <w:pStyle w:val="85"/>
                    <w:rPr>
                      <w:color w:val="auto"/>
                      <w:sz w:val="18"/>
                      <w:szCs w:val="18"/>
                      <w:highlight w:val="none"/>
                    </w:rPr>
                  </w:pPr>
                  <w:r>
                    <w:rPr>
                      <w:color w:val="auto"/>
                      <w:sz w:val="18"/>
                      <w:szCs w:val="18"/>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5"/>
                    <w:rPr>
                      <w:color w:val="auto"/>
                      <w:sz w:val="18"/>
                      <w:szCs w:val="18"/>
                      <w:highlight w:val="none"/>
                    </w:rPr>
                  </w:pPr>
                  <w:r>
                    <w:rPr>
                      <w:color w:val="auto"/>
                      <w:sz w:val="18"/>
                      <w:szCs w:val="18"/>
                      <w:highlight w:val="none"/>
                    </w:rPr>
                    <w:t>第六条 医疗卫生机构和医疗废物集中处置单位应当对医疗废物进行登记，登记内容应当包括医疗废物的来源、种类、重量或者数量、交接时间、处置方法、最终去向以及经办人签名等项目。登记资料双方均应各自至少保存五年。</w:t>
                  </w:r>
                </w:p>
              </w:tc>
              <w:tc>
                <w:tcPr>
                  <w:tcW w:w="2410" w:type="dxa"/>
                  <w:vAlign w:val="center"/>
                </w:tcPr>
                <w:p>
                  <w:pPr>
                    <w:pStyle w:val="85"/>
                    <w:rPr>
                      <w:color w:val="auto"/>
                      <w:sz w:val="18"/>
                      <w:szCs w:val="18"/>
                      <w:highlight w:val="none"/>
                    </w:rPr>
                  </w:pPr>
                  <w:r>
                    <w:rPr>
                      <w:color w:val="auto"/>
                      <w:sz w:val="18"/>
                      <w:szCs w:val="18"/>
                      <w:highlight w:val="none"/>
                    </w:rPr>
                    <w:t>本项目严格落实危险废物申报登记和管理计划备案要求，建立医疗废物管理台账，并保存至少五年。</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5"/>
                    <w:rPr>
                      <w:color w:val="auto"/>
                      <w:sz w:val="18"/>
                      <w:szCs w:val="18"/>
                      <w:highlight w:val="none"/>
                    </w:rPr>
                  </w:pPr>
                  <w:r>
                    <w:rPr>
                      <w:color w:val="auto"/>
                      <w:sz w:val="18"/>
                      <w:szCs w:val="18"/>
                      <w:highlight w:val="none"/>
                    </w:rPr>
                    <w:t>第七条 医疗卫生机构应当按照规定对医疗废物和可回收物进行科学分类、规范收集。</w:t>
                  </w:r>
                </w:p>
              </w:tc>
              <w:tc>
                <w:tcPr>
                  <w:tcW w:w="2410" w:type="dxa"/>
                  <w:vAlign w:val="center"/>
                </w:tcPr>
                <w:p>
                  <w:pPr>
                    <w:pStyle w:val="85"/>
                    <w:rPr>
                      <w:color w:val="auto"/>
                      <w:sz w:val="18"/>
                      <w:szCs w:val="18"/>
                      <w:highlight w:val="none"/>
                    </w:rPr>
                  </w:pPr>
                  <w:r>
                    <w:rPr>
                      <w:color w:val="auto"/>
                      <w:sz w:val="18"/>
                      <w:szCs w:val="18"/>
                      <w:highlight w:val="none"/>
                    </w:rPr>
                    <w:t>本项目对医疗废物和可回收物进行分类收集。</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5"/>
                    <w:rPr>
                      <w:color w:val="auto"/>
                      <w:sz w:val="18"/>
                      <w:szCs w:val="18"/>
                      <w:highlight w:val="none"/>
                    </w:rPr>
                  </w:pPr>
                  <w:r>
                    <w:rPr>
                      <w:color w:val="auto"/>
                      <w:sz w:val="18"/>
                      <w:szCs w:val="18"/>
                      <w:highlight w:val="none"/>
                    </w:rPr>
                    <w:t>第八条 医疗卫生机构应当严格落实危险废物申报登记和管理计划备案要求，建立医疗废物管理台账，依法向生态环境主管部门申报医疗废物的种类、产生量、产生时间、流向、贮存和处置等情况。</w:t>
                  </w:r>
                </w:p>
              </w:tc>
              <w:tc>
                <w:tcPr>
                  <w:tcW w:w="2410" w:type="dxa"/>
                  <w:vAlign w:val="center"/>
                </w:tcPr>
                <w:p>
                  <w:pPr>
                    <w:pStyle w:val="64"/>
                    <w:spacing w:line="242" w:lineRule="auto"/>
                    <w:ind w:left="111" w:right="-15"/>
                    <w:jc w:val="both"/>
                    <w:rPr>
                      <w:rFonts w:ascii="Times New Roman" w:hAnsi="Times New Roman"/>
                      <w:color w:val="auto"/>
                      <w:sz w:val="18"/>
                      <w:szCs w:val="18"/>
                      <w:highlight w:val="none"/>
                    </w:rPr>
                  </w:pPr>
                  <w:r>
                    <w:rPr>
                      <w:rFonts w:ascii="Times New Roman" w:hAnsi="Times New Roman"/>
                      <w:color w:val="auto"/>
                      <w:spacing w:val="3"/>
                      <w:sz w:val="18"/>
                      <w:szCs w:val="18"/>
                      <w:highlight w:val="none"/>
                    </w:rPr>
                    <w:t>日常管理中严格落实危险废物申报登记和管理计划备案要求，建立医疗废物管理台账，依法向生态环境主管部门申报医疗废物的种类、产</w:t>
                  </w:r>
                  <w:r>
                    <w:rPr>
                      <w:rFonts w:ascii="Times New Roman" w:hAnsi="Times New Roman"/>
                      <w:color w:val="auto"/>
                      <w:spacing w:val="-8"/>
                      <w:sz w:val="18"/>
                      <w:szCs w:val="18"/>
                      <w:highlight w:val="none"/>
                    </w:rPr>
                    <w:t>生量、产生时间、流向、</w:t>
                  </w:r>
                  <w:r>
                    <w:rPr>
                      <w:rFonts w:ascii="Times New Roman" w:hAnsi="Times New Roman"/>
                      <w:color w:val="auto"/>
                      <w:sz w:val="18"/>
                      <w:szCs w:val="18"/>
                      <w:highlight w:val="none"/>
                    </w:rPr>
                    <w:t>贮存和处置等情况。</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5"/>
                    <w:rPr>
                      <w:color w:val="auto"/>
                      <w:sz w:val="18"/>
                      <w:szCs w:val="18"/>
                      <w:highlight w:val="none"/>
                    </w:rPr>
                  </w:pPr>
                  <w:r>
                    <w:rPr>
                      <w:color w:val="auto"/>
                      <w:sz w:val="18"/>
                      <w:szCs w:val="18"/>
                      <w:highlight w:val="none"/>
                    </w:rPr>
                    <w:t>第九条  传染病疫情期间，根据防控需要，乡镇人民政府、街道办事处应当组织本辖区机关、社会团体、企业事业单位、居民委员会、村民委员会、商场超市、宾馆、酒店、住宅小区等，科学合理、规范足量设置专门收集防护用品废弃物的设施，并在收集设施上张贴明确标识，引导群众定点投放个人使用过的口罩、护目镜、手套、防护服等防护用品。</w:t>
                  </w:r>
                </w:p>
              </w:tc>
              <w:tc>
                <w:tcPr>
                  <w:tcW w:w="2410" w:type="dxa"/>
                  <w:vAlign w:val="center"/>
                </w:tcPr>
                <w:p>
                  <w:pPr>
                    <w:pStyle w:val="85"/>
                    <w:rPr>
                      <w:color w:val="auto"/>
                      <w:sz w:val="18"/>
                      <w:szCs w:val="18"/>
                      <w:highlight w:val="none"/>
                    </w:rPr>
                  </w:pPr>
                  <w:r>
                    <w:rPr>
                      <w:color w:val="auto"/>
                      <w:sz w:val="18"/>
                      <w:szCs w:val="18"/>
                      <w:highlight w:val="none"/>
                    </w:rPr>
                    <w:t>传染病疫情期间，严格按照防控要求进行防控。</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5"/>
                    <w:rPr>
                      <w:color w:val="auto"/>
                      <w:sz w:val="18"/>
                      <w:szCs w:val="18"/>
                      <w:highlight w:val="none"/>
                    </w:rPr>
                  </w:pPr>
                  <w:r>
                    <w:rPr>
                      <w:color w:val="auto"/>
                      <w:sz w:val="18"/>
                      <w:szCs w:val="18"/>
                      <w:highlight w:val="none"/>
                    </w:rPr>
                    <w:t>第十一条  医疗卫生机构和医疗废物集中处置单位应当执行危险废物转移联单管理制度，采取有效措施防止医疗废物流失、泄漏、扩散。</w:t>
                  </w:r>
                </w:p>
              </w:tc>
              <w:tc>
                <w:tcPr>
                  <w:tcW w:w="2410" w:type="dxa"/>
                  <w:vAlign w:val="center"/>
                </w:tcPr>
                <w:p>
                  <w:pPr>
                    <w:pStyle w:val="64"/>
                    <w:spacing w:line="264" w:lineRule="exact"/>
                    <w:ind w:left="111"/>
                    <w:rPr>
                      <w:rFonts w:ascii="Times New Roman" w:hAnsi="Times New Roman"/>
                      <w:color w:val="auto"/>
                      <w:sz w:val="18"/>
                      <w:szCs w:val="18"/>
                      <w:highlight w:val="none"/>
                    </w:rPr>
                  </w:pPr>
                  <w:r>
                    <w:rPr>
                      <w:rFonts w:ascii="Times New Roman" w:hAnsi="Times New Roman"/>
                      <w:color w:val="auto"/>
                      <w:kern w:val="2"/>
                      <w:sz w:val="18"/>
                      <w:szCs w:val="18"/>
                      <w:highlight w:val="none"/>
                    </w:rPr>
                    <w:t>项目运营后严格执行危</w:t>
                  </w:r>
                  <w:r>
                    <w:rPr>
                      <w:rFonts w:ascii="Times New Roman" w:hAnsi="Times New Roman"/>
                      <w:color w:val="auto"/>
                      <w:sz w:val="18"/>
                      <w:szCs w:val="18"/>
                      <w:highlight w:val="none"/>
                    </w:rPr>
                    <w:t>险废物转移联单管理制度，采取有效措施防止医疗废物流失和泄漏。</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5"/>
                    <w:rPr>
                      <w:color w:val="auto"/>
                      <w:sz w:val="18"/>
                      <w:szCs w:val="18"/>
                      <w:highlight w:val="none"/>
                    </w:rPr>
                  </w:pPr>
                  <w:r>
                    <w:rPr>
                      <w:color w:val="auto"/>
                      <w:sz w:val="18"/>
                      <w:szCs w:val="18"/>
                      <w:highlight w:val="none"/>
                    </w:rPr>
                    <w:t>第十四条  医疗卫生机构产生的污水达到国家和省规定的排放标准后，方可排入污水处理系统。医疗卫生机构污水处理过程中产生的污泥应当按照危险废物进行处置。</w:t>
                  </w:r>
                </w:p>
              </w:tc>
              <w:tc>
                <w:tcPr>
                  <w:tcW w:w="2410" w:type="dxa"/>
                  <w:vAlign w:val="center"/>
                </w:tcPr>
                <w:p>
                  <w:pPr>
                    <w:pStyle w:val="85"/>
                    <w:rPr>
                      <w:color w:val="auto"/>
                      <w:sz w:val="18"/>
                      <w:szCs w:val="18"/>
                      <w:highlight w:val="none"/>
                    </w:rPr>
                  </w:pPr>
                  <w:r>
                    <w:rPr>
                      <w:color w:val="auto"/>
                      <w:sz w:val="18"/>
                      <w:szCs w:val="18"/>
                      <w:highlight w:val="none"/>
                    </w:rPr>
                    <w:t>本项目生活污水及医疗废水经项目配建污水处理站处理达标后排入市政污水管网。栅渣和污泥作为危险废物进行委托处置</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0" w:type="dxa"/>
                  <w:vAlign w:val="center"/>
                </w:tcPr>
                <w:p>
                  <w:pPr>
                    <w:pStyle w:val="85"/>
                    <w:rPr>
                      <w:color w:val="auto"/>
                      <w:sz w:val="18"/>
                      <w:szCs w:val="18"/>
                      <w:highlight w:val="none"/>
                    </w:rPr>
                  </w:pPr>
                  <w:r>
                    <w:rPr>
                      <w:color w:val="auto"/>
                      <w:sz w:val="18"/>
                      <w:szCs w:val="18"/>
                      <w:highlight w:val="none"/>
                    </w:rPr>
                    <w:t>第十六条  产生、收集、运送、贮存、处置医疗废物的单位，应当制定突发环境事件的防范措施和应急预案，并向所在地生态环境主管部门备案。</w:t>
                  </w:r>
                </w:p>
              </w:tc>
              <w:tc>
                <w:tcPr>
                  <w:tcW w:w="2410" w:type="dxa"/>
                </w:tcPr>
                <w:p>
                  <w:pPr>
                    <w:pStyle w:val="64"/>
                    <w:jc w:val="center"/>
                    <w:rPr>
                      <w:rFonts w:ascii="Times New Roman" w:hAnsi="Times New Roman"/>
                      <w:color w:val="auto"/>
                      <w:sz w:val="18"/>
                      <w:szCs w:val="18"/>
                      <w:highlight w:val="none"/>
                    </w:rPr>
                  </w:pPr>
                  <w:r>
                    <w:rPr>
                      <w:rFonts w:ascii="Times New Roman" w:hAnsi="Times New Roman"/>
                      <w:color w:val="auto"/>
                      <w:sz w:val="18"/>
                      <w:szCs w:val="18"/>
                      <w:highlight w:val="none"/>
                    </w:rPr>
                    <w:t>本项目</w:t>
                  </w:r>
                  <w:r>
                    <w:rPr>
                      <w:rFonts w:hint="eastAsia" w:ascii="Times New Roman" w:hAnsi="Times New Roman"/>
                      <w:color w:val="auto"/>
                      <w:sz w:val="18"/>
                      <w:szCs w:val="18"/>
                      <w:highlight w:val="none"/>
                      <w:lang w:val="en-US" w:eastAsia="zh-CN"/>
                    </w:rPr>
                    <w:t>按要求</w:t>
                  </w:r>
                  <w:r>
                    <w:rPr>
                      <w:rFonts w:ascii="Times New Roman" w:hAnsi="Times New Roman"/>
                      <w:color w:val="auto"/>
                      <w:sz w:val="18"/>
                      <w:szCs w:val="18"/>
                      <w:highlight w:val="none"/>
                    </w:rPr>
                    <w:t>制定突发环境事件的防范措施，运营前根据当地生态环境部门要求，进行应急预案编制和备案。</w:t>
                  </w:r>
                </w:p>
              </w:tc>
              <w:tc>
                <w:tcPr>
                  <w:tcW w:w="690" w:type="dxa"/>
                  <w:vAlign w:val="center"/>
                </w:tcPr>
                <w:p>
                  <w:pPr>
                    <w:pStyle w:val="85"/>
                    <w:rPr>
                      <w:color w:val="auto"/>
                      <w:sz w:val="18"/>
                      <w:szCs w:val="18"/>
                      <w:highlight w:val="none"/>
                    </w:rPr>
                  </w:pPr>
                  <w:r>
                    <w:rPr>
                      <w:color w:val="auto"/>
                      <w:sz w:val="18"/>
                      <w:szCs w:val="18"/>
                      <w:highlight w:val="none"/>
                    </w:rPr>
                    <w:t>符合</w:t>
                  </w:r>
                </w:p>
              </w:tc>
            </w:tr>
          </w:tbl>
          <w:p>
            <w:pPr>
              <w:adjustRightInd w:val="0"/>
              <w:snapToGrid w:val="0"/>
              <w:spacing w:line="360" w:lineRule="auto"/>
              <w:ind w:firstLine="422" w:firstLineChars="200"/>
              <w:rPr>
                <w:b/>
                <w:color w:val="auto"/>
                <w:szCs w:val="21"/>
                <w:highlight w:val="none"/>
              </w:rPr>
            </w:pPr>
            <w:r>
              <w:rPr>
                <w:b/>
                <w:color w:val="auto"/>
                <w:szCs w:val="21"/>
                <w:highlight w:val="none"/>
              </w:rPr>
              <w:t>（6）与《关于印发医疗机构废弃物综合治理工作方案的通知》（国卫医发[2020]3号）符合性分析</w:t>
            </w:r>
          </w:p>
          <w:p>
            <w:pPr>
              <w:pStyle w:val="88"/>
              <w:rPr>
                <w:rFonts w:ascii="Times New Roman" w:hAnsi="Times New Roman" w:eastAsia="宋体"/>
                <w:bCs/>
                <w:color w:val="auto"/>
                <w:kern w:val="0"/>
                <w:szCs w:val="21"/>
                <w:highlight w:val="none"/>
                <w:lang w:val="zh-CN"/>
              </w:rPr>
            </w:pPr>
            <w:r>
              <w:rPr>
                <w:rFonts w:ascii="Times New Roman" w:hAnsi="Times New Roman" w:eastAsia="宋体"/>
                <w:bCs/>
                <w:color w:val="auto"/>
                <w:kern w:val="0"/>
                <w:szCs w:val="21"/>
                <w:highlight w:val="none"/>
                <w:lang w:val="zh-CN"/>
              </w:rPr>
              <w:t>表1-</w:t>
            </w:r>
            <w:r>
              <w:rPr>
                <w:rFonts w:hint="eastAsia" w:ascii="Times New Roman" w:hAnsi="Times New Roman" w:eastAsia="宋体"/>
                <w:bCs/>
                <w:color w:val="auto"/>
                <w:kern w:val="0"/>
                <w:szCs w:val="21"/>
                <w:highlight w:val="none"/>
                <w:lang w:val="en-US" w:eastAsia="zh-CN"/>
              </w:rPr>
              <w:t>6</w:t>
            </w:r>
            <w:r>
              <w:rPr>
                <w:rFonts w:ascii="Times New Roman" w:hAnsi="Times New Roman" w:eastAsia="宋体"/>
                <w:bCs/>
                <w:color w:val="auto"/>
                <w:kern w:val="0"/>
                <w:szCs w:val="21"/>
                <w:highlight w:val="none"/>
                <w:lang w:val="zh-CN"/>
              </w:rPr>
              <w:t xml:space="preserve">  与国卫医发[2020]3号文符合性分析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4"/>
              <w:gridCol w:w="4811"/>
              <w:gridCol w:w="186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29" w:type="dxa"/>
                  <w:gridSpan w:val="2"/>
                  <w:vAlign w:val="center"/>
                </w:tcPr>
                <w:p>
                  <w:pPr>
                    <w:pStyle w:val="85"/>
                    <w:rPr>
                      <w:color w:val="auto"/>
                      <w:sz w:val="18"/>
                      <w:szCs w:val="18"/>
                      <w:highlight w:val="none"/>
                    </w:rPr>
                  </w:pPr>
                  <w:r>
                    <w:rPr>
                      <w:color w:val="auto"/>
                      <w:sz w:val="18"/>
                      <w:szCs w:val="18"/>
                      <w:highlight w:val="none"/>
                    </w:rPr>
                    <w:t>国卫医发[2020]3号文要求</w:t>
                  </w:r>
                </w:p>
              </w:tc>
              <w:tc>
                <w:tcPr>
                  <w:tcW w:w="1701" w:type="dxa"/>
                  <w:vAlign w:val="center"/>
                </w:tcPr>
                <w:p>
                  <w:pPr>
                    <w:pStyle w:val="85"/>
                    <w:rPr>
                      <w:color w:val="auto"/>
                      <w:sz w:val="18"/>
                      <w:szCs w:val="18"/>
                      <w:highlight w:val="none"/>
                    </w:rPr>
                  </w:pPr>
                  <w:r>
                    <w:rPr>
                      <w:color w:val="auto"/>
                      <w:sz w:val="18"/>
                      <w:szCs w:val="18"/>
                      <w:highlight w:val="none"/>
                    </w:rPr>
                    <w:t>项目情况</w:t>
                  </w:r>
                </w:p>
              </w:tc>
              <w:tc>
                <w:tcPr>
                  <w:tcW w:w="690" w:type="dxa"/>
                  <w:vAlign w:val="center"/>
                </w:tcPr>
                <w:p>
                  <w:pPr>
                    <w:pStyle w:val="85"/>
                    <w:rPr>
                      <w:color w:val="auto"/>
                      <w:sz w:val="18"/>
                      <w:szCs w:val="18"/>
                      <w:highlight w:val="none"/>
                    </w:rPr>
                  </w:pPr>
                  <w:r>
                    <w:rPr>
                      <w:color w:val="auto"/>
                      <w:sz w:val="18"/>
                      <w:szCs w:val="18"/>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Merge w:val="restart"/>
                  <w:vAlign w:val="center"/>
                </w:tcPr>
                <w:p>
                  <w:pPr>
                    <w:pStyle w:val="85"/>
                    <w:rPr>
                      <w:color w:val="auto"/>
                      <w:sz w:val="18"/>
                      <w:szCs w:val="18"/>
                      <w:highlight w:val="none"/>
                    </w:rPr>
                  </w:pPr>
                  <w:r>
                    <w:rPr>
                      <w:color w:val="auto"/>
                      <w:sz w:val="18"/>
                      <w:szCs w:val="18"/>
                      <w:highlight w:val="none"/>
                    </w:rPr>
                    <w:t>一、做好医疗机构内部废弃物分类和管理</w:t>
                  </w:r>
                </w:p>
              </w:tc>
              <w:tc>
                <w:tcPr>
                  <w:tcW w:w="4394" w:type="dxa"/>
                  <w:vAlign w:val="center"/>
                </w:tcPr>
                <w:p>
                  <w:pPr>
                    <w:pStyle w:val="85"/>
                    <w:rPr>
                      <w:color w:val="auto"/>
                      <w:sz w:val="18"/>
                      <w:szCs w:val="18"/>
                      <w:highlight w:val="none"/>
                    </w:rPr>
                  </w:pPr>
                  <w:r>
                    <w:rPr>
                      <w:color w:val="auto"/>
                      <w:sz w:val="18"/>
                      <w:szCs w:val="18"/>
                      <w:highlight w:val="none"/>
                    </w:rPr>
                    <w:t>（一）加强源头管理。医疗机构废弃物分为医疗废物、生活垃圾和输液瓶（袋）。通过规范分类和清晰流程，各医疗机构内形成分类投放、分类收集、分类贮存、分类交接、分类转运的废弃物管理系统。充分利用电子标签、二维码等信息化技术手段，对药品和医用耗材购入、使用和处置等环节进行精细化全程跟踪管理，鼓励医疗机构使用具有追溯功能的医疗用品、具有计数功能的可复用容器，确保医疗机构废弃物应分尽分和可追溯。</w:t>
                  </w:r>
                </w:p>
              </w:tc>
              <w:tc>
                <w:tcPr>
                  <w:tcW w:w="1701" w:type="dxa"/>
                  <w:vAlign w:val="center"/>
                </w:tcPr>
                <w:p>
                  <w:pPr>
                    <w:pStyle w:val="85"/>
                    <w:rPr>
                      <w:color w:val="auto"/>
                      <w:sz w:val="18"/>
                      <w:szCs w:val="18"/>
                      <w:highlight w:val="none"/>
                    </w:rPr>
                  </w:pPr>
                  <w:r>
                    <w:rPr>
                      <w:color w:val="auto"/>
                      <w:sz w:val="18"/>
                      <w:szCs w:val="18"/>
                      <w:highlight w:val="none"/>
                    </w:rPr>
                    <w:t>本项目严格落实药品、医用耗材和医疗废物的管理台账。</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Merge w:val="continue"/>
                  <w:vAlign w:val="center"/>
                </w:tcPr>
                <w:p>
                  <w:pPr>
                    <w:pStyle w:val="85"/>
                    <w:rPr>
                      <w:color w:val="auto"/>
                      <w:sz w:val="18"/>
                      <w:szCs w:val="18"/>
                      <w:highlight w:val="none"/>
                    </w:rPr>
                  </w:pPr>
                </w:p>
              </w:tc>
              <w:tc>
                <w:tcPr>
                  <w:tcW w:w="4394" w:type="dxa"/>
                  <w:vAlign w:val="center"/>
                </w:tcPr>
                <w:p>
                  <w:pPr>
                    <w:pStyle w:val="85"/>
                    <w:rPr>
                      <w:color w:val="auto"/>
                      <w:sz w:val="18"/>
                      <w:szCs w:val="18"/>
                      <w:highlight w:val="none"/>
                    </w:rPr>
                  </w:pPr>
                  <w:r>
                    <w:rPr>
                      <w:color w:val="auto"/>
                      <w:sz w:val="18"/>
                      <w:szCs w:val="18"/>
                      <w:highlight w:val="none"/>
                    </w:rPr>
                    <w:t>（二）夯实各方责任。医疗机构法定代表人是医疗机构废弃物分类和管理的第一责任人，产生废弃物的具体科室和操作人员是直接责任人。</w:t>
                  </w:r>
                </w:p>
              </w:tc>
              <w:tc>
                <w:tcPr>
                  <w:tcW w:w="1701" w:type="dxa"/>
                  <w:vAlign w:val="center"/>
                </w:tcPr>
                <w:p>
                  <w:pPr>
                    <w:pStyle w:val="85"/>
                    <w:rPr>
                      <w:color w:val="auto"/>
                      <w:sz w:val="18"/>
                      <w:szCs w:val="18"/>
                      <w:highlight w:val="none"/>
                    </w:rPr>
                  </w:pPr>
                  <w:r>
                    <w:rPr>
                      <w:color w:val="auto"/>
                      <w:sz w:val="18"/>
                      <w:szCs w:val="18"/>
                      <w:highlight w:val="none"/>
                    </w:rPr>
                    <w:t>本项目制定医疗废物管理责任制，以法人代表作为第一责任人。</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5"/>
                    <w:rPr>
                      <w:color w:val="auto"/>
                      <w:sz w:val="18"/>
                      <w:szCs w:val="18"/>
                      <w:highlight w:val="none"/>
                    </w:rPr>
                  </w:pPr>
                  <w:r>
                    <w:rPr>
                      <w:color w:val="auto"/>
                      <w:sz w:val="18"/>
                      <w:szCs w:val="18"/>
                      <w:highlight w:val="none"/>
                    </w:rPr>
                    <w:t>二、做好医疗废物处置</w:t>
                  </w:r>
                </w:p>
              </w:tc>
              <w:tc>
                <w:tcPr>
                  <w:tcW w:w="4394" w:type="dxa"/>
                  <w:vAlign w:val="center"/>
                </w:tcPr>
                <w:p>
                  <w:pPr>
                    <w:pStyle w:val="85"/>
                    <w:rPr>
                      <w:color w:val="auto"/>
                      <w:sz w:val="18"/>
                      <w:szCs w:val="18"/>
                      <w:highlight w:val="none"/>
                    </w:rPr>
                  </w:pPr>
                  <w:r>
                    <w:rPr>
                      <w:color w:val="auto"/>
                      <w:sz w:val="18"/>
                      <w:szCs w:val="18"/>
                      <w:highlight w:val="none"/>
                    </w:rPr>
                    <w:t>（二）进一步明确处置要求。医疗机构按照《医疗废物分类目录》等要求制定具体的分类收集清单。严格落实危险废物申报登记和管理计划备案要求，依法向生态环境部门申报医疗废物的种类、产生量、流向、贮存和处置等情况。严禁混合医疗废物、生活垃圾和输液瓶（袋），严禁混放各类医疗废物。规范医疗废物贮存场所（设施）管理，不得露天存放。及时告知并将医疗废物交由持有危险废物经营许可证的集中处置单位，执行转移联单并做好交接登记，资料保存不少于3年。</w:t>
                  </w:r>
                </w:p>
              </w:tc>
              <w:tc>
                <w:tcPr>
                  <w:tcW w:w="1701" w:type="dxa"/>
                  <w:vAlign w:val="center"/>
                </w:tcPr>
                <w:p>
                  <w:pPr>
                    <w:pStyle w:val="85"/>
                    <w:rPr>
                      <w:color w:val="auto"/>
                      <w:sz w:val="18"/>
                      <w:szCs w:val="18"/>
                      <w:highlight w:val="none"/>
                    </w:rPr>
                  </w:pPr>
                  <w:r>
                    <w:rPr>
                      <w:color w:val="auto"/>
                      <w:sz w:val="18"/>
                      <w:szCs w:val="18"/>
                      <w:highlight w:val="none"/>
                    </w:rPr>
                    <w:t>日常管理中严格落实危险废物申报登记和管理计划备案要求，建立医疗废物管理台账，依法向生态环境主管部门申报医疗废物的种类、产生量、产生时间、流向、贮存和处置等情况。</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5"/>
                    <w:rPr>
                      <w:color w:val="auto"/>
                      <w:sz w:val="18"/>
                      <w:szCs w:val="18"/>
                      <w:highlight w:val="none"/>
                    </w:rPr>
                  </w:pPr>
                  <w:r>
                    <w:rPr>
                      <w:color w:val="auto"/>
                      <w:sz w:val="18"/>
                      <w:szCs w:val="18"/>
                      <w:highlight w:val="none"/>
                    </w:rPr>
                    <w:t>三、做好生活垃圾管理</w:t>
                  </w:r>
                </w:p>
              </w:tc>
              <w:tc>
                <w:tcPr>
                  <w:tcW w:w="4394" w:type="dxa"/>
                  <w:vAlign w:val="center"/>
                </w:tcPr>
                <w:p>
                  <w:pPr>
                    <w:pStyle w:val="85"/>
                    <w:rPr>
                      <w:color w:val="auto"/>
                      <w:sz w:val="18"/>
                      <w:szCs w:val="18"/>
                      <w:highlight w:val="none"/>
                    </w:rPr>
                  </w:pPr>
                  <w:r>
                    <w:rPr>
                      <w:color w:val="auto"/>
                      <w:sz w:val="18"/>
                      <w:szCs w:val="18"/>
                      <w:highlight w:val="none"/>
                    </w:rPr>
                    <w:t>医疗机构要严格落实生活垃圾分类管理有关政策，将非传染病患者或家属在就诊过程中产生的生活垃圾，以及医疗机构职工非医疗活动产生的生活垃圾，与医疗活动中产生的医疗废物、输液瓶（袋）等区别管理。做好医疗机构生活垃圾的接收、运输和处理工作。</w:t>
                  </w:r>
                </w:p>
              </w:tc>
              <w:tc>
                <w:tcPr>
                  <w:tcW w:w="1701" w:type="dxa"/>
                  <w:vAlign w:val="center"/>
                </w:tcPr>
                <w:p>
                  <w:pPr>
                    <w:pStyle w:val="85"/>
                    <w:rPr>
                      <w:color w:val="auto"/>
                      <w:sz w:val="18"/>
                      <w:szCs w:val="18"/>
                      <w:highlight w:val="none"/>
                    </w:rPr>
                  </w:pPr>
                  <w:r>
                    <w:rPr>
                      <w:color w:val="auto"/>
                      <w:sz w:val="18"/>
                      <w:szCs w:val="18"/>
                      <w:highlight w:val="none"/>
                    </w:rPr>
                    <w:t>本项目生活垃圾独立收集、管理，委托环卫部门定期清运。</w:t>
                  </w:r>
                </w:p>
              </w:tc>
              <w:tc>
                <w:tcPr>
                  <w:tcW w:w="690" w:type="dxa"/>
                  <w:vAlign w:val="center"/>
                </w:tcPr>
                <w:p>
                  <w:pPr>
                    <w:pStyle w:val="85"/>
                    <w:rPr>
                      <w:color w:val="auto"/>
                      <w:sz w:val="18"/>
                      <w:szCs w:val="18"/>
                      <w:highlight w:val="none"/>
                    </w:rPr>
                  </w:pPr>
                  <w:r>
                    <w:rPr>
                      <w:color w:val="auto"/>
                      <w:sz w:val="18"/>
                      <w:szCs w:val="18"/>
                      <w:highlight w:val="none"/>
                    </w:rPr>
                    <w:t>符合</w:t>
                  </w:r>
                </w:p>
              </w:tc>
            </w:tr>
          </w:tbl>
          <w:p>
            <w:pPr>
              <w:pStyle w:val="59"/>
              <w:spacing w:line="360" w:lineRule="auto"/>
              <w:ind w:firstLine="422" w:firstLineChars="200"/>
              <w:rPr>
                <w:rFonts w:ascii="Times New Roman" w:cs="Times New Roman"/>
                <w:b/>
                <w:color w:val="auto"/>
                <w:kern w:val="2"/>
                <w:sz w:val="21"/>
                <w:szCs w:val="21"/>
                <w:highlight w:val="none"/>
              </w:rPr>
            </w:pPr>
            <w:r>
              <w:rPr>
                <w:rFonts w:ascii="Times New Roman" w:cs="Times New Roman"/>
                <w:b/>
                <w:color w:val="auto"/>
                <w:kern w:val="2"/>
                <w:sz w:val="21"/>
                <w:szCs w:val="21"/>
                <w:highlight w:val="none"/>
              </w:rPr>
              <w:t>（8）与《关于在医疗机构推进生活垃圾分类管理的通知》符合性分析</w:t>
            </w:r>
          </w:p>
          <w:p>
            <w:pPr>
              <w:pStyle w:val="88"/>
              <w:rPr>
                <w:rFonts w:ascii="Times New Roman" w:hAnsi="Times New Roman" w:eastAsia="宋体"/>
                <w:bCs/>
                <w:color w:val="auto"/>
                <w:kern w:val="0"/>
                <w:szCs w:val="21"/>
                <w:highlight w:val="none"/>
                <w:lang w:val="zh-CN"/>
              </w:rPr>
            </w:pPr>
            <w:r>
              <w:rPr>
                <w:rFonts w:ascii="Times New Roman" w:hAnsi="Times New Roman" w:eastAsia="宋体"/>
                <w:bCs/>
                <w:color w:val="auto"/>
                <w:kern w:val="0"/>
                <w:szCs w:val="21"/>
                <w:highlight w:val="none"/>
                <w:lang w:val="zh-CN"/>
              </w:rPr>
              <w:t>表1-</w:t>
            </w:r>
            <w:r>
              <w:rPr>
                <w:rFonts w:hint="eastAsia" w:ascii="Times New Roman" w:hAnsi="Times New Roman" w:eastAsia="宋体"/>
                <w:bCs/>
                <w:color w:val="auto"/>
                <w:kern w:val="0"/>
                <w:szCs w:val="21"/>
                <w:highlight w:val="none"/>
                <w:lang w:val="en-US" w:eastAsia="zh-CN"/>
              </w:rPr>
              <w:t>7</w:t>
            </w:r>
            <w:r>
              <w:rPr>
                <w:rFonts w:ascii="Times New Roman" w:hAnsi="Times New Roman" w:eastAsia="宋体"/>
                <w:bCs/>
                <w:color w:val="auto"/>
                <w:kern w:val="0"/>
                <w:szCs w:val="21"/>
                <w:highlight w:val="none"/>
                <w:lang w:val="zh-CN"/>
              </w:rPr>
              <w:t xml:space="preserve">  与《关于在医疗机构推进生活垃圾分类管理的通知》符合性分析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4"/>
              <w:gridCol w:w="4811"/>
              <w:gridCol w:w="186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5129" w:type="dxa"/>
                  <w:gridSpan w:val="2"/>
                  <w:vAlign w:val="center"/>
                </w:tcPr>
                <w:p>
                  <w:pPr>
                    <w:pStyle w:val="85"/>
                    <w:rPr>
                      <w:color w:val="auto"/>
                      <w:sz w:val="18"/>
                      <w:szCs w:val="18"/>
                      <w:highlight w:val="none"/>
                    </w:rPr>
                  </w:pPr>
                  <w:r>
                    <w:rPr>
                      <w:color w:val="auto"/>
                      <w:sz w:val="18"/>
                      <w:szCs w:val="18"/>
                      <w:highlight w:val="none"/>
                    </w:rPr>
                    <w:t>文件要求</w:t>
                  </w:r>
                </w:p>
              </w:tc>
              <w:tc>
                <w:tcPr>
                  <w:tcW w:w="1701" w:type="dxa"/>
                  <w:vAlign w:val="center"/>
                </w:tcPr>
                <w:p>
                  <w:pPr>
                    <w:pStyle w:val="85"/>
                    <w:rPr>
                      <w:color w:val="auto"/>
                      <w:sz w:val="18"/>
                      <w:szCs w:val="18"/>
                      <w:highlight w:val="none"/>
                    </w:rPr>
                  </w:pPr>
                  <w:r>
                    <w:rPr>
                      <w:color w:val="auto"/>
                      <w:sz w:val="18"/>
                      <w:szCs w:val="18"/>
                      <w:highlight w:val="none"/>
                    </w:rPr>
                    <w:t>项目情况</w:t>
                  </w:r>
                </w:p>
              </w:tc>
              <w:tc>
                <w:tcPr>
                  <w:tcW w:w="690" w:type="dxa"/>
                  <w:vAlign w:val="center"/>
                </w:tcPr>
                <w:p>
                  <w:pPr>
                    <w:pStyle w:val="85"/>
                    <w:rPr>
                      <w:color w:val="auto"/>
                      <w:sz w:val="18"/>
                      <w:szCs w:val="18"/>
                      <w:highlight w:val="none"/>
                    </w:rPr>
                  </w:pPr>
                  <w:r>
                    <w:rPr>
                      <w:color w:val="auto"/>
                      <w:sz w:val="18"/>
                      <w:szCs w:val="18"/>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Merge w:val="restart"/>
                  <w:vAlign w:val="center"/>
                </w:tcPr>
                <w:p>
                  <w:pPr>
                    <w:pStyle w:val="85"/>
                    <w:rPr>
                      <w:color w:val="auto"/>
                      <w:sz w:val="18"/>
                      <w:szCs w:val="18"/>
                      <w:highlight w:val="none"/>
                    </w:rPr>
                  </w:pPr>
                  <w:r>
                    <w:rPr>
                      <w:color w:val="auto"/>
                      <w:sz w:val="18"/>
                      <w:szCs w:val="18"/>
                      <w:highlight w:val="none"/>
                    </w:rPr>
                    <w:t>明确分类类别</w:t>
                  </w:r>
                </w:p>
              </w:tc>
              <w:tc>
                <w:tcPr>
                  <w:tcW w:w="4394" w:type="dxa"/>
                  <w:vAlign w:val="center"/>
                </w:tcPr>
                <w:p>
                  <w:pPr>
                    <w:pStyle w:val="85"/>
                    <w:rPr>
                      <w:color w:val="auto"/>
                      <w:sz w:val="18"/>
                      <w:szCs w:val="18"/>
                      <w:highlight w:val="none"/>
                    </w:rPr>
                  </w:pPr>
                  <w:r>
                    <w:rPr>
                      <w:color w:val="auto"/>
                      <w:sz w:val="18"/>
                      <w:szCs w:val="18"/>
                      <w:highlight w:val="none"/>
                    </w:rPr>
                    <w:t>医疗机构应当按照《医疗废物管理条例》等相关规定严格医疗废物的源头分类管理，规范收集暂存，严禁将医疗废物混入生活垃圾。医疗机构内产生的生活垃圾按照属性分为有害垃圾、易腐垃圾、可回收物和其他垃圾四类。</w:t>
                  </w:r>
                </w:p>
              </w:tc>
              <w:tc>
                <w:tcPr>
                  <w:tcW w:w="1701" w:type="dxa"/>
                  <w:vAlign w:val="center"/>
                </w:tcPr>
                <w:p>
                  <w:pPr>
                    <w:pStyle w:val="85"/>
                    <w:rPr>
                      <w:color w:val="auto"/>
                      <w:sz w:val="18"/>
                      <w:szCs w:val="18"/>
                      <w:highlight w:val="none"/>
                    </w:rPr>
                  </w:pPr>
                  <w:r>
                    <w:rPr>
                      <w:color w:val="auto"/>
                      <w:sz w:val="18"/>
                      <w:szCs w:val="18"/>
                      <w:highlight w:val="none"/>
                    </w:rPr>
                    <w:t>本项目医疗废物与生活垃圾分别存放。</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5"/>
                    <w:rPr>
                      <w:color w:val="auto"/>
                      <w:sz w:val="18"/>
                      <w:szCs w:val="18"/>
                      <w:highlight w:val="none"/>
                    </w:rPr>
                  </w:pPr>
                  <w:r>
                    <w:rPr>
                      <w:color w:val="auto"/>
                      <w:sz w:val="18"/>
                      <w:szCs w:val="18"/>
                      <w:highlight w:val="none"/>
                    </w:rPr>
                    <w:t>明确分类投放要求</w:t>
                  </w:r>
                </w:p>
              </w:tc>
              <w:tc>
                <w:tcPr>
                  <w:tcW w:w="4394" w:type="dxa"/>
                  <w:vAlign w:val="center"/>
                </w:tcPr>
                <w:p>
                  <w:pPr>
                    <w:pStyle w:val="85"/>
                    <w:rPr>
                      <w:color w:val="auto"/>
                      <w:sz w:val="18"/>
                      <w:szCs w:val="18"/>
                      <w:highlight w:val="none"/>
                    </w:rPr>
                  </w:pPr>
                  <w:r>
                    <w:rPr>
                      <w:color w:val="auto"/>
                      <w:sz w:val="18"/>
                      <w:szCs w:val="18"/>
                      <w:highlight w:val="none"/>
                    </w:rPr>
                    <w:t>有害垃圾投放要求。医疗机构应当按照安全、便利、快捷的原则集中或定点设立容器对不同品种的有害垃圾收集、暂存，并在醒目位置设置有害垃圾标志。易腐垃圾投放要求。医疗机构应当在易腐垃圾主要产生区域设置专门容器单独投放易腐垃圾，原则上应采用密闭容器存放。可回收物投放要求。医疗机构应当根据可回收物的种类和产生量，设置专门容器和临时存储空间，定点投放和暂存，必要时可设专人分拣打包，做到标识明显。</w:t>
                  </w:r>
                </w:p>
              </w:tc>
              <w:tc>
                <w:tcPr>
                  <w:tcW w:w="1701" w:type="dxa"/>
                  <w:vAlign w:val="center"/>
                </w:tcPr>
                <w:p>
                  <w:pPr>
                    <w:pStyle w:val="85"/>
                    <w:rPr>
                      <w:color w:val="auto"/>
                      <w:sz w:val="18"/>
                      <w:szCs w:val="18"/>
                      <w:highlight w:val="none"/>
                    </w:rPr>
                  </w:pPr>
                  <w:r>
                    <w:rPr>
                      <w:color w:val="auto"/>
                      <w:sz w:val="18"/>
                      <w:szCs w:val="18"/>
                      <w:highlight w:val="none"/>
                    </w:rPr>
                    <w:t>本项目产生的医疗废物存于危险废物暂存间，定期交于有资质单位进行处理。</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5"/>
                    <w:rPr>
                      <w:color w:val="auto"/>
                      <w:sz w:val="18"/>
                      <w:szCs w:val="18"/>
                      <w:highlight w:val="none"/>
                    </w:rPr>
                  </w:pPr>
                  <w:r>
                    <w:rPr>
                      <w:color w:val="auto"/>
                      <w:sz w:val="18"/>
                      <w:szCs w:val="18"/>
                      <w:highlight w:val="none"/>
                    </w:rPr>
                    <w:t>明确分类处置要求</w:t>
                  </w:r>
                </w:p>
              </w:tc>
              <w:tc>
                <w:tcPr>
                  <w:tcW w:w="4394" w:type="dxa"/>
                  <w:vAlign w:val="center"/>
                </w:tcPr>
                <w:p>
                  <w:pPr>
                    <w:pStyle w:val="85"/>
                    <w:rPr>
                      <w:color w:val="auto"/>
                      <w:sz w:val="18"/>
                      <w:szCs w:val="18"/>
                      <w:highlight w:val="none"/>
                    </w:rPr>
                  </w:pPr>
                  <w:r>
                    <w:rPr>
                      <w:color w:val="auto"/>
                      <w:sz w:val="18"/>
                      <w:szCs w:val="18"/>
                      <w:highlight w:val="none"/>
                    </w:rPr>
                    <w:t>有害垃圾处置要求。医疗机构应当与有资质的危险废物处置单位签订合同，根据有害垃圾的品种和产生数量合理确定或约定收运频率。</w:t>
                  </w:r>
                </w:p>
                <w:p>
                  <w:pPr>
                    <w:pStyle w:val="85"/>
                    <w:rPr>
                      <w:color w:val="auto"/>
                      <w:sz w:val="18"/>
                      <w:szCs w:val="18"/>
                      <w:highlight w:val="none"/>
                    </w:rPr>
                  </w:pPr>
                  <w:r>
                    <w:rPr>
                      <w:color w:val="auto"/>
                      <w:sz w:val="18"/>
                      <w:szCs w:val="18"/>
                      <w:highlight w:val="none"/>
                    </w:rPr>
                    <w:t>易腐垃圾处置要求。医疗机构可与易腐垃圾专业处置单位签订合同，每日产生的易腐垃圾由易腐垃圾专业处置单位上门收集并处理。有条件的医疗机构可采用生物转化有机肥等技术就地处置易腐垃圾。</w:t>
                  </w:r>
                </w:p>
                <w:p>
                  <w:pPr>
                    <w:pStyle w:val="85"/>
                    <w:rPr>
                      <w:color w:val="auto"/>
                      <w:sz w:val="18"/>
                      <w:szCs w:val="18"/>
                      <w:highlight w:val="none"/>
                    </w:rPr>
                  </w:pPr>
                  <w:r>
                    <w:rPr>
                      <w:color w:val="auto"/>
                      <w:sz w:val="18"/>
                      <w:szCs w:val="18"/>
                      <w:highlight w:val="none"/>
                    </w:rPr>
                    <w:t>可回收物处置要求。医疗机构应当统一处置本单位产生的可回收物，与再生资源回收单位做好交接、登记和统计工作，实现可回收物的可追溯。再生资源回收单位向再生资源利用单位提供输液瓶（袋）类可回收物时，应当说明来源并做好交接登记，确保可追溯。再生资源利用单位利用这类可回收物时不得用于原用途，用于其他用途时不应危害人体健康。</w:t>
                  </w:r>
                </w:p>
              </w:tc>
              <w:tc>
                <w:tcPr>
                  <w:tcW w:w="1701" w:type="dxa"/>
                  <w:vAlign w:val="center"/>
                </w:tcPr>
                <w:p>
                  <w:pPr>
                    <w:pStyle w:val="85"/>
                    <w:rPr>
                      <w:color w:val="auto"/>
                      <w:sz w:val="18"/>
                      <w:szCs w:val="18"/>
                      <w:highlight w:val="none"/>
                    </w:rPr>
                  </w:pPr>
                  <w:r>
                    <w:rPr>
                      <w:color w:val="auto"/>
                      <w:sz w:val="18"/>
                      <w:szCs w:val="18"/>
                      <w:highlight w:val="none"/>
                    </w:rPr>
                    <w:t>本项目对于不同的垃圾按照要求分别进行处置。</w:t>
                  </w:r>
                </w:p>
              </w:tc>
              <w:tc>
                <w:tcPr>
                  <w:tcW w:w="690" w:type="dxa"/>
                  <w:vAlign w:val="center"/>
                </w:tcPr>
                <w:p>
                  <w:pPr>
                    <w:pStyle w:val="85"/>
                    <w:rPr>
                      <w:color w:val="auto"/>
                      <w:sz w:val="18"/>
                      <w:szCs w:val="18"/>
                      <w:highlight w:val="none"/>
                    </w:rPr>
                  </w:pPr>
                  <w:r>
                    <w:rPr>
                      <w:color w:val="auto"/>
                      <w:sz w:val="18"/>
                      <w:szCs w:val="18"/>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35" w:type="dxa"/>
                  <w:vAlign w:val="center"/>
                </w:tcPr>
                <w:p>
                  <w:pPr>
                    <w:pStyle w:val="85"/>
                    <w:rPr>
                      <w:color w:val="auto"/>
                      <w:sz w:val="18"/>
                      <w:szCs w:val="18"/>
                      <w:highlight w:val="none"/>
                    </w:rPr>
                  </w:pPr>
                  <w:r>
                    <w:rPr>
                      <w:color w:val="auto"/>
                      <w:sz w:val="18"/>
                      <w:szCs w:val="18"/>
                      <w:highlight w:val="none"/>
                    </w:rPr>
                    <w:t>明确使用后输液瓶（袋）的分类管理要求</w:t>
                  </w:r>
                </w:p>
              </w:tc>
              <w:tc>
                <w:tcPr>
                  <w:tcW w:w="4394" w:type="dxa"/>
                  <w:vAlign w:val="center"/>
                </w:tcPr>
                <w:p>
                  <w:pPr>
                    <w:pStyle w:val="85"/>
                    <w:rPr>
                      <w:color w:val="auto"/>
                      <w:sz w:val="18"/>
                      <w:szCs w:val="18"/>
                      <w:highlight w:val="none"/>
                    </w:rPr>
                  </w:pPr>
                  <w:r>
                    <w:rPr>
                      <w:color w:val="auto"/>
                      <w:sz w:val="18"/>
                      <w:szCs w:val="18"/>
                      <w:highlight w:val="none"/>
                    </w:rPr>
                    <w:t>对于未被患者血液、体液和排泄物等污染的输液瓶（袋），应当在其与输液管连接处去除输液管后单独集中回收、存放。去除后的输液管、针头等应当严格按照医疗废物处理，严禁混入未被污染的输液瓶（袋）及其他生活垃圾中。残留少量经稀释的普通药液的输液瓶（袋），可以按照未被污染的输液瓶（袋）处理。医疗机构应当科学、规范、节约用药，提高药物使用效率，减少浪费，降低药品消耗和环境承载压力。存在下列情形的输液瓶（袋），即使未被患者血液、体液和排泄物等污染，也不得纳入可回收生活垃圾管理。在传染病区使用，或者用于传染病患者、疑似传染病患者以及采取隔离措施的其他患者的输液瓶（袋），应当按照感染性医疗废物处理；输液涉及使用细胞毒性药物（如肿瘤化疗药物等）的输液瓶（袋），应当按照药物性医疗废物处理；输液涉及使用麻醉类药品、精神类药品、易制毒药品和放射性药品的输液瓶（袋），应当严格按照相关规定处理。</w:t>
                  </w:r>
                </w:p>
              </w:tc>
              <w:tc>
                <w:tcPr>
                  <w:tcW w:w="1701" w:type="dxa"/>
                  <w:vAlign w:val="center"/>
                </w:tcPr>
                <w:p>
                  <w:pPr>
                    <w:pStyle w:val="85"/>
                    <w:rPr>
                      <w:color w:val="auto"/>
                      <w:sz w:val="18"/>
                      <w:szCs w:val="18"/>
                      <w:highlight w:val="none"/>
                    </w:rPr>
                  </w:pPr>
                  <w:r>
                    <w:rPr>
                      <w:color w:val="auto"/>
                      <w:sz w:val="18"/>
                      <w:szCs w:val="18"/>
                      <w:highlight w:val="none"/>
                    </w:rPr>
                    <w:t>本项目严格按照要求对输液瓶（袋）进行处置。</w:t>
                  </w:r>
                </w:p>
              </w:tc>
              <w:tc>
                <w:tcPr>
                  <w:tcW w:w="690" w:type="dxa"/>
                  <w:vAlign w:val="center"/>
                </w:tcPr>
                <w:p>
                  <w:pPr>
                    <w:pStyle w:val="85"/>
                    <w:rPr>
                      <w:color w:val="auto"/>
                      <w:sz w:val="18"/>
                      <w:szCs w:val="18"/>
                      <w:highlight w:val="none"/>
                    </w:rPr>
                  </w:pPr>
                  <w:r>
                    <w:rPr>
                      <w:color w:val="auto"/>
                      <w:sz w:val="18"/>
                      <w:szCs w:val="18"/>
                      <w:highlight w:val="none"/>
                    </w:rPr>
                    <w:t>符合</w:t>
                  </w:r>
                </w:p>
              </w:tc>
            </w:tr>
          </w:tbl>
          <w:p>
            <w:pPr>
              <w:pStyle w:val="59"/>
              <w:spacing w:line="360" w:lineRule="auto"/>
              <w:ind w:firstLine="420" w:firstLineChars="200"/>
              <w:rPr>
                <w:rFonts w:ascii="Times New Roman" w:cs="Times New Roman"/>
                <w:color w:val="auto"/>
                <w:sz w:val="21"/>
                <w:szCs w:val="21"/>
                <w:highlight w:val="none"/>
              </w:rPr>
            </w:pPr>
            <w:r>
              <w:rPr>
                <w:rFonts w:ascii="Times New Roman" w:cs="Times New Roman"/>
                <w:color w:val="auto"/>
                <w:kern w:val="2"/>
                <w:sz w:val="21"/>
                <w:szCs w:val="21"/>
                <w:highlight w:val="none"/>
              </w:rPr>
              <w:t>综上所述，本项目符合国家及省、市相关环保要求。</w:t>
            </w:r>
          </w:p>
          <w:p>
            <w:pPr>
              <w:pStyle w:val="59"/>
              <w:spacing w:line="360" w:lineRule="auto"/>
              <w:ind w:firstLine="420" w:firstLineChars="200"/>
              <w:rPr>
                <w:rFonts w:ascii="Times New Roman" w:cs="Times New Roman"/>
                <w:color w:val="auto"/>
                <w:sz w:val="21"/>
                <w:szCs w:val="21"/>
                <w:highlight w:val="none"/>
              </w:rPr>
            </w:pPr>
          </w:p>
          <w:p>
            <w:pPr>
              <w:jc w:val="left"/>
              <w:rPr>
                <w:color w:val="auto"/>
                <w:highlight w:val="none"/>
              </w:rPr>
            </w:pPr>
          </w:p>
          <w:p>
            <w:pPr>
              <w:pStyle w:val="26"/>
              <w:rPr>
                <w:color w:val="auto"/>
                <w:highlight w:val="none"/>
              </w:rPr>
            </w:pPr>
          </w:p>
          <w:p>
            <w:pPr>
              <w:rPr>
                <w:color w:val="auto"/>
                <w:highlight w:val="none"/>
              </w:rPr>
            </w:pPr>
          </w:p>
          <w:p>
            <w:pPr>
              <w:pStyle w:val="26"/>
              <w:rPr>
                <w:color w:val="auto"/>
                <w:highlight w:val="none"/>
              </w:rPr>
            </w:pPr>
          </w:p>
          <w:p>
            <w:pPr>
              <w:rPr>
                <w:color w:val="auto"/>
                <w:highlight w:val="none"/>
              </w:rPr>
            </w:pPr>
          </w:p>
          <w:p>
            <w:pPr>
              <w:pStyle w:val="25"/>
              <w:rPr>
                <w:color w:val="auto"/>
                <w:highlight w:val="none"/>
              </w:rPr>
            </w:pPr>
          </w:p>
          <w:p>
            <w:pPr>
              <w:rPr>
                <w:color w:val="auto"/>
                <w:highlight w:val="none"/>
              </w:rPr>
            </w:pPr>
          </w:p>
          <w:p>
            <w:pPr>
              <w:pStyle w:val="26"/>
              <w:rPr>
                <w:color w:val="auto"/>
                <w:highlight w:val="none"/>
              </w:rPr>
            </w:pPr>
          </w:p>
          <w:p>
            <w:pPr>
              <w:pStyle w:val="26"/>
              <w:ind w:left="0" w:leftChars="0" w:firstLine="0" w:firstLineChars="0"/>
              <w:rPr>
                <w:color w:val="auto"/>
                <w:highlight w:val="none"/>
              </w:rPr>
            </w:pPr>
          </w:p>
        </w:tc>
      </w:tr>
    </w:tbl>
    <w:p>
      <w:pPr>
        <w:spacing w:line="360" w:lineRule="auto"/>
        <w:outlineLvl w:val="0"/>
        <w:rPr>
          <w:rFonts w:eastAsia="黑体"/>
          <w:color w:val="auto"/>
          <w:sz w:val="30"/>
          <w:highlight w:val="none"/>
        </w:rPr>
        <w:sectPr>
          <w:footerReference r:id="rId4" w:type="default"/>
          <w:pgSz w:w="11906" w:h="16838"/>
          <w:pgMar w:top="1701" w:right="1531" w:bottom="1701" w:left="1531" w:header="851" w:footer="1077" w:gutter="0"/>
          <w:pgNumType w:fmt="numberInDash" w:start="1"/>
          <w:cols w:space="720" w:num="1"/>
          <w:docGrid w:linePitch="312" w:charSpace="0"/>
        </w:sectPr>
      </w:pPr>
    </w:p>
    <w:p>
      <w:pPr>
        <w:pStyle w:val="22"/>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二、建设项目工程分析</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8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jc w:val="center"/>
        </w:trPr>
        <w:tc>
          <w:tcPr>
            <w:tcW w:w="233" w:type="pct"/>
            <w:vAlign w:val="center"/>
          </w:tcPr>
          <w:p>
            <w:pPr>
              <w:pStyle w:val="22"/>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color w:val="auto"/>
                <w:sz w:val="21"/>
                <w:szCs w:val="21"/>
                <w:highlight w:val="none"/>
              </w:rPr>
              <w:t>建设内容</w:t>
            </w:r>
          </w:p>
        </w:tc>
        <w:tc>
          <w:tcPr>
            <w:tcW w:w="4766" w:type="pct"/>
          </w:tcPr>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1、项目背景</w:t>
            </w:r>
          </w:p>
          <w:p>
            <w:pPr>
              <w:autoSpaceDE w:val="0"/>
              <w:autoSpaceDN w:val="0"/>
              <w:adjustRightInd w:val="0"/>
              <w:snapToGrid w:val="0"/>
              <w:spacing w:line="360" w:lineRule="auto"/>
              <w:ind w:firstLine="420" w:firstLineChars="200"/>
              <w:jc w:val="left"/>
              <w:rPr>
                <w:color w:val="auto"/>
                <w:kern w:val="0"/>
                <w:szCs w:val="21"/>
                <w:highlight w:val="none"/>
              </w:rPr>
            </w:pPr>
            <w:r>
              <w:rPr>
                <w:rFonts w:hint="eastAsia"/>
                <w:color w:val="auto"/>
                <w:kern w:val="0"/>
                <w:szCs w:val="21"/>
                <w:highlight w:val="none"/>
                <w:lang w:eastAsia="zh-CN"/>
              </w:rPr>
              <w:t>淄博市张店区第二人民医院（淄博口腔医院）建设项目</w:t>
            </w:r>
            <w:r>
              <w:rPr>
                <w:color w:val="auto"/>
                <w:kern w:val="0"/>
                <w:szCs w:val="21"/>
                <w:highlight w:val="none"/>
              </w:rPr>
              <w:t>始建于1955年，历经发展变迁，目前已成为淄博市口腔专科领先，内、外、妇、儿专业齐全的医院，有着近六十年的深厚底蕴，是</w:t>
            </w:r>
            <w:r>
              <w:rPr>
                <w:rFonts w:hint="eastAsia"/>
                <w:color w:val="auto"/>
                <w:kern w:val="0"/>
                <w:szCs w:val="21"/>
                <w:highlight w:val="none"/>
                <w:lang w:eastAsia="zh-CN"/>
              </w:rPr>
              <w:t>“</w:t>
            </w:r>
            <w:r>
              <w:rPr>
                <w:color w:val="auto"/>
                <w:kern w:val="0"/>
                <w:szCs w:val="21"/>
                <w:highlight w:val="none"/>
              </w:rPr>
              <w:t>张店区牙病防治中心</w:t>
            </w:r>
            <w:r>
              <w:rPr>
                <w:rFonts w:hint="eastAsia"/>
                <w:color w:val="auto"/>
                <w:kern w:val="0"/>
                <w:szCs w:val="21"/>
                <w:highlight w:val="none"/>
                <w:lang w:eastAsia="zh-CN"/>
              </w:rPr>
              <w:t>”</w:t>
            </w:r>
            <w:r>
              <w:rPr>
                <w:color w:val="auto"/>
                <w:kern w:val="0"/>
                <w:szCs w:val="21"/>
                <w:highlight w:val="none"/>
              </w:rPr>
              <w:t>、</w:t>
            </w:r>
            <w:r>
              <w:rPr>
                <w:rFonts w:hint="eastAsia"/>
                <w:color w:val="auto"/>
                <w:kern w:val="0"/>
                <w:szCs w:val="21"/>
                <w:highlight w:val="none"/>
                <w:lang w:eastAsia="zh-CN"/>
              </w:rPr>
              <w:t>“</w:t>
            </w:r>
            <w:r>
              <w:rPr>
                <w:color w:val="auto"/>
                <w:kern w:val="0"/>
                <w:szCs w:val="21"/>
                <w:highlight w:val="none"/>
              </w:rPr>
              <w:t>张店区青少年口腔疾病预防保健中心</w:t>
            </w:r>
            <w:r>
              <w:rPr>
                <w:rFonts w:hint="eastAsia"/>
                <w:color w:val="auto"/>
                <w:kern w:val="0"/>
                <w:szCs w:val="21"/>
                <w:highlight w:val="none"/>
                <w:lang w:eastAsia="zh-CN"/>
              </w:rPr>
              <w:t>”</w:t>
            </w:r>
            <w:r>
              <w:rPr>
                <w:color w:val="auto"/>
                <w:kern w:val="0"/>
                <w:szCs w:val="21"/>
                <w:highlight w:val="none"/>
              </w:rPr>
              <w:t>；泰山医学院、潍坊医学院本科教学医院；淄博市规模最大、设备最精、技术领先、专业分科最全的口腔专科医院，在鲁中地区享有较高声誉。</w:t>
            </w:r>
          </w:p>
          <w:p>
            <w:pPr>
              <w:adjustRightInd w:val="0"/>
              <w:snapToGrid w:val="0"/>
              <w:spacing w:line="360" w:lineRule="auto"/>
              <w:ind w:firstLine="420" w:firstLineChars="200"/>
              <w:rPr>
                <w:rFonts w:hint="eastAsia" w:eastAsia="宋体"/>
                <w:bCs/>
                <w:color w:val="auto"/>
                <w:szCs w:val="21"/>
                <w:highlight w:val="none"/>
                <w:lang w:eastAsia="zh-CN"/>
              </w:rPr>
            </w:pPr>
            <w:r>
              <w:rPr>
                <w:rFonts w:hint="eastAsia"/>
                <w:color w:val="auto"/>
                <w:kern w:val="0"/>
                <w:szCs w:val="21"/>
                <w:highlight w:val="none"/>
                <w:lang w:val="en-US" w:eastAsia="zh-CN"/>
              </w:rPr>
              <w:t>淄</w:t>
            </w:r>
            <w:r>
              <w:rPr>
                <w:color w:val="auto"/>
                <w:kern w:val="0"/>
                <w:szCs w:val="21"/>
                <w:highlight w:val="none"/>
                <w:lang w:val="en-US" w:eastAsia="zh-CN"/>
              </w:rPr>
              <w:t>博口腔医院</w:t>
            </w:r>
            <w:r>
              <w:rPr>
                <w:rFonts w:hint="eastAsia"/>
                <w:color w:val="auto"/>
                <w:kern w:val="0"/>
                <w:szCs w:val="21"/>
                <w:highlight w:val="none"/>
                <w:lang w:val="en-US" w:eastAsia="zh-CN"/>
              </w:rPr>
              <w:t>老院区</w:t>
            </w:r>
            <w:r>
              <w:rPr>
                <w:rFonts w:hint="eastAsia"/>
                <w:color w:val="auto"/>
                <w:kern w:val="0"/>
                <w:szCs w:val="21"/>
                <w:highlight w:val="none"/>
                <w:lang w:eastAsia="zh-CN"/>
              </w:rPr>
              <w:t>“</w:t>
            </w:r>
            <w:r>
              <w:rPr>
                <w:color w:val="auto"/>
                <w:kern w:val="0"/>
                <w:szCs w:val="21"/>
                <w:highlight w:val="none"/>
              </w:rPr>
              <w:t>淄博市张店区第二人民医院（淄博口腔医院）项目</w:t>
            </w:r>
            <w:r>
              <w:rPr>
                <w:rFonts w:hint="eastAsia"/>
                <w:color w:val="auto"/>
                <w:kern w:val="0"/>
                <w:szCs w:val="21"/>
                <w:highlight w:val="none"/>
                <w:lang w:eastAsia="zh-CN"/>
              </w:rPr>
              <w:t>”</w:t>
            </w:r>
            <w:r>
              <w:rPr>
                <w:color w:val="auto"/>
                <w:kern w:val="0"/>
                <w:szCs w:val="21"/>
                <w:highlight w:val="none"/>
              </w:rPr>
              <w:t>建成投产时间较早，项目建成于</w:t>
            </w:r>
            <w:r>
              <w:rPr>
                <w:rFonts w:hint="eastAsia"/>
                <w:color w:val="auto"/>
                <w:kern w:val="0"/>
                <w:szCs w:val="21"/>
                <w:highlight w:val="none"/>
              </w:rPr>
              <w:t>1996年10月，</w:t>
            </w:r>
            <w:r>
              <w:rPr>
                <w:color w:val="auto"/>
                <w:kern w:val="0"/>
                <w:szCs w:val="21"/>
                <w:highlight w:val="none"/>
              </w:rPr>
              <w:t>建设初期取得原淄博市张店区环境保护局出具的环保意见《关于对口腔病医院迁建的环保意见》（1996年7月18日）</w:t>
            </w:r>
            <w:r>
              <w:rPr>
                <w:rFonts w:hint="eastAsia"/>
                <w:color w:val="auto"/>
                <w:kern w:val="0"/>
                <w:szCs w:val="21"/>
                <w:highlight w:val="none"/>
              </w:rPr>
              <w:t>。</w:t>
            </w:r>
            <w:r>
              <w:rPr>
                <w:color w:val="auto"/>
                <w:kern w:val="0"/>
                <w:szCs w:val="21"/>
                <w:highlight w:val="none"/>
              </w:rPr>
              <w:t>项目开工</w:t>
            </w:r>
            <w:r>
              <w:rPr>
                <w:rFonts w:hint="eastAsia"/>
                <w:color w:val="auto"/>
                <w:kern w:val="0"/>
                <w:szCs w:val="21"/>
                <w:highlight w:val="none"/>
              </w:rPr>
              <w:t>建设时，《中华人民共和国环境影响评价法》（2003年9月1日起施行）》尚未实施，因此</w:t>
            </w:r>
            <w:r>
              <w:rPr>
                <w:color w:val="auto"/>
                <w:kern w:val="0"/>
                <w:szCs w:val="21"/>
                <w:highlight w:val="none"/>
              </w:rPr>
              <w:t>未编制环评文件</w:t>
            </w:r>
            <w:r>
              <w:rPr>
                <w:rFonts w:hint="eastAsia"/>
                <w:color w:val="auto"/>
                <w:kern w:val="0"/>
                <w:szCs w:val="21"/>
                <w:highlight w:val="none"/>
                <w:lang w:eastAsia="zh-CN"/>
              </w:rPr>
              <w:t>，</w:t>
            </w:r>
            <w:r>
              <w:rPr>
                <w:rFonts w:hint="eastAsia"/>
                <w:color w:val="auto"/>
                <w:kern w:val="0"/>
                <w:szCs w:val="21"/>
                <w:highlight w:val="none"/>
                <w:lang w:val="en-US" w:eastAsia="zh-CN"/>
              </w:rPr>
              <w:t>后于2022年10月提交了“淄博市张店区第二人民医院（淄博口腔医院）项目”建设项目环境影响报告表，并于2022年12月27日取得了淄博市生态环境局张店分局的审批意见（张环审[2022]24号），</w:t>
            </w:r>
            <w:r>
              <w:rPr>
                <w:rFonts w:hint="eastAsia"/>
                <w:bCs/>
                <w:color w:val="auto"/>
                <w:szCs w:val="21"/>
                <w:highlight w:val="none"/>
                <w:lang w:val="en-US" w:eastAsia="zh-CN"/>
              </w:rPr>
              <w:t>老院区</w:t>
            </w:r>
            <w:r>
              <w:rPr>
                <w:bCs/>
                <w:color w:val="auto"/>
                <w:szCs w:val="21"/>
                <w:highlight w:val="none"/>
              </w:rPr>
              <w:t>已进行固定污染源排污登记，登记编号：1237030349322452X1001W，有效期</w:t>
            </w:r>
            <w:r>
              <w:rPr>
                <w:rFonts w:hint="eastAsia"/>
                <w:bCs/>
                <w:color w:val="auto"/>
                <w:szCs w:val="21"/>
                <w:highlight w:val="none"/>
                <w:lang w:val="en-US" w:eastAsia="zh-CN"/>
              </w:rPr>
              <w:t>为</w:t>
            </w:r>
            <w:r>
              <w:rPr>
                <w:bCs/>
                <w:color w:val="auto"/>
                <w:szCs w:val="21"/>
                <w:highlight w:val="none"/>
              </w:rPr>
              <w:t>2020年12月7日至2025年12月6日。</w:t>
            </w:r>
          </w:p>
          <w:p>
            <w:pPr>
              <w:autoSpaceDE w:val="0"/>
              <w:autoSpaceDN w:val="0"/>
              <w:adjustRightInd w:val="0"/>
              <w:snapToGrid w:val="0"/>
              <w:spacing w:line="360" w:lineRule="auto"/>
              <w:ind w:firstLine="420" w:firstLineChars="200"/>
              <w:jc w:val="left"/>
              <w:rPr>
                <w:rFonts w:hint="default"/>
                <w:color w:val="auto"/>
                <w:kern w:val="0"/>
                <w:szCs w:val="21"/>
                <w:highlight w:val="none"/>
                <w:lang w:val="en-US" w:eastAsia="zh-CN"/>
              </w:rPr>
            </w:pPr>
            <w:r>
              <w:rPr>
                <w:color w:val="auto"/>
                <w:kern w:val="0"/>
                <w:szCs w:val="21"/>
                <w:highlight w:val="none"/>
                <w:lang w:val="en-US" w:eastAsia="zh-CN"/>
              </w:rPr>
              <w:t>目前，淄博口腔医院</w:t>
            </w:r>
            <w:r>
              <w:rPr>
                <w:rFonts w:hint="eastAsia"/>
                <w:color w:val="auto"/>
                <w:kern w:val="0"/>
                <w:szCs w:val="21"/>
                <w:highlight w:val="none"/>
                <w:lang w:val="en-US" w:eastAsia="zh-CN"/>
              </w:rPr>
              <w:t>老院区</w:t>
            </w:r>
            <w:r>
              <w:rPr>
                <w:rFonts w:hint="default"/>
                <w:color w:val="auto"/>
                <w:kern w:val="0"/>
                <w:szCs w:val="21"/>
                <w:highlight w:val="none"/>
                <w:lang w:val="en-US" w:eastAsia="zh-CN"/>
              </w:rPr>
              <w:t>地上建筑也已超过</w:t>
            </w:r>
            <w:r>
              <w:rPr>
                <w:color w:val="auto"/>
                <w:kern w:val="0"/>
                <w:szCs w:val="21"/>
                <w:highlight w:val="none"/>
                <w:lang w:val="en-US" w:eastAsia="zh-CN"/>
              </w:rPr>
              <w:t>20</w:t>
            </w:r>
            <w:r>
              <w:rPr>
                <w:rFonts w:hint="default"/>
                <w:color w:val="auto"/>
                <w:kern w:val="0"/>
                <w:szCs w:val="21"/>
                <w:highlight w:val="none"/>
                <w:lang w:val="en-US" w:eastAsia="zh-CN"/>
              </w:rPr>
              <w:t>年，医疗用房只有 4700</w:t>
            </w:r>
            <w:r>
              <w:rPr>
                <w:rFonts w:hint="eastAsia"/>
                <w:color w:val="auto"/>
                <w:kern w:val="0"/>
                <w:szCs w:val="21"/>
                <w:highlight w:val="none"/>
                <w:lang w:val="en-US" w:eastAsia="zh-CN"/>
              </w:rPr>
              <w:t>m</w:t>
            </w:r>
            <w:r>
              <w:rPr>
                <w:rFonts w:hint="eastAsia"/>
                <w:color w:val="auto"/>
                <w:kern w:val="0"/>
                <w:szCs w:val="21"/>
                <w:highlight w:val="none"/>
                <w:vertAlign w:val="superscript"/>
                <w:lang w:val="en-US" w:eastAsia="zh-CN"/>
              </w:rPr>
              <w:t>2</w:t>
            </w:r>
            <w:r>
              <w:rPr>
                <w:rFonts w:hint="default"/>
                <w:color w:val="auto"/>
                <w:kern w:val="0"/>
                <w:szCs w:val="21"/>
                <w:highlight w:val="none"/>
                <w:lang w:val="en-US" w:eastAsia="zh-CN"/>
              </w:rPr>
              <w:t>，发展受制于规模，</w:t>
            </w:r>
            <w:r>
              <w:rPr>
                <w:rFonts w:hint="eastAsia"/>
                <w:color w:val="auto"/>
                <w:kern w:val="0"/>
                <w:szCs w:val="21"/>
                <w:highlight w:val="none"/>
                <w:lang w:val="en-US" w:eastAsia="zh-CN"/>
              </w:rPr>
              <w:t>医院的规模已不能承受日益增加的病人</w:t>
            </w:r>
            <w:r>
              <w:rPr>
                <w:rFonts w:hint="default"/>
                <w:color w:val="auto"/>
                <w:kern w:val="0"/>
                <w:szCs w:val="21"/>
                <w:highlight w:val="none"/>
                <w:lang w:val="en-US" w:eastAsia="zh-CN"/>
              </w:rPr>
              <w:t>。在此</w:t>
            </w:r>
            <w:r>
              <w:rPr>
                <w:rFonts w:hint="eastAsia"/>
                <w:color w:val="auto"/>
                <w:kern w:val="0"/>
                <w:szCs w:val="21"/>
                <w:highlight w:val="none"/>
                <w:lang w:val="en-US" w:eastAsia="zh-CN"/>
              </w:rPr>
              <w:t>背景下</w:t>
            </w:r>
            <w:r>
              <w:rPr>
                <w:rFonts w:hint="default"/>
                <w:color w:val="auto"/>
                <w:kern w:val="0"/>
                <w:szCs w:val="21"/>
                <w:highlight w:val="none"/>
                <w:lang w:val="en-US" w:eastAsia="zh-CN"/>
              </w:rPr>
              <w:t>，</w:t>
            </w:r>
            <w:r>
              <w:rPr>
                <w:color w:val="auto"/>
                <w:kern w:val="0"/>
                <w:szCs w:val="21"/>
                <w:highlight w:val="none"/>
              </w:rPr>
              <w:t>淄博市张店区第二人民医院（淄博口腔医院）</w:t>
            </w:r>
            <w:r>
              <w:rPr>
                <w:rFonts w:hint="eastAsia"/>
                <w:color w:val="auto"/>
                <w:kern w:val="0"/>
                <w:szCs w:val="21"/>
                <w:highlight w:val="none"/>
                <w:lang w:val="en-US" w:eastAsia="zh-CN"/>
              </w:rPr>
              <w:t>决定投资66000万元建设“</w:t>
            </w:r>
            <w:r>
              <w:rPr>
                <w:rFonts w:hint="eastAsia"/>
                <w:color w:val="auto"/>
                <w:kern w:val="0"/>
                <w:szCs w:val="21"/>
                <w:highlight w:val="none"/>
                <w:lang w:eastAsia="zh-CN"/>
              </w:rPr>
              <w:t>淄博口腔医院新院区建设项目</w:t>
            </w:r>
            <w:r>
              <w:rPr>
                <w:rFonts w:hint="eastAsia"/>
                <w:color w:val="auto"/>
                <w:kern w:val="0"/>
                <w:szCs w:val="21"/>
                <w:highlight w:val="none"/>
                <w:lang w:val="en-US" w:eastAsia="zh-CN"/>
              </w:rPr>
              <w:t>”</w:t>
            </w:r>
            <w:r>
              <w:rPr>
                <w:rFonts w:hint="default"/>
                <w:color w:val="auto"/>
                <w:kern w:val="0"/>
                <w:szCs w:val="21"/>
                <w:highlight w:val="none"/>
                <w:lang w:val="en-US" w:eastAsia="zh-CN"/>
              </w:rPr>
              <w:t>。</w:t>
            </w:r>
          </w:p>
          <w:p>
            <w:pPr>
              <w:adjustRightInd w:val="0"/>
              <w:snapToGrid w:val="0"/>
              <w:spacing w:line="360" w:lineRule="auto"/>
              <w:ind w:firstLine="420" w:firstLineChars="200"/>
              <w:rPr>
                <w:bCs/>
                <w:color w:val="auto"/>
                <w:szCs w:val="21"/>
                <w:highlight w:val="none"/>
              </w:rPr>
            </w:pPr>
            <w:r>
              <w:rPr>
                <w:bCs/>
                <w:color w:val="auto"/>
                <w:szCs w:val="21"/>
                <w:highlight w:val="none"/>
              </w:rPr>
              <w:t>公司</w:t>
            </w:r>
            <w:r>
              <w:rPr>
                <w:rFonts w:hint="eastAsia"/>
                <w:bCs/>
                <w:color w:val="auto"/>
                <w:szCs w:val="21"/>
                <w:highlight w:val="none"/>
              </w:rPr>
              <w:t>现</w:t>
            </w:r>
            <w:r>
              <w:rPr>
                <w:bCs/>
                <w:color w:val="auto"/>
                <w:szCs w:val="21"/>
                <w:highlight w:val="none"/>
              </w:rPr>
              <w:t>有项目及环评手续见下表。</w:t>
            </w:r>
          </w:p>
          <w:p>
            <w:pPr>
              <w:spacing w:line="360" w:lineRule="auto"/>
              <w:jc w:val="center"/>
              <w:rPr>
                <w:color w:val="auto"/>
                <w:highlight w:val="none"/>
              </w:rPr>
            </w:pPr>
            <w:r>
              <w:rPr>
                <w:rFonts w:hint="eastAsia"/>
                <w:b/>
                <w:color w:val="auto"/>
                <w:highlight w:val="none"/>
              </w:rPr>
              <w:t>表</w:t>
            </w:r>
            <w:r>
              <w:rPr>
                <w:b/>
                <w:color w:val="auto"/>
                <w:highlight w:val="none"/>
              </w:rPr>
              <w:t>2-1</w:t>
            </w:r>
            <w:r>
              <w:rPr>
                <w:rFonts w:hint="eastAsia"/>
                <w:b/>
                <w:color w:val="auto"/>
                <w:highlight w:val="none"/>
              </w:rPr>
              <w:t xml:space="preserve">  公司现有项目及环评执行情况表</w:t>
            </w:r>
          </w:p>
          <w:tbl>
            <w:tblPr>
              <w:tblStyle w:val="27"/>
              <w:tblW w:w="4998"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0" w:type="dxa"/>
                <w:bottom w:w="0" w:type="dxa"/>
                <w:right w:w="0" w:type="dxa"/>
              </w:tblCellMar>
            </w:tblPr>
            <w:tblGrid>
              <w:gridCol w:w="1262"/>
              <w:gridCol w:w="2432"/>
              <w:gridCol w:w="1013"/>
              <w:gridCol w:w="1625"/>
              <w:gridCol w:w="2074"/>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750" w:type="pct"/>
                  <w:noWrap w:val="0"/>
                  <w:vAlign w:val="center"/>
                </w:tcPr>
                <w:p>
                  <w:pPr>
                    <w:pStyle w:val="23"/>
                    <w:spacing w:line="240" w:lineRule="auto"/>
                    <w:rPr>
                      <w:rFonts w:hint="eastAsia" w:ascii="Times New Roman" w:hAnsi="Times New Roman" w:eastAsia="宋体"/>
                      <w:b/>
                      <w:bCs w:val="0"/>
                      <w:color w:val="auto"/>
                      <w:sz w:val="18"/>
                      <w:szCs w:val="18"/>
                      <w:highlight w:val="none"/>
                    </w:rPr>
                  </w:pPr>
                  <w:r>
                    <w:rPr>
                      <w:rFonts w:hint="eastAsia" w:ascii="Times New Roman" w:hAnsi="Times New Roman" w:eastAsia="宋体"/>
                      <w:b/>
                      <w:bCs w:val="0"/>
                      <w:color w:val="auto"/>
                      <w:sz w:val="18"/>
                      <w:szCs w:val="18"/>
                      <w:highlight w:val="none"/>
                    </w:rPr>
                    <w:t>所在</w:t>
                  </w:r>
                  <w:r>
                    <w:rPr>
                      <w:rFonts w:hint="eastAsia" w:ascii="Times New Roman" w:hAnsi="Times New Roman" w:eastAsia="宋体"/>
                      <w:b/>
                      <w:bCs w:val="0"/>
                      <w:color w:val="auto"/>
                      <w:sz w:val="18"/>
                      <w:szCs w:val="18"/>
                      <w:highlight w:val="none"/>
                      <w:lang w:val="en-US" w:eastAsia="zh-CN"/>
                    </w:rPr>
                    <w:t>院</w:t>
                  </w:r>
                  <w:r>
                    <w:rPr>
                      <w:rFonts w:hint="eastAsia" w:ascii="Times New Roman" w:hAnsi="Times New Roman" w:eastAsia="宋体"/>
                      <w:b/>
                      <w:bCs w:val="0"/>
                      <w:color w:val="auto"/>
                      <w:sz w:val="18"/>
                      <w:szCs w:val="18"/>
                      <w:highlight w:val="none"/>
                    </w:rPr>
                    <w:t>区</w:t>
                  </w:r>
                </w:p>
              </w:tc>
              <w:tc>
                <w:tcPr>
                  <w:tcW w:w="1446" w:type="pct"/>
                  <w:noWrap w:val="0"/>
                  <w:vAlign w:val="center"/>
                </w:tcPr>
                <w:p>
                  <w:pPr>
                    <w:pStyle w:val="23"/>
                    <w:spacing w:line="240" w:lineRule="auto"/>
                    <w:rPr>
                      <w:rFonts w:ascii="Times New Roman" w:hAnsi="Times New Roman" w:eastAsia="宋体"/>
                      <w:b/>
                      <w:bCs w:val="0"/>
                      <w:color w:val="auto"/>
                      <w:sz w:val="18"/>
                      <w:szCs w:val="18"/>
                      <w:highlight w:val="none"/>
                    </w:rPr>
                  </w:pPr>
                  <w:r>
                    <w:rPr>
                      <w:rFonts w:hint="eastAsia" w:ascii="Times New Roman" w:hAnsi="Times New Roman" w:eastAsia="宋体"/>
                      <w:b/>
                      <w:bCs w:val="0"/>
                      <w:color w:val="auto"/>
                      <w:sz w:val="18"/>
                      <w:szCs w:val="18"/>
                      <w:highlight w:val="none"/>
                    </w:rPr>
                    <w:t>项目</w:t>
                  </w:r>
                  <w:r>
                    <w:rPr>
                      <w:rFonts w:ascii="Times New Roman" w:hAnsi="Times New Roman" w:eastAsia="宋体"/>
                      <w:b/>
                      <w:bCs w:val="0"/>
                      <w:color w:val="auto"/>
                      <w:sz w:val="18"/>
                      <w:szCs w:val="18"/>
                      <w:highlight w:val="none"/>
                    </w:rPr>
                    <w:t>名称</w:t>
                  </w:r>
                </w:p>
              </w:tc>
              <w:tc>
                <w:tcPr>
                  <w:tcW w:w="602" w:type="pct"/>
                  <w:noWrap w:val="0"/>
                  <w:vAlign w:val="center"/>
                </w:tcPr>
                <w:p>
                  <w:pPr>
                    <w:pStyle w:val="23"/>
                    <w:spacing w:line="240" w:lineRule="auto"/>
                    <w:rPr>
                      <w:rFonts w:ascii="Times New Roman" w:hAnsi="Times New Roman" w:eastAsia="宋体"/>
                      <w:b/>
                      <w:bCs w:val="0"/>
                      <w:color w:val="auto"/>
                      <w:sz w:val="18"/>
                      <w:szCs w:val="18"/>
                      <w:highlight w:val="none"/>
                    </w:rPr>
                  </w:pPr>
                  <w:r>
                    <w:rPr>
                      <w:rFonts w:ascii="Times New Roman" w:hAnsi="Times New Roman" w:eastAsia="宋体"/>
                      <w:b/>
                      <w:bCs w:val="0"/>
                      <w:color w:val="auto"/>
                      <w:sz w:val="18"/>
                      <w:szCs w:val="18"/>
                      <w:highlight w:val="none"/>
                    </w:rPr>
                    <w:t>环评</w:t>
                  </w:r>
                </w:p>
                <w:p>
                  <w:pPr>
                    <w:pStyle w:val="23"/>
                    <w:spacing w:line="240" w:lineRule="auto"/>
                    <w:rPr>
                      <w:rFonts w:ascii="Times New Roman" w:hAnsi="Times New Roman" w:eastAsia="宋体"/>
                      <w:b/>
                      <w:bCs w:val="0"/>
                      <w:color w:val="auto"/>
                      <w:sz w:val="18"/>
                      <w:szCs w:val="18"/>
                      <w:highlight w:val="none"/>
                    </w:rPr>
                  </w:pPr>
                  <w:r>
                    <w:rPr>
                      <w:rFonts w:ascii="Times New Roman" w:hAnsi="Times New Roman" w:eastAsia="宋体"/>
                      <w:b/>
                      <w:bCs w:val="0"/>
                      <w:color w:val="auto"/>
                      <w:sz w:val="18"/>
                      <w:szCs w:val="18"/>
                      <w:highlight w:val="none"/>
                    </w:rPr>
                    <w:t>类别</w:t>
                  </w:r>
                </w:p>
              </w:tc>
              <w:tc>
                <w:tcPr>
                  <w:tcW w:w="966" w:type="pct"/>
                  <w:noWrap w:val="0"/>
                  <w:vAlign w:val="center"/>
                </w:tcPr>
                <w:p>
                  <w:pPr>
                    <w:pStyle w:val="23"/>
                    <w:spacing w:line="240" w:lineRule="auto"/>
                    <w:rPr>
                      <w:rFonts w:ascii="Times New Roman" w:hAnsi="Times New Roman" w:eastAsia="宋体"/>
                      <w:b/>
                      <w:bCs w:val="0"/>
                      <w:color w:val="auto"/>
                      <w:sz w:val="18"/>
                      <w:szCs w:val="18"/>
                      <w:highlight w:val="none"/>
                    </w:rPr>
                  </w:pPr>
                  <w:r>
                    <w:rPr>
                      <w:rFonts w:ascii="Times New Roman" w:hAnsi="Times New Roman" w:eastAsia="宋体"/>
                      <w:b/>
                      <w:bCs w:val="0"/>
                      <w:color w:val="auto"/>
                      <w:sz w:val="18"/>
                      <w:szCs w:val="18"/>
                      <w:highlight w:val="none"/>
                    </w:rPr>
                    <w:t>批复</w:t>
                  </w:r>
                  <w:r>
                    <w:rPr>
                      <w:rFonts w:hint="eastAsia" w:ascii="Times New Roman" w:hAnsi="Times New Roman" w:eastAsia="宋体"/>
                      <w:b/>
                      <w:bCs w:val="0"/>
                      <w:color w:val="auto"/>
                      <w:sz w:val="18"/>
                      <w:szCs w:val="18"/>
                      <w:highlight w:val="none"/>
                    </w:rPr>
                    <w:t>情况</w:t>
                  </w:r>
                </w:p>
              </w:tc>
              <w:tc>
                <w:tcPr>
                  <w:tcW w:w="1233" w:type="pct"/>
                  <w:noWrap w:val="0"/>
                  <w:vAlign w:val="center"/>
                </w:tcPr>
                <w:p>
                  <w:pPr>
                    <w:pStyle w:val="23"/>
                    <w:spacing w:line="240" w:lineRule="auto"/>
                    <w:rPr>
                      <w:rFonts w:ascii="Times New Roman" w:hAnsi="Times New Roman" w:eastAsia="宋体"/>
                      <w:b/>
                      <w:bCs w:val="0"/>
                      <w:color w:val="auto"/>
                      <w:sz w:val="18"/>
                      <w:szCs w:val="18"/>
                      <w:highlight w:val="none"/>
                    </w:rPr>
                  </w:pPr>
                  <w:r>
                    <w:rPr>
                      <w:rFonts w:ascii="Times New Roman" w:hAnsi="Times New Roman" w:eastAsia="宋体"/>
                      <w:b/>
                      <w:bCs w:val="0"/>
                      <w:color w:val="auto"/>
                      <w:sz w:val="18"/>
                      <w:szCs w:val="18"/>
                      <w:highlight w:val="none"/>
                    </w:rPr>
                    <w:t>验收情况</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750" w:type="pct"/>
                  <w:noWrap w:val="0"/>
                  <w:vAlign w:val="center"/>
                </w:tcPr>
                <w:p>
                  <w:pPr>
                    <w:pStyle w:val="23"/>
                    <w:spacing w:line="240" w:lineRule="auto"/>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淄博口腔医院老院区</w:t>
                  </w:r>
                </w:p>
              </w:tc>
              <w:tc>
                <w:tcPr>
                  <w:tcW w:w="1446" w:type="pct"/>
                  <w:noWrap w:val="0"/>
                  <w:vAlign w:val="center"/>
                </w:tcPr>
                <w:p>
                  <w:pPr>
                    <w:pStyle w:val="23"/>
                    <w:spacing w:line="240" w:lineRule="auto"/>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淄博市张店区第二人民医院（淄博口腔医院）项目</w:t>
                  </w:r>
                </w:p>
              </w:tc>
              <w:tc>
                <w:tcPr>
                  <w:tcW w:w="602" w:type="pct"/>
                  <w:noWrap w:val="0"/>
                  <w:vAlign w:val="center"/>
                </w:tcPr>
                <w:p>
                  <w:pPr>
                    <w:pStyle w:val="23"/>
                    <w:spacing w:line="240" w:lineRule="auto"/>
                    <w:rPr>
                      <w:rFonts w:hint="eastAsia"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报告表</w:t>
                  </w:r>
                </w:p>
              </w:tc>
              <w:tc>
                <w:tcPr>
                  <w:tcW w:w="966" w:type="pct"/>
                  <w:noWrap w:val="0"/>
                  <w:vAlign w:val="center"/>
                </w:tcPr>
                <w:p>
                  <w:pPr>
                    <w:pStyle w:val="23"/>
                    <w:spacing w:line="240" w:lineRule="auto"/>
                    <w:rPr>
                      <w:rFonts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lang w:val="en-US" w:eastAsia="zh-CN"/>
                    </w:rPr>
                    <w:t>张环审[2022]24号</w:t>
                  </w:r>
                </w:p>
              </w:tc>
              <w:tc>
                <w:tcPr>
                  <w:tcW w:w="1233" w:type="pct"/>
                  <w:noWrap w:val="0"/>
                  <w:vAlign w:val="center"/>
                </w:tcPr>
                <w:p>
                  <w:pPr>
                    <w:pStyle w:val="23"/>
                    <w:spacing w:line="240" w:lineRule="auto"/>
                    <w:rPr>
                      <w:rFonts w:hint="eastAsia" w:ascii="Times New Roman" w:hAnsi="Times New Roman" w:eastAsia="宋体"/>
                      <w:color w:val="auto"/>
                      <w:sz w:val="18"/>
                      <w:szCs w:val="18"/>
                      <w:highlight w:val="none"/>
                      <w:lang w:val="en-US" w:eastAsia="zh-CN"/>
                    </w:rPr>
                  </w:pPr>
                  <w:r>
                    <w:rPr>
                      <w:rFonts w:hint="eastAsia" w:ascii="Times New Roman" w:hAnsi="Times New Roman" w:eastAsia="宋体"/>
                      <w:color w:val="auto"/>
                      <w:sz w:val="18"/>
                      <w:szCs w:val="18"/>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表2-</w:t>
            </w:r>
            <w:r>
              <w:rPr>
                <w:rFonts w:hint="eastAsia"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 xml:space="preserve">  本项目环境影响评价分类管理名录一览表</w:t>
            </w:r>
          </w:p>
          <w:tbl>
            <w:tblPr>
              <w:tblStyle w:val="27"/>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85"/>
              <w:gridCol w:w="1673"/>
              <w:gridCol w:w="1822"/>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01" w:type="dxa"/>
                  <w:gridSpan w:val="2"/>
                  <w:tcBorders>
                    <w:tl2br w:val="single" w:color="auto" w:sz="4" w:space="0"/>
                  </w:tcBorders>
                  <w:noWrap w:val="0"/>
                  <w:vAlign w:val="center"/>
                </w:tcPr>
                <w:p>
                  <w:pPr>
                    <w:keepNext w:val="0"/>
                    <w:keepLines w:val="0"/>
                    <w:pageBreakBefore w:val="0"/>
                    <w:tabs>
                      <w:tab w:val="right" w:pos="2985"/>
                    </w:tabs>
                    <w:kinsoku/>
                    <w:wordWrap/>
                    <w:overflowPunct/>
                    <w:topLinePunct w:val="0"/>
                    <w:autoSpaceDE/>
                    <w:autoSpaceDN/>
                    <w:bidi w:val="0"/>
                    <w:adjustRightInd w:val="0"/>
                    <w:snapToGrid w:val="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ab/>
                  </w:r>
                  <w:r>
                    <w:rPr>
                      <w:rFonts w:hint="default" w:ascii="Times New Roman" w:hAnsi="Times New Roman" w:cs="Times New Roman"/>
                      <w:b/>
                      <w:color w:val="auto"/>
                      <w:sz w:val="21"/>
                      <w:szCs w:val="21"/>
                      <w:highlight w:val="none"/>
                    </w:rPr>
                    <w:t>环评类别</w:t>
                  </w:r>
                </w:p>
                <w:p>
                  <w:pPr>
                    <w:keepNext w:val="0"/>
                    <w:keepLines w:val="0"/>
                    <w:pageBreakBefore w:val="0"/>
                    <w:kinsoku/>
                    <w:wordWrap/>
                    <w:overflowPunct/>
                    <w:topLinePunct w:val="0"/>
                    <w:autoSpaceDE/>
                    <w:autoSpaceDN/>
                    <w:bidi w:val="0"/>
                    <w:adjustRightInd w:val="0"/>
                    <w:snapToGrid w:val="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项目类别</w:t>
                  </w:r>
                </w:p>
              </w:tc>
              <w:tc>
                <w:tcPr>
                  <w:tcW w:w="1678"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报告书</w:t>
                  </w:r>
                </w:p>
              </w:tc>
              <w:tc>
                <w:tcPr>
                  <w:tcW w:w="1827"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报告表</w:t>
                  </w:r>
                </w:p>
              </w:tc>
              <w:tc>
                <w:tcPr>
                  <w:tcW w:w="1648" w:type="dxa"/>
                  <w:noWrap w:val="0"/>
                  <w:vAlign w:val="center"/>
                </w:tcPr>
                <w:p>
                  <w:pPr>
                    <w:keepNext w:val="0"/>
                    <w:keepLines w:val="0"/>
                    <w:pageBreakBefore w:val="0"/>
                    <w:kinsoku/>
                    <w:wordWrap/>
                    <w:overflowPunct/>
                    <w:topLinePunct w:val="0"/>
                    <w:autoSpaceDE/>
                    <w:autoSpaceDN/>
                    <w:bidi w:val="0"/>
                    <w:adjustRightInd w:val="0"/>
                    <w:snapToGrid w:val="0"/>
                    <w:ind w:left="-107" w:leftChars="-51" w:right="-57" w:rightChars="-27"/>
                    <w:jc w:val="center"/>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54" w:type="dxa"/>
                  <w:gridSpan w:val="5"/>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cs="Times New Roman"/>
                      <w:b/>
                      <w:bCs/>
                      <w:color w:val="auto"/>
                      <w:sz w:val="21"/>
                      <w:szCs w:val="21"/>
                      <w:highlight w:val="none"/>
                      <w:lang w:val="en-US"/>
                    </w:rPr>
                  </w:pPr>
                  <w:r>
                    <w:rPr>
                      <w:rFonts w:hint="default" w:ascii="Times New Roman" w:hAnsi="Times New Roman" w:cs="Times New Roman"/>
                      <w:b/>
                      <w:bCs/>
                      <w:color w:val="auto"/>
                      <w:sz w:val="21"/>
                      <w:szCs w:val="21"/>
                      <w:highlight w:val="none"/>
                      <w:lang w:val="en-US" w:eastAsia="zh-CN"/>
                    </w:rPr>
                    <w:t>四十九、卫生 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8"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108</w:t>
                  </w:r>
                </w:p>
              </w:tc>
              <w:tc>
                <w:tcPr>
                  <w:tcW w:w="269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b/>
                      <w:bCs/>
                      <w:color w:val="auto"/>
                      <w:sz w:val="21"/>
                      <w:szCs w:val="21"/>
                      <w:highlight w:val="none"/>
                      <w:lang w:val="en-US" w:eastAsia="zh-CN"/>
                    </w:rPr>
                    <w:t>医院 841</w:t>
                  </w:r>
                  <w:r>
                    <w:rPr>
                      <w:rFonts w:hint="default" w:ascii="Times New Roman" w:hAnsi="Times New Roman" w:cs="Times New Roman"/>
                      <w:color w:val="auto"/>
                      <w:sz w:val="21"/>
                      <w:szCs w:val="21"/>
                      <w:highlight w:val="none"/>
                      <w:lang w:val="en-US" w:eastAsia="zh-CN"/>
                    </w:rPr>
                    <w:t>；专科疾病防治院（所、站）8432；妇幼保健院（所、站）8433；急救中心（站）服务 8434；采供血机构服务 8435；基层医疗卫生服务 842</w:t>
                  </w:r>
                </w:p>
              </w:tc>
              <w:tc>
                <w:tcPr>
                  <w:tcW w:w="16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新建、扩建住院床位500张及以上的</w:t>
                  </w:r>
                </w:p>
              </w:tc>
              <w:tc>
                <w:tcPr>
                  <w:tcW w:w="182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
                      <w:bCs w:val="0"/>
                      <w:color w:val="auto"/>
                      <w:sz w:val="21"/>
                      <w:szCs w:val="21"/>
                      <w:highlight w:val="none"/>
                      <w:lang w:val="en-US" w:eastAsia="zh-CN"/>
                    </w:rPr>
                    <w:t>其他（住院床位20张以下的除外）</w:t>
                  </w:r>
                </w:p>
              </w:tc>
              <w:tc>
                <w:tcPr>
                  <w:tcW w:w="1648" w:type="dxa"/>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val="0"/>
                      <w:bCs w:val="0"/>
                      <w:color w:val="auto"/>
                      <w:sz w:val="21"/>
                      <w:szCs w:val="21"/>
                      <w:highlight w:val="none"/>
                      <w:lang w:val="en-US" w:eastAsia="zh-CN"/>
                    </w:rPr>
                    <w:t>住院床位20张以下的（不含20张住院床位的）</w:t>
                  </w:r>
                </w:p>
              </w:tc>
            </w:tr>
          </w:tbl>
          <w:p>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本项目</w:t>
            </w:r>
            <w:r>
              <w:rPr>
                <w:rFonts w:hint="eastAsia" w:ascii="Times New Roman" w:hAnsi="Times New Roman" w:eastAsia="宋体" w:cs="Times New Roman"/>
                <w:color w:val="auto"/>
                <w:kern w:val="0"/>
                <w:szCs w:val="21"/>
                <w:highlight w:val="none"/>
                <w:lang w:val="en-US" w:eastAsia="zh-CN"/>
              </w:rPr>
              <w:t>行业类别为</w:t>
            </w:r>
            <w:r>
              <w:rPr>
                <w:rFonts w:hint="eastAsia" w:cs="Times New Roman"/>
                <w:color w:val="auto"/>
                <w:kern w:val="0"/>
                <w:szCs w:val="21"/>
                <w:highlight w:val="none"/>
                <w:lang w:val="en-US" w:eastAsia="zh-CN"/>
              </w:rPr>
              <w:t>Q</w:t>
            </w:r>
            <w:r>
              <w:rPr>
                <w:rFonts w:hint="eastAsia" w:ascii="Times New Roman" w:hAnsi="Times New Roman" w:eastAsia="宋体" w:cs="Times New Roman"/>
                <w:color w:val="auto"/>
                <w:kern w:val="0"/>
                <w:szCs w:val="21"/>
                <w:highlight w:val="none"/>
                <w:lang w:val="en-US" w:eastAsia="zh-CN"/>
              </w:rPr>
              <w:t>8415专科医院</w:t>
            </w:r>
            <w:r>
              <w:rPr>
                <w:rFonts w:hint="eastAsia" w:cs="Times New Roman"/>
                <w:color w:val="auto"/>
                <w:kern w:val="0"/>
                <w:szCs w:val="21"/>
                <w:highlight w:val="none"/>
                <w:lang w:val="en-US" w:eastAsia="zh-CN"/>
              </w:rPr>
              <w:t>、Q8416医养综合楼</w:t>
            </w:r>
            <w:r>
              <w:rPr>
                <w:rFonts w:hint="eastAsia" w:ascii="Times New Roman" w:hAnsi="Times New Roman" w:eastAsia="宋体" w:cs="Times New Roman"/>
                <w:color w:val="auto"/>
                <w:kern w:val="0"/>
                <w:szCs w:val="21"/>
                <w:highlight w:val="none"/>
                <w:lang w:val="en-US" w:eastAsia="zh-CN"/>
              </w:rPr>
              <w:t>，床位数</w:t>
            </w:r>
            <w:r>
              <w:rPr>
                <w:rFonts w:hint="eastAsia" w:cs="Times New Roman"/>
                <w:color w:val="auto"/>
                <w:kern w:val="0"/>
                <w:szCs w:val="21"/>
                <w:highlight w:val="none"/>
                <w:lang w:val="en-US" w:eastAsia="zh-CN"/>
              </w:rPr>
              <w:t>合计</w:t>
            </w:r>
            <w:r>
              <w:rPr>
                <w:rFonts w:hint="eastAsia" w:ascii="Times New Roman" w:hAnsi="Times New Roman" w:eastAsia="宋体" w:cs="Times New Roman"/>
                <w:color w:val="auto"/>
                <w:kern w:val="0"/>
                <w:szCs w:val="21"/>
                <w:highlight w:val="none"/>
                <w:lang w:val="en-US" w:eastAsia="zh-CN"/>
              </w:rPr>
              <w:t>为490张</w:t>
            </w:r>
            <w:r>
              <w:rPr>
                <w:rFonts w:hint="default" w:ascii="Times New Roman" w:hAnsi="Times New Roman" w:eastAsia="宋体" w:cs="Times New Roman"/>
                <w:color w:val="auto"/>
                <w:kern w:val="0"/>
                <w:szCs w:val="21"/>
                <w:highlight w:val="none"/>
                <w:lang w:val="en-US" w:eastAsia="zh-CN"/>
              </w:rPr>
              <w:t>，因此本项目属于报告表类别中的“其他（住院床位20张以下的除外）”，因此</w:t>
            </w:r>
            <w:r>
              <w:rPr>
                <w:rFonts w:hint="default" w:ascii="Times New Roman" w:hAnsi="Times New Roman" w:eastAsia="宋体" w:cs="Times New Roman"/>
                <w:color w:val="auto"/>
                <w:kern w:val="0"/>
                <w:szCs w:val="21"/>
                <w:highlight w:val="none"/>
              </w:rPr>
              <w:t>属于应编制环境影响评价报告表的项目。</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医院不开设传染病科，不设置动物及生物实验室、煎药室等。本项目涉及的辐射设备，需要单独进行辐射环评，不在本次环境影响评价范围内。</w:t>
            </w:r>
          </w:p>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2、项目概况</w:t>
            </w:r>
          </w:p>
          <w:p>
            <w:pPr>
              <w:autoSpaceDE w:val="0"/>
              <w:autoSpaceDN w:val="0"/>
              <w:adjustRightInd w:val="0"/>
              <w:snapToGrid w:val="0"/>
              <w:spacing w:line="360"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项目名称：</w:t>
            </w:r>
            <w:r>
              <w:rPr>
                <w:rFonts w:hint="eastAsia"/>
                <w:color w:val="auto"/>
                <w:kern w:val="0"/>
                <w:szCs w:val="21"/>
                <w:highlight w:val="none"/>
                <w:lang w:eastAsia="zh-CN"/>
              </w:rPr>
              <w:t>淄博口腔医院新院区建设项目</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建设单位：淄博市张店区第二人民医院（淄博口腔医院）</w:t>
            </w:r>
          </w:p>
          <w:p>
            <w:pPr>
              <w:autoSpaceDE w:val="0"/>
              <w:autoSpaceDN w:val="0"/>
              <w:adjustRightInd w:val="0"/>
              <w:snapToGrid w:val="0"/>
              <w:spacing w:line="360" w:lineRule="auto"/>
              <w:ind w:firstLine="420" w:firstLineChars="200"/>
              <w:jc w:val="left"/>
              <w:rPr>
                <w:rFonts w:hint="eastAsia"/>
                <w:color w:val="auto"/>
                <w:kern w:val="0"/>
                <w:szCs w:val="21"/>
                <w:highlight w:val="none"/>
              </w:rPr>
            </w:pPr>
            <w:r>
              <w:rPr>
                <w:color w:val="auto"/>
                <w:kern w:val="0"/>
                <w:szCs w:val="21"/>
                <w:highlight w:val="none"/>
              </w:rPr>
              <w:t>建设性质：新建</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项目地点：</w:t>
            </w:r>
            <w:r>
              <w:rPr>
                <w:rFonts w:hint="eastAsia"/>
                <w:color w:val="auto"/>
                <w:kern w:val="0"/>
                <w:szCs w:val="21"/>
                <w:highlight w:val="none"/>
                <w:lang w:eastAsia="zh-CN"/>
              </w:rPr>
              <w:t>淄博市张店区共青团路与原山大道交接处以东路北</w:t>
            </w:r>
            <w:r>
              <w:rPr>
                <w:color w:val="auto"/>
                <w:kern w:val="0"/>
                <w:szCs w:val="21"/>
                <w:highlight w:val="none"/>
              </w:rPr>
              <w:t>，院区四周现状南侧为</w:t>
            </w:r>
            <w:r>
              <w:rPr>
                <w:rFonts w:hint="eastAsia"/>
                <w:color w:val="auto"/>
                <w:kern w:val="0"/>
                <w:szCs w:val="21"/>
                <w:highlight w:val="none"/>
                <w:lang w:val="en-US" w:eastAsia="zh-CN"/>
              </w:rPr>
              <w:t>共青团西路</w:t>
            </w:r>
            <w:r>
              <w:rPr>
                <w:color w:val="auto"/>
                <w:kern w:val="0"/>
                <w:szCs w:val="21"/>
                <w:highlight w:val="none"/>
              </w:rPr>
              <w:t>，</w:t>
            </w:r>
            <w:r>
              <w:rPr>
                <w:rFonts w:hint="eastAsia"/>
                <w:color w:val="auto"/>
                <w:kern w:val="0"/>
                <w:szCs w:val="21"/>
                <w:highlight w:val="none"/>
                <w:lang w:val="en-US" w:eastAsia="zh-CN"/>
              </w:rPr>
              <w:t>路南为大套村、</w:t>
            </w:r>
            <w:r>
              <w:rPr>
                <w:color w:val="auto"/>
                <w:kern w:val="0"/>
                <w:szCs w:val="21"/>
                <w:highlight w:val="none"/>
              </w:rPr>
              <w:t>东侧</w:t>
            </w:r>
            <w:r>
              <w:rPr>
                <w:rFonts w:hint="eastAsia"/>
                <w:color w:val="auto"/>
                <w:kern w:val="0"/>
                <w:szCs w:val="21"/>
                <w:highlight w:val="none"/>
                <w:lang w:val="en-US" w:eastAsia="zh-CN"/>
              </w:rPr>
              <w:t>为鸿泰吉祥苑</w:t>
            </w:r>
            <w:r>
              <w:rPr>
                <w:color w:val="auto"/>
                <w:kern w:val="0"/>
                <w:szCs w:val="21"/>
                <w:highlight w:val="none"/>
              </w:rPr>
              <w:t>，西侧为</w:t>
            </w:r>
            <w:r>
              <w:rPr>
                <w:rFonts w:hint="eastAsia"/>
                <w:color w:val="auto"/>
                <w:kern w:val="0"/>
                <w:szCs w:val="21"/>
                <w:highlight w:val="none"/>
                <w:lang w:val="en-US" w:eastAsia="zh-CN"/>
              </w:rPr>
              <w:t>原山大道</w:t>
            </w:r>
            <w:r>
              <w:rPr>
                <w:color w:val="auto"/>
                <w:kern w:val="0"/>
                <w:szCs w:val="21"/>
                <w:highlight w:val="none"/>
              </w:rPr>
              <w:t>，</w:t>
            </w:r>
            <w:r>
              <w:rPr>
                <w:rFonts w:hint="eastAsia"/>
                <w:color w:val="auto"/>
                <w:kern w:val="0"/>
                <w:szCs w:val="21"/>
                <w:highlight w:val="none"/>
                <w:lang w:val="en-US" w:eastAsia="zh-CN"/>
              </w:rPr>
              <w:t>路西为空地，</w:t>
            </w:r>
            <w:r>
              <w:rPr>
                <w:color w:val="auto"/>
                <w:kern w:val="0"/>
                <w:szCs w:val="21"/>
                <w:highlight w:val="none"/>
              </w:rPr>
              <w:t>北侧为</w:t>
            </w:r>
            <w:r>
              <w:rPr>
                <w:rFonts w:hint="eastAsia"/>
                <w:color w:val="auto"/>
                <w:kern w:val="0"/>
                <w:szCs w:val="21"/>
                <w:highlight w:val="none"/>
                <w:lang w:val="en-US" w:eastAsia="zh-CN"/>
              </w:rPr>
              <w:t>空地</w:t>
            </w:r>
            <w:r>
              <w:rPr>
                <w:color w:val="auto"/>
                <w:kern w:val="0"/>
                <w:szCs w:val="21"/>
                <w:highlight w:val="none"/>
              </w:rPr>
              <w:t>。</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项目所在地理位置详见附图1。</w:t>
            </w:r>
          </w:p>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3、建设内容</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本项目属于专科医院</w:t>
            </w:r>
            <w:r>
              <w:rPr>
                <w:rFonts w:hint="eastAsia"/>
                <w:color w:val="auto"/>
                <w:kern w:val="0"/>
                <w:szCs w:val="21"/>
                <w:highlight w:val="none"/>
                <w:lang w:val="en-US" w:eastAsia="zh-CN"/>
              </w:rPr>
              <w:t>及</w:t>
            </w:r>
            <w:r>
              <w:rPr>
                <w:rFonts w:hint="eastAsia" w:cs="Times New Roman"/>
                <w:color w:val="auto"/>
                <w:kern w:val="0"/>
                <w:szCs w:val="21"/>
                <w:highlight w:val="none"/>
                <w:lang w:val="en-US" w:eastAsia="zh-CN"/>
              </w:rPr>
              <w:t>医养综合楼</w:t>
            </w:r>
            <w:r>
              <w:rPr>
                <w:color w:val="auto"/>
                <w:kern w:val="0"/>
                <w:szCs w:val="21"/>
                <w:highlight w:val="none"/>
              </w:rPr>
              <w:t>，院内主要构建筑物为1栋</w:t>
            </w:r>
            <w:r>
              <w:rPr>
                <w:rFonts w:hint="eastAsia"/>
                <w:color w:val="auto"/>
                <w:kern w:val="0"/>
                <w:szCs w:val="21"/>
                <w:highlight w:val="none"/>
                <w:lang w:val="en-US" w:eastAsia="zh-CN"/>
              </w:rPr>
              <w:t>12</w:t>
            </w:r>
            <w:r>
              <w:rPr>
                <w:color w:val="auto"/>
                <w:kern w:val="0"/>
                <w:szCs w:val="21"/>
                <w:highlight w:val="none"/>
              </w:rPr>
              <w:t>层综合楼；</w:t>
            </w:r>
            <w:r>
              <w:rPr>
                <w:rFonts w:hint="eastAsia"/>
                <w:color w:val="auto"/>
                <w:kern w:val="0"/>
                <w:szCs w:val="21"/>
                <w:highlight w:val="none"/>
                <w:lang w:val="en-US" w:eastAsia="zh-CN"/>
              </w:rPr>
              <w:t>口腔</w:t>
            </w:r>
            <w:r>
              <w:rPr>
                <w:color w:val="auto"/>
                <w:kern w:val="0"/>
                <w:szCs w:val="21"/>
                <w:highlight w:val="none"/>
              </w:rPr>
              <w:t>诊疗科目主要有</w:t>
            </w:r>
            <w:r>
              <w:rPr>
                <w:rFonts w:hint="eastAsia"/>
                <w:color w:val="auto"/>
                <w:kern w:val="0"/>
                <w:szCs w:val="21"/>
                <w:highlight w:val="none"/>
                <w:lang w:val="en-US" w:eastAsia="zh-CN"/>
              </w:rPr>
              <w:t>口腔预防科、儿童口腔科、检验科、影像科、查体科、口腔修复科、牙周病科、牙体牙髓科、口腔综合科、美容科、口腔种植科、粘膜病科、颌面外科、正畸一科、正畸二科多</w:t>
            </w:r>
            <w:r>
              <w:rPr>
                <w:color w:val="auto"/>
                <w:kern w:val="0"/>
                <w:szCs w:val="21"/>
                <w:highlight w:val="none"/>
              </w:rPr>
              <w:t>等个科室，</w:t>
            </w:r>
            <w:r>
              <w:rPr>
                <w:rFonts w:hint="eastAsia"/>
                <w:color w:val="auto"/>
                <w:kern w:val="0"/>
                <w:szCs w:val="21"/>
                <w:highlight w:val="none"/>
                <w:lang w:val="en-US" w:eastAsia="zh-CN"/>
              </w:rPr>
              <w:t>医养部分主要为医护养老病房，本项目</w:t>
            </w:r>
            <w:r>
              <w:rPr>
                <w:color w:val="auto"/>
                <w:kern w:val="0"/>
                <w:szCs w:val="21"/>
                <w:highlight w:val="none"/>
              </w:rPr>
              <w:t>共设置床位</w:t>
            </w:r>
            <w:r>
              <w:rPr>
                <w:rFonts w:hint="eastAsia"/>
                <w:color w:val="auto"/>
                <w:kern w:val="0"/>
                <w:szCs w:val="21"/>
                <w:highlight w:val="none"/>
                <w:lang w:val="en-US" w:eastAsia="zh-CN"/>
              </w:rPr>
              <w:t>490</w:t>
            </w:r>
            <w:r>
              <w:rPr>
                <w:color w:val="auto"/>
                <w:kern w:val="0"/>
                <w:szCs w:val="21"/>
                <w:highlight w:val="none"/>
              </w:rPr>
              <w:t>张</w:t>
            </w:r>
            <w:r>
              <w:rPr>
                <w:rFonts w:hint="eastAsia"/>
                <w:color w:val="auto"/>
                <w:kern w:val="0"/>
                <w:szCs w:val="21"/>
                <w:highlight w:val="none"/>
                <w:lang w:eastAsia="zh-CN"/>
              </w:rPr>
              <w:t>（</w:t>
            </w:r>
            <w:r>
              <w:rPr>
                <w:rFonts w:hint="eastAsia"/>
                <w:color w:val="auto"/>
                <w:kern w:val="0"/>
                <w:szCs w:val="21"/>
                <w:highlight w:val="none"/>
                <w:lang w:val="en-US" w:eastAsia="zh-CN"/>
              </w:rPr>
              <w:t>住院床位181个，医养床位309个</w:t>
            </w:r>
            <w:r>
              <w:rPr>
                <w:rFonts w:hint="eastAsia"/>
                <w:color w:val="auto"/>
                <w:kern w:val="0"/>
                <w:szCs w:val="21"/>
                <w:highlight w:val="none"/>
                <w:lang w:eastAsia="zh-CN"/>
              </w:rPr>
              <w:t>）</w:t>
            </w:r>
            <w:r>
              <w:rPr>
                <w:color w:val="auto"/>
                <w:kern w:val="0"/>
                <w:szCs w:val="21"/>
                <w:highlight w:val="none"/>
              </w:rPr>
              <w:t>，牙椅</w:t>
            </w:r>
            <w:r>
              <w:rPr>
                <w:rFonts w:hint="eastAsia"/>
                <w:color w:val="auto"/>
                <w:kern w:val="0"/>
                <w:szCs w:val="21"/>
                <w:highlight w:val="none"/>
                <w:lang w:val="en-US" w:eastAsia="zh-CN"/>
              </w:rPr>
              <w:t>200</w:t>
            </w:r>
            <w:r>
              <w:rPr>
                <w:color w:val="auto"/>
                <w:kern w:val="0"/>
                <w:szCs w:val="21"/>
                <w:highlight w:val="none"/>
              </w:rPr>
              <w:t>把，门诊人数约</w:t>
            </w:r>
            <w:r>
              <w:rPr>
                <w:rFonts w:hint="eastAsia"/>
                <w:color w:val="auto"/>
                <w:kern w:val="0"/>
                <w:szCs w:val="21"/>
                <w:highlight w:val="none"/>
                <w:lang w:val="en-US" w:eastAsia="zh-CN"/>
              </w:rPr>
              <w:t>12</w:t>
            </w:r>
            <w:r>
              <w:rPr>
                <w:color w:val="auto"/>
                <w:kern w:val="0"/>
                <w:szCs w:val="21"/>
                <w:highlight w:val="none"/>
              </w:rPr>
              <w:t>00人次/天。项目不开设传染病科，不设置动物及生物实验室、煎药室等，项目组成详见下表。</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表2-</w:t>
            </w:r>
            <w:r>
              <w:rPr>
                <w:rFonts w:hint="eastAsia"/>
                <w:b/>
                <w:bCs/>
                <w:color w:val="auto"/>
                <w:kern w:val="0"/>
                <w:szCs w:val="21"/>
                <w:highlight w:val="none"/>
                <w:lang w:val="en-US" w:eastAsia="zh-CN"/>
              </w:rPr>
              <w:t>3</w:t>
            </w:r>
            <w:r>
              <w:rPr>
                <w:b/>
                <w:bCs/>
                <w:color w:val="auto"/>
                <w:kern w:val="0"/>
                <w:szCs w:val="21"/>
                <w:highlight w:val="none"/>
              </w:rPr>
              <w:t xml:space="preserve">  项目组成一览表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506"/>
              <w:gridCol w:w="653"/>
              <w:gridCol w:w="5821"/>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8" w:type="pct"/>
                  <w:gridSpan w:val="3"/>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工程组成</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工程内容</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restar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主体工程</w:t>
                  </w:r>
                </w:p>
              </w:tc>
              <w:tc>
                <w:tcPr>
                  <w:tcW w:w="301" w:type="pct"/>
                  <w:vMerge w:val="restar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综合楼</w:t>
                  </w:r>
                </w:p>
              </w:tc>
              <w:tc>
                <w:tcPr>
                  <w:tcW w:w="386"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总体</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建筑面积约</w:t>
                  </w:r>
                  <w:r>
                    <w:rPr>
                      <w:rFonts w:hint="eastAsia"/>
                      <w:color w:val="auto"/>
                      <w:sz w:val="18"/>
                      <w:szCs w:val="18"/>
                      <w:highlight w:val="none"/>
                      <w:lang w:val="en-US" w:eastAsia="zh-CN"/>
                    </w:rPr>
                    <w:t>69199</w:t>
                  </w:r>
                  <w:r>
                    <w:rPr>
                      <w:color w:val="auto"/>
                      <w:sz w:val="18"/>
                      <w:szCs w:val="18"/>
                      <w:highlight w:val="none"/>
                    </w:rPr>
                    <w:t>m</w:t>
                  </w:r>
                  <w:r>
                    <w:rPr>
                      <w:color w:val="auto"/>
                      <w:sz w:val="18"/>
                      <w:szCs w:val="18"/>
                      <w:highlight w:val="none"/>
                      <w:vertAlign w:val="superscript"/>
                    </w:rPr>
                    <w:t>2</w:t>
                  </w:r>
                  <w:r>
                    <w:rPr>
                      <w:color w:val="auto"/>
                      <w:sz w:val="18"/>
                      <w:szCs w:val="18"/>
                      <w:highlight w:val="none"/>
                    </w:rPr>
                    <w:t>，</w:t>
                  </w:r>
                  <w:r>
                    <w:rPr>
                      <w:rFonts w:hint="eastAsia"/>
                      <w:color w:val="auto"/>
                      <w:sz w:val="18"/>
                      <w:szCs w:val="18"/>
                      <w:highlight w:val="none"/>
                      <w:lang w:val="en-US" w:eastAsia="zh-CN"/>
                    </w:rPr>
                    <w:t>地上12</w:t>
                  </w:r>
                  <w:r>
                    <w:rPr>
                      <w:color w:val="auto"/>
                      <w:sz w:val="18"/>
                      <w:szCs w:val="18"/>
                      <w:highlight w:val="none"/>
                    </w:rPr>
                    <w:t>F，</w:t>
                  </w:r>
                  <w:r>
                    <w:rPr>
                      <w:rFonts w:hint="eastAsia"/>
                      <w:color w:val="auto"/>
                      <w:sz w:val="18"/>
                      <w:szCs w:val="18"/>
                      <w:highlight w:val="none"/>
                      <w:lang w:val="en-US" w:eastAsia="zh-CN"/>
                    </w:rPr>
                    <w:t>地下2F，</w:t>
                  </w:r>
                  <w:r>
                    <w:rPr>
                      <w:color w:val="auto"/>
                      <w:sz w:val="18"/>
                      <w:szCs w:val="18"/>
                      <w:highlight w:val="none"/>
                    </w:rPr>
                    <w:t>共病床</w:t>
                  </w:r>
                  <w:r>
                    <w:rPr>
                      <w:rFonts w:hint="eastAsia"/>
                      <w:color w:val="auto"/>
                      <w:sz w:val="18"/>
                      <w:szCs w:val="18"/>
                      <w:highlight w:val="none"/>
                      <w:lang w:val="en-US" w:eastAsia="zh-CN"/>
                    </w:rPr>
                    <w:t>490</w:t>
                  </w:r>
                  <w:r>
                    <w:rPr>
                      <w:color w:val="auto"/>
                      <w:sz w:val="18"/>
                      <w:szCs w:val="18"/>
                      <w:highlight w:val="none"/>
                    </w:rPr>
                    <w:t>张，牙椅</w:t>
                  </w:r>
                  <w:r>
                    <w:rPr>
                      <w:rFonts w:hint="eastAsia"/>
                      <w:color w:val="auto"/>
                      <w:sz w:val="18"/>
                      <w:szCs w:val="18"/>
                      <w:highlight w:val="none"/>
                      <w:lang w:val="en-US" w:eastAsia="zh-CN"/>
                    </w:rPr>
                    <w:t>200</w:t>
                  </w:r>
                  <w:r>
                    <w:rPr>
                      <w:color w:val="auto"/>
                      <w:sz w:val="18"/>
                      <w:szCs w:val="18"/>
                      <w:highlight w:val="none"/>
                    </w:rPr>
                    <w:t>把</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b/>
                      <w:bCs/>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01"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86"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一层</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color w:val="auto"/>
                      <w:sz w:val="18"/>
                      <w:szCs w:val="18"/>
                      <w:highlight w:val="none"/>
                    </w:rPr>
                    <w:t>设置</w:t>
                  </w:r>
                  <w:r>
                    <w:rPr>
                      <w:rFonts w:hint="eastAsia"/>
                      <w:color w:val="auto"/>
                      <w:sz w:val="18"/>
                      <w:szCs w:val="18"/>
                      <w:highlight w:val="none"/>
                      <w:lang w:val="en-US" w:eastAsia="zh-CN"/>
                    </w:rPr>
                    <w:t>口腔预防科、儿童口腔科、口腔急诊、肠道门诊、洁牙中心、检验科、住院大厅、影像科、查体科、城市书房、一站式服务中心</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b/>
                      <w:bCs/>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01"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86"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二层</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color w:val="auto"/>
                      <w:sz w:val="18"/>
                      <w:szCs w:val="18"/>
                      <w:highlight w:val="none"/>
                    </w:rPr>
                    <w:t>设置</w:t>
                  </w:r>
                  <w:r>
                    <w:rPr>
                      <w:rFonts w:hint="eastAsia"/>
                      <w:color w:val="auto"/>
                      <w:sz w:val="18"/>
                      <w:szCs w:val="18"/>
                      <w:highlight w:val="none"/>
                      <w:lang w:val="en-US" w:eastAsia="zh-CN"/>
                    </w:rPr>
                    <w:t>口腔修复科、牙周病科、牙体牙髓科、口腔综合科、美容科、诊疗中心、数字口腔加工中心</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b/>
                      <w:bCs/>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01"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86"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三层</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color w:val="auto"/>
                      <w:sz w:val="18"/>
                      <w:szCs w:val="18"/>
                      <w:highlight w:val="none"/>
                      <w:lang w:val="en-US"/>
                    </w:rPr>
                  </w:pPr>
                  <w:r>
                    <w:rPr>
                      <w:color w:val="auto"/>
                      <w:sz w:val="18"/>
                      <w:szCs w:val="18"/>
                      <w:highlight w:val="none"/>
                    </w:rPr>
                    <w:t>设置</w:t>
                  </w:r>
                  <w:r>
                    <w:rPr>
                      <w:rFonts w:hint="eastAsia"/>
                      <w:color w:val="auto"/>
                      <w:sz w:val="18"/>
                      <w:szCs w:val="18"/>
                      <w:highlight w:val="none"/>
                      <w:lang w:val="en-US" w:eastAsia="zh-CN"/>
                    </w:rPr>
                    <w:t>口腔种植科、粘膜病科、颌面外科、正畸一科、正畸二科、教学中心、手术中心、中心供应，本项目手术中心主要进行口腔种植、口腔正畸、口腔修复等口腔类专科手术，不涉及口腔科外的手术</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b/>
                      <w:bCs/>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01"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86"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四层</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color w:val="auto"/>
                      <w:sz w:val="18"/>
                      <w:szCs w:val="18"/>
                      <w:highlight w:val="none"/>
                    </w:rPr>
                    <w:t>设置</w:t>
                  </w:r>
                  <w:r>
                    <w:rPr>
                      <w:rFonts w:hint="eastAsia"/>
                      <w:color w:val="auto"/>
                      <w:sz w:val="18"/>
                      <w:szCs w:val="18"/>
                      <w:highlight w:val="none"/>
                      <w:lang w:val="en-US" w:eastAsia="zh-CN"/>
                    </w:rPr>
                    <w:t>VIP诊区、办公区、学术报告区、员工活动中心、图书病案区</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b/>
                      <w:bCs/>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01"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86"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五层</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color w:val="auto"/>
                      <w:sz w:val="18"/>
                      <w:szCs w:val="18"/>
                      <w:highlight w:val="none"/>
                      <w:lang w:val="en-US" w:eastAsia="zh-CN"/>
                    </w:rPr>
                  </w:pPr>
                  <w:r>
                    <w:rPr>
                      <w:color w:val="auto"/>
                      <w:sz w:val="18"/>
                      <w:szCs w:val="18"/>
                      <w:highlight w:val="none"/>
                    </w:rPr>
                    <w:t>设置</w:t>
                  </w:r>
                  <w:r>
                    <w:rPr>
                      <w:rFonts w:hint="eastAsia"/>
                      <w:color w:val="auto"/>
                      <w:sz w:val="18"/>
                      <w:szCs w:val="18"/>
                      <w:highlight w:val="none"/>
                      <w:lang w:val="en-US" w:eastAsia="zh-CN"/>
                    </w:rPr>
                    <w:t>规培基地</w:t>
                  </w:r>
                  <w:r>
                    <w:rPr>
                      <w:rFonts w:hint="eastAsia"/>
                      <w:color w:val="auto"/>
                      <w:sz w:val="18"/>
                      <w:szCs w:val="18"/>
                      <w:highlight w:val="none"/>
                      <w:lang w:eastAsia="zh-CN"/>
                    </w:rPr>
                    <w:t>，</w:t>
                  </w:r>
                  <w:r>
                    <w:rPr>
                      <w:rFonts w:hint="eastAsia"/>
                      <w:color w:val="auto"/>
                      <w:sz w:val="18"/>
                      <w:szCs w:val="18"/>
                      <w:highlight w:val="none"/>
                      <w:lang w:val="en-US" w:eastAsia="zh-CN"/>
                    </w:rPr>
                    <w:t>只用于本院内的人员规培，不涉及外院规培</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b/>
                      <w:bCs/>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01"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86"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六</w:t>
                  </w:r>
                  <w:r>
                    <w:rPr>
                      <w:color w:val="auto"/>
                      <w:sz w:val="18"/>
                      <w:szCs w:val="18"/>
                      <w:highlight w:val="none"/>
                    </w:rPr>
                    <w:t>层</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color w:val="auto"/>
                      <w:sz w:val="18"/>
                      <w:szCs w:val="18"/>
                      <w:highlight w:val="none"/>
                      <w:lang w:val="en-US" w:eastAsia="zh-CN"/>
                    </w:rPr>
                  </w:pPr>
                  <w:r>
                    <w:rPr>
                      <w:color w:val="auto"/>
                      <w:sz w:val="18"/>
                      <w:szCs w:val="18"/>
                      <w:highlight w:val="none"/>
                    </w:rPr>
                    <w:t>设置</w:t>
                  </w:r>
                  <w:r>
                    <w:rPr>
                      <w:rFonts w:hint="eastAsia"/>
                      <w:color w:val="auto"/>
                      <w:sz w:val="18"/>
                      <w:szCs w:val="18"/>
                      <w:highlight w:val="none"/>
                      <w:lang w:val="en-US" w:eastAsia="zh-CN"/>
                    </w:rPr>
                    <w:t>员工宿舍</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01"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86"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七层-十二层</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设置住院病房及养老病房，共设置床位490张</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01"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86"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负一层</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设置餐厅、配电机房、药库、器械</w:t>
                  </w:r>
                  <w:r>
                    <w:rPr>
                      <w:color w:val="auto"/>
                      <w:sz w:val="18"/>
                      <w:szCs w:val="18"/>
                      <w:highlight w:val="none"/>
                    </w:rPr>
                    <w:t>仓库</w:t>
                  </w:r>
                  <w:r>
                    <w:rPr>
                      <w:rFonts w:hint="eastAsia"/>
                      <w:color w:val="auto"/>
                      <w:sz w:val="18"/>
                      <w:szCs w:val="18"/>
                      <w:highlight w:val="none"/>
                      <w:lang w:eastAsia="zh-CN"/>
                    </w:rPr>
                    <w:t>、</w:t>
                  </w:r>
                  <w:r>
                    <w:rPr>
                      <w:rFonts w:hint="eastAsia"/>
                      <w:color w:val="auto"/>
                      <w:sz w:val="18"/>
                      <w:szCs w:val="18"/>
                      <w:highlight w:val="none"/>
                      <w:lang w:val="en-US" w:eastAsia="zh-CN"/>
                    </w:rPr>
                    <w:t>发电机房</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01"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86"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负二层</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color w:val="auto"/>
                      <w:sz w:val="18"/>
                      <w:szCs w:val="18"/>
                      <w:highlight w:val="none"/>
                      <w:lang w:val="en-US"/>
                    </w:rPr>
                  </w:pPr>
                  <w:r>
                    <w:rPr>
                      <w:rFonts w:hint="eastAsia"/>
                      <w:color w:val="auto"/>
                      <w:sz w:val="18"/>
                      <w:szCs w:val="18"/>
                      <w:highlight w:val="none"/>
                      <w:lang w:val="en-US" w:eastAsia="zh-CN"/>
                    </w:rPr>
                    <w:t>设置泵房，危废暂存间、换风系统</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restar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辅助工程</w:t>
                  </w: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洗衣房</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建筑面积约</w:t>
                  </w:r>
                  <w:r>
                    <w:rPr>
                      <w:rFonts w:hint="eastAsia"/>
                      <w:color w:val="auto"/>
                      <w:sz w:val="18"/>
                      <w:szCs w:val="18"/>
                      <w:highlight w:val="none"/>
                      <w:lang w:val="en-US" w:eastAsia="zh-CN"/>
                    </w:rPr>
                    <w:t>250</w:t>
                  </w:r>
                  <w:r>
                    <w:rPr>
                      <w:color w:val="auto"/>
                      <w:sz w:val="18"/>
                      <w:szCs w:val="18"/>
                      <w:highlight w:val="none"/>
                    </w:rPr>
                    <w:t xml:space="preserve"> m</w:t>
                  </w:r>
                  <w:r>
                    <w:rPr>
                      <w:color w:val="auto"/>
                      <w:sz w:val="18"/>
                      <w:szCs w:val="18"/>
                      <w:highlight w:val="none"/>
                      <w:vertAlign w:val="superscript"/>
                    </w:rPr>
                    <w:t>2</w:t>
                  </w:r>
                  <w:r>
                    <w:rPr>
                      <w:color w:val="auto"/>
                      <w:sz w:val="18"/>
                      <w:szCs w:val="18"/>
                      <w:highlight w:val="none"/>
                    </w:rPr>
                    <w:t>，</w:t>
                  </w:r>
                  <w:r>
                    <w:rPr>
                      <w:rFonts w:hint="eastAsia"/>
                      <w:color w:val="auto"/>
                      <w:sz w:val="18"/>
                      <w:szCs w:val="18"/>
                      <w:highlight w:val="none"/>
                      <w:lang w:val="en-US" w:eastAsia="zh-CN"/>
                    </w:rPr>
                    <w:t>-2</w:t>
                  </w:r>
                  <w:r>
                    <w:rPr>
                      <w:color w:val="auto"/>
                      <w:sz w:val="18"/>
                      <w:szCs w:val="18"/>
                      <w:highlight w:val="none"/>
                    </w:rPr>
                    <w:t>F，用于医护人员日常衣物清洗</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b/>
                      <w:bCs/>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配电机房</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建筑面积约</w:t>
                  </w:r>
                  <w:r>
                    <w:rPr>
                      <w:rFonts w:hint="eastAsia"/>
                      <w:color w:val="auto"/>
                      <w:sz w:val="18"/>
                      <w:szCs w:val="18"/>
                      <w:highlight w:val="none"/>
                      <w:lang w:val="en-US" w:eastAsia="zh-CN"/>
                    </w:rPr>
                    <w:t>190</w:t>
                  </w:r>
                  <w:r>
                    <w:rPr>
                      <w:color w:val="auto"/>
                      <w:sz w:val="18"/>
                      <w:szCs w:val="18"/>
                      <w:highlight w:val="none"/>
                    </w:rPr>
                    <w:t>m</w:t>
                  </w:r>
                  <w:r>
                    <w:rPr>
                      <w:color w:val="auto"/>
                      <w:sz w:val="18"/>
                      <w:szCs w:val="18"/>
                      <w:highlight w:val="none"/>
                      <w:vertAlign w:val="superscript"/>
                    </w:rPr>
                    <w:t>2</w:t>
                  </w:r>
                  <w:r>
                    <w:rPr>
                      <w:color w:val="auto"/>
                      <w:sz w:val="18"/>
                      <w:szCs w:val="18"/>
                      <w:highlight w:val="none"/>
                    </w:rPr>
                    <w:t>，</w:t>
                  </w:r>
                  <w:r>
                    <w:rPr>
                      <w:rFonts w:hint="eastAsia"/>
                      <w:color w:val="auto"/>
                      <w:sz w:val="18"/>
                      <w:szCs w:val="18"/>
                      <w:highlight w:val="none"/>
                      <w:lang w:val="en-US" w:eastAsia="zh-CN"/>
                    </w:rPr>
                    <w:t>-</w:t>
                  </w:r>
                  <w:r>
                    <w:rPr>
                      <w:color w:val="auto"/>
                      <w:sz w:val="18"/>
                      <w:szCs w:val="18"/>
                      <w:highlight w:val="none"/>
                    </w:rPr>
                    <w:t>1F</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b/>
                      <w:bCs/>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食堂</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建筑面积约</w:t>
                  </w:r>
                  <w:r>
                    <w:rPr>
                      <w:rFonts w:hint="eastAsia"/>
                      <w:color w:val="auto"/>
                      <w:sz w:val="18"/>
                      <w:szCs w:val="18"/>
                      <w:highlight w:val="none"/>
                      <w:lang w:val="en-US" w:eastAsia="zh-CN"/>
                    </w:rPr>
                    <w:t>1070</w:t>
                  </w:r>
                  <w:r>
                    <w:rPr>
                      <w:color w:val="auto"/>
                      <w:sz w:val="18"/>
                      <w:szCs w:val="18"/>
                      <w:highlight w:val="none"/>
                    </w:rPr>
                    <w:t>m</w:t>
                  </w:r>
                  <w:r>
                    <w:rPr>
                      <w:color w:val="auto"/>
                      <w:sz w:val="18"/>
                      <w:szCs w:val="18"/>
                      <w:highlight w:val="none"/>
                      <w:vertAlign w:val="superscript"/>
                    </w:rPr>
                    <w:t>2</w:t>
                  </w:r>
                  <w:r>
                    <w:rPr>
                      <w:color w:val="auto"/>
                      <w:sz w:val="18"/>
                      <w:szCs w:val="18"/>
                      <w:highlight w:val="none"/>
                    </w:rPr>
                    <w:t>，</w:t>
                  </w:r>
                  <w:r>
                    <w:rPr>
                      <w:rFonts w:hint="eastAsia"/>
                      <w:color w:val="auto"/>
                      <w:sz w:val="18"/>
                      <w:szCs w:val="18"/>
                      <w:highlight w:val="none"/>
                      <w:lang w:val="en-US" w:eastAsia="zh-CN"/>
                    </w:rPr>
                    <w:t>-</w:t>
                  </w:r>
                  <w:r>
                    <w:rPr>
                      <w:color w:val="auto"/>
                      <w:sz w:val="18"/>
                      <w:szCs w:val="18"/>
                      <w:highlight w:val="none"/>
                    </w:rPr>
                    <w:t>1F</w:t>
                  </w:r>
                  <w:r>
                    <w:rPr>
                      <w:rFonts w:hint="eastAsia"/>
                      <w:color w:val="auto"/>
                      <w:sz w:val="18"/>
                      <w:szCs w:val="18"/>
                      <w:highlight w:val="none"/>
                      <w:lang w:eastAsia="zh-CN"/>
                    </w:rPr>
                    <w:t>，</w:t>
                  </w:r>
                  <w:r>
                    <w:rPr>
                      <w:rFonts w:hint="eastAsia"/>
                      <w:color w:val="auto"/>
                      <w:sz w:val="18"/>
                      <w:szCs w:val="18"/>
                      <w:highlight w:val="none"/>
                      <w:lang w:val="en-US" w:eastAsia="zh-CN"/>
                    </w:rPr>
                    <w:t>设有12个灶头</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b/>
                      <w:bCs/>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柴油发电机房</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color w:val="auto"/>
                      <w:sz w:val="18"/>
                      <w:szCs w:val="18"/>
                      <w:highlight w:val="none"/>
                    </w:rPr>
                    <w:t>建筑面积约</w:t>
                  </w:r>
                  <w:r>
                    <w:rPr>
                      <w:rFonts w:hint="eastAsia"/>
                      <w:color w:val="auto"/>
                      <w:sz w:val="18"/>
                      <w:szCs w:val="18"/>
                      <w:highlight w:val="none"/>
                      <w:lang w:val="en-US" w:eastAsia="zh-CN"/>
                    </w:rPr>
                    <w:t>130</w:t>
                  </w:r>
                  <w:r>
                    <w:rPr>
                      <w:color w:val="auto"/>
                      <w:sz w:val="18"/>
                      <w:szCs w:val="18"/>
                      <w:highlight w:val="none"/>
                    </w:rPr>
                    <w:t>m</w:t>
                  </w:r>
                  <w:r>
                    <w:rPr>
                      <w:color w:val="auto"/>
                      <w:sz w:val="18"/>
                      <w:szCs w:val="18"/>
                      <w:highlight w:val="none"/>
                      <w:vertAlign w:val="superscript"/>
                    </w:rPr>
                    <w:t>2</w:t>
                  </w:r>
                  <w:r>
                    <w:rPr>
                      <w:color w:val="auto"/>
                      <w:sz w:val="18"/>
                      <w:szCs w:val="18"/>
                      <w:highlight w:val="none"/>
                    </w:rPr>
                    <w:t>，</w:t>
                  </w:r>
                  <w:r>
                    <w:rPr>
                      <w:rFonts w:hint="eastAsia"/>
                      <w:color w:val="auto"/>
                      <w:sz w:val="18"/>
                      <w:szCs w:val="18"/>
                      <w:highlight w:val="none"/>
                      <w:lang w:val="en-US" w:eastAsia="zh-CN"/>
                    </w:rPr>
                    <w:t>-</w:t>
                  </w:r>
                  <w:r>
                    <w:rPr>
                      <w:color w:val="auto"/>
                      <w:sz w:val="18"/>
                      <w:szCs w:val="18"/>
                      <w:highlight w:val="none"/>
                    </w:rPr>
                    <w:t>1F</w:t>
                  </w:r>
                  <w:r>
                    <w:rPr>
                      <w:rFonts w:hint="eastAsia"/>
                      <w:color w:val="auto"/>
                      <w:sz w:val="18"/>
                      <w:szCs w:val="18"/>
                      <w:highlight w:val="none"/>
                      <w:lang w:eastAsia="zh-CN"/>
                    </w:rPr>
                    <w:t>，</w:t>
                  </w:r>
                  <w:r>
                    <w:rPr>
                      <w:rFonts w:hint="eastAsia"/>
                      <w:color w:val="auto"/>
                      <w:sz w:val="18"/>
                      <w:szCs w:val="18"/>
                      <w:highlight w:val="none"/>
                      <w:lang w:val="en-US" w:eastAsia="zh-CN"/>
                    </w:rPr>
                    <w:t>设有1个备用发电机配套一个5m</w:t>
                  </w:r>
                  <w:r>
                    <w:rPr>
                      <w:rFonts w:hint="eastAsia"/>
                      <w:color w:val="auto"/>
                      <w:sz w:val="18"/>
                      <w:szCs w:val="18"/>
                      <w:highlight w:val="none"/>
                      <w:vertAlign w:val="superscript"/>
                      <w:lang w:val="en-US" w:eastAsia="zh-CN"/>
                    </w:rPr>
                    <w:t>3</w:t>
                  </w:r>
                  <w:r>
                    <w:rPr>
                      <w:rFonts w:hint="eastAsia"/>
                      <w:color w:val="auto"/>
                      <w:sz w:val="18"/>
                      <w:szCs w:val="18"/>
                      <w:highlight w:val="none"/>
                      <w:lang w:val="en-US" w:eastAsia="zh-CN"/>
                    </w:rPr>
                    <w:t>的柴油罐，用于院区备用发电</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eastAsia="zh-CN"/>
                    </w:rPr>
                  </w:pPr>
                  <w:r>
                    <w:rPr>
                      <w:rFonts w:hint="eastAsia"/>
                      <w:color w:val="auto"/>
                      <w:sz w:val="18"/>
                      <w:szCs w:val="18"/>
                      <w:highlight w:val="none"/>
                      <w:lang w:val="en-US" w:eastAsia="zh-CN"/>
                    </w:rPr>
                    <w:t>液氧站</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color w:val="auto"/>
                      <w:sz w:val="18"/>
                      <w:szCs w:val="18"/>
                      <w:highlight w:val="none"/>
                      <w:lang w:val="en-US"/>
                    </w:rPr>
                  </w:pPr>
                  <w:r>
                    <w:rPr>
                      <w:color w:val="auto"/>
                      <w:sz w:val="18"/>
                      <w:szCs w:val="18"/>
                      <w:highlight w:val="none"/>
                    </w:rPr>
                    <w:t>建筑面积约</w:t>
                  </w:r>
                  <w:r>
                    <w:rPr>
                      <w:rFonts w:hint="eastAsia"/>
                      <w:color w:val="auto"/>
                      <w:sz w:val="18"/>
                      <w:szCs w:val="18"/>
                      <w:highlight w:val="none"/>
                      <w:lang w:val="en-US" w:eastAsia="zh-CN"/>
                    </w:rPr>
                    <w:t>110</w:t>
                  </w:r>
                  <w:r>
                    <w:rPr>
                      <w:color w:val="auto"/>
                      <w:sz w:val="18"/>
                      <w:szCs w:val="18"/>
                      <w:highlight w:val="none"/>
                    </w:rPr>
                    <w:t>m</w:t>
                  </w:r>
                  <w:r>
                    <w:rPr>
                      <w:color w:val="auto"/>
                      <w:sz w:val="18"/>
                      <w:szCs w:val="18"/>
                      <w:highlight w:val="none"/>
                      <w:vertAlign w:val="superscript"/>
                    </w:rPr>
                    <w:t>2</w:t>
                  </w:r>
                  <w:r>
                    <w:rPr>
                      <w:color w:val="auto"/>
                      <w:sz w:val="18"/>
                      <w:szCs w:val="18"/>
                      <w:highlight w:val="none"/>
                    </w:rPr>
                    <w:t>，</w:t>
                  </w:r>
                  <w:r>
                    <w:rPr>
                      <w:rFonts w:hint="eastAsia"/>
                      <w:color w:val="auto"/>
                      <w:sz w:val="18"/>
                      <w:szCs w:val="18"/>
                      <w:highlight w:val="none"/>
                      <w:lang w:val="en-US" w:eastAsia="zh-CN"/>
                    </w:rPr>
                    <w:t>位于院区西北侧入口</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b/>
                      <w:bCs/>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restar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储运工程</w:t>
                  </w: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器械</w:t>
                  </w:r>
                  <w:r>
                    <w:rPr>
                      <w:color w:val="auto"/>
                      <w:sz w:val="18"/>
                      <w:szCs w:val="18"/>
                      <w:highlight w:val="none"/>
                    </w:rPr>
                    <w:t>仓库</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建筑面积约</w:t>
                  </w:r>
                  <w:r>
                    <w:rPr>
                      <w:rFonts w:hint="eastAsia"/>
                      <w:color w:val="auto"/>
                      <w:sz w:val="18"/>
                      <w:szCs w:val="18"/>
                      <w:highlight w:val="none"/>
                      <w:lang w:val="en-US" w:eastAsia="zh-CN"/>
                    </w:rPr>
                    <w:t>18</w:t>
                  </w:r>
                  <w:r>
                    <w:rPr>
                      <w:color w:val="auto"/>
                      <w:sz w:val="18"/>
                      <w:szCs w:val="18"/>
                      <w:highlight w:val="none"/>
                    </w:rPr>
                    <w:t>0m</w:t>
                  </w:r>
                  <w:r>
                    <w:rPr>
                      <w:color w:val="auto"/>
                      <w:sz w:val="18"/>
                      <w:szCs w:val="18"/>
                      <w:highlight w:val="none"/>
                      <w:vertAlign w:val="superscript"/>
                    </w:rPr>
                    <w:t>2</w:t>
                  </w:r>
                  <w:r>
                    <w:rPr>
                      <w:color w:val="auto"/>
                      <w:sz w:val="18"/>
                      <w:szCs w:val="18"/>
                      <w:highlight w:val="none"/>
                    </w:rPr>
                    <w:t>，</w:t>
                  </w:r>
                  <w:r>
                    <w:rPr>
                      <w:rFonts w:hint="eastAsia"/>
                      <w:color w:val="auto"/>
                      <w:sz w:val="18"/>
                      <w:szCs w:val="18"/>
                      <w:highlight w:val="none"/>
                      <w:lang w:val="en-US" w:eastAsia="zh-CN"/>
                    </w:rPr>
                    <w:t>-1</w:t>
                  </w:r>
                  <w:r>
                    <w:rPr>
                      <w:color w:val="auto"/>
                      <w:sz w:val="18"/>
                      <w:szCs w:val="18"/>
                      <w:highlight w:val="none"/>
                    </w:rPr>
                    <w:t>F，用于存放医疗用品</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药库</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color w:val="auto"/>
                      <w:sz w:val="18"/>
                      <w:szCs w:val="18"/>
                      <w:highlight w:val="none"/>
                    </w:rPr>
                    <w:t>建筑面积约</w:t>
                  </w:r>
                  <w:r>
                    <w:rPr>
                      <w:rFonts w:hint="eastAsia"/>
                      <w:color w:val="auto"/>
                      <w:sz w:val="18"/>
                      <w:szCs w:val="18"/>
                      <w:highlight w:val="none"/>
                      <w:lang w:val="en-US" w:eastAsia="zh-CN"/>
                    </w:rPr>
                    <w:t>850</w:t>
                  </w:r>
                  <w:r>
                    <w:rPr>
                      <w:color w:val="auto"/>
                      <w:sz w:val="18"/>
                      <w:szCs w:val="18"/>
                      <w:highlight w:val="none"/>
                    </w:rPr>
                    <w:t>m</w:t>
                  </w:r>
                  <w:r>
                    <w:rPr>
                      <w:color w:val="auto"/>
                      <w:sz w:val="18"/>
                      <w:szCs w:val="18"/>
                      <w:highlight w:val="none"/>
                      <w:vertAlign w:val="superscript"/>
                    </w:rPr>
                    <w:t>2</w:t>
                  </w:r>
                  <w:r>
                    <w:rPr>
                      <w:color w:val="auto"/>
                      <w:sz w:val="18"/>
                      <w:szCs w:val="18"/>
                      <w:highlight w:val="none"/>
                    </w:rPr>
                    <w:t>，</w:t>
                  </w:r>
                  <w:r>
                    <w:rPr>
                      <w:rFonts w:hint="eastAsia"/>
                      <w:color w:val="auto"/>
                      <w:sz w:val="18"/>
                      <w:szCs w:val="18"/>
                      <w:highlight w:val="none"/>
                      <w:lang w:val="en-US" w:eastAsia="zh-CN"/>
                    </w:rPr>
                    <w:t>-1</w:t>
                  </w:r>
                  <w:r>
                    <w:rPr>
                      <w:color w:val="auto"/>
                      <w:sz w:val="18"/>
                      <w:szCs w:val="18"/>
                      <w:highlight w:val="none"/>
                    </w:rPr>
                    <w:t>F，</w:t>
                  </w:r>
                  <w:r>
                    <w:rPr>
                      <w:rFonts w:hint="eastAsia"/>
                      <w:color w:val="auto"/>
                      <w:sz w:val="18"/>
                      <w:szCs w:val="18"/>
                      <w:highlight w:val="none"/>
                      <w:lang w:val="en-US" w:eastAsia="zh-CN"/>
                    </w:rPr>
                    <w:t>内部分为中药库、西药库、消毒物品库</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其他库房</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color w:val="auto"/>
                      <w:sz w:val="18"/>
                      <w:szCs w:val="18"/>
                      <w:highlight w:val="none"/>
                    </w:rPr>
                    <w:t>建筑面积约</w:t>
                  </w:r>
                  <w:r>
                    <w:rPr>
                      <w:rFonts w:hint="eastAsia"/>
                      <w:color w:val="auto"/>
                      <w:sz w:val="18"/>
                      <w:szCs w:val="18"/>
                      <w:highlight w:val="none"/>
                      <w:lang w:val="en-US" w:eastAsia="zh-CN"/>
                    </w:rPr>
                    <w:t>90</w:t>
                  </w:r>
                  <w:r>
                    <w:rPr>
                      <w:color w:val="auto"/>
                      <w:sz w:val="18"/>
                      <w:szCs w:val="18"/>
                      <w:highlight w:val="none"/>
                    </w:rPr>
                    <w:t>m</w:t>
                  </w:r>
                  <w:r>
                    <w:rPr>
                      <w:color w:val="auto"/>
                      <w:sz w:val="18"/>
                      <w:szCs w:val="18"/>
                      <w:highlight w:val="none"/>
                      <w:vertAlign w:val="superscript"/>
                    </w:rPr>
                    <w:t>2</w:t>
                  </w:r>
                  <w:r>
                    <w:rPr>
                      <w:color w:val="auto"/>
                      <w:sz w:val="18"/>
                      <w:szCs w:val="18"/>
                      <w:highlight w:val="none"/>
                    </w:rPr>
                    <w:t>，</w:t>
                  </w:r>
                  <w:r>
                    <w:rPr>
                      <w:rFonts w:hint="eastAsia"/>
                      <w:color w:val="auto"/>
                      <w:sz w:val="18"/>
                      <w:szCs w:val="18"/>
                      <w:highlight w:val="none"/>
                      <w:lang w:val="en-US" w:eastAsia="zh-CN"/>
                    </w:rPr>
                    <w:t>-1</w:t>
                  </w:r>
                  <w:r>
                    <w:rPr>
                      <w:color w:val="auto"/>
                      <w:sz w:val="18"/>
                      <w:szCs w:val="18"/>
                      <w:highlight w:val="none"/>
                    </w:rPr>
                    <w:t>F，</w:t>
                  </w:r>
                  <w:r>
                    <w:rPr>
                      <w:rFonts w:hint="eastAsia"/>
                      <w:color w:val="auto"/>
                      <w:sz w:val="18"/>
                      <w:szCs w:val="18"/>
                      <w:highlight w:val="none"/>
                      <w:lang w:val="en-US" w:eastAsia="zh-CN"/>
                    </w:rPr>
                    <w:t>用于储存杂物</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交通</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医院物品主要通过汽运运输</w:t>
                  </w:r>
                </w:p>
              </w:tc>
              <w:tc>
                <w:tcPr>
                  <w:tcW w:w="510" w:type="pct"/>
                  <w:tcMar>
                    <w:top w:w="0" w:type="dxa"/>
                    <w:left w:w="28" w:type="dxa"/>
                    <w:bottom w:w="0" w:type="dxa"/>
                    <w:right w:w="28" w:type="dxa"/>
                  </w:tcMar>
                  <w:vAlign w:val="center"/>
                </w:tcPr>
                <w:p>
                  <w:pPr>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vMerge w:val="restar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公用工程</w:t>
                  </w: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供水</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color w:val="auto"/>
                      <w:sz w:val="18"/>
                      <w:szCs w:val="18"/>
                      <w:highlight w:val="none"/>
                    </w:rPr>
                    <w:t>新鲜水由张店区市政自来水</w:t>
                  </w:r>
                  <w:r>
                    <w:rPr>
                      <w:rFonts w:ascii="Times New Roman" w:hAnsi="Times New Roman" w:cs="Times New Roman"/>
                      <w:color w:val="auto"/>
                      <w:sz w:val="18"/>
                      <w:szCs w:val="18"/>
                      <w:highlight w:val="none"/>
                    </w:rPr>
                    <w:t>管网提供</w:t>
                  </w:r>
                  <w:r>
                    <w:rPr>
                      <w:rFonts w:hint="eastAsia" w:ascii="Times New Roman" w:hAnsi="Times New Roman" w:cs="Times New Roman"/>
                      <w:color w:val="auto"/>
                      <w:sz w:val="18"/>
                      <w:szCs w:val="18"/>
                      <w:highlight w:val="none"/>
                      <w:lang w:eastAsia="zh-CN"/>
                    </w:rPr>
                    <w:t>，</w:t>
                  </w:r>
                  <w:r>
                    <w:rPr>
                      <w:rFonts w:hint="eastAsia" w:ascii="Times New Roman" w:hAnsi="Times New Roman" w:cs="Times New Roman"/>
                      <w:color w:val="auto"/>
                      <w:sz w:val="18"/>
                      <w:szCs w:val="18"/>
                      <w:highlight w:val="none"/>
                      <w:lang w:val="en-US" w:eastAsia="zh-CN"/>
                    </w:rPr>
                    <w:t>新鲜水量为72409.2</w:t>
                  </w:r>
                  <w:r>
                    <w:rPr>
                      <w:color w:val="auto"/>
                      <w:sz w:val="18"/>
                      <w:szCs w:val="18"/>
                      <w:highlight w:val="none"/>
                    </w:rPr>
                    <w:t>m</w:t>
                  </w:r>
                  <w:r>
                    <w:rPr>
                      <w:color w:val="auto"/>
                      <w:sz w:val="18"/>
                      <w:szCs w:val="18"/>
                      <w:highlight w:val="none"/>
                      <w:vertAlign w:val="superscript"/>
                    </w:rPr>
                    <w:t>3</w:t>
                  </w:r>
                  <w:r>
                    <w:rPr>
                      <w:color w:val="auto"/>
                      <w:sz w:val="18"/>
                      <w:szCs w:val="18"/>
                      <w:highlight w:val="none"/>
                    </w:rPr>
                    <w:t>/</w:t>
                  </w:r>
                  <w:r>
                    <w:rPr>
                      <w:rFonts w:hint="eastAsia"/>
                      <w:color w:val="auto"/>
                      <w:sz w:val="18"/>
                      <w:szCs w:val="18"/>
                      <w:highlight w:val="none"/>
                      <w:lang w:val="en-US" w:eastAsia="zh-CN"/>
                    </w:rPr>
                    <w:t>a</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排水</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项目设置一座200m</w:t>
                  </w:r>
                  <w:r>
                    <w:rPr>
                      <w:rFonts w:hint="eastAsia"/>
                      <w:color w:val="auto"/>
                      <w:sz w:val="18"/>
                      <w:szCs w:val="18"/>
                      <w:highlight w:val="none"/>
                      <w:vertAlign w:val="superscript"/>
                      <w:lang w:val="en-US" w:eastAsia="zh-CN"/>
                    </w:rPr>
                    <w:t>3</w:t>
                  </w:r>
                  <w:r>
                    <w:rPr>
                      <w:rFonts w:hint="eastAsia"/>
                      <w:color w:val="auto"/>
                      <w:sz w:val="18"/>
                      <w:szCs w:val="18"/>
                      <w:highlight w:val="none"/>
                      <w:lang w:val="en-US" w:eastAsia="zh-CN"/>
                    </w:rPr>
                    <w:t>/d的污水处理站，废水经过院内污水站处理后排入光大水务（淄博）有限公司一分厂深度处理</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供电</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color w:val="auto"/>
                      <w:sz w:val="18"/>
                      <w:szCs w:val="18"/>
                      <w:highlight w:val="none"/>
                    </w:rPr>
                    <w:t>由张店区供电电网供给</w:t>
                  </w:r>
                  <w:r>
                    <w:rPr>
                      <w:rFonts w:hint="eastAsia"/>
                      <w:color w:val="auto"/>
                      <w:sz w:val="18"/>
                      <w:szCs w:val="18"/>
                      <w:highlight w:val="none"/>
                      <w:lang w:eastAsia="zh-CN"/>
                    </w:rPr>
                    <w:t>，</w:t>
                  </w:r>
                  <w:r>
                    <w:rPr>
                      <w:rFonts w:hint="eastAsia"/>
                      <w:color w:val="auto"/>
                      <w:sz w:val="18"/>
                      <w:szCs w:val="18"/>
                      <w:highlight w:val="none"/>
                      <w:lang w:val="en-US" w:eastAsia="zh-CN"/>
                    </w:rPr>
                    <w:t>用电量为420万kWh/a，另设独立应急柴油发电机房，安装1台1100千瓦/时应急柴油发电机组作为应急电源</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医用气体供应</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rFonts w:hint="eastAsia"/>
                      <w:color w:val="auto"/>
                      <w:sz w:val="18"/>
                      <w:szCs w:val="18"/>
                      <w:highlight w:val="none"/>
                    </w:rPr>
                    <w:t>本项目</w:t>
                  </w:r>
                  <w:r>
                    <w:rPr>
                      <w:color w:val="auto"/>
                      <w:sz w:val="18"/>
                      <w:szCs w:val="18"/>
                      <w:highlight w:val="none"/>
                    </w:rPr>
                    <w:t>在</w:t>
                  </w:r>
                  <w:r>
                    <w:rPr>
                      <w:rFonts w:hint="eastAsia"/>
                      <w:color w:val="auto"/>
                      <w:sz w:val="18"/>
                      <w:szCs w:val="18"/>
                      <w:highlight w:val="none"/>
                      <w:lang w:val="en-US" w:eastAsia="zh-CN"/>
                    </w:rPr>
                    <w:t>院区西侧</w:t>
                  </w:r>
                  <w:r>
                    <w:rPr>
                      <w:color w:val="auto"/>
                      <w:sz w:val="18"/>
                      <w:szCs w:val="18"/>
                      <w:highlight w:val="none"/>
                    </w:rPr>
                    <w:t>设液氧站一座，并设置全自动切换氧气汇流排一套作为专用管路的紧急备用气源</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排烟及通风</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项目设有新风系统，用于综合楼的排风排烟</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供热</w:t>
                  </w:r>
                </w:p>
              </w:tc>
              <w:tc>
                <w:tcPr>
                  <w:tcW w:w="3460" w:type="pct"/>
                  <w:vMerge w:val="restar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制热、制冷采用室内</w:t>
                  </w:r>
                  <w:r>
                    <w:rPr>
                      <w:rFonts w:hint="eastAsia"/>
                      <w:color w:val="auto"/>
                      <w:sz w:val="18"/>
                      <w:szCs w:val="18"/>
                      <w:highlight w:val="none"/>
                      <w:lang w:val="en-US" w:eastAsia="zh-CN"/>
                    </w:rPr>
                    <w:t>中央</w:t>
                  </w:r>
                  <w:r>
                    <w:rPr>
                      <w:color w:val="auto"/>
                      <w:sz w:val="18"/>
                      <w:szCs w:val="18"/>
                      <w:highlight w:val="none"/>
                    </w:rPr>
                    <w:t>空调</w:t>
                  </w:r>
                </w:p>
              </w:tc>
              <w:tc>
                <w:tcPr>
                  <w:tcW w:w="510" w:type="pct"/>
                  <w:vMerge w:val="restar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制冷</w:t>
                  </w:r>
                </w:p>
              </w:tc>
              <w:tc>
                <w:tcPr>
                  <w:tcW w:w="3460"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p>
              </w:tc>
              <w:tc>
                <w:tcPr>
                  <w:tcW w:w="510"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restar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环保工程</w:t>
                  </w: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废水</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项目医疗废水（门诊、病房、牙椅</w:t>
                  </w:r>
                  <w:r>
                    <w:rPr>
                      <w:rFonts w:hint="eastAsia"/>
                      <w:color w:val="auto"/>
                      <w:sz w:val="18"/>
                      <w:szCs w:val="18"/>
                      <w:highlight w:val="none"/>
                      <w:lang w:eastAsia="zh-CN"/>
                    </w:rPr>
                    <w:t>、</w:t>
                  </w:r>
                  <w:r>
                    <w:rPr>
                      <w:rFonts w:hint="eastAsia"/>
                      <w:color w:val="auto"/>
                      <w:sz w:val="18"/>
                      <w:szCs w:val="18"/>
                      <w:highlight w:val="none"/>
                      <w:lang w:val="en-US" w:eastAsia="zh-CN"/>
                    </w:rPr>
                    <w:t>手术</w:t>
                  </w:r>
                  <w:r>
                    <w:rPr>
                      <w:color w:val="auto"/>
                      <w:sz w:val="18"/>
                      <w:szCs w:val="18"/>
                      <w:highlight w:val="none"/>
                    </w:rPr>
                    <w:t>）、洗衣房废水、</w:t>
                  </w:r>
                  <w:r>
                    <w:rPr>
                      <w:rFonts w:hint="eastAsia"/>
                      <w:color w:val="auto"/>
                      <w:sz w:val="18"/>
                      <w:szCs w:val="18"/>
                      <w:highlight w:val="none"/>
                      <w:lang w:val="en-US" w:eastAsia="zh-CN"/>
                    </w:rPr>
                    <w:t>食堂废水、</w:t>
                  </w:r>
                  <w:r>
                    <w:rPr>
                      <w:color w:val="auto"/>
                      <w:sz w:val="18"/>
                      <w:szCs w:val="18"/>
                      <w:highlight w:val="none"/>
                    </w:rPr>
                    <w:t>生活污水经</w:t>
                  </w:r>
                  <w:r>
                    <w:rPr>
                      <w:rFonts w:hint="eastAsia"/>
                      <w:color w:val="auto"/>
                      <w:sz w:val="18"/>
                      <w:szCs w:val="18"/>
                      <w:highlight w:val="none"/>
                      <w:lang w:val="en-US" w:eastAsia="zh-CN"/>
                    </w:rPr>
                    <w:t>院内地埋式</w:t>
                  </w:r>
                  <w:r>
                    <w:rPr>
                      <w:color w:val="auto"/>
                      <w:sz w:val="18"/>
                      <w:szCs w:val="18"/>
                      <w:highlight w:val="none"/>
                    </w:rPr>
                    <w:t>污水处理站（设计处理能力：</w:t>
                  </w:r>
                  <w:r>
                    <w:rPr>
                      <w:rFonts w:hint="eastAsia"/>
                      <w:color w:val="auto"/>
                      <w:sz w:val="18"/>
                      <w:szCs w:val="18"/>
                      <w:highlight w:val="none"/>
                      <w:lang w:val="en-US" w:eastAsia="zh-CN"/>
                    </w:rPr>
                    <w:t>20</w:t>
                  </w:r>
                  <w:r>
                    <w:rPr>
                      <w:color w:val="auto"/>
                      <w:sz w:val="18"/>
                      <w:szCs w:val="18"/>
                      <w:highlight w:val="none"/>
                    </w:rPr>
                    <w:t>0m</w:t>
                  </w:r>
                  <w:r>
                    <w:rPr>
                      <w:color w:val="auto"/>
                      <w:sz w:val="18"/>
                      <w:szCs w:val="18"/>
                      <w:highlight w:val="none"/>
                      <w:vertAlign w:val="superscript"/>
                    </w:rPr>
                    <w:t>3</w:t>
                  </w:r>
                  <w:r>
                    <w:rPr>
                      <w:color w:val="auto"/>
                      <w:sz w:val="18"/>
                      <w:szCs w:val="18"/>
                      <w:highlight w:val="none"/>
                    </w:rPr>
                    <w:t>/d</w:t>
                  </w:r>
                  <w:r>
                    <w:rPr>
                      <w:rFonts w:hint="eastAsia"/>
                      <w:color w:val="auto"/>
                      <w:sz w:val="18"/>
                      <w:szCs w:val="18"/>
                      <w:highlight w:val="none"/>
                    </w:rPr>
                    <w:t>）</w:t>
                  </w:r>
                  <w:r>
                    <w:rPr>
                      <w:color w:val="auto"/>
                      <w:sz w:val="18"/>
                      <w:szCs w:val="18"/>
                      <w:highlight w:val="none"/>
                    </w:rPr>
                    <w:t>；污水处理工艺：</w:t>
                  </w:r>
                  <w:r>
                    <w:rPr>
                      <w:rFonts w:hint="eastAsia"/>
                      <w:color w:val="auto"/>
                      <w:sz w:val="18"/>
                      <w:szCs w:val="18"/>
                      <w:highlight w:val="none"/>
                      <w:lang w:eastAsia="zh-CN"/>
                    </w:rPr>
                    <w:t>格栅+调节池+缺氧池+好氧池+二沉池+絮凝池+消毒池</w:t>
                  </w:r>
                  <w:r>
                    <w:rPr>
                      <w:color w:val="auto"/>
                      <w:sz w:val="18"/>
                      <w:szCs w:val="18"/>
                      <w:highlight w:val="none"/>
                    </w:rPr>
                    <w:t>）处理达标后排入市政污水管网，经管网排入光大水务（淄博）有限公司</w:t>
                  </w:r>
                  <w:r>
                    <w:rPr>
                      <w:rFonts w:hint="eastAsia"/>
                      <w:color w:val="auto"/>
                      <w:sz w:val="18"/>
                      <w:szCs w:val="18"/>
                      <w:highlight w:val="none"/>
                      <w:lang w:eastAsia="zh-CN"/>
                    </w:rPr>
                    <w:t>一分厂</w:t>
                  </w:r>
                  <w:r>
                    <w:rPr>
                      <w:color w:val="auto"/>
                      <w:sz w:val="18"/>
                      <w:szCs w:val="18"/>
                      <w:highlight w:val="none"/>
                    </w:rPr>
                    <w:t xml:space="preserve"> </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废气</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hint="eastAsia" w:ascii="Times New Roman" w:hAnsi="Times New Roman" w:eastAsia="宋体" w:cs="Times New Roman"/>
                      <w:color w:val="auto"/>
                      <w:sz w:val="18"/>
                      <w:szCs w:val="18"/>
                      <w:highlight w:val="none"/>
                      <w:lang w:val="en-US" w:eastAsia="zh-CN"/>
                    </w:rPr>
                  </w:pPr>
                  <w:r>
                    <w:rPr>
                      <w:rFonts w:ascii="Times New Roman" w:hAnsi="Times New Roman" w:eastAsia="宋体" w:cs="Times New Roman"/>
                      <w:color w:val="auto"/>
                      <w:sz w:val="18"/>
                      <w:szCs w:val="18"/>
                      <w:highlight w:val="none"/>
                    </w:rPr>
                    <w:t>项目污水处理站</w:t>
                  </w:r>
                  <w:r>
                    <w:rPr>
                      <w:rFonts w:hint="eastAsia" w:ascii="Times New Roman" w:hAnsi="Times New Roman" w:eastAsia="宋体" w:cs="Times New Roman"/>
                      <w:color w:val="auto"/>
                      <w:sz w:val="18"/>
                      <w:szCs w:val="18"/>
                      <w:highlight w:val="none"/>
                      <w:lang w:val="en-US" w:eastAsia="zh-CN"/>
                    </w:rPr>
                    <w:t>废气经管线收集通过生物除臭装置处理后通过15m排气筒DA001有组织排放；</w:t>
                  </w:r>
                </w:p>
                <w:p>
                  <w:pPr>
                    <w:pStyle w:val="26"/>
                    <w:snapToGrid w:val="0"/>
                    <w:spacing w:before="24" w:after="24" w:line="240" w:lineRule="exact"/>
                    <w:ind w:left="0" w:leftChars="0" w:firstLine="0" w:firstLineChars="0"/>
                    <w:jc w:val="left"/>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食堂油烟经管道收集后通过油烟净环器处理后通过房顶1.5m排气筒有组织排放；</w:t>
                  </w:r>
                </w:p>
                <w:p>
                  <w:pPr>
                    <w:pStyle w:val="26"/>
                    <w:snapToGrid w:val="0"/>
                    <w:spacing w:before="24" w:after="24" w:line="240" w:lineRule="exact"/>
                    <w:ind w:left="0" w:leftChars="0" w:firstLine="0" w:firstLineChars="0"/>
                    <w:jc w:val="left"/>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未收集废气无组织排放</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vMerge w:val="restar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固体废物</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废包装材料（外包装）集中收集外售综合利用；</w:t>
                  </w:r>
                </w:p>
                <w:p>
                  <w:pPr>
                    <w:pStyle w:val="26"/>
                    <w:snapToGrid w:val="0"/>
                    <w:spacing w:before="24" w:after="24" w:line="240" w:lineRule="exact"/>
                    <w:ind w:left="0" w:leftChars="0" w:firstLine="0" w:firstLineChars="0"/>
                    <w:jc w:val="left"/>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废离子交换树脂有厂家回收；</w:t>
                  </w:r>
                </w:p>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医疗废物、污水站栅渣及污泥委托有资质单位处置；</w:t>
                  </w:r>
                </w:p>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生活垃圾由环卫部门定期清运。</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一般固废间：建筑面积约</w:t>
                  </w:r>
                  <w:r>
                    <w:rPr>
                      <w:rFonts w:hint="eastAsia"/>
                      <w:color w:val="auto"/>
                      <w:sz w:val="18"/>
                      <w:szCs w:val="18"/>
                      <w:highlight w:val="none"/>
                      <w:lang w:val="en-US" w:eastAsia="zh-CN"/>
                    </w:rPr>
                    <w:t>90</w:t>
                  </w:r>
                  <w:r>
                    <w:rPr>
                      <w:color w:val="auto"/>
                      <w:sz w:val="18"/>
                      <w:szCs w:val="18"/>
                      <w:highlight w:val="none"/>
                    </w:rPr>
                    <w:t xml:space="preserve"> m</w:t>
                  </w:r>
                  <w:r>
                    <w:rPr>
                      <w:color w:val="auto"/>
                      <w:sz w:val="18"/>
                      <w:szCs w:val="18"/>
                      <w:highlight w:val="none"/>
                      <w:vertAlign w:val="superscript"/>
                    </w:rPr>
                    <w:t>2</w:t>
                  </w:r>
                  <w:r>
                    <w:rPr>
                      <w:color w:val="auto"/>
                      <w:sz w:val="18"/>
                      <w:szCs w:val="18"/>
                      <w:highlight w:val="none"/>
                    </w:rPr>
                    <w:t>，</w:t>
                  </w:r>
                  <w:r>
                    <w:rPr>
                      <w:rFonts w:hint="eastAsia"/>
                      <w:color w:val="auto"/>
                      <w:sz w:val="18"/>
                      <w:szCs w:val="18"/>
                      <w:highlight w:val="none"/>
                      <w:lang w:val="en-US" w:eastAsia="zh-CN"/>
                    </w:rPr>
                    <w:t>-2</w:t>
                  </w:r>
                  <w:r>
                    <w:rPr>
                      <w:color w:val="auto"/>
                      <w:sz w:val="18"/>
                      <w:szCs w:val="18"/>
                      <w:highlight w:val="none"/>
                    </w:rPr>
                    <w:t>F，用于一般固体废物贮存</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危废间：建筑面积约</w:t>
                  </w:r>
                  <w:r>
                    <w:rPr>
                      <w:rFonts w:hint="eastAsia"/>
                      <w:color w:val="auto"/>
                      <w:sz w:val="18"/>
                      <w:szCs w:val="18"/>
                      <w:highlight w:val="none"/>
                      <w:lang w:val="en-US" w:eastAsia="zh-CN"/>
                    </w:rPr>
                    <w:t>70</w:t>
                  </w:r>
                  <w:r>
                    <w:rPr>
                      <w:color w:val="auto"/>
                      <w:sz w:val="18"/>
                      <w:szCs w:val="18"/>
                      <w:highlight w:val="none"/>
                    </w:rPr>
                    <w:t xml:space="preserve"> m</w:t>
                  </w:r>
                  <w:r>
                    <w:rPr>
                      <w:color w:val="auto"/>
                      <w:sz w:val="18"/>
                      <w:szCs w:val="18"/>
                      <w:highlight w:val="none"/>
                      <w:vertAlign w:val="superscript"/>
                    </w:rPr>
                    <w:t>2</w:t>
                  </w:r>
                  <w:r>
                    <w:rPr>
                      <w:color w:val="auto"/>
                      <w:sz w:val="18"/>
                      <w:szCs w:val="18"/>
                      <w:highlight w:val="none"/>
                    </w:rPr>
                    <w:t>，</w:t>
                  </w:r>
                  <w:r>
                    <w:rPr>
                      <w:rFonts w:hint="eastAsia"/>
                      <w:color w:val="auto"/>
                      <w:sz w:val="18"/>
                      <w:szCs w:val="18"/>
                      <w:highlight w:val="none"/>
                      <w:lang w:val="en-US" w:eastAsia="zh-CN"/>
                    </w:rPr>
                    <w:t>-</w:t>
                  </w:r>
                  <w:r>
                    <w:rPr>
                      <w:color w:val="auto"/>
                      <w:sz w:val="18"/>
                      <w:szCs w:val="18"/>
                      <w:highlight w:val="none"/>
                    </w:rPr>
                    <w:t>1F，用于医疗废物危险废物贮存</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9" w:type="pct"/>
                  <w:vMerge w:val="continue"/>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p>
              </w:tc>
              <w:tc>
                <w:tcPr>
                  <w:tcW w:w="688" w:type="pct"/>
                  <w:gridSpan w:val="2"/>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噪声</w:t>
                  </w:r>
                </w:p>
              </w:tc>
              <w:tc>
                <w:tcPr>
                  <w:tcW w:w="346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合理布置噪声源位置，噪声设备合理布置，采取基础减振、隔声等常见降噪措施</w:t>
                  </w:r>
                </w:p>
              </w:tc>
              <w:tc>
                <w:tcPr>
                  <w:tcW w:w="51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新建</w:t>
                  </w:r>
                </w:p>
              </w:tc>
            </w:tr>
          </w:tbl>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4、规模</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本项目为专科医院，设置床位</w:t>
            </w:r>
            <w:r>
              <w:rPr>
                <w:rFonts w:hint="eastAsia"/>
                <w:color w:val="auto"/>
                <w:kern w:val="0"/>
                <w:szCs w:val="21"/>
                <w:highlight w:val="none"/>
                <w:lang w:val="en-US" w:eastAsia="zh-CN"/>
              </w:rPr>
              <w:t>490</w:t>
            </w:r>
            <w:r>
              <w:rPr>
                <w:color w:val="auto"/>
                <w:kern w:val="0"/>
                <w:szCs w:val="21"/>
                <w:highlight w:val="none"/>
              </w:rPr>
              <w:t>张，牙椅</w:t>
            </w:r>
            <w:r>
              <w:rPr>
                <w:rFonts w:hint="eastAsia"/>
                <w:color w:val="auto"/>
                <w:kern w:val="0"/>
                <w:szCs w:val="21"/>
                <w:highlight w:val="none"/>
                <w:lang w:val="en-US" w:eastAsia="zh-CN"/>
              </w:rPr>
              <w:t>200</w:t>
            </w:r>
            <w:r>
              <w:rPr>
                <w:color w:val="auto"/>
                <w:kern w:val="0"/>
                <w:szCs w:val="21"/>
                <w:highlight w:val="none"/>
              </w:rPr>
              <w:t>把，门诊人数约</w:t>
            </w:r>
            <w:r>
              <w:rPr>
                <w:rFonts w:hint="eastAsia"/>
                <w:color w:val="auto"/>
                <w:kern w:val="0"/>
                <w:szCs w:val="21"/>
                <w:highlight w:val="none"/>
                <w:lang w:val="en-US" w:eastAsia="zh-CN"/>
              </w:rPr>
              <w:t>1200</w:t>
            </w:r>
            <w:r>
              <w:rPr>
                <w:color w:val="auto"/>
                <w:kern w:val="0"/>
                <w:szCs w:val="21"/>
                <w:highlight w:val="none"/>
              </w:rPr>
              <w:t>人次/天。</w:t>
            </w:r>
          </w:p>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5、工作制度及劳动定员</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项目职工定员</w:t>
            </w:r>
            <w:r>
              <w:rPr>
                <w:rFonts w:hint="eastAsia"/>
                <w:color w:val="auto"/>
                <w:kern w:val="0"/>
                <w:szCs w:val="21"/>
                <w:highlight w:val="none"/>
                <w:lang w:val="en-US" w:eastAsia="zh-CN"/>
              </w:rPr>
              <w:t>147</w:t>
            </w:r>
            <w:r>
              <w:rPr>
                <w:color w:val="auto"/>
                <w:kern w:val="0"/>
                <w:szCs w:val="21"/>
                <w:highlight w:val="none"/>
              </w:rPr>
              <w:t>人，三班工作，每班8小时，年工作日365天。</w:t>
            </w:r>
          </w:p>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6、原辅材料及能源消耗</w:t>
            </w:r>
          </w:p>
          <w:p>
            <w:pPr>
              <w:autoSpaceDE w:val="0"/>
              <w:autoSpaceDN w:val="0"/>
              <w:adjustRightInd w:val="0"/>
              <w:snapToGrid w:val="0"/>
              <w:spacing w:line="360" w:lineRule="auto"/>
              <w:ind w:firstLine="420" w:firstLineChars="200"/>
              <w:rPr>
                <w:color w:val="auto"/>
                <w:kern w:val="0"/>
                <w:szCs w:val="21"/>
                <w:highlight w:val="none"/>
              </w:rPr>
            </w:pPr>
            <w:r>
              <w:rPr>
                <w:color w:val="auto"/>
                <w:highlight w:val="none"/>
              </w:rPr>
              <w:t>项目所需主要原辅材料为治疗过程所需物品，</w:t>
            </w:r>
            <w:r>
              <w:rPr>
                <w:color w:val="auto"/>
                <w:kern w:val="0"/>
                <w:szCs w:val="21"/>
                <w:highlight w:val="none"/>
              </w:rPr>
              <w:t>项目原料及能耗消耗量见下表。</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表2-</w:t>
            </w:r>
            <w:r>
              <w:rPr>
                <w:rFonts w:hint="eastAsia"/>
                <w:b/>
                <w:bCs/>
                <w:color w:val="auto"/>
                <w:kern w:val="0"/>
                <w:szCs w:val="21"/>
                <w:highlight w:val="none"/>
                <w:lang w:val="en-US" w:eastAsia="zh-CN"/>
              </w:rPr>
              <w:t>4</w:t>
            </w:r>
            <w:r>
              <w:rPr>
                <w:b/>
                <w:bCs/>
                <w:color w:val="auto"/>
                <w:kern w:val="0"/>
                <w:szCs w:val="21"/>
                <w:highlight w:val="none"/>
              </w:rPr>
              <w:t xml:space="preserve">  </w:t>
            </w:r>
            <w:bookmarkStart w:id="2" w:name="_Hlk3319122"/>
            <w:r>
              <w:rPr>
                <w:b/>
                <w:bCs/>
                <w:color w:val="auto"/>
                <w:kern w:val="0"/>
                <w:szCs w:val="21"/>
                <w:highlight w:val="none"/>
              </w:rPr>
              <w:t>项目主要原辅材料及</w:t>
            </w:r>
            <w:bookmarkEnd w:id="2"/>
            <w:r>
              <w:rPr>
                <w:b/>
                <w:bCs/>
                <w:color w:val="auto"/>
                <w:kern w:val="0"/>
                <w:szCs w:val="21"/>
                <w:highlight w:val="none"/>
              </w:rPr>
              <w:t>能源消耗一览表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830"/>
              <w:gridCol w:w="1214"/>
              <w:gridCol w:w="1433"/>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b/>
                      <w:bCs/>
                      <w:color w:val="auto"/>
                      <w:sz w:val="18"/>
                      <w:szCs w:val="18"/>
                      <w:highlight w:val="none"/>
                    </w:rPr>
                  </w:pPr>
                  <w:r>
                    <w:rPr>
                      <w:b/>
                      <w:bCs/>
                      <w:color w:val="auto"/>
                      <w:sz w:val="18"/>
                      <w:szCs w:val="18"/>
                      <w:highlight w:val="none"/>
                    </w:rPr>
                    <w:t>序号</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b/>
                      <w:bCs/>
                      <w:color w:val="auto"/>
                      <w:sz w:val="18"/>
                      <w:szCs w:val="18"/>
                      <w:highlight w:val="none"/>
                    </w:rPr>
                  </w:pPr>
                  <w:r>
                    <w:rPr>
                      <w:b/>
                      <w:bCs/>
                      <w:color w:val="auto"/>
                      <w:sz w:val="18"/>
                      <w:szCs w:val="18"/>
                      <w:highlight w:val="none"/>
                    </w:rPr>
                    <w:t>原材料名称</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b/>
                      <w:bCs/>
                      <w:color w:val="auto"/>
                      <w:sz w:val="18"/>
                      <w:szCs w:val="18"/>
                      <w:highlight w:val="none"/>
                    </w:rPr>
                  </w:pPr>
                  <w:r>
                    <w:rPr>
                      <w:b/>
                      <w:bCs/>
                      <w:color w:val="auto"/>
                      <w:sz w:val="18"/>
                      <w:szCs w:val="18"/>
                      <w:highlight w:val="none"/>
                    </w:rPr>
                    <w:t>物理状态</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b/>
                      <w:bCs/>
                      <w:color w:val="auto"/>
                      <w:sz w:val="18"/>
                      <w:szCs w:val="18"/>
                      <w:highlight w:val="none"/>
                    </w:rPr>
                  </w:pPr>
                  <w:r>
                    <w:rPr>
                      <w:b/>
                      <w:bCs/>
                      <w:color w:val="auto"/>
                      <w:sz w:val="18"/>
                      <w:szCs w:val="18"/>
                      <w:highlight w:val="none"/>
                    </w:rPr>
                    <w:t>年消耗量</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b/>
                      <w:bCs/>
                      <w:color w:val="auto"/>
                      <w:sz w:val="18"/>
                      <w:szCs w:val="18"/>
                      <w:highlight w:val="none"/>
                    </w:rPr>
                  </w:pPr>
                  <w:r>
                    <w:rPr>
                      <w:b/>
                      <w:bCs/>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75%酒精</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液体</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22400</w:t>
                  </w:r>
                  <w:r>
                    <w:rPr>
                      <w:color w:val="auto"/>
                      <w:sz w:val="18"/>
                      <w:szCs w:val="18"/>
                      <w:highlight w:val="none"/>
                    </w:rPr>
                    <w:t>瓶/500mL</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生理盐水</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液体</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28000</w:t>
                  </w:r>
                  <w:r>
                    <w:rPr>
                      <w:color w:val="auto"/>
                      <w:sz w:val="18"/>
                      <w:szCs w:val="18"/>
                      <w:highlight w:val="none"/>
                    </w:rPr>
                    <w:t>袋</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84消毒液</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液体</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4400</w:t>
                  </w:r>
                  <w:r>
                    <w:rPr>
                      <w:color w:val="auto"/>
                      <w:sz w:val="18"/>
                      <w:szCs w:val="18"/>
                      <w:highlight w:val="none"/>
                    </w:rPr>
                    <w:t>瓶/400mL</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4</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eastAsia="zh-CN"/>
                    </w:rPr>
                  </w:pPr>
                  <w:r>
                    <w:rPr>
                      <w:rFonts w:hint="eastAsia"/>
                      <w:color w:val="auto"/>
                      <w:sz w:val="18"/>
                      <w:szCs w:val="18"/>
                      <w:highlight w:val="none"/>
                      <w:lang w:val="en-US" w:eastAsia="zh-CN"/>
                    </w:rPr>
                    <w:t>液氧</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eastAsia="zh-CN"/>
                    </w:rPr>
                  </w:pPr>
                  <w:r>
                    <w:rPr>
                      <w:rFonts w:hint="eastAsia"/>
                      <w:color w:val="auto"/>
                      <w:sz w:val="18"/>
                      <w:szCs w:val="18"/>
                      <w:highlight w:val="none"/>
                      <w:lang w:val="en-US" w:eastAsia="zh-CN"/>
                    </w:rPr>
                    <w:t>液态</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rPr>
                  </w:pPr>
                  <w:r>
                    <w:rPr>
                      <w:rFonts w:hint="eastAsia"/>
                      <w:color w:val="auto"/>
                      <w:sz w:val="18"/>
                      <w:szCs w:val="18"/>
                      <w:highlight w:val="none"/>
                      <w:lang w:val="en-US" w:eastAsia="zh-CN"/>
                    </w:rPr>
                    <w:t>17.1t/a</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5</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一次性医疗器械</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120</w:t>
                  </w:r>
                  <w:r>
                    <w:rPr>
                      <w:color w:val="auto"/>
                      <w:sz w:val="18"/>
                      <w:szCs w:val="18"/>
                      <w:highlight w:val="none"/>
                    </w:rPr>
                    <w:t>万支</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（包括注射器、采血器、口镜、口腔器械盒、无菌手术包、牙科注射针、吸引管、口腔印模托盘、洞巾、缝合包、麻醉导管、输液器、采血针、吸唾管、等）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6</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医用外科口罩</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32</w:t>
                  </w:r>
                  <w:r>
                    <w:rPr>
                      <w:color w:val="auto"/>
                      <w:sz w:val="18"/>
                      <w:szCs w:val="18"/>
                      <w:highlight w:val="none"/>
                    </w:rPr>
                    <w:t>万只</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7</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检查手套</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32</w:t>
                  </w:r>
                  <w:r>
                    <w:rPr>
                      <w:color w:val="auto"/>
                      <w:sz w:val="18"/>
                      <w:szCs w:val="18"/>
                      <w:highlight w:val="none"/>
                    </w:rPr>
                    <w:t>万付</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8</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医用帽</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32</w:t>
                  </w:r>
                  <w:r>
                    <w:rPr>
                      <w:color w:val="auto"/>
                      <w:sz w:val="18"/>
                      <w:szCs w:val="18"/>
                      <w:highlight w:val="none"/>
                    </w:rPr>
                    <w:t>万个</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9</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抛光针</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14000</w:t>
                  </w:r>
                  <w:r>
                    <w:rPr>
                      <w:color w:val="auto"/>
                      <w:sz w:val="18"/>
                      <w:szCs w:val="18"/>
                      <w:highlight w:val="none"/>
                    </w:rPr>
                    <w:t>个</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10</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无菌手术刀片</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7200</w:t>
                  </w:r>
                  <w:r>
                    <w:rPr>
                      <w:color w:val="auto"/>
                      <w:sz w:val="18"/>
                      <w:szCs w:val="18"/>
                      <w:highlight w:val="none"/>
                    </w:rPr>
                    <w:t>片</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11</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游离牵引钩</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2400</w:t>
                  </w:r>
                  <w:r>
                    <w:rPr>
                      <w:color w:val="auto"/>
                      <w:sz w:val="18"/>
                      <w:szCs w:val="18"/>
                      <w:highlight w:val="none"/>
                    </w:rPr>
                    <w:t>包</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12</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种植体系统</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240</w:t>
                  </w:r>
                  <w:r>
                    <w:rPr>
                      <w:color w:val="auto"/>
                      <w:sz w:val="18"/>
                      <w:szCs w:val="18"/>
                      <w:highlight w:val="none"/>
                    </w:rPr>
                    <w:t>0盒</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13</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网状牙托</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1600</w:t>
                  </w:r>
                  <w:r>
                    <w:rPr>
                      <w:color w:val="auto"/>
                      <w:sz w:val="18"/>
                      <w:szCs w:val="18"/>
                      <w:highlight w:val="none"/>
                    </w:rPr>
                    <w:t>付</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14</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根管锉</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1200</w:t>
                  </w:r>
                  <w:r>
                    <w:rPr>
                      <w:color w:val="auto"/>
                      <w:sz w:val="18"/>
                      <w:szCs w:val="18"/>
                      <w:highlight w:val="none"/>
                    </w:rPr>
                    <w:t>盒</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15</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牙科石膏</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1000</w:t>
                  </w:r>
                  <w:r>
                    <w:rPr>
                      <w:color w:val="auto"/>
                      <w:sz w:val="18"/>
                      <w:szCs w:val="18"/>
                      <w:highlight w:val="none"/>
                    </w:rPr>
                    <w:t>袋/1kg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16</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吸收性明胶海绵</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2400</w:t>
                  </w:r>
                  <w:r>
                    <w:rPr>
                      <w:color w:val="auto"/>
                      <w:sz w:val="18"/>
                      <w:szCs w:val="18"/>
                      <w:highlight w:val="none"/>
                    </w:rPr>
                    <w:t>包</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17</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正畸橡皮圈</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800</w:t>
                  </w:r>
                  <w:r>
                    <w:rPr>
                      <w:color w:val="auto"/>
                      <w:sz w:val="18"/>
                      <w:szCs w:val="18"/>
                      <w:highlight w:val="none"/>
                    </w:rPr>
                    <w:t>包</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18</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伢典龋齿微创袪腐凝胶</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8</w:t>
                  </w:r>
                  <w:r>
                    <w:rPr>
                      <w:color w:val="auto"/>
                      <w:sz w:val="18"/>
                      <w:szCs w:val="18"/>
                      <w:highlight w:val="none"/>
                    </w:rPr>
                    <w:t>00盒/0.3g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19</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齿科藻酸盐印模材料</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16</w:t>
                  </w:r>
                  <w:r>
                    <w:rPr>
                      <w:color w:val="auto"/>
                      <w:sz w:val="18"/>
                      <w:szCs w:val="18"/>
                      <w:highlight w:val="none"/>
                    </w:rPr>
                    <w:t>00桶/1kg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20</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流动树脂</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8</w:t>
                  </w:r>
                  <w:r>
                    <w:rPr>
                      <w:color w:val="auto"/>
                      <w:sz w:val="18"/>
                      <w:szCs w:val="18"/>
                      <w:highlight w:val="none"/>
                    </w:rPr>
                    <w:t>00支/2g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21</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暂时填充材料</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12</w:t>
                  </w:r>
                  <w:r>
                    <w:rPr>
                      <w:color w:val="auto"/>
                      <w:sz w:val="18"/>
                      <w:szCs w:val="18"/>
                      <w:highlight w:val="none"/>
                    </w:rPr>
                    <w:t>00盒/15g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22</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骨填充材料</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20</w:t>
                  </w:r>
                  <w:r>
                    <w:rPr>
                      <w:color w:val="auto"/>
                      <w:sz w:val="18"/>
                      <w:szCs w:val="18"/>
                      <w:highlight w:val="none"/>
                    </w:rPr>
                    <w:t>00盒/0.25g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23</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玻璃离子水门汀(富士IX)</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w:t>
                  </w:r>
                  <w:r>
                    <w:rPr>
                      <w:color w:val="auto"/>
                      <w:sz w:val="18"/>
                      <w:szCs w:val="18"/>
                      <w:highlight w:val="none"/>
                    </w:rPr>
                    <w:t>00盒/15g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24</w:t>
                  </w:r>
                </w:p>
              </w:tc>
              <w:tc>
                <w:tcPr>
                  <w:tcW w:w="1088" w:type="pct"/>
                  <w:tcMar>
                    <w:top w:w="0" w:type="dxa"/>
                    <w:left w:w="57" w:type="dxa"/>
                    <w:bottom w:w="0" w:type="dxa"/>
                    <w:right w:w="57" w:type="dxa"/>
                  </w:tcMa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TPC口腔涂药棒</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w:t>
                  </w:r>
                  <w:r>
                    <w:rPr>
                      <w:color w:val="auto"/>
                      <w:sz w:val="18"/>
                      <w:szCs w:val="18"/>
                      <w:highlight w:val="none"/>
                    </w:rPr>
                    <w:t>00包/100支</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25</w:t>
                  </w:r>
                </w:p>
              </w:tc>
              <w:tc>
                <w:tcPr>
                  <w:tcW w:w="1088" w:type="pct"/>
                  <w:tcMar>
                    <w:top w:w="0" w:type="dxa"/>
                    <w:left w:w="57" w:type="dxa"/>
                    <w:bottom w:w="0" w:type="dxa"/>
                    <w:right w:w="57" w:type="dxa"/>
                  </w:tcMa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无砷失活抑菌材料</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w:t>
                  </w:r>
                  <w:r>
                    <w:rPr>
                      <w:color w:val="auto"/>
                      <w:sz w:val="18"/>
                      <w:szCs w:val="18"/>
                      <w:highlight w:val="none"/>
                    </w:rPr>
                    <w:t>00支/1g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26</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根管充填修复材料</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w:t>
                  </w:r>
                  <w:r>
                    <w:rPr>
                      <w:color w:val="auto"/>
                      <w:sz w:val="18"/>
                      <w:szCs w:val="18"/>
                      <w:highlight w:val="none"/>
                    </w:rPr>
                    <w:t>00支/0.5g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27</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金属网底托槽</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w:t>
                  </w:r>
                  <w:r>
                    <w:rPr>
                      <w:color w:val="auto"/>
                      <w:sz w:val="18"/>
                      <w:szCs w:val="18"/>
                      <w:highlight w:val="none"/>
                    </w:rPr>
                    <w:t>00套</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28</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光固化复合树脂</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8</w:t>
                  </w:r>
                  <w:r>
                    <w:rPr>
                      <w:color w:val="auto"/>
                      <w:sz w:val="18"/>
                      <w:szCs w:val="18"/>
                      <w:highlight w:val="none"/>
                    </w:rPr>
                    <w:t>00盒/4g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29</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350树脂</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20</w:t>
                  </w:r>
                  <w:r>
                    <w:rPr>
                      <w:color w:val="auto"/>
                      <w:sz w:val="18"/>
                      <w:szCs w:val="18"/>
                      <w:highlight w:val="none"/>
                    </w:rPr>
                    <w:t>0盒/4g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30</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根管清洁糊剂</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w:t>
                  </w:r>
                  <w:r>
                    <w:rPr>
                      <w:color w:val="auto"/>
                      <w:sz w:val="18"/>
                      <w:szCs w:val="18"/>
                      <w:highlight w:val="none"/>
                    </w:rPr>
                    <w:t>00支/5mL</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31</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DMG轻体</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w:t>
                  </w:r>
                  <w:r>
                    <w:rPr>
                      <w:color w:val="auto"/>
                      <w:sz w:val="18"/>
                      <w:szCs w:val="18"/>
                      <w:highlight w:val="none"/>
                    </w:rPr>
                    <w:t>00支/50mL</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32</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医用超声耦合剂</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200</w:t>
                  </w:r>
                  <w:r>
                    <w:rPr>
                      <w:color w:val="auto"/>
                      <w:sz w:val="18"/>
                      <w:szCs w:val="18"/>
                      <w:highlight w:val="none"/>
                    </w:rPr>
                    <w:t>瓶/250mL</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33</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牙齿抛光膏</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w:t>
                  </w:r>
                  <w:r>
                    <w:rPr>
                      <w:color w:val="auto"/>
                      <w:sz w:val="18"/>
                      <w:szCs w:val="18"/>
                      <w:highlight w:val="none"/>
                    </w:rPr>
                    <w:t>00桶/36g</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34</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硅橡胶印模材料</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8</w:t>
                  </w:r>
                  <w:r>
                    <w:rPr>
                      <w:color w:val="auto"/>
                      <w:sz w:val="18"/>
                      <w:szCs w:val="18"/>
                      <w:highlight w:val="none"/>
                    </w:rPr>
                    <w:t>0盒/100mL</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35</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 xml:space="preserve">口腔治疗盘 </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244</w:t>
                  </w:r>
                  <w:r>
                    <w:rPr>
                      <w:color w:val="auto"/>
                      <w:sz w:val="18"/>
                      <w:szCs w:val="18"/>
                      <w:highlight w:val="none"/>
                    </w:rPr>
                    <w:t>000个</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36</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膜片</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60</w:t>
                  </w:r>
                  <w:r>
                    <w:rPr>
                      <w:color w:val="auto"/>
                      <w:sz w:val="18"/>
                      <w:szCs w:val="18"/>
                      <w:highlight w:val="none"/>
                    </w:rPr>
                    <w:t>0包</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37</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棉签</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8</w:t>
                  </w:r>
                  <w:r>
                    <w:rPr>
                      <w:color w:val="auto"/>
                      <w:sz w:val="18"/>
                      <w:szCs w:val="18"/>
                      <w:highlight w:val="none"/>
                    </w:rPr>
                    <w:t>0000包</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38</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纱布</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20</w:t>
                  </w:r>
                  <w:r>
                    <w:rPr>
                      <w:color w:val="auto"/>
                      <w:sz w:val="18"/>
                      <w:szCs w:val="18"/>
                      <w:highlight w:val="none"/>
                    </w:rPr>
                    <w:t>000块</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39</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eastAsia="zh-CN"/>
                    </w:rPr>
                  </w:pPr>
                  <w:r>
                    <w:rPr>
                      <w:rFonts w:hint="eastAsia"/>
                      <w:color w:val="auto"/>
                      <w:sz w:val="18"/>
                      <w:szCs w:val="18"/>
                      <w:highlight w:val="none"/>
                      <w:lang w:val="en-US" w:eastAsia="zh-CN"/>
                    </w:rPr>
                    <w:t>絮凝剂（</w:t>
                  </w:r>
                  <w:r>
                    <w:rPr>
                      <w:rFonts w:hint="eastAsia"/>
                      <w:color w:val="auto"/>
                      <w:sz w:val="18"/>
                      <w:szCs w:val="18"/>
                      <w:highlight w:val="none"/>
                      <w:lang w:val="en-US" w:eastAsia="zh-CN"/>
                    </w:rPr>
                    <w:fldChar w:fldCharType="begin"/>
                  </w:r>
                  <w:r>
                    <w:rPr>
                      <w:rFonts w:hint="eastAsia"/>
                      <w:color w:val="auto"/>
                      <w:sz w:val="18"/>
                      <w:szCs w:val="18"/>
                      <w:highlight w:val="none"/>
                      <w:lang w:val="en-US" w:eastAsia="zh-CN"/>
                    </w:rPr>
                    <w:instrText xml:space="preserve"> HYPERLINK "http://www.ntclhg.net/" \t "http://ntclhg.net/news/_blank" </w:instrText>
                  </w:r>
                  <w:r>
                    <w:rPr>
                      <w:rFonts w:hint="eastAsia"/>
                      <w:color w:val="auto"/>
                      <w:sz w:val="18"/>
                      <w:szCs w:val="18"/>
                      <w:highlight w:val="none"/>
                      <w:lang w:val="en-US" w:eastAsia="zh-CN"/>
                    </w:rPr>
                    <w:fldChar w:fldCharType="separate"/>
                  </w:r>
                  <w:r>
                    <w:rPr>
                      <w:rFonts w:hint="eastAsia"/>
                      <w:color w:val="auto"/>
                      <w:sz w:val="18"/>
                      <w:szCs w:val="18"/>
                      <w:highlight w:val="none"/>
                      <w:lang w:val="en-US" w:eastAsia="zh-CN"/>
                    </w:rPr>
                    <w:t>聚合</w:t>
                  </w:r>
                  <w:r>
                    <w:rPr>
                      <w:rFonts w:hint="eastAsia"/>
                      <w:color w:val="auto"/>
                      <w:sz w:val="18"/>
                      <w:szCs w:val="18"/>
                      <w:highlight w:val="none"/>
                      <w:lang w:val="en-US" w:eastAsia="zh-CN"/>
                    </w:rPr>
                    <w:fldChar w:fldCharType="end"/>
                  </w:r>
                  <w:r>
                    <w:rPr>
                      <w:rFonts w:hint="eastAsia"/>
                      <w:color w:val="auto"/>
                      <w:sz w:val="18"/>
                      <w:szCs w:val="18"/>
                      <w:highlight w:val="none"/>
                      <w:lang w:val="en-US" w:eastAsia="zh-CN"/>
                    </w:rPr>
                    <w:fldChar w:fldCharType="begin"/>
                  </w:r>
                  <w:r>
                    <w:rPr>
                      <w:rFonts w:hint="eastAsia"/>
                      <w:color w:val="auto"/>
                      <w:sz w:val="18"/>
                      <w:szCs w:val="18"/>
                      <w:highlight w:val="none"/>
                      <w:lang w:val="en-US" w:eastAsia="zh-CN"/>
                    </w:rPr>
                    <w:instrText xml:space="preserve"> HYPERLINK "http://www.ntclhg.net/" \t "http://ntclhg.net/news/_blank" </w:instrText>
                  </w:r>
                  <w:r>
                    <w:rPr>
                      <w:rFonts w:hint="eastAsia"/>
                      <w:color w:val="auto"/>
                      <w:sz w:val="18"/>
                      <w:szCs w:val="18"/>
                      <w:highlight w:val="none"/>
                      <w:lang w:val="en-US" w:eastAsia="zh-CN"/>
                    </w:rPr>
                    <w:fldChar w:fldCharType="separate"/>
                  </w:r>
                  <w:r>
                    <w:rPr>
                      <w:rFonts w:hint="eastAsia"/>
                      <w:color w:val="auto"/>
                      <w:sz w:val="18"/>
                      <w:szCs w:val="18"/>
                      <w:highlight w:val="none"/>
                      <w:lang w:val="en-US" w:eastAsia="zh-CN"/>
                    </w:rPr>
                    <w:t>氯化铝</w:t>
                  </w:r>
                  <w:r>
                    <w:rPr>
                      <w:rFonts w:hint="eastAsia"/>
                      <w:color w:val="auto"/>
                      <w:sz w:val="18"/>
                      <w:szCs w:val="18"/>
                      <w:highlight w:val="none"/>
                      <w:lang w:val="en-US" w:eastAsia="zh-CN"/>
                    </w:rPr>
                    <w:fldChar w:fldCharType="end"/>
                  </w:r>
                  <w:r>
                    <w:rPr>
                      <w:rFonts w:hint="eastAsia"/>
                      <w:color w:val="auto"/>
                      <w:sz w:val="18"/>
                      <w:szCs w:val="18"/>
                      <w:highlight w:val="none"/>
                      <w:lang w:val="en-US" w:eastAsia="zh-CN"/>
                    </w:rPr>
                    <w:t>）</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0.2</w:t>
                  </w:r>
                  <w:r>
                    <w:rPr>
                      <w:color w:val="auto"/>
                      <w:sz w:val="18"/>
                      <w:szCs w:val="18"/>
                      <w:highlight w:val="none"/>
                    </w:rPr>
                    <w:t>t</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40</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eastAsia="zh-CN"/>
                    </w:rPr>
                  </w:pPr>
                  <w:r>
                    <w:rPr>
                      <w:color w:val="auto"/>
                      <w:sz w:val="18"/>
                      <w:szCs w:val="18"/>
                      <w:highlight w:val="none"/>
                    </w:rPr>
                    <w:t>消毒粉</w:t>
                  </w:r>
                  <w:r>
                    <w:rPr>
                      <w:rFonts w:hint="eastAsia"/>
                      <w:color w:val="auto"/>
                      <w:sz w:val="18"/>
                      <w:szCs w:val="18"/>
                      <w:highlight w:val="none"/>
                      <w:lang w:eastAsia="zh-CN"/>
                    </w:rPr>
                    <w:t>（单过硫酸氢钾复合粉）</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0.</w:t>
                  </w:r>
                  <w:r>
                    <w:rPr>
                      <w:rFonts w:hint="eastAsia"/>
                      <w:color w:val="auto"/>
                      <w:sz w:val="18"/>
                      <w:szCs w:val="18"/>
                      <w:highlight w:val="none"/>
                      <w:lang w:val="en-US" w:eastAsia="zh-CN"/>
                    </w:rPr>
                    <w:t>6</w:t>
                  </w:r>
                  <w:r>
                    <w:rPr>
                      <w:color w:val="auto"/>
                      <w:sz w:val="18"/>
                      <w:szCs w:val="18"/>
                      <w:highlight w:val="none"/>
                    </w:rPr>
                    <w:t>t</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rPr>
                    <w:t>41</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柴油</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5</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color w:val="auto"/>
                      <w:sz w:val="18"/>
                      <w:szCs w:val="18"/>
                      <w:highlight w:val="none"/>
                    </w:rPr>
                    <w:t>4</w:t>
                  </w:r>
                  <w:r>
                    <w:rPr>
                      <w:rFonts w:hint="eastAsia"/>
                      <w:color w:val="auto"/>
                      <w:sz w:val="18"/>
                      <w:szCs w:val="18"/>
                      <w:highlight w:val="none"/>
                    </w:rPr>
                    <w:t>2</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电</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420</w:t>
                  </w:r>
                  <w:r>
                    <w:rPr>
                      <w:color w:val="auto"/>
                      <w:sz w:val="18"/>
                      <w:szCs w:val="18"/>
                      <w:highlight w:val="none"/>
                    </w:rPr>
                    <w:t>万kWh/a</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张店区供电电网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color w:val="auto"/>
                      <w:sz w:val="18"/>
                      <w:szCs w:val="18"/>
                      <w:highlight w:val="none"/>
                    </w:rPr>
                    <w:t>4</w:t>
                  </w:r>
                  <w:r>
                    <w:rPr>
                      <w:rFonts w:hint="eastAsia"/>
                      <w:color w:val="auto"/>
                      <w:sz w:val="18"/>
                      <w:szCs w:val="18"/>
                      <w:highlight w:val="none"/>
                    </w:rPr>
                    <w:t>3</w:t>
                  </w:r>
                </w:p>
              </w:tc>
              <w:tc>
                <w:tcPr>
                  <w:tcW w:w="1088"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水</w:t>
                  </w:r>
                </w:p>
              </w:tc>
              <w:tc>
                <w:tcPr>
                  <w:tcW w:w="72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852"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65109.2</w:t>
                  </w:r>
                  <w:r>
                    <w:rPr>
                      <w:color w:val="auto"/>
                      <w:sz w:val="18"/>
                      <w:szCs w:val="18"/>
                      <w:highlight w:val="none"/>
                    </w:rPr>
                    <w:t>m</w:t>
                  </w:r>
                  <w:r>
                    <w:rPr>
                      <w:color w:val="auto"/>
                      <w:sz w:val="18"/>
                      <w:szCs w:val="18"/>
                      <w:highlight w:val="none"/>
                      <w:vertAlign w:val="superscript"/>
                    </w:rPr>
                    <w:t>3</w:t>
                  </w:r>
                  <w:r>
                    <w:rPr>
                      <w:color w:val="auto"/>
                      <w:sz w:val="18"/>
                      <w:szCs w:val="18"/>
                      <w:highlight w:val="none"/>
                    </w:rPr>
                    <w:t>/a</w:t>
                  </w:r>
                </w:p>
              </w:tc>
              <w:tc>
                <w:tcPr>
                  <w:tcW w:w="1987" w:type="pct"/>
                  <w:tcMar>
                    <w:top w:w="0" w:type="dxa"/>
                    <w:left w:w="57" w:type="dxa"/>
                    <w:bottom w:w="0" w:type="dxa"/>
                    <w:right w:w="57"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张店区市政自来水管网</w:t>
                  </w:r>
                </w:p>
              </w:tc>
            </w:tr>
          </w:tbl>
          <w:p>
            <w:pPr>
              <w:autoSpaceDE w:val="0"/>
              <w:autoSpaceDN w:val="0"/>
              <w:adjustRightInd w:val="0"/>
              <w:snapToGrid w:val="0"/>
              <w:jc w:val="center"/>
              <w:rPr>
                <w:b/>
                <w:bCs/>
                <w:color w:val="auto"/>
                <w:kern w:val="0"/>
                <w:szCs w:val="21"/>
                <w:highlight w:val="none"/>
              </w:rPr>
            </w:pPr>
            <w:r>
              <w:rPr>
                <w:b/>
                <w:bCs/>
                <w:color w:val="auto"/>
                <w:kern w:val="0"/>
                <w:szCs w:val="21"/>
                <w:highlight w:val="none"/>
              </w:rPr>
              <w:t>表2-</w:t>
            </w:r>
            <w:r>
              <w:rPr>
                <w:rFonts w:hint="eastAsia"/>
                <w:b/>
                <w:bCs/>
                <w:color w:val="auto"/>
                <w:kern w:val="0"/>
                <w:szCs w:val="21"/>
                <w:highlight w:val="none"/>
                <w:lang w:val="en-US" w:eastAsia="zh-CN"/>
              </w:rPr>
              <w:t>5</w:t>
            </w:r>
            <w:r>
              <w:rPr>
                <w:b/>
                <w:bCs/>
                <w:color w:val="auto"/>
                <w:kern w:val="0"/>
                <w:szCs w:val="21"/>
                <w:highlight w:val="none"/>
              </w:rPr>
              <w:t xml:space="preserve">  项目</w:t>
            </w:r>
            <w:r>
              <w:rPr>
                <w:rFonts w:hint="eastAsia"/>
                <w:b/>
                <w:bCs/>
                <w:color w:val="auto"/>
                <w:kern w:val="0"/>
                <w:szCs w:val="21"/>
                <w:highlight w:val="none"/>
                <w:lang w:val="en-US" w:eastAsia="zh-CN"/>
              </w:rPr>
              <w:t>药品及针剂</w:t>
            </w:r>
            <w:r>
              <w:rPr>
                <w:b/>
                <w:bCs/>
                <w:color w:val="auto"/>
                <w:kern w:val="0"/>
                <w:szCs w:val="21"/>
                <w:highlight w:val="none"/>
              </w:rPr>
              <w:t>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1951"/>
              <w:gridCol w:w="136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830" w:type="pct"/>
                  <w:shd w:val="clear" w:color="auto" w:fill="auto"/>
                  <w:vAlign w:val="center"/>
                </w:tcPr>
                <w:p>
                  <w:pPr>
                    <w:pStyle w:val="26"/>
                    <w:snapToGrid w:val="0"/>
                    <w:spacing w:before="24" w:after="24" w:line="240" w:lineRule="exact"/>
                    <w:ind w:left="0" w:leftChars="0" w:firstLine="0" w:firstLineChars="0"/>
                    <w:jc w:val="center"/>
                    <w:rPr>
                      <w:b/>
                      <w:bCs/>
                      <w:color w:val="auto"/>
                      <w:sz w:val="18"/>
                      <w:szCs w:val="18"/>
                      <w:highlight w:val="none"/>
                    </w:rPr>
                  </w:pPr>
                  <w:r>
                    <w:rPr>
                      <w:b/>
                      <w:bCs/>
                      <w:color w:val="auto"/>
                      <w:sz w:val="18"/>
                      <w:szCs w:val="18"/>
                      <w:highlight w:val="none"/>
                    </w:rPr>
                    <w:t>名称</w:t>
                  </w:r>
                </w:p>
              </w:tc>
              <w:tc>
                <w:tcPr>
                  <w:tcW w:w="1160" w:type="pct"/>
                  <w:shd w:val="clear" w:color="auto" w:fill="auto"/>
                  <w:vAlign w:val="center"/>
                </w:tcPr>
                <w:p>
                  <w:pPr>
                    <w:pStyle w:val="26"/>
                    <w:snapToGrid w:val="0"/>
                    <w:spacing w:before="24" w:after="24" w:line="240" w:lineRule="exact"/>
                    <w:ind w:left="0" w:leftChars="0" w:firstLine="0" w:firstLineChars="0"/>
                    <w:jc w:val="center"/>
                    <w:rPr>
                      <w:b/>
                      <w:bCs/>
                      <w:color w:val="auto"/>
                      <w:sz w:val="18"/>
                      <w:szCs w:val="18"/>
                      <w:highlight w:val="none"/>
                    </w:rPr>
                  </w:pPr>
                  <w:r>
                    <w:rPr>
                      <w:b/>
                      <w:bCs/>
                      <w:color w:val="auto"/>
                      <w:sz w:val="18"/>
                      <w:szCs w:val="18"/>
                      <w:highlight w:val="none"/>
                    </w:rPr>
                    <w:t>年耗量</w:t>
                  </w:r>
                </w:p>
              </w:tc>
              <w:tc>
                <w:tcPr>
                  <w:tcW w:w="811" w:type="pct"/>
                  <w:shd w:val="clear" w:color="auto" w:fill="auto"/>
                  <w:vAlign w:val="center"/>
                </w:tcPr>
                <w:p>
                  <w:pPr>
                    <w:pStyle w:val="26"/>
                    <w:snapToGrid w:val="0"/>
                    <w:spacing w:before="24" w:after="24" w:line="240" w:lineRule="exact"/>
                    <w:ind w:left="0" w:leftChars="0" w:firstLine="0" w:firstLineChars="0"/>
                    <w:jc w:val="center"/>
                    <w:rPr>
                      <w:b/>
                      <w:bCs/>
                      <w:color w:val="auto"/>
                      <w:sz w:val="18"/>
                      <w:szCs w:val="18"/>
                      <w:highlight w:val="none"/>
                    </w:rPr>
                  </w:pPr>
                  <w:r>
                    <w:rPr>
                      <w:b/>
                      <w:bCs/>
                      <w:color w:val="auto"/>
                      <w:sz w:val="18"/>
                      <w:szCs w:val="18"/>
                      <w:highlight w:val="none"/>
                    </w:rPr>
                    <w:t>来源</w:t>
                  </w:r>
                </w:p>
              </w:tc>
              <w:tc>
                <w:tcPr>
                  <w:tcW w:w="1197" w:type="pct"/>
                  <w:shd w:val="clear" w:color="auto" w:fill="auto"/>
                  <w:vAlign w:val="center"/>
                </w:tcPr>
                <w:p>
                  <w:pPr>
                    <w:pStyle w:val="26"/>
                    <w:snapToGrid w:val="0"/>
                    <w:spacing w:before="24" w:after="24" w:line="240" w:lineRule="exact"/>
                    <w:ind w:left="0" w:leftChars="0" w:firstLine="0" w:firstLineChars="0"/>
                    <w:jc w:val="center"/>
                    <w:rPr>
                      <w:b/>
                      <w:bCs/>
                      <w:color w:val="auto"/>
                      <w:sz w:val="18"/>
                      <w:szCs w:val="18"/>
                      <w:highlight w:val="none"/>
                    </w:rPr>
                  </w:pPr>
                  <w:r>
                    <w:rPr>
                      <w:b/>
                      <w:bCs/>
                      <w:color w:val="auto"/>
                      <w:sz w:val="18"/>
                      <w:szCs w:val="18"/>
                      <w:highlight w:val="none"/>
                    </w:rPr>
                    <w:t>储存位置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阿替卡因肾上腺素注射液</w:t>
                  </w:r>
                </w:p>
              </w:tc>
              <w:tc>
                <w:tcPr>
                  <w:tcW w:w="116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58248支</w:t>
                  </w:r>
                </w:p>
              </w:tc>
              <w:tc>
                <w:tcPr>
                  <w:tcW w:w="811" w:type="pct"/>
                  <w:shd w:val="clear" w:color="auto" w:fill="auto"/>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外购</w:t>
                  </w:r>
                </w:p>
              </w:tc>
              <w:tc>
                <w:tcPr>
                  <w:tcW w:w="1197"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3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氯化钠注射液</w:t>
                  </w:r>
                </w:p>
              </w:tc>
              <w:tc>
                <w:tcPr>
                  <w:tcW w:w="116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21844瓶</w:t>
                  </w:r>
                </w:p>
              </w:tc>
              <w:tc>
                <w:tcPr>
                  <w:tcW w:w="811"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外购</w:t>
                  </w:r>
                </w:p>
              </w:tc>
              <w:tc>
                <w:tcPr>
                  <w:tcW w:w="1197"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盐酸利多卡因注射液</w:t>
                  </w:r>
                </w:p>
              </w:tc>
              <w:tc>
                <w:tcPr>
                  <w:tcW w:w="116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18052支</w:t>
                  </w:r>
                </w:p>
              </w:tc>
              <w:tc>
                <w:tcPr>
                  <w:tcW w:w="811"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外购</w:t>
                  </w:r>
                </w:p>
              </w:tc>
              <w:tc>
                <w:tcPr>
                  <w:tcW w:w="1197"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3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注射用盐酸克林霉素</w:t>
                  </w:r>
                </w:p>
              </w:tc>
              <w:tc>
                <w:tcPr>
                  <w:tcW w:w="116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13536支</w:t>
                  </w:r>
                </w:p>
              </w:tc>
              <w:tc>
                <w:tcPr>
                  <w:tcW w:w="811"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外购</w:t>
                  </w:r>
                </w:p>
              </w:tc>
              <w:tc>
                <w:tcPr>
                  <w:tcW w:w="1197"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盐酸甲哌卡因肾上腺素注射液</w:t>
                  </w:r>
                </w:p>
              </w:tc>
              <w:tc>
                <w:tcPr>
                  <w:tcW w:w="116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9420支</w:t>
                  </w:r>
                </w:p>
              </w:tc>
              <w:tc>
                <w:tcPr>
                  <w:tcW w:w="811"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外购</w:t>
                  </w:r>
                </w:p>
              </w:tc>
              <w:tc>
                <w:tcPr>
                  <w:tcW w:w="1197"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3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头孢氨苄片</w:t>
                  </w:r>
                </w:p>
              </w:tc>
              <w:tc>
                <w:tcPr>
                  <w:tcW w:w="116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10900盒</w:t>
                  </w:r>
                </w:p>
              </w:tc>
              <w:tc>
                <w:tcPr>
                  <w:tcW w:w="811"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外购</w:t>
                  </w:r>
                </w:p>
              </w:tc>
              <w:tc>
                <w:tcPr>
                  <w:tcW w:w="1197"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3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醋酸曲安奈德注射液</w:t>
                  </w:r>
                </w:p>
              </w:tc>
              <w:tc>
                <w:tcPr>
                  <w:tcW w:w="116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8796支</w:t>
                  </w:r>
                </w:p>
              </w:tc>
              <w:tc>
                <w:tcPr>
                  <w:tcW w:w="811"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外购</w:t>
                  </w:r>
                </w:p>
              </w:tc>
              <w:tc>
                <w:tcPr>
                  <w:tcW w:w="1197"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缬沙坦胶囊</w:t>
                  </w:r>
                </w:p>
              </w:tc>
              <w:tc>
                <w:tcPr>
                  <w:tcW w:w="116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9396盒</w:t>
                  </w:r>
                </w:p>
              </w:tc>
              <w:tc>
                <w:tcPr>
                  <w:tcW w:w="811"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外购</w:t>
                  </w:r>
                </w:p>
              </w:tc>
              <w:tc>
                <w:tcPr>
                  <w:tcW w:w="1197"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3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阿卡波糖片</w:t>
                  </w:r>
                </w:p>
              </w:tc>
              <w:tc>
                <w:tcPr>
                  <w:tcW w:w="116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8948盒</w:t>
                  </w:r>
                </w:p>
              </w:tc>
              <w:tc>
                <w:tcPr>
                  <w:tcW w:w="811"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外购</w:t>
                  </w:r>
                </w:p>
              </w:tc>
              <w:tc>
                <w:tcPr>
                  <w:tcW w:w="1197"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30" w:type="pct"/>
                  <w:shd w:val="clear" w:color="auto" w:fill="auto"/>
                  <w:vAlign w:val="bottom"/>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甲硝唑片</w:t>
                  </w:r>
                </w:p>
              </w:tc>
              <w:tc>
                <w:tcPr>
                  <w:tcW w:w="116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7624盒</w:t>
                  </w:r>
                </w:p>
              </w:tc>
              <w:tc>
                <w:tcPr>
                  <w:tcW w:w="811"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外购</w:t>
                  </w:r>
                </w:p>
              </w:tc>
              <w:tc>
                <w:tcPr>
                  <w:tcW w:w="1197"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药库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3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复方氯己定含漱液</w:t>
                  </w:r>
                </w:p>
              </w:tc>
              <w:tc>
                <w:tcPr>
                  <w:tcW w:w="1160"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1560瓶</w:t>
                  </w:r>
                </w:p>
              </w:tc>
              <w:tc>
                <w:tcPr>
                  <w:tcW w:w="811"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外购</w:t>
                  </w:r>
                </w:p>
              </w:tc>
              <w:tc>
                <w:tcPr>
                  <w:tcW w:w="1197" w:type="pct"/>
                  <w:shd w:val="clear" w:color="auto" w:fill="auto"/>
                  <w:vAlign w:val="center"/>
                </w:tcPr>
                <w:p>
                  <w:pPr>
                    <w:pStyle w:val="26"/>
                    <w:snapToGrid w:val="0"/>
                    <w:spacing w:before="24" w:after="24" w:line="240" w:lineRule="exact"/>
                    <w:ind w:left="0" w:leftChars="0" w:firstLine="0" w:firstLineChars="0"/>
                    <w:jc w:val="center"/>
                    <w:rPr>
                      <w:rFonts w:hint="eastAsia"/>
                      <w:color w:val="auto"/>
                      <w:sz w:val="18"/>
                      <w:szCs w:val="18"/>
                      <w:highlight w:val="none"/>
                      <w:lang w:val="en-US" w:eastAsia="zh-CN"/>
                    </w:rPr>
                  </w:pPr>
                  <w:r>
                    <w:rPr>
                      <w:rFonts w:hint="eastAsia"/>
                      <w:color w:val="auto"/>
                      <w:sz w:val="18"/>
                      <w:szCs w:val="18"/>
                      <w:highlight w:val="none"/>
                      <w:lang w:val="en-US" w:eastAsia="zh-CN"/>
                    </w:rPr>
                    <w:t>药库</w:t>
                  </w:r>
                </w:p>
              </w:tc>
            </w:tr>
          </w:tbl>
          <w:p>
            <w:pPr>
              <w:autoSpaceDE w:val="0"/>
              <w:autoSpaceDN w:val="0"/>
              <w:adjustRightInd w:val="0"/>
              <w:snapToGrid w:val="0"/>
              <w:spacing w:line="360" w:lineRule="auto"/>
              <w:ind w:firstLine="420" w:firstLineChars="200"/>
              <w:jc w:val="left"/>
              <w:rPr>
                <w:color w:val="auto"/>
                <w:kern w:val="0"/>
                <w:szCs w:val="21"/>
                <w:highlight w:val="none"/>
              </w:rPr>
            </w:pPr>
            <w:r>
              <w:rPr>
                <w:rFonts w:hint="eastAsia"/>
                <w:color w:val="auto"/>
                <w:kern w:val="0"/>
                <w:szCs w:val="21"/>
                <w:highlight w:val="none"/>
              </w:rPr>
              <w:t>项目使用消毒药剂明细如下表所示：</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表2-</w:t>
            </w:r>
            <w:r>
              <w:rPr>
                <w:rFonts w:hint="eastAsia"/>
                <w:b/>
                <w:bCs/>
                <w:color w:val="auto"/>
                <w:kern w:val="0"/>
                <w:szCs w:val="21"/>
                <w:highlight w:val="none"/>
                <w:lang w:val="en-US" w:eastAsia="zh-CN"/>
              </w:rPr>
              <w:t>6</w:t>
            </w:r>
            <w:r>
              <w:rPr>
                <w:b/>
                <w:bCs/>
                <w:color w:val="auto"/>
                <w:kern w:val="0"/>
                <w:szCs w:val="21"/>
                <w:highlight w:val="none"/>
              </w:rPr>
              <w:t xml:space="preserve">  项目使用消毒剂明细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
              <w:gridCol w:w="1833"/>
              <w:gridCol w:w="2068"/>
              <w:gridCol w:w="1077"/>
              <w:gridCol w:w="1008"/>
              <w:gridCol w:w="100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序号</w:t>
                  </w:r>
                </w:p>
              </w:tc>
              <w:tc>
                <w:tcPr>
                  <w:tcW w:w="1089"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名称</w:t>
                  </w:r>
                </w:p>
              </w:tc>
              <w:tc>
                <w:tcPr>
                  <w:tcW w:w="1229"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rPr>
                    <w:t>类别及使用场所</w:t>
                  </w:r>
                </w:p>
              </w:tc>
              <w:tc>
                <w:tcPr>
                  <w:tcW w:w="64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规格</w:t>
                  </w:r>
                </w:p>
              </w:tc>
              <w:tc>
                <w:tcPr>
                  <w:tcW w:w="599"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年消耗量</w:t>
                  </w:r>
                </w:p>
              </w:tc>
              <w:tc>
                <w:tcPr>
                  <w:tcW w:w="598"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rPr>
                    <w:t>最大</w:t>
                  </w:r>
                  <w:r>
                    <w:rPr>
                      <w:color w:val="auto"/>
                      <w:sz w:val="18"/>
                      <w:szCs w:val="18"/>
                      <w:highlight w:val="none"/>
                    </w:rPr>
                    <w:t>存储量</w:t>
                  </w:r>
                </w:p>
              </w:tc>
              <w:tc>
                <w:tcPr>
                  <w:tcW w:w="598" w:type="pct"/>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w:t>
                  </w:r>
                </w:p>
              </w:tc>
              <w:tc>
                <w:tcPr>
                  <w:tcW w:w="1089"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75%酒精</w:t>
                  </w:r>
                </w:p>
              </w:tc>
              <w:tc>
                <w:tcPr>
                  <w:tcW w:w="1229"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医疗消毒</w:t>
                  </w:r>
                  <w:r>
                    <w:rPr>
                      <w:rFonts w:hint="eastAsia"/>
                      <w:color w:val="auto"/>
                      <w:sz w:val="18"/>
                      <w:szCs w:val="18"/>
                      <w:highlight w:val="none"/>
                    </w:rPr>
                    <w:t>、</w:t>
                  </w:r>
                  <w:r>
                    <w:rPr>
                      <w:color w:val="auto"/>
                      <w:sz w:val="18"/>
                      <w:szCs w:val="18"/>
                      <w:highlight w:val="none"/>
                    </w:rPr>
                    <w:t>医院场所消毒</w:t>
                  </w:r>
                </w:p>
              </w:tc>
              <w:tc>
                <w:tcPr>
                  <w:tcW w:w="64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500mL/瓶</w:t>
                  </w:r>
                </w:p>
              </w:tc>
              <w:tc>
                <w:tcPr>
                  <w:tcW w:w="599"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22400</w:t>
                  </w:r>
                  <w:r>
                    <w:rPr>
                      <w:rFonts w:hint="eastAsia"/>
                      <w:color w:val="auto"/>
                      <w:sz w:val="18"/>
                      <w:szCs w:val="18"/>
                      <w:highlight w:val="none"/>
                    </w:rPr>
                    <w:t>瓶</w:t>
                  </w:r>
                </w:p>
              </w:tc>
              <w:tc>
                <w:tcPr>
                  <w:tcW w:w="598"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10</w:t>
                  </w:r>
                  <w:r>
                    <w:rPr>
                      <w:rFonts w:hint="eastAsia"/>
                      <w:color w:val="auto"/>
                      <w:sz w:val="18"/>
                      <w:szCs w:val="18"/>
                      <w:highlight w:val="none"/>
                    </w:rPr>
                    <w:t>00瓶</w:t>
                  </w:r>
                </w:p>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rPr>
                    <w:t>（约0.</w:t>
                  </w:r>
                  <w:r>
                    <w:rPr>
                      <w:rFonts w:hint="eastAsia"/>
                      <w:color w:val="auto"/>
                      <w:sz w:val="18"/>
                      <w:szCs w:val="18"/>
                      <w:highlight w:val="none"/>
                      <w:lang w:val="en-US" w:eastAsia="zh-CN"/>
                    </w:rPr>
                    <w:t>4</w:t>
                  </w:r>
                  <w:r>
                    <w:rPr>
                      <w:rFonts w:hint="eastAsia"/>
                      <w:color w:val="auto"/>
                      <w:sz w:val="18"/>
                      <w:szCs w:val="18"/>
                      <w:highlight w:val="none"/>
                    </w:rPr>
                    <w:t>t）</w:t>
                  </w:r>
                </w:p>
              </w:tc>
              <w:tc>
                <w:tcPr>
                  <w:tcW w:w="598" w:type="pct"/>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医用消毒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w:t>
                  </w:r>
                </w:p>
              </w:tc>
              <w:tc>
                <w:tcPr>
                  <w:tcW w:w="1089"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84消毒液</w:t>
                  </w:r>
                </w:p>
              </w:tc>
              <w:tc>
                <w:tcPr>
                  <w:tcW w:w="1229"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医院场所消毒</w:t>
                  </w:r>
                </w:p>
              </w:tc>
              <w:tc>
                <w:tcPr>
                  <w:tcW w:w="64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rPr>
                    <w:t>4</w:t>
                  </w:r>
                  <w:r>
                    <w:rPr>
                      <w:color w:val="auto"/>
                      <w:sz w:val="18"/>
                      <w:szCs w:val="18"/>
                      <w:highlight w:val="none"/>
                    </w:rPr>
                    <w:t>00mL/瓶</w:t>
                  </w:r>
                </w:p>
              </w:tc>
              <w:tc>
                <w:tcPr>
                  <w:tcW w:w="599"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44</w:t>
                  </w:r>
                  <w:r>
                    <w:rPr>
                      <w:rFonts w:hint="eastAsia"/>
                      <w:color w:val="auto"/>
                      <w:sz w:val="18"/>
                      <w:szCs w:val="18"/>
                      <w:highlight w:val="none"/>
                    </w:rPr>
                    <w:t>00瓶</w:t>
                  </w:r>
                </w:p>
              </w:tc>
              <w:tc>
                <w:tcPr>
                  <w:tcW w:w="598"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w:t>
                  </w:r>
                  <w:r>
                    <w:rPr>
                      <w:rFonts w:hint="eastAsia"/>
                      <w:color w:val="auto"/>
                      <w:sz w:val="18"/>
                      <w:szCs w:val="18"/>
                      <w:highlight w:val="none"/>
                    </w:rPr>
                    <w:t>00瓶</w:t>
                  </w:r>
                </w:p>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rPr>
                    <w:t>（约0.0</w:t>
                  </w:r>
                  <w:r>
                    <w:rPr>
                      <w:rFonts w:hint="eastAsia"/>
                      <w:color w:val="auto"/>
                      <w:sz w:val="18"/>
                      <w:szCs w:val="18"/>
                      <w:highlight w:val="none"/>
                      <w:lang w:val="en-US" w:eastAsia="zh-CN"/>
                    </w:rPr>
                    <w:t>8</w:t>
                  </w:r>
                  <w:r>
                    <w:rPr>
                      <w:rFonts w:hint="eastAsia"/>
                      <w:color w:val="auto"/>
                      <w:sz w:val="18"/>
                      <w:szCs w:val="18"/>
                      <w:highlight w:val="none"/>
                    </w:rPr>
                    <w:t>t）</w:t>
                  </w:r>
                </w:p>
              </w:tc>
              <w:tc>
                <w:tcPr>
                  <w:tcW w:w="598" w:type="pct"/>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院区消毒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w:t>
                  </w:r>
                </w:p>
              </w:tc>
              <w:tc>
                <w:tcPr>
                  <w:tcW w:w="1089"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消毒粉</w:t>
                  </w:r>
                </w:p>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rPr>
                    <w:t>（单过硫酸氢钾复合粉）</w:t>
                  </w:r>
                </w:p>
              </w:tc>
              <w:tc>
                <w:tcPr>
                  <w:tcW w:w="1229"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rPr>
                    <w:t>污水处理排放口</w:t>
                  </w:r>
                  <w:r>
                    <w:rPr>
                      <w:color w:val="auto"/>
                      <w:sz w:val="18"/>
                      <w:szCs w:val="18"/>
                      <w:highlight w:val="none"/>
                    </w:rPr>
                    <w:t>消毒</w:t>
                  </w:r>
                </w:p>
              </w:tc>
              <w:tc>
                <w:tcPr>
                  <w:tcW w:w="640"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w:t>
                  </w:r>
                  <w:r>
                    <w:rPr>
                      <w:rFonts w:hint="eastAsia"/>
                      <w:color w:val="auto"/>
                      <w:sz w:val="18"/>
                      <w:szCs w:val="18"/>
                      <w:highlight w:val="none"/>
                    </w:rPr>
                    <w:t>0kg/袋</w:t>
                  </w:r>
                </w:p>
              </w:tc>
              <w:tc>
                <w:tcPr>
                  <w:tcW w:w="599"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rPr>
                    <w:t>0.</w:t>
                  </w:r>
                  <w:r>
                    <w:rPr>
                      <w:rFonts w:hint="eastAsia"/>
                      <w:color w:val="auto"/>
                      <w:sz w:val="18"/>
                      <w:szCs w:val="18"/>
                      <w:highlight w:val="none"/>
                      <w:lang w:val="en-US" w:eastAsia="zh-CN"/>
                    </w:rPr>
                    <w:t>6</w:t>
                  </w:r>
                  <w:r>
                    <w:rPr>
                      <w:rFonts w:hint="eastAsia"/>
                      <w:color w:val="auto"/>
                      <w:sz w:val="18"/>
                      <w:szCs w:val="18"/>
                      <w:highlight w:val="none"/>
                    </w:rPr>
                    <w:t>t</w:t>
                  </w:r>
                </w:p>
              </w:tc>
              <w:tc>
                <w:tcPr>
                  <w:tcW w:w="598"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rPr>
                    <w:t>0.</w:t>
                  </w:r>
                  <w:r>
                    <w:rPr>
                      <w:rFonts w:hint="eastAsia"/>
                      <w:color w:val="auto"/>
                      <w:sz w:val="18"/>
                      <w:szCs w:val="18"/>
                      <w:highlight w:val="none"/>
                      <w:lang w:val="en-US" w:eastAsia="zh-CN"/>
                    </w:rPr>
                    <w:t>05</w:t>
                  </w:r>
                  <w:r>
                    <w:rPr>
                      <w:rFonts w:hint="eastAsia"/>
                      <w:color w:val="auto"/>
                      <w:sz w:val="18"/>
                      <w:szCs w:val="18"/>
                      <w:highlight w:val="none"/>
                    </w:rPr>
                    <w:t>t</w:t>
                  </w:r>
                </w:p>
              </w:tc>
              <w:tc>
                <w:tcPr>
                  <w:tcW w:w="598" w:type="pct"/>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污水站消毒剂</w:t>
                  </w:r>
                </w:p>
              </w:tc>
            </w:tr>
          </w:tbl>
          <w:p>
            <w:pPr>
              <w:autoSpaceDE w:val="0"/>
              <w:autoSpaceDN w:val="0"/>
              <w:adjustRightInd w:val="0"/>
              <w:snapToGrid w:val="0"/>
              <w:spacing w:line="360" w:lineRule="auto"/>
              <w:ind w:firstLine="422" w:firstLineChars="200"/>
              <w:jc w:val="left"/>
              <w:rPr>
                <w:color w:val="auto"/>
                <w:kern w:val="0"/>
                <w:szCs w:val="21"/>
                <w:highlight w:val="none"/>
              </w:rPr>
            </w:pPr>
            <w:r>
              <w:rPr>
                <w:b/>
                <w:color w:val="auto"/>
                <w:kern w:val="0"/>
                <w:szCs w:val="21"/>
                <w:highlight w:val="none"/>
              </w:rPr>
              <w:t>84消毒液：</w:t>
            </w:r>
            <w:r>
              <w:rPr>
                <w:color w:val="auto"/>
                <w:kern w:val="0"/>
                <w:szCs w:val="21"/>
                <w:highlight w:val="none"/>
              </w:rPr>
              <w:t>84消毒液是一种以次氯酸钠为主要成分的含氯消毒剂，主要用于物体表面和环境等的消毒。次氯酸钠具有强氧化性，可水解生成具有强氧化性的次氯酸，能够将具有还原性的物质氧化，使微生物最终丧失机能，无法繁殖或感染。84消毒液为无色或淡黄色液体，且具有刺激性气味，有效氯含量5.5%～6.5%，现被广泛用于宾馆、旅游、医院、食品加工行业、家庭等的卫生消毒。</w:t>
            </w:r>
          </w:p>
          <w:p>
            <w:pPr>
              <w:autoSpaceDE w:val="0"/>
              <w:autoSpaceDN w:val="0"/>
              <w:adjustRightInd w:val="0"/>
              <w:snapToGrid w:val="0"/>
              <w:spacing w:line="360" w:lineRule="auto"/>
              <w:ind w:firstLine="422" w:firstLineChars="200"/>
              <w:jc w:val="left"/>
              <w:rPr>
                <w:color w:val="auto"/>
                <w:kern w:val="0"/>
                <w:szCs w:val="21"/>
                <w:highlight w:val="none"/>
              </w:rPr>
            </w:pPr>
            <w:r>
              <w:rPr>
                <w:b/>
                <w:color w:val="auto"/>
                <w:kern w:val="0"/>
                <w:szCs w:val="21"/>
                <w:highlight w:val="none"/>
              </w:rPr>
              <w:t>酒精：</w:t>
            </w:r>
            <w:r>
              <w:rPr>
                <w:color w:val="auto"/>
                <w:kern w:val="0"/>
                <w:szCs w:val="21"/>
                <w:highlight w:val="none"/>
              </w:rPr>
              <w:t>乙醇是一种有机化合物，结构简式为CH</w:t>
            </w:r>
            <w:r>
              <w:rPr>
                <w:color w:val="auto"/>
                <w:kern w:val="0"/>
                <w:szCs w:val="21"/>
                <w:highlight w:val="none"/>
                <w:vertAlign w:val="subscript"/>
              </w:rPr>
              <w:t>3</w:t>
            </w:r>
            <w:r>
              <w:rPr>
                <w:color w:val="auto"/>
                <w:kern w:val="0"/>
                <w:szCs w:val="21"/>
                <w:highlight w:val="none"/>
              </w:rPr>
              <w:t>CH</w:t>
            </w:r>
            <w:r>
              <w:rPr>
                <w:color w:val="auto"/>
                <w:kern w:val="0"/>
                <w:szCs w:val="21"/>
                <w:highlight w:val="none"/>
                <w:vertAlign w:val="subscript"/>
              </w:rPr>
              <w:t>2</w:t>
            </w:r>
            <w:r>
              <w:rPr>
                <w:color w:val="auto"/>
                <w:kern w:val="0"/>
                <w:szCs w:val="21"/>
                <w:highlight w:val="none"/>
              </w:rPr>
              <w:t>OH，俗称酒精。分子量46.07，熔点-114.1℃，沸点78.3℃，密度0.79g/cm³(20℃)，闪点14.0℃(闭杯)，蒸气压5.333kPa(19℃)，爆炸极限3.3%-19%。乙醇在常温常压下是一种易挥发的无色透明液体，有芳香气味。与水混溶，可混溶于乙醚、氯仿、甘油、甲醇等多数有机溶剂。乙醇可用于制造醋酸、饮料、香精、染料、燃料等，医疗上常用体积分数为70%~75%的乙醇作消毒剂。乙醇在化学工业、医疗卫生、食品工业、农业生产等领域都有广泛的用途。</w:t>
            </w:r>
          </w:p>
          <w:p>
            <w:pPr>
              <w:autoSpaceDE w:val="0"/>
              <w:autoSpaceDN w:val="0"/>
              <w:adjustRightInd w:val="0"/>
              <w:snapToGrid w:val="0"/>
              <w:spacing w:line="360" w:lineRule="auto"/>
              <w:ind w:firstLine="422" w:firstLineChars="200"/>
              <w:rPr>
                <w:color w:val="auto"/>
                <w:kern w:val="0"/>
                <w:szCs w:val="21"/>
                <w:highlight w:val="none"/>
              </w:rPr>
            </w:pPr>
            <w:r>
              <w:rPr>
                <w:b/>
                <w:color w:val="auto"/>
                <w:kern w:val="0"/>
                <w:szCs w:val="21"/>
                <w:highlight w:val="none"/>
              </w:rPr>
              <w:t>消毒粉：</w:t>
            </w:r>
            <w:r>
              <w:rPr>
                <w:color w:val="auto"/>
                <w:kern w:val="0"/>
                <w:szCs w:val="21"/>
                <w:highlight w:val="none"/>
              </w:rPr>
              <w:t>消毒粉是一种活性氧消毒剂，其主要成分是单过硫酸氢钾复合粉，它是由单过硫酸氢钾与硫酸氢钾、硫酸钾结合成的复合盐，白色粉末状固体无刺激性气体气味，易溶于水，强氧化性过氧化物，细胞壁、细胞质、细胞核三重破坏杀灭作用；有效活性成分浓度达7.0%~9.0%，与水体接触二十分钟就能有效杀菌，为非氯消毒消毒剂，通过活性新生态氧消毒最终代谢产物为对人体及环境无害的无机盐类，不产生三氯甲烷及其它有机卤代物，环保健康。</w:t>
            </w:r>
          </w:p>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7、主要设备</w:t>
            </w:r>
          </w:p>
          <w:p>
            <w:pPr>
              <w:autoSpaceDE w:val="0"/>
              <w:autoSpaceDN w:val="0"/>
              <w:adjustRightInd w:val="0"/>
              <w:snapToGrid w:val="0"/>
              <w:spacing w:line="360" w:lineRule="auto"/>
              <w:ind w:firstLine="420" w:firstLineChars="200"/>
              <w:jc w:val="left"/>
              <w:rPr>
                <w:color w:val="auto"/>
                <w:kern w:val="0"/>
                <w:szCs w:val="21"/>
                <w:highlight w:val="none"/>
              </w:rPr>
            </w:pPr>
            <w:r>
              <w:rPr>
                <w:color w:val="auto"/>
                <w:highlight w:val="none"/>
              </w:rPr>
              <w:t>项目主要医疗设备情况</w:t>
            </w:r>
            <w:r>
              <w:rPr>
                <w:color w:val="auto"/>
                <w:kern w:val="0"/>
                <w:szCs w:val="21"/>
                <w:highlight w:val="none"/>
              </w:rPr>
              <w:t>见下表。</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表2-</w:t>
            </w:r>
            <w:r>
              <w:rPr>
                <w:rFonts w:hint="eastAsia"/>
                <w:b/>
                <w:bCs/>
                <w:color w:val="auto"/>
                <w:kern w:val="0"/>
                <w:szCs w:val="21"/>
                <w:highlight w:val="none"/>
                <w:lang w:val="en-US" w:eastAsia="zh-CN"/>
              </w:rPr>
              <w:t>7</w:t>
            </w:r>
            <w:r>
              <w:rPr>
                <w:b/>
                <w:bCs/>
                <w:color w:val="auto"/>
                <w:kern w:val="0"/>
                <w:szCs w:val="21"/>
                <w:highlight w:val="none"/>
              </w:rPr>
              <w:t xml:space="preserve">  项目主要设备一览表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649"/>
              <w:gridCol w:w="2481"/>
              <w:gridCol w:w="1414"/>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序号</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设备名称</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型号</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数量（台）</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超声波清洗机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TQX-300DH</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医用煮沸消毒器</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ZF800-A</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清洗注油灭菌一体机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COST-L-12</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4</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快速全自动清洗消毒器</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Rapid-M-320-D</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3</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5</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医用干燥柜</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YGZ-1600S</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6</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放大镜</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86cY</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7</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手机注油机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XZY-02</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8</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全自动切割机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QG-100</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9</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自动封口机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FK-208</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3</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10</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蒸汽灭菌器</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K45</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11</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MAST-A脉动真空灭菌器</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MAST-A-650SD-B-M0</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3+1</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12</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过氧化氢低温等离子灭菌器</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PS-100X</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w:t>
                  </w:r>
                </w:p>
              </w:tc>
              <w:tc>
                <w:tcPr>
                  <w:tcW w:w="790" w:type="pc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卡式灭菌器</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Dmax-D-5L</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w:t>
                  </w:r>
                </w:p>
              </w:tc>
              <w:tc>
                <w:tcPr>
                  <w:tcW w:w="790" w:type="pct"/>
                  <w:vAlign w:val="center"/>
                </w:tcPr>
                <w:p>
                  <w:pPr>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快速生物阅读器</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KS-0301-S</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手术床</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2</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无影灯</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子母灯</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2</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吊塔</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2</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牙科综合治疗机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种植、儿童、常规</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200</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医用等离子体空气消毒器</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YKX.P-Y-600K</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200</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空压机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XH-A508</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4</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21</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负压机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XVS50</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4</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22</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全自动纯水机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Waters-KQCS-2000A</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23</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微酸性电解水（楼宇系统）</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XH SAEW-20-4000-KA</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5</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24</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生仪分析仪迪瑞</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CSM-8000</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25</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化学发光仪</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新产业x8</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26</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尿流水线</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优利特2000C</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27</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血球分析仪</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迈瑞5390</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28</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血凝分析仪</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希森美康CS-1300</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29</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血强变分析仪</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众弛ZL9000</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30</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离子分析仪</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深圳越华M2-921DP</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31</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生物安全柜</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新华BSL-B</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32</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特定蛋白分析仪</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万孚FS-301</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33</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口腔三合一X光机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6</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34</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口腔单牙片X光机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6</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35</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64排CT</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36</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十二道心电图机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日本光电</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6</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37</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彩超</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GE</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38</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无创呼吸机</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39</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胃镜检查设备</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奥林巴斯</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40</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笑气镇静系统</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3</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41</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口腔扫描仪</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可丽儿</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15</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42</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3D打印设备</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新华</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2</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43</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烤瓷炉</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氧化锆</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2</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17"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44</w:t>
                  </w:r>
                </w:p>
              </w:tc>
              <w:tc>
                <w:tcPr>
                  <w:tcW w:w="15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研磨仪</w:t>
                  </w:r>
                </w:p>
              </w:tc>
              <w:tc>
                <w:tcPr>
                  <w:tcW w:w="1475"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G401W</w:t>
                  </w:r>
                </w:p>
              </w:tc>
              <w:tc>
                <w:tcPr>
                  <w:tcW w:w="841" w:type="pct"/>
                  <w:tcMar>
                    <w:top w:w="0" w:type="dxa"/>
                    <w:left w:w="28" w:type="dxa"/>
                    <w:bottom w:w="0" w:type="dxa"/>
                    <w:right w:w="28" w:type="dxa"/>
                  </w:tcMar>
                  <w:vAlign w:val="center"/>
                </w:tcPr>
                <w:p>
                  <w:pPr>
                    <w:pStyle w:val="26"/>
                    <w:snapToGrid w:val="0"/>
                    <w:spacing w:before="24" w:after="24" w:line="240" w:lineRule="exact"/>
                    <w:ind w:left="0" w:leftChars="0" w:firstLine="0" w:firstLineChars="0"/>
                    <w:jc w:val="center"/>
                    <w:rPr>
                      <w:rFonts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2</w:t>
                  </w:r>
                </w:p>
              </w:tc>
              <w:tc>
                <w:tcPr>
                  <w:tcW w:w="790" w:type="pct"/>
                  <w:vAlign w:val="center"/>
                </w:tcPr>
                <w:p>
                  <w:pPr>
                    <w:snapToGrid w:val="0"/>
                    <w:spacing w:before="24" w:after="24" w:line="240" w:lineRule="exact"/>
                    <w:ind w:left="0" w:leftChars="0" w:firstLine="0" w:firstLineChars="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5"/>
                  <w:tcMar>
                    <w:top w:w="0" w:type="dxa"/>
                    <w:left w:w="28" w:type="dxa"/>
                    <w:bottom w:w="0" w:type="dxa"/>
                    <w:right w:w="28" w:type="dxa"/>
                  </w:tcMar>
                  <w:vAlign w:val="center"/>
                </w:tcPr>
                <w:p>
                  <w:pPr>
                    <w:pStyle w:val="26"/>
                    <w:snapToGrid w:val="0"/>
                    <w:spacing w:before="24" w:after="24" w:line="240" w:lineRule="exact"/>
                    <w:ind w:left="0" w:leftChars="0" w:firstLine="0" w:firstLineChars="0"/>
                    <w:jc w:val="left"/>
                    <w:rPr>
                      <w:color w:val="auto"/>
                      <w:sz w:val="18"/>
                      <w:szCs w:val="18"/>
                      <w:highlight w:val="none"/>
                    </w:rPr>
                  </w:pPr>
                  <w:r>
                    <w:rPr>
                      <w:color w:val="auto"/>
                      <w:sz w:val="18"/>
                      <w:szCs w:val="18"/>
                      <w:highlight w:val="none"/>
                    </w:rPr>
                    <w:t>备注：辐射设备需要单独进行辐射环评，不在本次环境影响评价范围内。</w:t>
                  </w:r>
                </w:p>
              </w:tc>
            </w:tr>
          </w:tbl>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8、公用工程</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8.1给排水</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（1）给水</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项目用水环节主要为医务人员用水、病房用水、门诊用水、牙椅诊疗用水、</w:t>
            </w:r>
            <w:r>
              <w:rPr>
                <w:rFonts w:hint="eastAsia"/>
                <w:color w:val="auto"/>
                <w:kern w:val="0"/>
                <w:szCs w:val="21"/>
                <w:highlight w:val="none"/>
                <w:lang w:val="en-US" w:eastAsia="zh-CN"/>
              </w:rPr>
              <w:t>手术用水、</w:t>
            </w:r>
            <w:r>
              <w:rPr>
                <w:color w:val="auto"/>
                <w:kern w:val="0"/>
                <w:szCs w:val="21"/>
                <w:highlight w:val="none"/>
              </w:rPr>
              <w:t>洗衣房用水、绿化用水等。</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1）医务人员用水</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医院内医务人员总数约</w:t>
            </w:r>
            <w:r>
              <w:rPr>
                <w:rFonts w:hint="eastAsia"/>
                <w:color w:val="auto"/>
                <w:kern w:val="0"/>
                <w:szCs w:val="21"/>
                <w:highlight w:val="none"/>
                <w:lang w:val="en-US" w:eastAsia="zh-CN"/>
              </w:rPr>
              <w:t>147</w:t>
            </w:r>
            <w:r>
              <w:rPr>
                <w:color w:val="auto"/>
                <w:kern w:val="0"/>
                <w:szCs w:val="21"/>
                <w:highlight w:val="none"/>
              </w:rPr>
              <w:t>人</w:t>
            </w:r>
            <w:r>
              <w:rPr>
                <w:rFonts w:hint="eastAsia"/>
                <w:color w:val="auto"/>
                <w:kern w:val="0"/>
                <w:szCs w:val="21"/>
                <w:highlight w:val="none"/>
              </w:rPr>
              <w:t>，</w:t>
            </w:r>
            <w:r>
              <w:rPr>
                <w:rFonts w:hint="eastAsia"/>
                <w:color w:val="auto"/>
                <w:kern w:val="0"/>
                <w:szCs w:val="21"/>
                <w:highlight w:val="none"/>
                <w:lang w:val="en-US" w:eastAsia="zh-CN"/>
              </w:rPr>
              <w:t>院区内设有宿舍，用于医务人员值班住宿，用水量</w:t>
            </w:r>
            <w:r>
              <w:rPr>
                <w:color w:val="auto"/>
                <w:kern w:val="0"/>
                <w:szCs w:val="21"/>
                <w:highlight w:val="none"/>
              </w:rPr>
              <w:t>参考《建筑给水排水设计标准》（GB50015-2019），医务人员生活用水定额按照</w:t>
            </w:r>
            <w:r>
              <w:rPr>
                <w:rFonts w:hint="eastAsia"/>
                <w:color w:val="auto"/>
                <w:kern w:val="0"/>
                <w:szCs w:val="21"/>
                <w:highlight w:val="none"/>
              </w:rPr>
              <w:t>200</w:t>
            </w:r>
            <w:r>
              <w:rPr>
                <w:color w:val="auto"/>
                <w:kern w:val="0"/>
                <w:szCs w:val="21"/>
                <w:highlight w:val="none"/>
              </w:rPr>
              <w:t>L/人•d计算，则用水量</w:t>
            </w:r>
            <w:r>
              <w:rPr>
                <w:rFonts w:hint="eastAsia"/>
                <w:color w:val="auto"/>
                <w:kern w:val="0"/>
                <w:szCs w:val="21"/>
                <w:highlight w:val="none"/>
                <w:lang w:val="en-US" w:eastAsia="zh-CN"/>
              </w:rPr>
              <w:t>10731</w:t>
            </w:r>
            <w:r>
              <w:rPr>
                <w:color w:val="auto"/>
                <w:kern w:val="0"/>
                <w:szCs w:val="21"/>
                <w:highlight w:val="none"/>
              </w:rPr>
              <w:t>m</w:t>
            </w:r>
            <w:r>
              <w:rPr>
                <w:color w:val="auto"/>
                <w:kern w:val="0"/>
                <w:szCs w:val="21"/>
                <w:highlight w:val="none"/>
                <w:vertAlign w:val="superscript"/>
              </w:rPr>
              <w:t>3</w:t>
            </w:r>
            <w:r>
              <w:rPr>
                <w:color w:val="auto"/>
                <w:kern w:val="0"/>
                <w:szCs w:val="21"/>
                <w:highlight w:val="none"/>
              </w:rPr>
              <w:t>/a</w:t>
            </w:r>
            <w:r>
              <w:rPr>
                <w:rFonts w:hint="eastAsia"/>
                <w:color w:val="auto"/>
                <w:kern w:val="0"/>
                <w:szCs w:val="21"/>
                <w:highlight w:val="none"/>
                <w:lang w:eastAsia="zh-CN"/>
              </w:rPr>
              <w:t>（</w:t>
            </w:r>
            <w:r>
              <w:rPr>
                <w:rFonts w:hint="eastAsia"/>
                <w:color w:val="auto"/>
                <w:kern w:val="0"/>
                <w:szCs w:val="21"/>
                <w:highlight w:val="none"/>
                <w:lang w:val="en-US" w:eastAsia="zh-CN"/>
              </w:rPr>
              <w:t>29.4</w:t>
            </w:r>
            <w:r>
              <w:rPr>
                <w:color w:val="auto"/>
                <w:kern w:val="0"/>
                <w:szCs w:val="21"/>
                <w:highlight w:val="none"/>
              </w:rPr>
              <w:t>m</w:t>
            </w:r>
            <w:r>
              <w:rPr>
                <w:color w:val="auto"/>
                <w:kern w:val="0"/>
                <w:szCs w:val="21"/>
                <w:highlight w:val="none"/>
                <w:vertAlign w:val="superscript"/>
              </w:rPr>
              <w:t>3</w:t>
            </w:r>
            <w:r>
              <w:rPr>
                <w:color w:val="auto"/>
                <w:kern w:val="0"/>
                <w:szCs w:val="21"/>
                <w:highlight w:val="none"/>
              </w:rPr>
              <w:t>/</w:t>
            </w:r>
            <w:r>
              <w:rPr>
                <w:rFonts w:hint="eastAsia"/>
                <w:color w:val="auto"/>
                <w:kern w:val="0"/>
                <w:szCs w:val="21"/>
                <w:highlight w:val="none"/>
                <w:lang w:val="en-US" w:eastAsia="zh-CN"/>
              </w:rPr>
              <w:t>d</w:t>
            </w:r>
            <w:r>
              <w:rPr>
                <w:rFonts w:hint="eastAsia"/>
                <w:color w:val="auto"/>
                <w:kern w:val="0"/>
                <w:szCs w:val="21"/>
                <w:highlight w:val="none"/>
                <w:lang w:eastAsia="zh-CN"/>
              </w:rPr>
              <w:t>）</w:t>
            </w:r>
            <w:r>
              <w:rPr>
                <w:color w:val="auto"/>
                <w:kern w:val="0"/>
                <w:szCs w:val="21"/>
                <w:highlight w:val="none"/>
              </w:rPr>
              <w:t>；</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2）病房用水</w:t>
            </w:r>
          </w:p>
          <w:p>
            <w:pPr>
              <w:pStyle w:val="21"/>
              <w:spacing w:after="0" w:line="360" w:lineRule="auto"/>
              <w:ind w:left="0" w:leftChars="0" w:firstLine="420" w:firstLineChars="200"/>
              <w:rPr>
                <w:color w:val="auto"/>
                <w:sz w:val="21"/>
                <w:szCs w:val="21"/>
                <w:highlight w:val="none"/>
              </w:rPr>
            </w:pPr>
            <w:r>
              <w:rPr>
                <w:color w:val="auto"/>
                <w:sz w:val="21"/>
                <w:szCs w:val="21"/>
                <w:highlight w:val="none"/>
              </w:rPr>
              <w:t>项目病床数量约</w:t>
            </w:r>
            <w:r>
              <w:rPr>
                <w:rFonts w:hint="eastAsia"/>
                <w:color w:val="auto"/>
                <w:sz w:val="21"/>
                <w:szCs w:val="21"/>
                <w:highlight w:val="none"/>
                <w:lang w:val="en-US" w:eastAsia="zh-CN"/>
              </w:rPr>
              <w:t>490</w:t>
            </w:r>
            <w:r>
              <w:rPr>
                <w:color w:val="auto"/>
                <w:sz w:val="21"/>
                <w:szCs w:val="21"/>
                <w:highlight w:val="none"/>
              </w:rPr>
              <w:t>床</w:t>
            </w:r>
            <w:r>
              <w:rPr>
                <w:rFonts w:hint="eastAsia"/>
                <w:color w:val="auto"/>
                <w:sz w:val="21"/>
                <w:szCs w:val="21"/>
                <w:highlight w:val="none"/>
                <w:lang w:eastAsia="zh-CN"/>
              </w:rPr>
              <w:t>（</w:t>
            </w:r>
            <w:r>
              <w:rPr>
                <w:rFonts w:hint="eastAsia"/>
                <w:color w:val="auto"/>
                <w:sz w:val="21"/>
                <w:szCs w:val="21"/>
                <w:highlight w:val="none"/>
                <w:lang w:val="en-US" w:eastAsia="zh-CN"/>
              </w:rPr>
              <w:t>住院床位181个，康养床位309个</w:t>
            </w:r>
            <w:r>
              <w:rPr>
                <w:rFonts w:hint="eastAsia"/>
                <w:color w:val="auto"/>
                <w:sz w:val="21"/>
                <w:szCs w:val="21"/>
                <w:highlight w:val="none"/>
                <w:lang w:eastAsia="zh-CN"/>
              </w:rPr>
              <w:t>）</w:t>
            </w:r>
            <w:r>
              <w:rPr>
                <w:color w:val="auto"/>
                <w:sz w:val="21"/>
                <w:szCs w:val="21"/>
                <w:highlight w:val="none"/>
              </w:rPr>
              <w:t>，根据《综合医院建筑设计规范》（GB51039-2014），病房用水量为250L-400L/床·d</w:t>
            </w:r>
            <w:r>
              <w:rPr>
                <w:rFonts w:hint="eastAsia"/>
                <w:color w:val="auto"/>
                <w:sz w:val="21"/>
                <w:szCs w:val="21"/>
                <w:highlight w:val="none"/>
              </w:rPr>
              <w:t>，</w:t>
            </w:r>
            <w:r>
              <w:rPr>
                <w:rFonts w:hint="eastAsia"/>
                <w:color w:val="auto"/>
                <w:sz w:val="21"/>
                <w:szCs w:val="21"/>
                <w:highlight w:val="none"/>
                <w:lang w:val="en-US" w:eastAsia="zh-CN"/>
              </w:rPr>
              <w:t>病房用水量较少，本项目住院及康养病房用水定额均按250L/床·d，计算</w:t>
            </w:r>
            <w:r>
              <w:rPr>
                <w:rFonts w:hint="eastAsia"/>
                <w:color w:val="auto"/>
                <w:sz w:val="21"/>
                <w:szCs w:val="21"/>
                <w:highlight w:val="none"/>
              </w:rPr>
              <w:t>病房用水量</w:t>
            </w:r>
            <w:r>
              <w:rPr>
                <w:rFonts w:hint="eastAsia"/>
                <w:color w:val="auto"/>
                <w:sz w:val="21"/>
                <w:szCs w:val="21"/>
                <w:highlight w:val="none"/>
                <w:lang w:val="en-US" w:eastAsia="zh-CN"/>
              </w:rPr>
              <w:t>为44712.2</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r>
              <w:rPr>
                <w:rFonts w:hint="eastAsia"/>
                <w:color w:val="auto"/>
                <w:sz w:val="21"/>
                <w:szCs w:val="21"/>
                <w:highlight w:val="none"/>
                <w:lang w:eastAsia="zh-CN"/>
              </w:rPr>
              <w:t>（</w:t>
            </w:r>
            <w:r>
              <w:rPr>
                <w:rFonts w:hint="eastAsia"/>
                <w:color w:val="auto"/>
                <w:sz w:val="21"/>
                <w:szCs w:val="21"/>
                <w:highlight w:val="none"/>
                <w:lang w:val="en-US" w:eastAsia="zh-CN"/>
              </w:rPr>
              <w:t>122.5m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/d</w:t>
            </w:r>
            <w:r>
              <w:rPr>
                <w:rFonts w:hint="eastAsia"/>
                <w:color w:val="auto"/>
                <w:sz w:val="21"/>
                <w:szCs w:val="21"/>
                <w:highlight w:val="none"/>
                <w:lang w:eastAsia="zh-CN"/>
              </w:rPr>
              <w:t>），</w:t>
            </w:r>
            <w:r>
              <w:rPr>
                <w:rFonts w:hint="eastAsia"/>
                <w:color w:val="auto"/>
                <w:sz w:val="21"/>
                <w:szCs w:val="21"/>
                <w:highlight w:val="none"/>
                <w:lang w:val="en-US" w:eastAsia="zh-CN"/>
              </w:rPr>
              <w:t>包含住院病房用水16516.25</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r>
              <w:rPr>
                <w:rFonts w:hint="eastAsia"/>
                <w:color w:val="auto"/>
                <w:sz w:val="21"/>
                <w:szCs w:val="21"/>
                <w:highlight w:val="none"/>
                <w:lang w:eastAsia="zh-CN"/>
              </w:rPr>
              <w:t>（</w:t>
            </w:r>
            <w:r>
              <w:rPr>
                <w:rFonts w:hint="eastAsia"/>
                <w:color w:val="auto"/>
                <w:sz w:val="21"/>
                <w:szCs w:val="21"/>
                <w:highlight w:val="none"/>
                <w:lang w:val="en-US" w:eastAsia="zh-CN"/>
              </w:rPr>
              <w:t>45.25m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/d</w:t>
            </w:r>
            <w:r>
              <w:rPr>
                <w:rFonts w:hint="eastAsia"/>
                <w:color w:val="auto"/>
                <w:sz w:val="21"/>
                <w:szCs w:val="21"/>
                <w:highlight w:val="none"/>
                <w:lang w:eastAsia="zh-CN"/>
              </w:rPr>
              <w:t>）</w:t>
            </w:r>
            <w:r>
              <w:rPr>
                <w:rFonts w:hint="eastAsia"/>
                <w:color w:val="auto"/>
                <w:sz w:val="21"/>
                <w:szCs w:val="21"/>
                <w:highlight w:val="none"/>
                <w:lang w:val="en-US" w:eastAsia="zh-CN"/>
              </w:rPr>
              <w:t>，康养病房用水28196.25</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r>
              <w:rPr>
                <w:rFonts w:hint="eastAsia"/>
                <w:color w:val="auto"/>
                <w:sz w:val="21"/>
                <w:szCs w:val="21"/>
                <w:highlight w:val="none"/>
                <w:lang w:eastAsia="zh-CN"/>
              </w:rPr>
              <w:t>（</w:t>
            </w:r>
            <w:r>
              <w:rPr>
                <w:rFonts w:hint="eastAsia"/>
                <w:color w:val="auto"/>
                <w:sz w:val="21"/>
                <w:szCs w:val="21"/>
                <w:highlight w:val="none"/>
                <w:lang w:val="en-US" w:eastAsia="zh-CN"/>
              </w:rPr>
              <w:t>77.25m</w:t>
            </w:r>
            <w:r>
              <w:rPr>
                <w:rFonts w:hint="eastAsia"/>
                <w:color w:val="auto"/>
                <w:sz w:val="21"/>
                <w:szCs w:val="21"/>
                <w:highlight w:val="none"/>
                <w:vertAlign w:val="superscript"/>
                <w:lang w:val="en-US" w:eastAsia="zh-CN"/>
              </w:rPr>
              <w:t>3</w:t>
            </w:r>
            <w:r>
              <w:rPr>
                <w:rFonts w:hint="eastAsia"/>
                <w:color w:val="auto"/>
                <w:sz w:val="21"/>
                <w:szCs w:val="21"/>
                <w:highlight w:val="none"/>
                <w:lang w:val="en-US" w:eastAsia="zh-CN"/>
              </w:rPr>
              <w:t>/d</w:t>
            </w:r>
            <w:r>
              <w:rPr>
                <w:rFonts w:hint="eastAsia"/>
                <w:color w:val="auto"/>
                <w:sz w:val="21"/>
                <w:szCs w:val="21"/>
                <w:highlight w:val="none"/>
                <w:lang w:eastAsia="zh-CN"/>
              </w:rPr>
              <w:t>）</w:t>
            </w:r>
            <w:r>
              <w:rPr>
                <w:color w:val="auto"/>
                <w:sz w:val="21"/>
                <w:szCs w:val="21"/>
                <w:highlight w:val="none"/>
              </w:rPr>
              <w:t>；</w:t>
            </w:r>
          </w:p>
          <w:p>
            <w:pPr>
              <w:pStyle w:val="21"/>
              <w:spacing w:after="0" w:line="360" w:lineRule="auto"/>
              <w:ind w:left="0" w:leftChars="0" w:firstLine="420" w:firstLineChars="200"/>
              <w:rPr>
                <w:color w:val="auto"/>
                <w:sz w:val="21"/>
                <w:szCs w:val="21"/>
                <w:highlight w:val="none"/>
              </w:rPr>
            </w:pPr>
            <w:r>
              <w:rPr>
                <w:color w:val="auto"/>
                <w:sz w:val="21"/>
                <w:szCs w:val="21"/>
                <w:highlight w:val="none"/>
              </w:rPr>
              <w:t>3）门诊用水</w:t>
            </w:r>
          </w:p>
          <w:p>
            <w:pPr>
              <w:pStyle w:val="59"/>
              <w:spacing w:line="360" w:lineRule="auto"/>
              <w:ind w:firstLine="420" w:firstLineChars="200"/>
              <w:jc w:val="both"/>
              <w:rPr>
                <w:rFonts w:ascii="Times New Roman" w:cs="Times New Roman"/>
                <w:color w:val="auto"/>
                <w:sz w:val="21"/>
                <w:szCs w:val="21"/>
                <w:highlight w:val="none"/>
              </w:rPr>
            </w:pPr>
            <w:r>
              <w:rPr>
                <w:rFonts w:ascii="Times New Roman" w:cs="Times New Roman"/>
                <w:color w:val="auto"/>
                <w:sz w:val="21"/>
                <w:szCs w:val="21"/>
                <w:highlight w:val="none"/>
              </w:rPr>
              <w:t>门诊病人的就诊量约</w:t>
            </w:r>
            <w:r>
              <w:rPr>
                <w:rFonts w:hint="eastAsia" w:ascii="Times New Roman" w:cs="Times New Roman"/>
                <w:color w:val="auto"/>
                <w:sz w:val="21"/>
                <w:szCs w:val="21"/>
                <w:highlight w:val="none"/>
                <w:lang w:val="en-US" w:eastAsia="zh-CN"/>
              </w:rPr>
              <w:t>12</w:t>
            </w:r>
            <w:r>
              <w:rPr>
                <w:rFonts w:ascii="Times New Roman" w:cs="Times New Roman"/>
                <w:color w:val="auto"/>
                <w:sz w:val="21"/>
                <w:szCs w:val="21"/>
                <w:highlight w:val="none"/>
              </w:rPr>
              <w:t>00人次/d，参考《综合医院建筑设计规范》（GB51039-2014）</w:t>
            </w:r>
            <w:r>
              <w:rPr>
                <w:rFonts w:ascii="Times New Roman" w:cs="Times New Roman"/>
                <w:bCs/>
                <w:color w:val="auto"/>
                <w:sz w:val="21"/>
                <w:szCs w:val="21"/>
                <w:highlight w:val="none"/>
              </w:rPr>
              <w:t>，</w:t>
            </w:r>
            <w:r>
              <w:rPr>
                <w:rFonts w:ascii="Times New Roman" w:cs="Times New Roman"/>
                <w:color w:val="auto"/>
                <w:sz w:val="21"/>
                <w:szCs w:val="21"/>
                <w:highlight w:val="none"/>
              </w:rPr>
              <w:t>门诊病人用水定额按照每人10L/人次计算，用水量为</w:t>
            </w:r>
            <w:r>
              <w:rPr>
                <w:rFonts w:hint="eastAsia" w:ascii="Times New Roman" w:cs="Times New Roman"/>
                <w:color w:val="auto"/>
                <w:sz w:val="21"/>
                <w:szCs w:val="21"/>
                <w:highlight w:val="none"/>
                <w:lang w:val="en-US" w:eastAsia="zh-CN"/>
              </w:rPr>
              <w:t>4380</w:t>
            </w:r>
            <w:r>
              <w:rPr>
                <w:rFonts w:ascii="Times New Roman" w:cs="Times New Roman"/>
                <w:color w:val="auto"/>
                <w:sz w:val="21"/>
                <w:szCs w:val="21"/>
                <w:highlight w:val="none"/>
              </w:rPr>
              <w:t>m</w:t>
            </w:r>
            <w:r>
              <w:rPr>
                <w:rFonts w:ascii="Times New Roman" w:cs="Times New Roman"/>
                <w:color w:val="auto"/>
                <w:sz w:val="21"/>
                <w:szCs w:val="21"/>
                <w:highlight w:val="none"/>
                <w:vertAlign w:val="superscript"/>
              </w:rPr>
              <w:t>3</w:t>
            </w:r>
            <w:r>
              <w:rPr>
                <w:rFonts w:ascii="Times New Roman" w:cs="Times New Roman"/>
                <w:color w:val="auto"/>
                <w:sz w:val="21"/>
                <w:szCs w:val="21"/>
                <w:highlight w:val="none"/>
              </w:rPr>
              <w:t>/a</w:t>
            </w:r>
            <w:r>
              <w:rPr>
                <w:rFonts w:hint="eastAsia" w:ascii="Times New Roman" w:cs="Times New Roman"/>
                <w:color w:val="auto"/>
                <w:sz w:val="21"/>
                <w:szCs w:val="21"/>
                <w:highlight w:val="none"/>
                <w:lang w:eastAsia="zh-CN"/>
              </w:rPr>
              <w:t>（</w:t>
            </w:r>
            <w:r>
              <w:rPr>
                <w:rFonts w:hint="eastAsia" w:ascii="Times New Roman" w:cs="Times New Roman"/>
                <w:color w:val="auto"/>
                <w:sz w:val="21"/>
                <w:szCs w:val="21"/>
                <w:highlight w:val="none"/>
                <w:lang w:val="en-US" w:eastAsia="zh-CN"/>
              </w:rPr>
              <w:t>12m</w:t>
            </w:r>
            <w:r>
              <w:rPr>
                <w:rFonts w:hint="eastAsia" w:ascii="Times New Roman" w:cs="Times New Roman"/>
                <w:color w:val="auto"/>
                <w:sz w:val="21"/>
                <w:szCs w:val="21"/>
                <w:highlight w:val="none"/>
                <w:vertAlign w:val="superscript"/>
                <w:lang w:val="en-US" w:eastAsia="zh-CN"/>
              </w:rPr>
              <w:t>3</w:t>
            </w:r>
            <w:r>
              <w:rPr>
                <w:rFonts w:hint="eastAsia" w:ascii="Times New Roman" w:cs="Times New Roman"/>
                <w:color w:val="auto"/>
                <w:sz w:val="21"/>
                <w:szCs w:val="21"/>
                <w:highlight w:val="none"/>
                <w:lang w:val="en-US" w:eastAsia="zh-CN"/>
              </w:rPr>
              <w:t>/d</w:t>
            </w:r>
            <w:r>
              <w:rPr>
                <w:rFonts w:hint="eastAsia" w:ascii="Times New Roman" w:cs="Times New Roman"/>
                <w:color w:val="auto"/>
                <w:sz w:val="21"/>
                <w:szCs w:val="21"/>
                <w:highlight w:val="none"/>
                <w:lang w:eastAsia="zh-CN"/>
              </w:rPr>
              <w:t>）</w:t>
            </w:r>
            <w:r>
              <w:rPr>
                <w:rFonts w:ascii="Times New Roman" w:cs="Times New Roman"/>
                <w:color w:val="auto"/>
                <w:sz w:val="21"/>
                <w:szCs w:val="21"/>
                <w:highlight w:val="none"/>
              </w:rPr>
              <w:t>；</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4）</w:t>
            </w:r>
            <w:r>
              <w:rPr>
                <w:rFonts w:hint="eastAsia"/>
                <w:color w:val="auto"/>
                <w:kern w:val="0"/>
                <w:szCs w:val="21"/>
                <w:highlight w:val="none"/>
                <w:lang w:val="en-US" w:eastAsia="zh-CN"/>
              </w:rPr>
              <w:t>纯水制备用水</w:t>
            </w:r>
          </w:p>
          <w:p>
            <w:pPr>
              <w:autoSpaceDE w:val="0"/>
              <w:autoSpaceDN w:val="0"/>
              <w:adjustRightInd w:val="0"/>
              <w:snapToGrid w:val="0"/>
              <w:spacing w:line="360" w:lineRule="auto"/>
              <w:ind w:firstLine="420" w:firstLineChars="200"/>
              <w:jc w:val="left"/>
              <w:rPr>
                <w:color w:val="auto"/>
                <w:sz w:val="21"/>
                <w:szCs w:val="21"/>
                <w:highlight w:val="none"/>
              </w:rPr>
            </w:pPr>
            <w:r>
              <w:rPr>
                <w:rFonts w:hint="eastAsia"/>
                <w:color w:val="auto"/>
                <w:sz w:val="21"/>
                <w:szCs w:val="21"/>
                <w:highlight w:val="none"/>
                <w:lang w:val="en-US" w:eastAsia="zh-CN"/>
              </w:rPr>
              <w:t>本项目</w:t>
            </w:r>
            <w:r>
              <w:rPr>
                <w:color w:val="auto"/>
                <w:kern w:val="0"/>
                <w:szCs w:val="21"/>
                <w:highlight w:val="none"/>
              </w:rPr>
              <w:t>牙椅诊疗用水</w:t>
            </w:r>
            <w:r>
              <w:rPr>
                <w:rFonts w:hint="eastAsia"/>
                <w:color w:val="auto"/>
                <w:kern w:val="0"/>
                <w:szCs w:val="21"/>
                <w:highlight w:val="none"/>
                <w:lang w:val="en-US" w:eastAsia="zh-CN"/>
              </w:rPr>
              <w:t>需使用纯水，</w:t>
            </w:r>
            <w:r>
              <w:rPr>
                <w:rFonts w:hint="eastAsia"/>
                <w:color w:val="auto"/>
                <w:sz w:val="21"/>
                <w:szCs w:val="21"/>
                <w:highlight w:val="none"/>
                <w:lang w:val="en-US" w:eastAsia="zh-CN"/>
              </w:rPr>
              <w:t>通过纯水机制备取得，</w:t>
            </w:r>
            <w:r>
              <w:rPr>
                <w:rFonts w:hint="eastAsia"/>
                <w:color w:val="auto"/>
                <w:kern w:val="0"/>
                <w:szCs w:val="21"/>
                <w:highlight w:val="none"/>
                <w:lang w:val="en-US" w:eastAsia="zh-CN"/>
              </w:rPr>
              <w:t>项目设置一台纯水机（离子交换）用于纯水制备，院区</w:t>
            </w:r>
            <w:r>
              <w:rPr>
                <w:color w:val="auto"/>
                <w:sz w:val="21"/>
                <w:szCs w:val="21"/>
                <w:highlight w:val="none"/>
              </w:rPr>
              <w:t>牙椅数量</w:t>
            </w:r>
            <w:r>
              <w:rPr>
                <w:rFonts w:hint="eastAsia"/>
                <w:color w:val="auto"/>
                <w:sz w:val="21"/>
                <w:szCs w:val="21"/>
                <w:highlight w:val="none"/>
                <w:lang w:val="en-US" w:eastAsia="zh-CN"/>
              </w:rPr>
              <w:t>200</w:t>
            </w:r>
            <w:r>
              <w:rPr>
                <w:color w:val="auto"/>
                <w:sz w:val="21"/>
                <w:szCs w:val="21"/>
                <w:highlight w:val="none"/>
              </w:rPr>
              <w:t>把，牙椅诊疗用水量按100L/把•d计算，即</w:t>
            </w:r>
            <w:r>
              <w:rPr>
                <w:rFonts w:hint="eastAsia"/>
                <w:color w:val="auto"/>
                <w:sz w:val="21"/>
                <w:szCs w:val="21"/>
                <w:highlight w:val="none"/>
                <w:lang w:val="en-US" w:eastAsia="zh-CN"/>
              </w:rPr>
              <w:t>7300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r>
              <w:rPr>
                <w:rFonts w:hint="eastAsia"/>
                <w:color w:val="auto"/>
                <w:sz w:val="21"/>
                <w:szCs w:val="21"/>
                <w:highlight w:val="none"/>
                <w:lang w:eastAsia="zh-CN"/>
              </w:rPr>
              <w:t>（</w:t>
            </w:r>
            <w:r>
              <w:rPr>
                <w:rFonts w:hint="eastAsia"/>
                <w:color w:val="auto"/>
                <w:sz w:val="21"/>
                <w:szCs w:val="21"/>
                <w:highlight w:val="none"/>
                <w:lang w:val="en-US" w:eastAsia="zh-CN"/>
              </w:rPr>
              <w:t>20</w:t>
            </w:r>
            <w:r>
              <w:rPr>
                <w:rFonts w:hint="eastAsia" w:ascii="Times New Roman" w:cs="Times New Roman"/>
                <w:color w:val="auto"/>
                <w:sz w:val="21"/>
                <w:szCs w:val="21"/>
                <w:highlight w:val="none"/>
                <w:lang w:val="en-US" w:eastAsia="zh-CN"/>
              </w:rPr>
              <w:t>m</w:t>
            </w:r>
            <w:r>
              <w:rPr>
                <w:rFonts w:hint="eastAsia" w:ascii="Times New Roman" w:cs="Times New Roman"/>
                <w:color w:val="auto"/>
                <w:sz w:val="21"/>
                <w:szCs w:val="21"/>
                <w:highlight w:val="none"/>
                <w:vertAlign w:val="superscript"/>
                <w:lang w:val="en-US" w:eastAsia="zh-CN"/>
              </w:rPr>
              <w:t>3</w:t>
            </w:r>
            <w:r>
              <w:rPr>
                <w:rFonts w:hint="eastAsia" w:ascii="Times New Roman" w:cs="Times New Roman"/>
                <w:color w:val="auto"/>
                <w:sz w:val="21"/>
                <w:szCs w:val="21"/>
                <w:highlight w:val="none"/>
                <w:lang w:val="en-US" w:eastAsia="zh-CN"/>
              </w:rPr>
              <w:t>/d</w:t>
            </w:r>
            <w:r>
              <w:rPr>
                <w:rFonts w:hint="eastAsia"/>
                <w:color w:val="auto"/>
                <w:sz w:val="21"/>
                <w:szCs w:val="21"/>
                <w:highlight w:val="none"/>
                <w:lang w:eastAsia="zh-CN"/>
              </w:rPr>
              <w:t>）</w:t>
            </w:r>
            <w:r>
              <w:rPr>
                <w:rFonts w:hint="eastAsia"/>
                <w:color w:val="auto"/>
                <w:kern w:val="0"/>
                <w:szCs w:val="21"/>
                <w:highlight w:val="none"/>
                <w:lang w:val="en-US" w:eastAsia="zh-CN"/>
              </w:rPr>
              <w:t>，纯水机制备效率为80%，则需要新鲜水9125m</w:t>
            </w:r>
            <w:r>
              <w:rPr>
                <w:rFonts w:hint="eastAsia"/>
                <w:color w:val="auto"/>
                <w:kern w:val="0"/>
                <w:szCs w:val="21"/>
                <w:highlight w:val="none"/>
                <w:vertAlign w:val="superscript"/>
                <w:lang w:val="en-US" w:eastAsia="zh-CN"/>
              </w:rPr>
              <w:t>3</w:t>
            </w:r>
            <w:r>
              <w:rPr>
                <w:rFonts w:hint="eastAsia"/>
                <w:color w:val="auto"/>
                <w:kern w:val="0"/>
                <w:szCs w:val="21"/>
                <w:highlight w:val="none"/>
                <w:lang w:val="en-US" w:eastAsia="zh-CN"/>
              </w:rPr>
              <w:t>/a（25</w:t>
            </w:r>
            <w:r>
              <w:rPr>
                <w:rFonts w:hint="eastAsia" w:ascii="Times New Roman" w:cs="Times New Roman"/>
                <w:color w:val="auto"/>
                <w:sz w:val="21"/>
                <w:szCs w:val="21"/>
                <w:highlight w:val="none"/>
                <w:lang w:val="en-US" w:eastAsia="zh-CN"/>
              </w:rPr>
              <w:t>m</w:t>
            </w:r>
            <w:r>
              <w:rPr>
                <w:rFonts w:hint="eastAsia" w:ascii="Times New Roman" w:cs="Times New Roman"/>
                <w:color w:val="auto"/>
                <w:sz w:val="21"/>
                <w:szCs w:val="21"/>
                <w:highlight w:val="none"/>
                <w:vertAlign w:val="superscript"/>
                <w:lang w:val="en-US" w:eastAsia="zh-CN"/>
              </w:rPr>
              <w:t>3</w:t>
            </w:r>
            <w:r>
              <w:rPr>
                <w:rFonts w:hint="eastAsia" w:ascii="Times New Roman" w:cs="Times New Roman"/>
                <w:color w:val="auto"/>
                <w:sz w:val="21"/>
                <w:szCs w:val="21"/>
                <w:highlight w:val="none"/>
                <w:lang w:val="en-US" w:eastAsia="zh-CN"/>
              </w:rPr>
              <w:t>/d</w:t>
            </w:r>
            <w:r>
              <w:rPr>
                <w:rFonts w:hint="eastAsia"/>
                <w:color w:val="auto"/>
                <w:kern w:val="0"/>
                <w:szCs w:val="21"/>
                <w:highlight w:val="none"/>
                <w:lang w:val="en-US" w:eastAsia="zh-CN"/>
              </w:rPr>
              <w:t>）</w:t>
            </w:r>
            <w:r>
              <w:rPr>
                <w:color w:val="auto"/>
                <w:sz w:val="21"/>
                <w:szCs w:val="21"/>
                <w:highlight w:val="none"/>
              </w:rPr>
              <w:t>；</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5）洗衣房用水</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医院定期更换的床单、被罩、病号服、医务人员无尘服等均外委清洗，不在本项目洗衣房内清洗；医院洗衣房设有</w:t>
            </w:r>
            <w:r>
              <w:rPr>
                <w:rFonts w:hint="eastAsia"/>
                <w:color w:val="auto"/>
                <w:kern w:val="0"/>
                <w:szCs w:val="21"/>
                <w:highlight w:val="none"/>
                <w:lang w:val="en-US" w:eastAsia="zh-CN"/>
              </w:rPr>
              <w:t>2</w:t>
            </w:r>
            <w:r>
              <w:rPr>
                <w:color w:val="auto"/>
                <w:kern w:val="0"/>
                <w:szCs w:val="21"/>
                <w:highlight w:val="none"/>
              </w:rPr>
              <w:t>台洗衣机，清洗能力较小，只为方便值班医护人员的日常衣物换洗，每日清洗量约为</w:t>
            </w:r>
            <w:r>
              <w:rPr>
                <w:rFonts w:hint="eastAsia"/>
                <w:color w:val="auto"/>
                <w:kern w:val="0"/>
                <w:szCs w:val="21"/>
                <w:highlight w:val="none"/>
                <w:lang w:val="en-US" w:eastAsia="zh-CN"/>
              </w:rPr>
              <w:t>20</w:t>
            </w:r>
            <w:r>
              <w:rPr>
                <w:color w:val="auto"/>
                <w:kern w:val="0"/>
                <w:szCs w:val="21"/>
                <w:highlight w:val="none"/>
              </w:rPr>
              <w:t>kg干衣物，参考《建筑给水排水设计标准》（GB50015-2019），洗衣房用水量取80L/kg干衣，则项目洗衣房用水量为</w:t>
            </w:r>
            <w:r>
              <w:rPr>
                <w:rFonts w:hint="eastAsia"/>
                <w:color w:val="auto"/>
                <w:kern w:val="0"/>
                <w:szCs w:val="21"/>
                <w:highlight w:val="none"/>
                <w:lang w:val="en-US" w:eastAsia="zh-CN"/>
              </w:rPr>
              <w:t>1.6</w:t>
            </w:r>
            <w:r>
              <w:rPr>
                <w:color w:val="auto"/>
                <w:szCs w:val="21"/>
                <w:highlight w:val="none"/>
              </w:rPr>
              <w:t xml:space="preserve"> m</w:t>
            </w:r>
            <w:r>
              <w:rPr>
                <w:color w:val="auto"/>
                <w:szCs w:val="21"/>
                <w:highlight w:val="none"/>
                <w:vertAlign w:val="superscript"/>
              </w:rPr>
              <w:t>3</w:t>
            </w:r>
            <w:r>
              <w:rPr>
                <w:color w:val="auto"/>
                <w:szCs w:val="21"/>
                <w:highlight w:val="none"/>
              </w:rPr>
              <w:t>/d，即</w:t>
            </w:r>
            <w:r>
              <w:rPr>
                <w:rFonts w:hint="eastAsia"/>
                <w:color w:val="auto"/>
                <w:szCs w:val="21"/>
                <w:highlight w:val="none"/>
                <w:lang w:val="en-US" w:eastAsia="zh-CN"/>
              </w:rPr>
              <w:t>584</w:t>
            </w:r>
            <w:r>
              <w:rPr>
                <w:color w:val="auto"/>
                <w:szCs w:val="21"/>
                <w:highlight w:val="none"/>
              </w:rPr>
              <w:t>m</w:t>
            </w:r>
            <w:r>
              <w:rPr>
                <w:color w:val="auto"/>
                <w:szCs w:val="21"/>
                <w:highlight w:val="none"/>
                <w:vertAlign w:val="superscript"/>
              </w:rPr>
              <w:t>3</w:t>
            </w:r>
            <w:r>
              <w:rPr>
                <w:color w:val="auto"/>
                <w:szCs w:val="21"/>
                <w:highlight w:val="none"/>
              </w:rPr>
              <w:t>/a。</w:t>
            </w:r>
          </w:p>
          <w:p>
            <w:pPr>
              <w:autoSpaceDE w:val="0"/>
              <w:autoSpaceDN w:val="0"/>
              <w:adjustRightInd w:val="0"/>
              <w:snapToGrid w:val="0"/>
              <w:spacing w:line="360" w:lineRule="auto"/>
              <w:ind w:firstLine="420" w:firstLineChars="200"/>
              <w:jc w:val="left"/>
              <w:rPr>
                <w:rFonts w:hint="default" w:eastAsia="宋体"/>
                <w:color w:val="auto"/>
                <w:kern w:val="0"/>
                <w:szCs w:val="21"/>
                <w:highlight w:val="none"/>
                <w:lang w:val="en-US" w:eastAsia="zh-CN"/>
              </w:rPr>
            </w:pPr>
            <w:r>
              <w:rPr>
                <w:color w:val="auto"/>
                <w:kern w:val="0"/>
                <w:szCs w:val="21"/>
                <w:highlight w:val="none"/>
              </w:rPr>
              <w:t>6）</w:t>
            </w:r>
            <w:r>
              <w:rPr>
                <w:rFonts w:hint="eastAsia"/>
                <w:color w:val="auto"/>
                <w:kern w:val="0"/>
                <w:szCs w:val="21"/>
                <w:highlight w:val="none"/>
                <w:lang w:val="en-US" w:eastAsia="zh-CN"/>
              </w:rPr>
              <w:t>手术用水</w:t>
            </w:r>
          </w:p>
          <w:p>
            <w:pPr>
              <w:pStyle w:val="59"/>
              <w:spacing w:line="360" w:lineRule="auto"/>
              <w:ind w:firstLine="420" w:firstLineChars="200"/>
              <w:jc w:val="both"/>
              <w:rPr>
                <w:rFonts w:ascii="Times New Roman" w:cs="Times New Roman"/>
                <w:color w:val="auto"/>
                <w:sz w:val="21"/>
                <w:szCs w:val="21"/>
                <w:highlight w:val="none"/>
              </w:rPr>
            </w:pPr>
            <w:r>
              <w:rPr>
                <w:rFonts w:hint="eastAsia" w:ascii="Times New Roman" w:cs="Times New Roman"/>
                <w:color w:val="auto"/>
                <w:sz w:val="21"/>
                <w:szCs w:val="21"/>
                <w:highlight w:val="none"/>
                <w:lang w:val="en-US" w:eastAsia="zh-CN"/>
              </w:rPr>
              <w:t>项目手术室主要进行口腔种植、口腔正畸、口腔修复等口腔类专科手术，用水量较少，手术用水量约为3m</w:t>
            </w:r>
            <w:r>
              <w:rPr>
                <w:rFonts w:hint="eastAsia" w:ascii="Times New Roman" w:cs="Times New Roman"/>
                <w:color w:val="auto"/>
                <w:sz w:val="21"/>
                <w:szCs w:val="21"/>
                <w:highlight w:val="none"/>
                <w:vertAlign w:val="superscript"/>
                <w:lang w:val="en-US" w:eastAsia="zh-CN"/>
              </w:rPr>
              <w:t>3</w:t>
            </w:r>
            <w:r>
              <w:rPr>
                <w:rFonts w:hint="eastAsia" w:ascii="Times New Roman" w:cs="Times New Roman"/>
                <w:color w:val="auto"/>
                <w:sz w:val="21"/>
                <w:szCs w:val="21"/>
                <w:highlight w:val="none"/>
                <w:lang w:val="en-US" w:eastAsia="zh-CN"/>
              </w:rPr>
              <w:t>/d</w:t>
            </w:r>
            <w:r>
              <w:rPr>
                <w:rFonts w:ascii="Times New Roman" w:cs="Times New Roman"/>
                <w:color w:val="auto"/>
                <w:sz w:val="21"/>
                <w:szCs w:val="21"/>
                <w:highlight w:val="none"/>
              </w:rPr>
              <w:t>，用水量为</w:t>
            </w:r>
            <w:r>
              <w:rPr>
                <w:rFonts w:hint="eastAsia" w:ascii="Times New Roman" w:cs="Times New Roman"/>
                <w:color w:val="auto"/>
                <w:sz w:val="21"/>
                <w:szCs w:val="21"/>
                <w:highlight w:val="none"/>
                <w:lang w:val="en-US" w:eastAsia="zh-CN"/>
              </w:rPr>
              <w:t>1095</w:t>
            </w:r>
            <w:r>
              <w:rPr>
                <w:rFonts w:ascii="Times New Roman" w:cs="Times New Roman"/>
                <w:color w:val="auto"/>
                <w:sz w:val="21"/>
                <w:szCs w:val="21"/>
                <w:highlight w:val="none"/>
              </w:rPr>
              <w:t>m</w:t>
            </w:r>
            <w:r>
              <w:rPr>
                <w:rFonts w:ascii="Times New Roman" w:cs="Times New Roman"/>
                <w:color w:val="auto"/>
                <w:sz w:val="21"/>
                <w:szCs w:val="21"/>
                <w:highlight w:val="none"/>
                <w:vertAlign w:val="superscript"/>
              </w:rPr>
              <w:t>3</w:t>
            </w:r>
            <w:r>
              <w:rPr>
                <w:rFonts w:ascii="Times New Roman" w:cs="Times New Roman"/>
                <w:color w:val="auto"/>
                <w:sz w:val="21"/>
                <w:szCs w:val="21"/>
                <w:highlight w:val="none"/>
              </w:rPr>
              <w:t>/a；</w:t>
            </w:r>
          </w:p>
          <w:p>
            <w:pPr>
              <w:autoSpaceDE w:val="0"/>
              <w:autoSpaceDN w:val="0"/>
              <w:adjustRightInd w:val="0"/>
              <w:snapToGrid w:val="0"/>
              <w:spacing w:line="360" w:lineRule="auto"/>
              <w:ind w:firstLine="420" w:firstLineChars="200"/>
              <w:jc w:val="left"/>
              <w:rPr>
                <w:rFonts w:hint="default"/>
                <w:color w:val="auto"/>
                <w:kern w:val="0"/>
                <w:szCs w:val="21"/>
                <w:highlight w:val="none"/>
                <w:lang w:val="en-US" w:eastAsia="zh-CN"/>
              </w:rPr>
            </w:pPr>
            <w:r>
              <w:rPr>
                <w:rFonts w:hint="eastAsia"/>
                <w:color w:val="auto"/>
                <w:kern w:val="0"/>
                <w:szCs w:val="21"/>
                <w:highlight w:val="none"/>
                <w:lang w:val="en-US" w:eastAsia="zh-CN"/>
              </w:rPr>
              <w:t>7）消毒用水</w:t>
            </w:r>
          </w:p>
          <w:p>
            <w:pPr>
              <w:autoSpaceDE w:val="0"/>
              <w:autoSpaceDN w:val="0"/>
              <w:adjustRightInd w:val="0"/>
              <w:snapToGrid w:val="0"/>
              <w:spacing w:line="360" w:lineRule="auto"/>
              <w:ind w:firstLine="420" w:firstLineChars="200"/>
              <w:jc w:val="left"/>
              <w:rPr>
                <w:rFonts w:hint="default"/>
                <w:color w:val="auto"/>
                <w:kern w:val="0"/>
                <w:szCs w:val="21"/>
                <w:highlight w:val="none"/>
                <w:lang w:val="en-US" w:eastAsia="zh-CN"/>
              </w:rPr>
            </w:pPr>
            <w:r>
              <w:rPr>
                <w:rFonts w:hint="eastAsia"/>
                <w:color w:val="auto"/>
                <w:kern w:val="0"/>
                <w:szCs w:val="21"/>
                <w:highlight w:val="none"/>
              </w:rPr>
              <w:t>医院每天定期对病房及主要通道进行清洁消毒，主要使用84消毒液、75%酒精进行消毒</w:t>
            </w:r>
            <w:r>
              <w:rPr>
                <w:color w:val="auto"/>
                <w:kern w:val="0"/>
                <w:szCs w:val="21"/>
                <w:highlight w:val="none"/>
              </w:rPr>
              <w:t>，其中</w:t>
            </w:r>
            <w:r>
              <w:rPr>
                <w:rFonts w:hint="eastAsia"/>
                <w:color w:val="auto"/>
                <w:kern w:val="0"/>
                <w:szCs w:val="21"/>
                <w:highlight w:val="none"/>
              </w:rPr>
              <w:t>75%酒精消毒为直喷式消毒方式，不需要水配置消毒液；84消毒液</w:t>
            </w:r>
            <w:r>
              <w:rPr>
                <w:color w:val="auto"/>
                <w:kern w:val="0"/>
                <w:szCs w:val="21"/>
                <w:highlight w:val="none"/>
              </w:rPr>
              <w:t>消毒分为喷雾</w:t>
            </w:r>
            <w:r>
              <w:rPr>
                <w:rFonts w:hint="eastAsia"/>
                <w:color w:val="auto"/>
                <w:kern w:val="0"/>
                <w:szCs w:val="21"/>
                <w:highlight w:val="none"/>
              </w:rPr>
              <w:t>、</w:t>
            </w:r>
            <w:r>
              <w:rPr>
                <w:color w:val="auto"/>
                <w:kern w:val="0"/>
                <w:szCs w:val="21"/>
                <w:highlight w:val="none"/>
              </w:rPr>
              <w:t>湿拖两种方式</w:t>
            </w:r>
            <w:r>
              <w:rPr>
                <w:rFonts w:hint="eastAsia"/>
                <w:color w:val="auto"/>
                <w:kern w:val="0"/>
                <w:szCs w:val="21"/>
                <w:highlight w:val="none"/>
              </w:rPr>
              <w:t>，其中湿拖方式产生消毒废水，消毒废水经洗涮池收集至管道。84消毒液需稀释使用，84</w:t>
            </w:r>
            <w:r>
              <w:rPr>
                <w:color w:val="auto"/>
                <w:kern w:val="0"/>
                <w:szCs w:val="21"/>
                <w:highlight w:val="none"/>
              </w:rPr>
              <w:t>消毒液</w:t>
            </w:r>
            <w:r>
              <w:rPr>
                <w:rFonts w:hint="eastAsia"/>
                <w:color w:val="auto"/>
                <w:kern w:val="0"/>
                <w:szCs w:val="21"/>
                <w:highlight w:val="none"/>
              </w:rPr>
              <w:t>：</w:t>
            </w:r>
            <w:r>
              <w:rPr>
                <w:color w:val="auto"/>
                <w:kern w:val="0"/>
                <w:szCs w:val="21"/>
                <w:highlight w:val="none"/>
              </w:rPr>
              <w:t>水配置比例为</w:t>
            </w:r>
            <w:r>
              <w:rPr>
                <w:rFonts w:hint="eastAsia"/>
                <w:color w:val="auto"/>
                <w:kern w:val="0"/>
                <w:szCs w:val="21"/>
                <w:highlight w:val="none"/>
              </w:rPr>
              <w:t>1:100，项目84消毒液消耗量为</w:t>
            </w:r>
            <w:r>
              <w:rPr>
                <w:rFonts w:hint="eastAsia"/>
                <w:color w:val="auto"/>
                <w:kern w:val="0"/>
                <w:szCs w:val="21"/>
                <w:highlight w:val="none"/>
                <w:lang w:val="en-US" w:eastAsia="zh-CN"/>
              </w:rPr>
              <w:t>44</w:t>
            </w:r>
            <w:r>
              <w:rPr>
                <w:rFonts w:hint="eastAsia"/>
                <w:color w:val="auto"/>
                <w:kern w:val="0"/>
                <w:szCs w:val="21"/>
                <w:highlight w:val="none"/>
              </w:rPr>
              <w:t>00瓶/400mL，则消毒用水量为</w:t>
            </w:r>
            <w:r>
              <w:rPr>
                <w:rFonts w:hint="eastAsia"/>
                <w:color w:val="auto"/>
                <w:kern w:val="0"/>
                <w:szCs w:val="21"/>
                <w:highlight w:val="none"/>
                <w:lang w:val="en-US" w:eastAsia="zh-CN"/>
              </w:rPr>
              <w:t>176</w:t>
            </w:r>
            <w:r>
              <w:rPr>
                <w:color w:val="auto"/>
                <w:szCs w:val="21"/>
                <w:highlight w:val="none"/>
              </w:rPr>
              <w:t>m</w:t>
            </w:r>
            <w:r>
              <w:rPr>
                <w:color w:val="auto"/>
                <w:szCs w:val="21"/>
                <w:highlight w:val="none"/>
                <w:vertAlign w:val="superscript"/>
              </w:rPr>
              <w:t>3</w:t>
            </w:r>
            <w:r>
              <w:rPr>
                <w:color w:val="auto"/>
                <w:szCs w:val="21"/>
                <w:highlight w:val="none"/>
              </w:rPr>
              <w:t>/a</w:t>
            </w:r>
            <w:r>
              <w:rPr>
                <w:rFonts w:hint="eastAsia"/>
                <w:color w:val="auto"/>
                <w:szCs w:val="21"/>
                <w:highlight w:val="none"/>
                <w:lang w:eastAsia="zh-CN"/>
              </w:rPr>
              <w:t>（</w:t>
            </w:r>
            <w:r>
              <w:rPr>
                <w:rFonts w:hint="eastAsia"/>
                <w:color w:val="auto"/>
                <w:szCs w:val="21"/>
                <w:highlight w:val="none"/>
                <w:lang w:val="en-US" w:eastAsia="zh-CN"/>
              </w:rPr>
              <w:t>0.48</w:t>
            </w:r>
            <w:r>
              <w:rPr>
                <w:color w:val="auto"/>
                <w:szCs w:val="21"/>
                <w:highlight w:val="none"/>
              </w:rPr>
              <w:t>m</w:t>
            </w:r>
            <w:r>
              <w:rPr>
                <w:color w:val="auto"/>
                <w:szCs w:val="21"/>
                <w:highlight w:val="none"/>
                <w:vertAlign w:val="superscript"/>
              </w:rPr>
              <w:t>3</w:t>
            </w:r>
            <w:r>
              <w:rPr>
                <w:color w:val="auto"/>
                <w:szCs w:val="21"/>
                <w:highlight w:val="none"/>
              </w:rPr>
              <w:t>/d</w:t>
            </w:r>
            <w:r>
              <w:rPr>
                <w:rFonts w:hint="eastAsia"/>
                <w:color w:val="auto"/>
                <w:szCs w:val="21"/>
                <w:highlight w:val="none"/>
                <w:lang w:eastAsia="zh-CN"/>
              </w:rPr>
              <w:t>）</w:t>
            </w:r>
            <w:r>
              <w:rPr>
                <w:rFonts w:hint="eastAsia"/>
                <w:color w:val="auto"/>
                <w:szCs w:val="21"/>
                <w:highlight w:val="none"/>
              </w:rPr>
              <w:t>；</w:t>
            </w:r>
          </w:p>
          <w:p>
            <w:pPr>
              <w:autoSpaceDE w:val="0"/>
              <w:autoSpaceDN w:val="0"/>
              <w:adjustRightInd w:val="0"/>
              <w:snapToGrid w:val="0"/>
              <w:spacing w:line="360" w:lineRule="auto"/>
              <w:ind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8）食堂用水</w:t>
            </w:r>
          </w:p>
          <w:p>
            <w:pPr>
              <w:spacing w:line="360" w:lineRule="auto"/>
              <w:ind w:firstLine="420" w:firstLineChars="200"/>
              <w:jc w:val="both"/>
              <w:rPr>
                <w:color w:val="auto"/>
                <w:highlight w:val="none"/>
              </w:rPr>
            </w:pPr>
            <w:r>
              <w:rPr>
                <w:rFonts w:hint="eastAsia"/>
                <w:color w:val="auto"/>
                <w:highlight w:val="none"/>
              </w:rPr>
              <w:t>本</w:t>
            </w:r>
            <w:r>
              <w:rPr>
                <w:color w:val="auto"/>
                <w:highlight w:val="none"/>
              </w:rPr>
              <w:t>项目设置</w:t>
            </w:r>
            <w:r>
              <w:rPr>
                <w:rFonts w:hint="eastAsia"/>
                <w:color w:val="auto"/>
                <w:highlight w:val="none"/>
              </w:rPr>
              <w:t>食堂</w:t>
            </w:r>
            <w:r>
              <w:rPr>
                <w:color w:val="auto"/>
                <w:highlight w:val="none"/>
              </w:rPr>
              <w:t>，根据《综合医院建筑设计规范》（GB51039-2014），食堂用水量为20L-25L/人·次</w:t>
            </w:r>
            <w:r>
              <w:rPr>
                <w:rFonts w:hint="eastAsia"/>
                <w:color w:val="auto"/>
                <w:highlight w:val="none"/>
              </w:rPr>
              <w:t>。</w:t>
            </w:r>
            <w:r>
              <w:rPr>
                <w:color w:val="auto"/>
                <w:highlight w:val="none"/>
              </w:rPr>
              <w:t>本项目食堂规模为就餐人数</w:t>
            </w:r>
            <w:r>
              <w:rPr>
                <w:rFonts w:hint="eastAsia"/>
                <w:color w:val="auto"/>
                <w:highlight w:val="none"/>
                <w:lang w:val="en-US" w:eastAsia="zh-CN"/>
              </w:rPr>
              <w:t>220</w:t>
            </w:r>
            <w:r>
              <w:rPr>
                <w:color w:val="auto"/>
                <w:highlight w:val="none"/>
              </w:rPr>
              <w:t>人/次，用水指标按照20L/人•次，则食堂日用水量</w:t>
            </w:r>
            <w:r>
              <w:rPr>
                <w:rFonts w:hint="eastAsia"/>
                <w:color w:val="auto"/>
                <w:highlight w:val="none"/>
                <w:lang w:val="en-US" w:eastAsia="zh-CN"/>
              </w:rPr>
              <w:t>4.4</w:t>
            </w:r>
            <w:r>
              <w:rPr>
                <w:color w:val="auto"/>
                <w:highlight w:val="none"/>
              </w:rPr>
              <w:t>m</w:t>
            </w:r>
            <w:r>
              <w:rPr>
                <w:color w:val="auto"/>
                <w:highlight w:val="none"/>
                <w:vertAlign w:val="superscript"/>
              </w:rPr>
              <w:t>3</w:t>
            </w:r>
            <w:r>
              <w:rPr>
                <w:color w:val="auto"/>
                <w:highlight w:val="none"/>
              </w:rPr>
              <w:t>/d，即为</w:t>
            </w:r>
            <w:r>
              <w:rPr>
                <w:rFonts w:hint="eastAsia"/>
                <w:color w:val="auto"/>
                <w:highlight w:val="none"/>
                <w:lang w:val="en-US" w:eastAsia="zh-CN"/>
              </w:rPr>
              <w:t>1606</w:t>
            </w:r>
            <w:r>
              <w:rPr>
                <w:color w:val="auto"/>
                <w:highlight w:val="none"/>
              </w:rPr>
              <w:t>m</w:t>
            </w:r>
            <w:r>
              <w:rPr>
                <w:color w:val="auto"/>
                <w:highlight w:val="none"/>
                <w:vertAlign w:val="superscript"/>
              </w:rPr>
              <w:t>3</w:t>
            </w:r>
            <w:r>
              <w:rPr>
                <w:color w:val="auto"/>
                <w:highlight w:val="none"/>
              </w:rPr>
              <w:t>/a</w:t>
            </w:r>
            <w:r>
              <w:rPr>
                <w:rFonts w:hint="eastAsia"/>
                <w:color w:val="auto"/>
                <w:highlight w:val="none"/>
              </w:rPr>
              <w:t>。</w:t>
            </w:r>
          </w:p>
          <w:p>
            <w:pPr>
              <w:autoSpaceDE w:val="0"/>
              <w:autoSpaceDN w:val="0"/>
              <w:adjustRightInd w:val="0"/>
              <w:snapToGrid w:val="0"/>
              <w:spacing w:line="360" w:lineRule="auto"/>
              <w:ind w:firstLine="420" w:firstLineChars="200"/>
              <w:jc w:val="left"/>
              <w:rPr>
                <w:color w:val="auto"/>
                <w:kern w:val="0"/>
                <w:szCs w:val="21"/>
                <w:highlight w:val="none"/>
              </w:rPr>
            </w:pPr>
            <w:r>
              <w:rPr>
                <w:rFonts w:hint="eastAsia"/>
                <w:color w:val="auto"/>
                <w:kern w:val="0"/>
                <w:szCs w:val="21"/>
                <w:highlight w:val="none"/>
                <w:lang w:val="en-US" w:eastAsia="zh-CN"/>
              </w:rPr>
              <w:t>9</w:t>
            </w:r>
            <w:r>
              <w:rPr>
                <w:color w:val="auto"/>
                <w:kern w:val="0"/>
                <w:szCs w:val="21"/>
                <w:highlight w:val="none"/>
              </w:rPr>
              <w:t>）绿化用水</w:t>
            </w:r>
          </w:p>
          <w:p>
            <w:pPr>
              <w:autoSpaceDE w:val="0"/>
              <w:autoSpaceDN w:val="0"/>
              <w:adjustRightInd w:val="0"/>
              <w:snapToGrid w:val="0"/>
              <w:spacing w:line="360" w:lineRule="auto"/>
              <w:ind w:firstLine="420" w:firstLineChars="200"/>
              <w:jc w:val="left"/>
              <w:rPr>
                <w:color w:val="auto"/>
                <w:kern w:val="0"/>
                <w:szCs w:val="21"/>
                <w:highlight w:val="none"/>
              </w:rPr>
            </w:pPr>
            <w:r>
              <w:rPr>
                <w:rFonts w:hint="eastAsia"/>
                <w:color w:val="auto"/>
                <w:kern w:val="0"/>
                <w:szCs w:val="21"/>
                <w:highlight w:val="none"/>
                <w:lang w:val="en-US" w:eastAsia="zh-CN"/>
              </w:rPr>
              <w:t>新</w:t>
            </w:r>
            <w:r>
              <w:rPr>
                <w:color w:val="auto"/>
                <w:kern w:val="0"/>
                <w:szCs w:val="21"/>
                <w:highlight w:val="none"/>
              </w:rPr>
              <w:t>院</w:t>
            </w:r>
            <w:r>
              <w:rPr>
                <w:rFonts w:hint="eastAsia"/>
                <w:color w:val="auto"/>
                <w:kern w:val="0"/>
                <w:szCs w:val="21"/>
                <w:highlight w:val="none"/>
                <w:lang w:val="en-US" w:eastAsia="zh-CN"/>
              </w:rPr>
              <w:t>区</w:t>
            </w:r>
            <w:r>
              <w:rPr>
                <w:color w:val="auto"/>
                <w:kern w:val="0"/>
                <w:szCs w:val="21"/>
                <w:highlight w:val="none"/>
              </w:rPr>
              <w:t>内绿化面积约为</w:t>
            </w:r>
            <w:r>
              <w:rPr>
                <w:rFonts w:hint="eastAsia"/>
                <w:color w:val="auto"/>
                <w:kern w:val="0"/>
                <w:szCs w:val="21"/>
                <w:highlight w:val="none"/>
                <w:lang w:val="en-US" w:eastAsia="zh-CN"/>
              </w:rPr>
              <w:t>6670</w:t>
            </w:r>
            <w:r>
              <w:rPr>
                <w:color w:val="auto"/>
                <w:kern w:val="0"/>
                <w:szCs w:val="21"/>
                <w:highlight w:val="none"/>
              </w:rPr>
              <w:t>m</w:t>
            </w:r>
            <w:r>
              <w:rPr>
                <w:color w:val="auto"/>
                <w:kern w:val="0"/>
                <w:szCs w:val="21"/>
                <w:highlight w:val="none"/>
                <w:vertAlign w:val="superscript"/>
              </w:rPr>
              <w:t>2</w:t>
            </w:r>
            <w:r>
              <w:rPr>
                <w:color w:val="auto"/>
                <w:kern w:val="0"/>
                <w:szCs w:val="21"/>
                <w:highlight w:val="none"/>
              </w:rPr>
              <w:t>，绿化用水取2L/m</w:t>
            </w:r>
            <w:r>
              <w:rPr>
                <w:color w:val="auto"/>
                <w:kern w:val="0"/>
                <w:szCs w:val="21"/>
                <w:highlight w:val="none"/>
                <w:vertAlign w:val="superscript"/>
              </w:rPr>
              <w:t>2</w:t>
            </w:r>
            <w:r>
              <w:rPr>
                <w:color w:val="auto"/>
                <w:szCs w:val="21"/>
                <w:highlight w:val="none"/>
              </w:rPr>
              <w:t>•d；全年绿化天数取150天，则绿化用水量为</w:t>
            </w:r>
            <w:r>
              <w:rPr>
                <w:rFonts w:hint="eastAsia"/>
                <w:color w:val="auto"/>
                <w:szCs w:val="21"/>
                <w:highlight w:val="none"/>
                <w:lang w:val="en-US" w:eastAsia="zh-CN"/>
              </w:rPr>
              <w:t>2001</w:t>
            </w:r>
            <w:r>
              <w:rPr>
                <w:color w:val="auto"/>
                <w:szCs w:val="21"/>
                <w:highlight w:val="none"/>
              </w:rPr>
              <w:t>m</w:t>
            </w:r>
            <w:r>
              <w:rPr>
                <w:color w:val="auto"/>
                <w:szCs w:val="21"/>
                <w:highlight w:val="none"/>
                <w:vertAlign w:val="superscript"/>
              </w:rPr>
              <w:t>3</w:t>
            </w:r>
            <w:r>
              <w:rPr>
                <w:color w:val="auto"/>
                <w:szCs w:val="21"/>
                <w:highlight w:val="none"/>
              </w:rPr>
              <w:t>/a</w:t>
            </w:r>
            <w:r>
              <w:rPr>
                <w:rFonts w:hint="eastAsia"/>
                <w:color w:val="auto"/>
                <w:szCs w:val="21"/>
                <w:highlight w:val="none"/>
                <w:lang w:eastAsia="zh-CN"/>
              </w:rPr>
              <w:t>（</w:t>
            </w:r>
            <w:r>
              <w:rPr>
                <w:rFonts w:hint="eastAsia"/>
                <w:color w:val="auto"/>
                <w:szCs w:val="21"/>
                <w:highlight w:val="none"/>
                <w:lang w:val="en-US" w:eastAsia="zh-CN"/>
              </w:rPr>
              <w:t>13.34</w:t>
            </w:r>
            <w:r>
              <w:rPr>
                <w:color w:val="auto"/>
                <w:highlight w:val="none"/>
              </w:rPr>
              <w:t>m</w:t>
            </w:r>
            <w:r>
              <w:rPr>
                <w:color w:val="auto"/>
                <w:highlight w:val="none"/>
                <w:vertAlign w:val="superscript"/>
              </w:rPr>
              <w:t>3</w:t>
            </w:r>
            <w:r>
              <w:rPr>
                <w:color w:val="auto"/>
                <w:highlight w:val="none"/>
              </w:rPr>
              <w:t>/d</w:t>
            </w:r>
            <w:r>
              <w:rPr>
                <w:rFonts w:hint="eastAsia"/>
                <w:color w:val="auto"/>
                <w:szCs w:val="21"/>
                <w:highlight w:val="none"/>
                <w:lang w:eastAsia="zh-CN"/>
              </w:rPr>
              <w:t>）</w:t>
            </w:r>
            <w:r>
              <w:rPr>
                <w:color w:val="auto"/>
                <w:szCs w:val="21"/>
                <w:highlight w:val="none"/>
              </w:rPr>
              <w:t>。</w:t>
            </w:r>
          </w:p>
          <w:p>
            <w:pPr>
              <w:autoSpaceDE w:val="0"/>
              <w:autoSpaceDN w:val="0"/>
              <w:adjustRightInd w:val="0"/>
              <w:snapToGrid w:val="0"/>
              <w:spacing w:line="360" w:lineRule="auto"/>
              <w:ind w:firstLine="420" w:firstLineChars="200"/>
              <w:jc w:val="left"/>
              <w:rPr>
                <w:color w:val="auto"/>
                <w:kern w:val="0"/>
                <w:szCs w:val="21"/>
                <w:highlight w:val="none"/>
              </w:rPr>
            </w:pPr>
            <w:r>
              <w:rPr>
                <w:rFonts w:hint="eastAsia"/>
                <w:color w:val="auto"/>
                <w:kern w:val="0"/>
                <w:szCs w:val="21"/>
                <w:highlight w:val="none"/>
              </w:rPr>
              <w:t>本项目</w:t>
            </w:r>
            <w:r>
              <w:rPr>
                <w:color w:val="auto"/>
                <w:kern w:val="0"/>
                <w:szCs w:val="21"/>
                <w:highlight w:val="none"/>
              </w:rPr>
              <w:t>为专科口腔医院</w:t>
            </w:r>
            <w:r>
              <w:rPr>
                <w:rFonts w:hint="eastAsia"/>
                <w:color w:val="auto"/>
                <w:kern w:val="0"/>
                <w:szCs w:val="21"/>
                <w:highlight w:val="none"/>
              </w:rPr>
              <w:t>，</w:t>
            </w:r>
            <w:r>
              <w:rPr>
                <w:color w:val="auto"/>
                <w:kern w:val="0"/>
                <w:szCs w:val="21"/>
                <w:highlight w:val="none"/>
              </w:rPr>
              <w:t>不设传染病房，医院使用的影像设备现状为电子打印，不涉及洗印工序，无洗印废水</w:t>
            </w:r>
            <w:r>
              <w:rPr>
                <w:rFonts w:hint="eastAsia"/>
                <w:color w:val="auto"/>
                <w:kern w:val="0"/>
                <w:szCs w:val="21"/>
                <w:highlight w:val="none"/>
              </w:rPr>
              <w:t>，</w:t>
            </w:r>
            <w:r>
              <w:rPr>
                <w:color w:val="auto"/>
                <w:kern w:val="0"/>
                <w:szCs w:val="21"/>
                <w:highlight w:val="none"/>
              </w:rPr>
              <w:t>故不涉及重金属废水排放</w:t>
            </w:r>
            <w:r>
              <w:rPr>
                <w:rFonts w:hint="eastAsia"/>
                <w:color w:val="auto"/>
                <w:kern w:val="0"/>
                <w:szCs w:val="21"/>
                <w:highlight w:val="none"/>
              </w:rPr>
              <w:t>；项目只进行牙科相关诊疗，无酸性废水、含氰废水、含汞废水、含铬废水等特殊废水产生</w:t>
            </w:r>
            <w:r>
              <w:rPr>
                <w:color w:val="auto"/>
                <w:kern w:val="0"/>
                <w:szCs w:val="21"/>
                <w:highlight w:val="none"/>
              </w:rPr>
              <w:t>。</w:t>
            </w:r>
          </w:p>
          <w:p>
            <w:pPr>
              <w:widowControl/>
              <w:jc w:val="center"/>
              <w:rPr>
                <w:b/>
                <w:color w:val="auto"/>
                <w:szCs w:val="21"/>
                <w:highlight w:val="none"/>
              </w:rPr>
            </w:pPr>
            <w:r>
              <w:rPr>
                <w:b/>
                <w:color w:val="auto"/>
                <w:szCs w:val="21"/>
                <w:highlight w:val="none"/>
              </w:rPr>
              <w:t>表2-</w:t>
            </w:r>
            <w:r>
              <w:rPr>
                <w:rFonts w:hint="eastAsia"/>
                <w:b/>
                <w:color w:val="auto"/>
                <w:szCs w:val="21"/>
                <w:highlight w:val="none"/>
                <w:lang w:val="en-US" w:eastAsia="zh-CN"/>
              </w:rPr>
              <w:t>8</w:t>
            </w:r>
            <w:r>
              <w:rPr>
                <w:b/>
                <w:color w:val="auto"/>
                <w:szCs w:val="21"/>
                <w:highlight w:val="none"/>
              </w:rPr>
              <w:t xml:space="preserve">  项目用水标准及用水量一览表</w:t>
            </w:r>
          </w:p>
          <w:tbl>
            <w:tblPr>
              <w:tblStyle w:val="27"/>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045"/>
              <w:gridCol w:w="1714"/>
              <w:gridCol w:w="1199"/>
              <w:gridCol w:w="1443"/>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jc w:val="center"/>
              </w:trPr>
              <w:tc>
                <w:tcPr>
                  <w:tcW w:w="592"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序号</w:t>
                  </w:r>
                </w:p>
              </w:tc>
              <w:tc>
                <w:tcPr>
                  <w:tcW w:w="2045"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用水部门</w:t>
                  </w:r>
                </w:p>
              </w:tc>
              <w:tc>
                <w:tcPr>
                  <w:tcW w:w="171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用水量标准</w:t>
                  </w:r>
                </w:p>
              </w:tc>
              <w:tc>
                <w:tcPr>
                  <w:tcW w:w="11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用水单位数</w:t>
                  </w:r>
                </w:p>
              </w:tc>
              <w:tc>
                <w:tcPr>
                  <w:tcW w:w="1443"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日用水量（t/d）</w:t>
                  </w:r>
                </w:p>
              </w:tc>
              <w:tc>
                <w:tcPr>
                  <w:tcW w:w="1443"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年用水量（t/a）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592"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w:t>
                  </w:r>
                </w:p>
              </w:tc>
              <w:tc>
                <w:tcPr>
                  <w:tcW w:w="2045"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医务人员用水</w:t>
                  </w:r>
                </w:p>
              </w:tc>
              <w:tc>
                <w:tcPr>
                  <w:tcW w:w="171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20</w:t>
                  </w:r>
                  <w:r>
                    <w:rPr>
                      <w:color w:val="auto"/>
                      <w:sz w:val="18"/>
                      <w:szCs w:val="18"/>
                      <w:highlight w:val="none"/>
                    </w:rPr>
                    <w:t>0L/人•d</w:t>
                  </w:r>
                </w:p>
              </w:tc>
              <w:tc>
                <w:tcPr>
                  <w:tcW w:w="11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147</w:t>
                  </w:r>
                  <w:r>
                    <w:rPr>
                      <w:color w:val="auto"/>
                      <w:sz w:val="18"/>
                      <w:szCs w:val="18"/>
                      <w:highlight w:val="none"/>
                    </w:rPr>
                    <w:t>人</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29.4</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w:t>
                  </w:r>
                </w:p>
              </w:tc>
              <w:tc>
                <w:tcPr>
                  <w:tcW w:w="2045"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病房用水</w:t>
                  </w:r>
                </w:p>
              </w:tc>
              <w:tc>
                <w:tcPr>
                  <w:tcW w:w="171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250</w:t>
                  </w:r>
                  <w:r>
                    <w:rPr>
                      <w:color w:val="auto"/>
                      <w:sz w:val="18"/>
                      <w:szCs w:val="18"/>
                      <w:highlight w:val="none"/>
                    </w:rPr>
                    <w:t>L/床•d</w:t>
                  </w:r>
                </w:p>
              </w:tc>
              <w:tc>
                <w:tcPr>
                  <w:tcW w:w="11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490</w:t>
                  </w:r>
                  <w:r>
                    <w:rPr>
                      <w:color w:val="auto"/>
                      <w:sz w:val="18"/>
                      <w:szCs w:val="18"/>
                      <w:highlight w:val="none"/>
                    </w:rPr>
                    <w:t>床</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122.5</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44712.2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w:t>
                  </w:r>
                </w:p>
              </w:tc>
              <w:tc>
                <w:tcPr>
                  <w:tcW w:w="2045"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门诊用水</w:t>
                  </w:r>
                </w:p>
              </w:tc>
              <w:tc>
                <w:tcPr>
                  <w:tcW w:w="171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10L/人次</w:t>
                  </w:r>
                </w:p>
              </w:tc>
              <w:tc>
                <w:tcPr>
                  <w:tcW w:w="11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1200</w:t>
                  </w:r>
                  <w:r>
                    <w:rPr>
                      <w:color w:val="auto"/>
                      <w:sz w:val="18"/>
                      <w:szCs w:val="18"/>
                      <w:highlight w:val="none"/>
                    </w:rPr>
                    <w:t>人次</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12</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4</w:t>
                  </w:r>
                </w:p>
              </w:tc>
              <w:tc>
                <w:tcPr>
                  <w:tcW w:w="2045"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纯水制备</w:t>
                  </w:r>
                  <w:r>
                    <w:rPr>
                      <w:color w:val="auto"/>
                      <w:sz w:val="18"/>
                      <w:szCs w:val="18"/>
                      <w:highlight w:val="none"/>
                    </w:rPr>
                    <w:t>用水</w:t>
                  </w:r>
                </w:p>
              </w:tc>
              <w:tc>
                <w:tcPr>
                  <w:tcW w:w="1714" w:type="dxa"/>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eastAsia="zh-CN"/>
                    </w:rPr>
                  </w:pPr>
                  <w:r>
                    <w:rPr>
                      <w:rFonts w:hint="eastAsia"/>
                      <w:color w:val="auto"/>
                      <w:sz w:val="18"/>
                      <w:szCs w:val="18"/>
                      <w:highlight w:val="none"/>
                      <w:lang w:val="en-US" w:eastAsia="zh-CN"/>
                    </w:rPr>
                    <w:t>/</w:t>
                  </w:r>
                </w:p>
              </w:tc>
              <w:tc>
                <w:tcPr>
                  <w:tcW w:w="11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25</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9125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5</w:t>
                  </w:r>
                </w:p>
              </w:tc>
              <w:tc>
                <w:tcPr>
                  <w:tcW w:w="2045"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洗衣房用水</w:t>
                  </w:r>
                </w:p>
              </w:tc>
              <w:tc>
                <w:tcPr>
                  <w:tcW w:w="171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80L/kg干衣</w:t>
                  </w:r>
                </w:p>
              </w:tc>
              <w:tc>
                <w:tcPr>
                  <w:tcW w:w="11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20</w:t>
                  </w:r>
                  <w:r>
                    <w:rPr>
                      <w:color w:val="auto"/>
                      <w:sz w:val="18"/>
                      <w:szCs w:val="18"/>
                      <w:highlight w:val="none"/>
                    </w:rPr>
                    <w:t>kg</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6</w:t>
                  </w:r>
                </w:p>
              </w:tc>
              <w:tc>
                <w:tcPr>
                  <w:tcW w:w="2045" w:type="dxa"/>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手术用水</w:t>
                  </w:r>
                </w:p>
              </w:tc>
              <w:tc>
                <w:tcPr>
                  <w:tcW w:w="171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3m</w:t>
                  </w:r>
                  <w:r>
                    <w:rPr>
                      <w:rFonts w:hint="eastAsia"/>
                      <w:color w:val="auto"/>
                      <w:sz w:val="18"/>
                      <w:szCs w:val="18"/>
                      <w:highlight w:val="none"/>
                      <w:vertAlign w:val="superscript"/>
                      <w:lang w:val="en-US" w:eastAsia="zh-CN"/>
                    </w:rPr>
                    <w:t>3</w:t>
                  </w:r>
                  <w:r>
                    <w:rPr>
                      <w:rFonts w:hint="eastAsia"/>
                      <w:color w:val="auto"/>
                      <w:sz w:val="18"/>
                      <w:szCs w:val="18"/>
                      <w:highlight w:val="none"/>
                      <w:lang w:val="en-US" w:eastAsia="zh-CN"/>
                    </w:rPr>
                    <w:t>/d</w:t>
                  </w:r>
                </w:p>
              </w:tc>
              <w:tc>
                <w:tcPr>
                  <w:tcW w:w="1199"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365</w:t>
                  </w:r>
                </w:p>
              </w:tc>
              <w:tc>
                <w:tcPr>
                  <w:tcW w:w="1443" w:type="dxa"/>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3</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7</w:t>
                  </w:r>
                </w:p>
              </w:tc>
              <w:tc>
                <w:tcPr>
                  <w:tcW w:w="2045" w:type="dxa"/>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消毒用水</w:t>
                  </w:r>
                </w:p>
              </w:tc>
              <w:tc>
                <w:tcPr>
                  <w:tcW w:w="1714" w:type="dxa"/>
                  <w:vAlign w:val="center"/>
                </w:tcPr>
                <w:p>
                  <w:pPr>
                    <w:pStyle w:val="26"/>
                    <w:snapToGrid w:val="0"/>
                    <w:spacing w:before="24" w:after="24" w:line="240" w:lineRule="exact"/>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1199" w:type="dxa"/>
                  <w:vAlign w:val="center"/>
                </w:tcPr>
                <w:p>
                  <w:pPr>
                    <w:pStyle w:val="26"/>
                    <w:snapToGrid w:val="0"/>
                    <w:spacing w:before="24" w:after="24" w:line="240" w:lineRule="exact"/>
                    <w:ind w:left="0" w:leftChars="0" w:firstLine="0" w:firstLineChars="0"/>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1443" w:type="dxa"/>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0.48</w:t>
                  </w:r>
                </w:p>
              </w:tc>
              <w:tc>
                <w:tcPr>
                  <w:tcW w:w="1443" w:type="dxa"/>
                  <w:vAlign w:val="center"/>
                </w:tcPr>
                <w:p>
                  <w:pPr>
                    <w:pStyle w:val="26"/>
                    <w:snapToGrid w:val="0"/>
                    <w:spacing w:before="24" w:after="24" w:line="240" w:lineRule="exact"/>
                    <w:ind w:left="0" w:leftChars="0"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8</w:t>
                  </w:r>
                </w:p>
              </w:tc>
              <w:tc>
                <w:tcPr>
                  <w:tcW w:w="2045" w:type="dxa"/>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食堂用水</w:t>
                  </w:r>
                </w:p>
              </w:tc>
              <w:tc>
                <w:tcPr>
                  <w:tcW w:w="1714" w:type="dxa"/>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20L/人•次</w:t>
                  </w:r>
                </w:p>
              </w:tc>
              <w:tc>
                <w:tcPr>
                  <w:tcW w:w="1199" w:type="dxa"/>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220人/次</w:t>
                  </w:r>
                </w:p>
              </w:tc>
              <w:tc>
                <w:tcPr>
                  <w:tcW w:w="1443" w:type="dxa"/>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4.4</w:t>
                  </w:r>
                </w:p>
              </w:tc>
              <w:tc>
                <w:tcPr>
                  <w:tcW w:w="1443" w:type="dxa"/>
                  <w:vAlign w:val="center"/>
                </w:tcPr>
                <w:p>
                  <w:pPr>
                    <w:pStyle w:val="26"/>
                    <w:snapToGrid w:val="0"/>
                    <w:spacing w:before="24" w:after="24" w:line="240" w:lineRule="exact"/>
                    <w:ind w:left="0" w:leftChars="0"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sz w:val="18"/>
                      <w:szCs w:val="18"/>
                      <w:highlight w:val="none"/>
                      <w:lang w:val="en-US" w:eastAsia="zh-CN"/>
                    </w:rPr>
                    <w:t>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92"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9</w:t>
                  </w:r>
                </w:p>
              </w:tc>
              <w:tc>
                <w:tcPr>
                  <w:tcW w:w="2045"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绿化用水</w:t>
                  </w:r>
                </w:p>
              </w:tc>
              <w:tc>
                <w:tcPr>
                  <w:tcW w:w="171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2L/m</w:t>
                  </w:r>
                  <w:r>
                    <w:rPr>
                      <w:color w:val="auto"/>
                      <w:sz w:val="18"/>
                      <w:szCs w:val="18"/>
                      <w:highlight w:val="none"/>
                      <w:vertAlign w:val="superscript"/>
                    </w:rPr>
                    <w:t>2</w:t>
                  </w:r>
                  <w:r>
                    <w:rPr>
                      <w:color w:val="auto"/>
                      <w:sz w:val="18"/>
                      <w:szCs w:val="18"/>
                      <w:highlight w:val="none"/>
                    </w:rPr>
                    <w:t>•d</w:t>
                  </w:r>
                </w:p>
              </w:tc>
              <w:tc>
                <w:tcPr>
                  <w:tcW w:w="11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rFonts w:hint="eastAsia"/>
                      <w:color w:val="auto"/>
                      <w:sz w:val="18"/>
                      <w:szCs w:val="18"/>
                      <w:highlight w:val="none"/>
                      <w:lang w:val="en-US" w:eastAsia="zh-CN"/>
                    </w:rPr>
                    <w:t>6670</w:t>
                  </w:r>
                  <w:r>
                    <w:rPr>
                      <w:color w:val="auto"/>
                      <w:sz w:val="18"/>
                      <w:szCs w:val="18"/>
                      <w:highlight w:val="none"/>
                    </w:rPr>
                    <w:t>m</w:t>
                  </w:r>
                  <w:r>
                    <w:rPr>
                      <w:color w:val="auto"/>
                      <w:sz w:val="18"/>
                      <w:szCs w:val="18"/>
                      <w:highlight w:val="none"/>
                      <w:vertAlign w:val="superscript"/>
                    </w:rPr>
                    <w:t>2</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13.34</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5550" w:type="dxa"/>
                  <w:gridSpan w:val="4"/>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合计</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211.72</w:t>
                  </w:r>
                </w:p>
              </w:tc>
              <w:tc>
                <w:tcPr>
                  <w:tcW w:w="1443"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74410.2</w:t>
                  </w:r>
                </w:p>
              </w:tc>
            </w:tr>
          </w:tbl>
          <w:p>
            <w:pPr>
              <w:snapToGrid w:val="0"/>
              <w:jc w:val="center"/>
              <w:rPr>
                <w:color w:val="auto"/>
                <w:highlight w:val="none"/>
              </w:rPr>
            </w:pPr>
            <w:r>
              <w:rPr>
                <w:color w:val="auto"/>
                <w:highlight w:val="none"/>
              </w:rPr>
              <w:object>
                <v:shape id="_x0000_i1025" o:spt="75" type="#_x0000_t75" style="height:412.85pt;width:422.35pt;" o:ole="t" filled="f" o:preferrelative="t" stroked="f" coordsize="21600,21600">
                  <v:path/>
                  <v:fill on="f" focussize="0,0"/>
                  <v:stroke on="f"/>
                  <v:imagedata r:id="rId8" croptop="552f" cropbottom="6055f" o:title=""/>
                  <o:lock v:ext="edit" aspectratio="t"/>
                  <w10:wrap type="none"/>
                  <w10:anchorlock/>
                </v:shape>
                <o:OLEObject Type="Embed" ProgID="Visio.Drawing.11" ShapeID="_x0000_i1025" DrawAspect="Content" ObjectID="_1468075725" r:id="rId7">
                  <o:LockedField>false</o:LockedField>
                </o:OLEObject>
              </w:object>
            </w:r>
          </w:p>
          <w:p>
            <w:pPr>
              <w:snapToGrid w:val="0"/>
              <w:jc w:val="center"/>
              <w:rPr>
                <w:b/>
                <w:color w:val="auto"/>
                <w:spacing w:val="-4"/>
                <w:highlight w:val="none"/>
              </w:rPr>
            </w:pPr>
            <w:r>
              <w:rPr>
                <w:b/>
                <w:color w:val="auto"/>
                <w:spacing w:val="-4"/>
                <w:highlight w:val="none"/>
              </w:rPr>
              <w:t>图2-1  水平衡示意图（m</w:t>
            </w:r>
            <w:r>
              <w:rPr>
                <w:b/>
                <w:color w:val="auto"/>
                <w:spacing w:val="-4"/>
                <w:highlight w:val="none"/>
                <w:vertAlign w:val="superscript"/>
              </w:rPr>
              <w:t>3</w:t>
            </w:r>
            <w:r>
              <w:rPr>
                <w:b/>
                <w:color w:val="auto"/>
                <w:spacing w:val="-4"/>
                <w:highlight w:val="none"/>
              </w:rPr>
              <w:t>/a）</w:t>
            </w:r>
          </w:p>
          <w:p>
            <w:pPr>
              <w:spacing w:line="360" w:lineRule="auto"/>
              <w:ind w:firstLine="420" w:firstLineChars="200"/>
              <w:rPr>
                <w:color w:val="auto"/>
                <w:kern w:val="0"/>
                <w:szCs w:val="21"/>
                <w:highlight w:val="none"/>
              </w:rPr>
            </w:pPr>
            <w:r>
              <w:rPr>
                <w:color w:val="auto"/>
                <w:kern w:val="0"/>
                <w:szCs w:val="21"/>
                <w:highlight w:val="none"/>
              </w:rPr>
              <w:t>（2）排水</w:t>
            </w:r>
          </w:p>
          <w:p>
            <w:pPr>
              <w:spacing w:line="360" w:lineRule="auto"/>
              <w:ind w:firstLine="420" w:firstLineChars="200"/>
              <w:rPr>
                <w:color w:val="auto"/>
                <w:kern w:val="0"/>
                <w:szCs w:val="21"/>
                <w:highlight w:val="none"/>
              </w:rPr>
            </w:pPr>
            <w:r>
              <w:rPr>
                <w:color w:val="auto"/>
                <w:kern w:val="0"/>
                <w:szCs w:val="21"/>
                <w:highlight w:val="none"/>
              </w:rPr>
              <w:t>项目采用雨污分流。项目</w:t>
            </w:r>
            <w:r>
              <w:rPr>
                <w:rFonts w:hint="eastAsia"/>
                <w:color w:val="auto"/>
                <w:kern w:val="0"/>
                <w:szCs w:val="21"/>
                <w:highlight w:val="none"/>
                <w:lang w:val="en-US" w:eastAsia="zh-CN"/>
              </w:rPr>
              <w:t>医疗</w:t>
            </w:r>
            <w:r>
              <w:rPr>
                <w:color w:val="auto"/>
                <w:kern w:val="0"/>
                <w:szCs w:val="21"/>
                <w:highlight w:val="none"/>
              </w:rPr>
              <w:t>废水</w:t>
            </w:r>
            <w:r>
              <w:rPr>
                <w:rFonts w:hint="eastAsia"/>
                <w:color w:val="auto"/>
                <w:kern w:val="0"/>
                <w:szCs w:val="21"/>
                <w:highlight w:val="none"/>
                <w:lang w:eastAsia="zh-CN"/>
              </w:rPr>
              <w:t>、</w:t>
            </w:r>
            <w:r>
              <w:rPr>
                <w:rFonts w:hint="eastAsia"/>
                <w:color w:val="auto"/>
                <w:kern w:val="0"/>
                <w:szCs w:val="21"/>
                <w:highlight w:val="none"/>
                <w:lang w:val="en-US" w:eastAsia="zh-CN"/>
              </w:rPr>
              <w:t>生活污水、消毒废水、洗衣房废水、食堂废水、纯水制备</w:t>
            </w:r>
            <w:r>
              <w:rPr>
                <w:color w:val="auto"/>
                <w:kern w:val="0"/>
                <w:szCs w:val="21"/>
                <w:highlight w:val="none"/>
              </w:rPr>
              <w:t>产生量按用水环节用水量的80%计，则污水产生量为</w:t>
            </w:r>
            <w:r>
              <w:rPr>
                <w:rFonts w:hint="eastAsia"/>
                <w:color w:val="auto"/>
                <w:kern w:val="0"/>
                <w:szCs w:val="21"/>
                <w:highlight w:val="none"/>
                <w:lang w:val="en-US" w:eastAsia="zh-CN"/>
              </w:rPr>
              <w:t>58292.36</w:t>
            </w:r>
            <w:r>
              <w:rPr>
                <w:color w:val="auto"/>
                <w:kern w:val="0"/>
                <w:szCs w:val="21"/>
                <w:highlight w:val="none"/>
              </w:rPr>
              <w:t>m</w:t>
            </w:r>
            <w:r>
              <w:rPr>
                <w:color w:val="auto"/>
                <w:kern w:val="0"/>
                <w:szCs w:val="21"/>
                <w:highlight w:val="none"/>
                <w:vertAlign w:val="superscript"/>
              </w:rPr>
              <w:t>3</w:t>
            </w:r>
            <w:r>
              <w:rPr>
                <w:color w:val="auto"/>
                <w:kern w:val="0"/>
                <w:szCs w:val="21"/>
                <w:highlight w:val="none"/>
              </w:rPr>
              <w:t>/a，污水收集方式为管道收集</w:t>
            </w:r>
            <w:r>
              <w:rPr>
                <w:rFonts w:hint="eastAsia"/>
                <w:color w:val="auto"/>
                <w:kern w:val="0"/>
                <w:szCs w:val="21"/>
                <w:highlight w:val="none"/>
              </w:rPr>
              <w:t>，</w:t>
            </w:r>
            <w:r>
              <w:rPr>
                <w:color w:val="auto"/>
                <w:kern w:val="0"/>
                <w:szCs w:val="21"/>
                <w:highlight w:val="none"/>
              </w:rPr>
              <w:t>污水外排量为</w:t>
            </w:r>
            <w:r>
              <w:rPr>
                <w:rFonts w:hint="eastAsia"/>
                <w:color w:val="auto"/>
                <w:kern w:val="0"/>
                <w:szCs w:val="21"/>
                <w:highlight w:val="none"/>
                <w:lang w:val="en-US" w:eastAsia="zh-CN"/>
              </w:rPr>
              <w:t>58292.36</w:t>
            </w:r>
            <w:r>
              <w:rPr>
                <w:color w:val="auto"/>
                <w:kern w:val="0"/>
                <w:szCs w:val="21"/>
                <w:highlight w:val="none"/>
              </w:rPr>
              <w:t>m</w:t>
            </w:r>
            <w:r>
              <w:rPr>
                <w:color w:val="auto"/>
                <w:kern w:val="0"/>
                <w:szCs w:val="21"/>
                <w:highlight w:val="none"/>
                <w:vertAlign w:val="superscript"/>
              </w:rPr>
              <w:t>3</w:t>
            </w:r>
            <w:r>
              <w:rPr>
                <w:color w:val="auto"/>
                <w:kern w:val="0"/>
                <w:szCs w:val="21"/>
                <w:highlight w:val="none"/>
              </w:rPr>
              <w:t>/a，经院内污水处理站处理后排入市政污水管网，经管网排入光大水务（淄博）有限公司</w:t>
            </w:r>
            <w:r>
              <w:rPr>
                <w:rFonts w:hint="eastAsia"/>
                <w:color w:val="auto"/>
                <w:kern w:val="0"/>
                <w:szCs w:val="21"/>
                <w:highlight w:val="none"/>
                <w:lang w:eastAsia="zh-CN"/>
              </w:rPr>
              <w:t>一分厂</w:t>
            </w:r>
            <w:r>
              <w:rPr>
                <w:color w:val="auto"/>
                <w:kern w:val="0"/>
                <w:szCs w:val="21"/>
                <w:highlight w:val="none"/>
              </w:rPr>
              <w:t>深化处理。</w:t>
            </w:r>
          </w:p>
          <w:p>
            <w:pPr>
              <w:spacing w:line="360" w:lineRule="auto"/>
              <w:ind w:firstLine="420" w:firstLineChars="200"/>
              <w:rPr>
                <w:color w:val="auto"/>
                <w:kern w:val="0"/>
                <w:szCs w:val="21"/>
                <w:highlight w:val="none"/>
              </w:rPr>
            </w:pPr>
            <w:r>
              <w:rPr>
                <w:color w:val="auto"/>
                <w:kern w:val="0"/>
                <w:szCs w:val="21"/>
                <w:highlight w:val="none"/>
              </w:rPr>
              <w:t>8.2供电</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医院用电量为</w:t>
            </w:r>
            <w:r>
              <w:rPr>
                <w:rFonts w:hint="eastAsia"/>
                <w:color w:val="auto"/>
                <w:kern w:val="0"/>
                <w:szCs w:val="21"/>
                <w:highlight w:val="none"/>
                <w:lang w:val="en-US" w:eastAsia="zh-CN"/>
              </w:rPr>
              <w:t>420</w:t>
            </w:r>
            <w:r>
              <w:rPr>
                <w:color w:val="auto"/>
                <w:kern w:val="0"/>
                <w:szCs w:val="21"/>
                <w:highlight w:val="none"/>
              </w:rPr>
              <w:t>万kWh/a，由张店区供电电网提供。</w:t>
            </w:r>
          </w:p>
          <w:p>
            <w:pPr>
              <w:autoSpaceDE w:val="0"/>
              <w:autoSpaceDN w:val="0"/>
              <w:adjustRightInd w:val="0"/>
              <w:snapToGrid w:val="0"/>
              <w:spacing w:line="360" w:lineRule="auto"/>
              <w:ind w:firstLine="420" w:firstLineChars="200"/>
              <w:jc w:val="left"/>
              <w:rPr>
                <w:b/>
                <w:color w:val="auto"/>
                <w:kern w:val="0"/>
                <w:szCs w:val="21"/>
                <w:highlight w:val="none"/>
              </w:rPr>
            </w:pPr>
            <w:r>
              <w:rPr>
                <w:color w:val="auto"/>
                <w:highlight w:val="none"/>
              </w:rPr>
              <w:t>项目设</w:t>
            </w:r>
            <w:r>
              <w:rPr>
                <w:rFonts w:hint="eastAsia"/>
                <w:color w:val="auto"/>
                <w:highlight w:val="none"/>
                <w:lang w:val="en-US" w:eastAsia="zh-CN"/>
              </w:rPr>
              <w:t>1</w:t>
            </w:r>
            <w:r>
              <w:rPr>
                <w:color w:val="auto"/>
                <w:highlight w:val="none"/>
              </w:rPr>
              <w:t>台2000kVA变压器。另设独立应急柴油发电机房，安装</w:t>
            </w:r>
            <w:r>
              <w:rPr>
                <w:rFonts w:hint="eastAsia"/>
                <w:color w:val="auto"/>
                <w:highlight w:val="none"/>
                <w:lang w:val="en-US" w:eastAsia="zh-CN"/>
              </w:rPr>
              <w:t>1</w:t>
            </w:r>
            <w:r>
              <w:rPr>
                <w:color w:val="auto"/>
                <w:highlight w:val="none"/>
              </w:rPr>
              <w:t>台</w:t>
            </w:r>
            <w:r>
              <w:rPr>
                <w:color w:val="auto"/>
                <w:highlight w:val="none"/>
                <w:lang w:val="en-US" w:eastAsia="zh-CN"/>
              </w:rPr>
              <w:t>1100千瓦/时</w:t>
            </w:r>
            <w:r>
              <w:rPr>
                <w:color w:val="auto"/>
                <w:highlight w:val="none"/>
              </w:rPr>
              <w:t>应急柴油发电机组作为应急电源，在发电机房设置储油间，</w:t>
            </w:r>
            <w:r>
              <w:rPr>
                <w:rFonts w:hint="eastAsia"/>
                <w:color w:val="auto"/>
                <w:highlight w:val="none"/>
                <w:lang w:val="en-US" w:eastAsia="zh-CN"/>
              </w:rPr>
              <w:t>配套</w:t>
            </w:r>
            <w:r>
              <w:rPr>
                <w:color w:val="auto"/>
                <w:highlight w:val="none"/>
              </w:rPr>
              <w:t>设置</w:t>
            </w:r>
            <w:r>
              <w:rPr>
                <w:rFonts w:hint="eastAsia"/>
                <w:color w:val="auto"/>
                <w:highlight w:val="none"/>
                <w:lang w:val="en-US" w:eastAsia="zh-CN"/>
              </w:rPr>
              <w:t>1个</w:t>
            </w:r>
            <w:r>
              <w:rPr>
                <w:color w:val="auto"/>
                <w:highlight w:val="none"/>
              </w:rPr>
              <w:t>柴油罐，柴油</w:t>
            </w:r>
            <w:r>
              <w:rPr>
                <w:rFonts w:hint="eastAsia"/>
                <w:color w:val="auto"/>
                <w:highlight w:val="none"/>
                <w:lang w:val="en-US" w:eastAsia="zh-CN"/>
              </w:rPr>
              <w:t>罐</w:t>
            </w:r>
            <w:r>
              <w:rPr>
                <w:color w:val="auto"/>
                <w:highlight w:val="none"/>
              </w:rPr>
              <w:t>的规格为</w:t>
            </w:r>
            <w:r>
              <w:rPr>
                <w:rFonts w:hint="eastAsia"/>
                <w:color w:val="auto"/>
                <w:highlight w:val="none"/>
                <w:lang w:val="en-US" w:eastAsia="zh-CN"/>
              </w:rPr>
              <w:t>3</w:t>
            </w:r>
            <w:r>
              <w:rPr>
                <w:color w:val="auto"/>
                <w:highlight w:val="none"/>
              </w:rPr>
              <w:t>00L，拟存放不大于</w:t>
            </w:r>
            <w:r>
              <w:rPr>
                <w:rFonts w:hint="eastAsia"/>
                <w:color w:val="auto"/>
                <w:highlight w:val="none"/>
                <w:lang w:val="en-US" w:eastAsia="zh-CN"/>
              </w:rPr>
              <w:t>5</w:t>
            </w:r>
            <w:r>
              <w:rPr>
                <w:color w:val="auto"/>
                <w:highlight w:val="none"/>
              </w:rPr>
              <w:t>m</w:t>
            </w:r>
            <w:r>
              <w:rPr>
                <w:color w:val="auto"/>
                <w:highlight w:val="none"/>
                <w:vertAlign w:val="superscript"/>
              </w:rPr>
              <w:t>3</w:t>
            </w:r>
            <w:r>
              <w:rPr>
                <w:color w:val="auto"/>
                <w:highlight w:val="none"/>
              </w:rPr>
              <w:t>的柴油，满足8小时的应急供电需求。</w:t>
            </w:r>
          </w:p>
          <w:p>
            <w:pPr>
              <w:spacing w:line="360" w:lineRule="auto"/>
              <w:ind w:firstLine="420" w:firstLineChars="200"/>
              <w:rPr>
                <w:rFonts w:hint="eastAsia" w:eastAsia="宋体"/>
                <w:color w:val="auto"/>
                <w:kern w:val="0"/>
                <w:szCs w:val="21"/>
                <w:highlight w:val="none"/>
                <w:lang w:eastAsia="zh-CN"/>
              </w:rPr>
            </w:pPr>
            <w:r>
              <w:rPr>
                <w:color w:val="auto"/>
                <w:kern w:val="0"/>
                <w:szCs w:val="21"/>
                <w:highlight w:val="none"/>
              </w:rPr>
              <w:t>8.</w:t>
            </w:r>
            <w:r>
              <w:rPr>
                <w:rFonts w:hint="eastAsia"/>
                <w:color w:val="auto"/>
                <w:kern w:val="0"/>
                <w:szCs w:val="21"/>
                <w:highlight w:val="none"/>
                <w:lang w:val="en-US" w:eastAsia="zh-CN"/>
              </w:rPr>
              <w:t>3</w:t>
            </w:r>
            <w:r>
              <w:rPr>
                <w:color w:val="auto"/>
                <w:kern w:val="0"/>
                <w:szCs w:val="21"/>
                <w:highlight w:val="none"/>
              </w:rPr>
              <w:t>供</w:t>
            </w:r>
            <w:r>
              <w:rPr>
                <w:rFonts w:hint="eastAsia"/>
                <w:color w:val="auto"/>
                <w:kern w:val="0"/>
                <w:szCs w:val="21"/>
                <w:highlight w:val="none"/>
                <w:lang w:val="en-US" w:eastAsia="zh-CN"/>
              </w:rPr>
              <w:t>气</w:t>
            </w:r>
          </w:p>
          <w:p>
            <w:pPr>
              <w:autoSpaceDE w:val="0"/>
              <w:autoSpaceDN w:val="0"/>
              <w:adjustRightInd w:val="0"/>
              <w:snapToGrid w:val="0"/>
              <w:spacing w:line="360" w:lineRule="auto"/>
              <w:ind w:firstLine="420" w:firstLineChars="200"/>
              <w:jc w:val="left"/>
              <w:rPr>
                <w:b/>
                <w:color w:val="auto"/>
                <w:kern w:val="0"/>
                <w:szCs w:val="21"/>
                <w:highlight w:val="none"/>
              </w:rPr>
            </w:pPr>
            <w:r>
              <w:rPr>
                <w:rFonts w:hint="eastAsia"/>
                <w:color w:val="auto"/>
                <w:highlight w:val="none"/>
              </w:rPr>
              <w:t>本项目</w:t>
            </w:r>
            <w:r>
              <w:rPr>
                <w:color w:val="auto"/>
                <w:highlight w:val="none"/>
              </w:rPr>
              <w:t>天然气用气主要为食堂用气，</w:t>
            </w:r>
            <w:r>
              <w:rPr>
                <w:rFonts w:hint="eastAsia"/>
                <w:color w:val="auto"/>
                <w:highlight w:val="none"/>
                <w:lang w:val="en-US" w:eastAsia="zh-CN"/>
              </w:rPr>
              <w:t xml:space="preserve">本项目餐厅最多可容纳220人就餐，根据《燃气工程技术手册》，人均用餐用气指标 </w:t>
            </w:r>
            <w:r>
              <w:rPr>
                <w:rFonts w:hint="default"/>
                <w:color w:val="auto"/>
                <w:highlight w:val="none"/>
                <w:lang w:val="en-US" w:eastAsia="zh-CN"/>
              </w:rPr>
              <w:t>0.1Nm</w:t>
            </w:r>
            <w:r>
              <w:rPr>
                <w:rFonts w:hint="default"/>
                <w:color w:val="auto"/>
                <w:highlight w:val="none"/>
                <w:vertAlign w:val="superscript"/>
                <w:lang w:val="en-US" w:eastAsia="zh-CN"/>
              </w:rPr>
              <w:t>3</w:t>
            </w:r>
            <w:r>
              <w:rPr>
                <w:rFonts w:hint="eastAsia"/>
                <w:color w:val="auto"/>
                <w:highlight w:val="none"/>
                <w:lang w:val="en-US" w:eastAsia="zh-CN"/>
              </w:rPr>
              <w:t>/</w:t>
            </w:r>
            <w:r>
              <w:rPr>
                <w:rFonts w:hint="default"/>
                <w:color w:val="auto"/>
                <w:highlight w:val="none"/>
                <w:lang w:val="en-US" w:eastAsia="zh-CN"/>
              </w:rPr>
              <w:t>(d·</w:t>
            </w:r>
            <w:r>
              <w:rPr>
                <w:rFonts w:hint="eastAsia"/>
                <w:color w:val="auto"/>
                <w:highlight w:val="none"/>
                <w:lang w:val="en-US" w:eastAsia="zh-CN"/>
              </w:rPr>
              <w:t>人</w:t>
            </w:r>
            <w:r>
              <w:rPr>
                <w:rFonts w:hint="default"/>
                <w:color w:val="auto"/>
                <w:highlight w:val="none"/>
                <w:lang w:val="en-US" w:eastAsia="zh-CN"/>
              </w:rPr>
              <w:t>)</w:t>
            </w:r>
            <w:r>
              <w:rPr>
                <w:rFonts w:hint="eastAsia"/>
                <w:color w:val="auto"/>
                <w:highlight w:val="none"/>
                <w:lang w:val="en-US" w:eastAsia="zh-CN"/>
              </w:rPr>
              <w:t>，则天然气用气量约为22</w:t>
            </w:r>
            <w:r>
              <w:rPr>
                <w:rFonts w:hint="default"/>
                <w:color w:val="auto"/>
                <w:highlight w:val="none"/>
                <w:lang w:val="en-US" w:eastAsia="zh-CN"/>
              </w:rPr>
              <w:t>m</w:t>
            </w:r>
            <w:r>
              <w:rPr>
                <w:rFonts w:hint="default"/>
                <w:color w:val="auto"/>
                <w:highlight w:val="none"/>
                <w:vertAlign w:val="superscript"/>
                <w:lang w:val="en-US" w:eastAsia="zh-CN"/>
              </w:rPr>
              <w:t>3</w:t>
            </w:r>
            <w:r>
              <w:rPr>
                <w:rFonts w:hint="default"/>
                <w:color w:val="auto"/>
                <w:highlight w:val="none"/>
                <w:lang w:val="en-US" w:eastAsia="zh-CN"/>
              </w:rPr>
              <w:t xml:space="preserve"> /d</w:t>
            </w:r>
            <w:r>
              <w:rPr>
                <w:rFonts w:hint="eastAsia"/>
                <w:color w:val="auto"/>
                <w:highlight w:val="none"/>
                <w:lang w:val="en-US" w:eastAsia="zh-CN"/>
              </w:rPr>
              <w:t xml:space="preserve">，餐厅运行每年按 </w:t>
            </w:r>
            <w:r>
              <w:rPr>
                <w:rFonts w:hint="default"/>
                <w:color w:val="auto"/>
                <w:highlight w:val="none"/>
                <w:lang w:val="en-US" w:eastAsia="zh-CN"/>
              </w:rPr>
              <w:t xml:space="preserve">365 </w:t>
            </w:r>
            <w:r>
              <w:rPr>
                <w:rFonts w:hint="eastAsia"/>
                <w:color w:val="auto"/>
                <w:highlight w:val="none"/>
                <w:lang w:val="en-US" w:eastAsia="zh-CN"/>
              </w:rPr>
              <w:t>天计算，年天然气用量约为8030</w:t>
            </w:r>
            <w:r>
              <w:rPr>
                <w:rFonts w:hint="default"/>
                <w:color w:val="auto"/>
                <w:highlight w:val="none"/>
                <w:lang w:val="en-US" w:eastAsia="zh-CN"/>
              </w:rPr>
              <w:t>m</w:t>
            </w:r>
            <w:r>
              <w:rPr>
                <w:rFonts w:hint="default"/>
                <w:color w:val="auto"/>
                <w:highlight w:val="none"/>
                <w:vertAlign w:val="superscript"/>
                <w:lang w:val="en-US" w:eastAsia="zh-CN"/>
              </w:rPr>
              <w:t xml:space="preserve">3 </w:t>
            </w:r>
            <w:r>
              <w:rPr>
                <w:rFonts w:hint="default"/>
                <w:color w:val="auto"/>
                <w:highlight w:val="none"/>
                <w:lang w:val="en-US" w:eastAsia="zh-CN"/>
              </w:rPr>
              <w:t>/a</w:t>
            </w:r>
            <w:r>
              <w:rPr>
                <w:rFonts w:hint="eastAsia"/>
                <w:color w:val="auto"/>
                <w:highlight w:val="none"/>
                <w:lang w:val="en-US" w:eastAsia="zh-CN"/>
              </w:rPr>
              <w:t>。</w:t>
            </w:r>
          </w:p>
          <w:p>
            <w:pPr>
              <w:spacing w:line="360" w:lineRule="auto"/>
              <w:ind w:firstLine="420" w:firstLineChars="200"/>
              <w:rPr>
                <w:rFonts w:hint="eastAsia" w:eastAsia="宋体"/>
                <w:color w:val="auto"/>
                <w:kern w:val="0"/>
                <w:szCs w:val="21"/>
                <w:highlight w:val="none"/>
                <w:lang w:eastAsia="zh-CN"/>
              </w:rPr>
            </w:pPr>
            <w:r>
              <w:rPr>
                <w:color w:val="auto"/>
                <w:kern w:val="0"/>
                <w:szCs w:val="21"/>
                <w:highlight w:val="none"/>
              </w:rPr>
              <w:t>8.</w:t>
            </w:r>
            <w:r>
              <w:rPr>
                <w:rFonts w:hint="eastAsia"/>
                <w:color w:val="auto"/>
                <w:kern w:val="0"/>
                <w:szCs w:val="21"/>
                <w:highlight w:val="none"/>
                <w:lang w:val="en-US" w:eastAsia="zh-CN"/>
              </w:rPr>
              <w:t>3</w:t>
            </w:r>
            <w:r>
              <w:rPr>
                <w:color w:val="auto"/>
                <w:kern w:val="0"/>
                <w:szCs w:val="21"/>
                <w:highlight w:val="none"/>
              </w:rPr>
              <w:t>供</w:t>
            </w:r>
            <w:r>
              <w:rPr>
                <w:rFonts w:hint="eastAsia"/>
                <w:color w:val="auto"/>
                <w:kern w:val="0"/>
                <w:szCs w:val="21"/>
                <w:highlight w:val="none"/>
                <w:lang w:val="en-US" w:eastAsia="zh-CN"/>
              </w:rPr>
              <w:t>氧</w:t>
            </w:r>
          </w:p>
          <w:p>
            <w:pPr>
              <w:autoSpaceDE w:val="0"/>
              <w:autoSpaceDN w:val="0"/>
              <w:adjustRightInd w:val="0"/>
              <w:snapToGrid w:val="0"/>
              <w:spacing w:line="360" w:lineRule="auto"/>
              <w:ind w:firstLine="420" w:firstLineChars="200"/>
              <w:jc w:val="left"/>
              <w:rPr>
                <w:b/>
                <w:color w:val="auto"/>
                <w:kern w:val="0"/>
                <w:szCs w:val="21"/>
                <w:highlight w:val="none"/>
              </w:rPr>
            </w:pPr>
            <w:r>
              <w:rPr>
                <w:rFonts w:hint="eastAsia"/>
                <w:color w:val="auto"/>
                <w:highlight w:val="none"/>
              </w:rPr>
              <w:t>本项目</w:t>
            </w:r>
            <w:r>
              <w:rPr>
                <w:color w:val="auto"/>
                <w:highlight w:val="none"/>
              </w:rPr>
              <w:t>在</w:t>
            </w:r>
            <w:r>
              <w:rPr>
                <w:rFonts w:hint="eastAsia"/>
                <w:color w:val="auto"/>
                <w:highlight w:val="none"/>
                <w:lang w:val="en-US" w:eastAsia="zh-CN"/>
              </w:rPr>
              <w:t>院区西侧</w:t>
            </w:r>
            <w:r>
              <w:rPr>
                <w:color w:val="auto"/>
                <w:highlight w:val="none"/>
              </w:rPr>
              <w:t>设液氧站一座，并设置全自动切换氧气汇流排一套作为专用管路的紧急备用气源。氧气由储罐（</w:t>
            </w:r>
            <w:r>
              <w:rPr>
                <w:rFonts w:hint="eastAsia"/>
                <w:color w:val="auto"/>
                <w:highlight w:val="none"/>
                <w:lang w:val="en-US" w:eastAsia="zh-CN"/>
              </w:rPr>
              <w:t>20</w:t>
            </w:r>
            <w:r>
              <w:rPr>
                <w:color w:val="auto"/>
                <w:highlight w:val="none"/>
              </w:rPr>
              <w:t>m</w:t>
            </w:r>
            <w:r>
              <w:rPr>
                <w:color w:val="auto"/>
                <w:highlight w:val="none"/>
                <w:vertAlign w:val="superscript"/>
              </w:rPr>
              <w:t>3</w:t>
            </w:r>
            <w:r>
              <w:rPr>
                <w:color w:val="auto"/>
                <w:highlight w:val="none"/>
              </w:rPr>
              <w:t>储罐</w:t>
            </w:r>
            <w:r>
              <w:rPr>
                <w:rFonts w:hint="eastAsia"/>
                <w:color w:val="auto"/>
                <w:highlight w:val="none"/>
                <w:lang w:val="en-US" w:eastAsia="zh-CN"/>
              </w:rPr>
              <w:t>1</w:t>
            </w:r>
            <w:r>
              <w:rPr>
                <w:color w:val="auto"/>
                <w:highlight w:val="none"/>
              </w:rPr>
              <w:t>个）与氧气汇流排分别接出氧气管道进入分气缸，再由分气缸接出各个支管到各用气点。</w:t>
            </w:r>
          </w:p>
          <w:p>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8.4</w:t>
            </w:r>
            <w:r>
              <w:rPr>
                <w:rFonts w:hint="eastAsia" w:ascii="Times New Roman" w:hAnsi="Times New Roman" w:eastAsia="宋体" w:cs="Times New Roman"/>
                <w:color w:val="auto"/>
                <w:highlight w:val="none"/>
              </w:rPr>
              <w:t>供</w:t>
            </w:r>
            <w:r>
              <w:rPr>
                <w:rFonts w:hint="eastAsia" w:ascii="Times New Roman" w:hAnsi="Times New Roman" w:eastAsia="宋体" w:cs="Times New Roman"/>
                <w:color w:val="auto"/>
                <w:highlight w:val="none"/>
                <w:lang w:val="en-US" w:eastAsia="zh-CN"/>
              </w:rPr>
              <w:t>热、冷</w:t>
            </w:r>
          </w:p>
          <w:p>
            <w:pPr>
              <w:autoSpaceDE w:val="0"/>
              <w:autoSpaceDN w:val="0"/>
              <w:adjustRightInd w:val="0"/>
              <w:snapToGrid w:val="0"/>
              <w:spacing w:line="360" w:lineRule="auto"/>
              <w:ind w:firstLine="420" w:firstLineChars="200"/>
              <w:jc w:val="left"/>
              <w:rPr>
                <w:rFonts w:hint="eastAsia" w:ascii="Times New Roman" w:hAnsi="Times New Roman" w:eastAsia="宋体" w:cs="Times New Roman"/>
                <w:color w:val="auto"/>
                <w:highlight w:val="none"/>
                <w:lang w:eastAsia="zh-CN"/>
              </w:rPr>
            </w:pPr>
            <w:r>
              <w:rPr>
                <w:color w:val="auto"/>
                <w:kern w:val="0"/>
                <w:highlight w:val="none"/>
              </w:rPr>
              <w:t>冬季供暖接自市政供热管网，</w:t>
            </w:r>
            <w:r>
              <w:rPr>
                <w:rFonts w:hint="eastAsia"/>
                <w:color w:val="auto"/>
                <w:highlight w:val="none"/>
              </w:rPr>
              <w:t>本项目</w:t>
            </w:r>
            <w:r>
              <w:rPr>
                <w:color w:val="auto"/>
                <w:highlight w:val="none"/>
              </w:rPr>
              <w:t>夏季制冷采用空调系统</w:t>
            </w:r>
            <w:r>
              <w:rPr>
                <w:rFonts w:hint="eastAsia"/>
                <w:color w:val="auto"/>
                <w:highlight w:val="none"/>
                <w:lang w:eastAsia="zh-CN"/>
              </w:rPr>
              <w:t>。</w:t>
            </w:r>
          </w:p>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9、总平面布置</w:t>
            </w:r>
          </w:p>
          <w:p>
            <w:pPr>
              <w:autoSpaceDE w:val="0"/>
              <w:autoSpaceDN w:val="0"/>
              <w:adjustRightInd w:val="0"/>
              <w:snapToGrid w:val="0"/>
              <w:spacing w:line="360" w:lineRule="auto"/>
              <w:ind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本项目主要建设一座12层的综合楼，整个院区设置2个车行出入口，分别位于西北侧及南侧。综合楼位于院区中部，液氧站位于西北侧车行入口处，污水处理站为位于院区西北角处为地下建筑，危废间位于综合楼-1F层东北角，地库设置西北、西南、东南三个出入口，停车场位于-2层。</w:t>
            </w:r>
          </w:p>
          <w:p>
            <w:pPr>
              <w:autoSpaceDE w:val="0"/>
              <w:autoSpaceDN w:val="0"/>
              <w:adjustRightInd w:val="0"/>
              <w:snapToGri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lang w:eastAsia="zh-CN"/>
              </w:rPr>
              <w:t>（</w:t>
            </w:r>
            <w:r>
              <w:rPr>
                <w:rFonts w:hint="eastAsia"/>
                <w:color w:val="auto"/>
                <w:kern w:val="0"/>
                <w:szCs w:val="21"/>
                <w:highlight w:val="none"/>
                <w:lang w:val="en-US" w:eastAsia="zh-CN"/>
              </w:rPr>
              <w:t>1</w:t>
            </w:r>
            <w:r>
              <w:rPr>
                <w:rFonts w:hint="eastAsia"/>
                <w:color w:val="auto"/>
                <w:kern w:val="0"/>
                <w:szCs w:val="21"/>
                <w:highlight w:val="none"/>
                <w:lang w:eastAsia="zh-CN"/>
              </w:rPr>
              <w:t>）</w:t>
            </w:r>
            <w:r>
              <w:rPr>
                <w:rFonts w:hint="eastAsia"/>
                <w:color w:val="auto"/>
                <w:kern w:val="0"/>
                <w:szCs w:val="21"/>
                <w:highlight w:val="none"/>
              </w:rPr>
              <w:t>建筑内部设置合理性本项目的设计符合现代科学医疗理念的同时，卫生院的总体布局中，充分考虑</w:t>
            </w:r>
            <w:r>
              <w:rPr>
                <w:color w:val="auto"/>
                <w:kern w:val="0"/>
                <w:szCs w:val="21"/>
                <w:highlight w:val="none"/>
              </w:rPr>
              <w:t>。</w:t>
            </w:r>
            <w:r>
              <w:rPr>
                <w:rFonts w:hint="eastAsia"/>
                <w:color w:val="auto"/>
                <w:kern w:val="0"/>
                <w:szCs w:val="21"/>
                <w:highlight w:val="none"/>
              </w:rPr>
              <w:t>病属、陪护人员、医务人员及其他工作人员的需求，满足医疗、生活、服务、交流、休息等多方面的建筑空间布局。</w:t>
            </w:r>
          </w:p>
          <w:p>
            <w:pPr>
              <w:autoSpaceDE w:val="0"/>
              <w:autoSpaceDN w:val="0"/>
              <w:adjustRightInd w:val="0"/>
              <w:snapToGri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rPr>
              <w:t>“医一患”分流</w:t>
            </w:r>
          </w:p>
          <w:p>
            <w:pPr>
              <w:autoSpaceDE w:val="0"/>
              <w:autoSpaceDN w:val="0"/>
              <w:adjustRightInd w:val="0"/>
              <w:snapToGrid w:val="0"/>
              <w:spacing w:line="360" w:lineRule="auto"/>
              <w:ind w:firstLine="420" w:firstLineChars="200"/>
              <w:jc w:val="left"/>
              <w:rPr>
                <w:rFonts w:hint="eastAsia"/>
                <w:color w:val="auto"/>
                <w:kern w:val="0"/>
                <w:szCs w:val="21"/>
                <w:highlight w:val="none"/>
                <w:lang w:eastAsia="zh-CN"/>
              </w:rPr>
            </w:pPr>
            <w:r>
              <w:rPr>
                <w:rFonts w:hint="eastAsia"/>
                <w:color w:val="auto"/>
                <w:kern w:val="0"/>
                <w:szCs w:val="21"/>
                <w:highlight w:val="none"/>
              </w:rPr>
              <w:t>医护人员与患者人流适当分开，在门诊中，医护人员有单独的更衣室，医技科室中，医护人员有专用的工作走廊，护理单元中，医护人员有独立的工作区域，减少医患交叉</w:t>
            </w:r>
            <w:r>
              <w:rPr>
                <w:rFonts w:hint="eastAsia"/>
                <w:color w:val="auto"/>
                <w:kern w:val="0"/>
                <w:szCs w:val="21"/>
                <w:highlight w:val="none"/>
                <w:lang w:eastAsia="zh-CN"/>
              </w:rPr>
              <w:t>，</w:t>
            </w:r>
            <w:r>
              <w:rPr>
                <w:rFonts w:hint="eastAsia"/>
                <w:color w:val="auto"/>
                <w:kern w:val="0"/>
                <w:szCs w:val="21"/>
                <w:highlight w:val="none"/>
              </w:rPr>
              <w:t>改善医疗环境</w:t>
            </w:r>
            <w:r>
              <w:rPr>
                <w:rFonts w:hint="eastAsia"/>
                <w:color w:val="auto"/>
                <w:kern w:val="0"/>
                <w:szCs w:val="21"/>
                <w:highlight w:val="none"/>
                <w:lang w:eastAsia="zh-CN"/>
              </w:rPr>
              <w:t>；</w:t>
            </w:r>
          </w:p>
          <w:p>
            <w:pPr>
              <w:autoSpaceDE w:val="0"/>
              <w:autoSpaceDN w:val="0"/>
              <w:adjustRightInd w:val="0"/>
              <w:snapToGri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rPr>
              <w:t>“患患”分流</w:t>
            </w:r>
          </w:p>
          <w:p>
            <w:pPr>
              <w:autoSpaceDE w:val="0"/>
              <w:autoSpaceDN w:val="0"/>
              <w:adjustRightInd w:val="0"/>
              <w:snapToGrid w:val="0"/>
              <w:spacing w:line="360" w:lineRule="auto"/>
              <w:ind w:firstLine="420" w:firstLineChars="200"/>
              <w:jc w:val="left"/>
              <w:rPr>
                <w:rFonts w:hint="eastAsia"/>
                <w:color w:val="auto"/>
                <w:kern w:val="0"/>
                <w:szCs w:val="21"/>
                <w:highlight w:val="none"/>
                <w:lang w:eastAsia="zh-CN"/>
              </w:rPr>
            </w:pPr>
            <w:r>
              <w:rPr>
                <w:rFonts w:hint="eastAsia"/>
                <w:color w:val="auto"/>
                <w:kern w:val="0"/>
                <w:szCs w:val="21"/>
                <w:highlight w:val="none"/>
              </w:rPr>
              <w:t>不同疾病的患者，具有不同的特点，所需的医疗服务也不同，分专科设置医疗中心，使不同病种的患者得到更专业、更有效的治疗，减少患者之间的交叉感染，提高医疗效果</w:t>
            </w:r>
            <w:r>
              <w:rPr>
                <w:rFonts w:hint="eastAsia"/>
                <w:color w:val="auto"/>
                <w:kern w:val="0"/>
                <w:szCs w:val="21"/>
                <w:highlight w:val="none"/>
                <w:lang w:eastAsia="zh-CN"/>
              </w:rPr>
              <w:t>；</w:t>
            </w:r>
          </w:p>
          <w:p>
            <w:pPr>
              <w:autoSpaceDE w:val="0"/>
              <w:autoSpaceDN w:val="0"/>
              <w:adjustRightInd w:val="0"/>
              <w:snapToGri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lang w:eastAsia="zh-CN"/>
              </w:rPr>
              <w:t>（</w:t>
            </w:r>
            <w:r>
              <w:rPr>
                <w:rFonts w:hint="eastAsia"/>
                <w:color w:val="auto"/>
                <w:kern w:val="0"/>
                <w:szCs w:val="21"/>
                <w:highlight w:val="none"/>
                <w:lang w:val="en-US" w:eastAsia="zh-CN"/>
              </w:rPr>
              <w:t>2</w:t>
            </w:r>
            <w:r>
              <w:rPr>
                <w:rFonts w:hint="eastAsia"/>
                <w:color w:val="auto"/>
                <w:kern w:val="0"/>
                <w:szCs w:val="21"/>
                <w:highlight w:val="none"/>
                <w:lang w:eastAsia="zh-CN"/>
              </w:rPr>
              <w:t>）</w:t>
            </w:r>
            <w:r>
              <w:rPr>
                <w:rFonts w:hint="eastAsia"/>
                <w:color w:val="auto"/>
                <w:kern w:val="0"/>
                <w:szCs w:val="21"/>
                <w:highlight w:val="none"/>
              </w:rPr>
              <w:t>交通组织方案</w:t>
            </w:r>
          </w:p>
          <w:p>
            <w:pPr>
              <w:autoSpaceDE w:val="0"/>
              <w:autoSpaceDN w:val="0"/>
              <w:adjustRightInd w:val="0"/>
              <w:snapToGri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rPr>
              <w:t>医院设置步行平台，患者、医护人员及探视人群可以通过无障碍的通道到达每一个医疗的空间。</w:t>
            </w:r>
          </w:p>
          <w:p>
            <w:pPr>
              <w:autoSpaceDE w:val="0"/>
              <w:autoSpaceDN w:val="0"/>
              <w:adjustRightInd w:val="0"/>
              <w:snapToGri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lang w:eastAsia="zh-CN"/>
              </w:rPr>
              <w:t>（</w:t>
            </w:r>
            <w:r>
              <w:rPr>
                <w:rFonts w:hint="eastAsia"/>
                <w:color w:val="auto"/>
                <w:kern w:val="0"/>
                <w:szCs w:val="21"/>
                <w:highlight w:val="none"/>
                <w:lang w:val="en-US" w:eastAsia="zh-CN"/>
              </w:rPr>
              <w:t>3</w:t>
            </w:r>
            <w:r>
              <w:rPr>
                <w:rFonts w:hint="eastAsia"/>
                <w:color w:val="auto"/>
                <w:kern w:val="0"/>
                <w:szCs w:val="21"/>
                <w:highlight w:val="none"/>
                <w:lang w:eastAsia="zh-CN"/>
              </w:rPr>
              <w:t>）</w:t>
            </w:r>
            <w:r>
              <w:rPr>
                <w:rFonts w:hint="eastAsia"/>
                <w:color w:val="auto"/>
                <w:kern w:val="0"/>
                <w:szCs w:val="21"/>
                <w:highlight w:val="none"/>
              </w:rPr>
              <w:t>环保设施布局的合理性</w:t>
            </w:r>
          </w:p>
          <w:p>
            <w:pPr>
              <w:autoSpaceDE w:val="0"/>
              <w:autoSpaceDN w:val="0"/>
              <w:adjustRightInd w:val="0"/>
              <w:snapToGri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rPr>
              <w:t>单独设置医疗废物暂存间，用于暂存未及时运出的医疗废物，该暂存间为独立房间，在场地有限的情况下，尽量保障了对病房、办公区的环境卫生影响。</w:t>
            </w:r>
          </w:p>
          <w:p>
            <w:pPr>
              <w:autoSpaceDE w:val="0"/>
              <w:autoSpaceDN w:val="0"/>
              <w:adjustRightInd w:val="0"/>
              <w:snapToGrid w:val="0"/>
              <w:spacing w:line="360" w:lineRule="auto"/>
              <w:ind w:firstLine="420" w:firstLineChars="200"/>
              <w:jc w:val="left"/>
              <w:rPr>
                <w:rFonts w:hint="eastAsia"/>
                <w:color w:val="auto"/>
                <w:kern w:val="0"/>
                <w:szCs w:val="21"/>
                <w:highlight w:val="none"/>
              </w:rPr>
            </w:pPr>
            <w:r>
              <w:rPr>
                <w:rFonts w:hint="eastAsia"/>
                <w:color w:val="auto"/>
                <w:kern w:val="0"/>
                <w:szCs w:val="21"/>
                <w:highlight w:val="none"/>
              </w:rPr>
              <w:t>单独设置污水处理站，</w:t>
            </w:r>
            <w:r>
              <w:rPr>
                <w:rFonts w:hint="default"/>
                <w:color w:val="auto"/>
                <w:kern w:val="0"/>
                <w:szCs w:val="21"/>
                <w:highlight w:val="none"/>
                <w:lang w:val="en-US" w:eastAsia="zh-CN"/>
              </w:rPr>
              <w:t>污水处理站设计处理能力为</w:t>
            </w:r>
            <w:r>
              <w:rPr>
                <w:rFonts w:hint="eastAsia"/>
                <w:color w:val="auto"/>
                <w:kern w:val="0"/>
                <w:szCs w:val="21"/>
                <w:highlight w:val="none"/>
                <w:lang w:val="en-US" w:eastAsia="zh-CN"/>
              </w:rPr>
              <w:t>200</w:t>
            </w:r>
            <w:r>
              <w:rPr>
                <w:rFonts w:hint="default"/>
                <w:color w:val="auto"/>
                <w:kern w:val="0"/>
                <w:szCs w:val="21"/>
                <w:highlight w:val="none"/>
                <w:lang w:val="en-US" w:eastAsia="zh-CN"/>
              </w:rPr>
              <w:t>m</w:t>
            </w:r>
            <w:r>
              <w:rPr>
                <w:rFonts w:hint="default"/>
                <w:color w:val="auto"/>
                <w:kern w:val="0"/>
                <w:szCs w:val="21"/>
                <w:highlight w:val="none"/>
                <w:vertAlign w:val="superscript"/>
                <w:lang w:val="en-US" w:eastAsia="zh-CN"/>
              </w:rPr>
              <w:t>3</w:t>
            </w:r>
            <w:r>
              <w:rPr>
                <w:rFonts w:hint="default"/>
                <w:color w:val="auto"/>
                <w:kern w:val="0"/>
                <w:szCs w:val="21"/>
                <w:highlight w:val="none"/>
                <w:lang w:val="en-US" w:eastAsia="zh-CN"/>
              </w:rPr>
              <w:t>/d，完全可以满足项目要求</w:t>
            </w:r>
            <w:r>
              <w:rPr>
                <w:rFonts w:hint="eastAsia"/>
                <w:color w:val="auto"/>
                <w:kern w:val="0"/>
                <w:szCs w:val="21"/>
                <w:highlight w:val="none"/>
              </w:rPr>
              <w:t>，污水处理站水泵布置在专门的设备用房内，通过机房隔声后，到达室外时其噪声影响</w:t>
            </w:r>
            <w:r>
              <w:rPr>
                <w:rFonts w:hint="eastAsia"/>
                <w:color w:val="auto"/>
                <w:kern w:val="0"/>
                <w:szCs w:val="21"/>
                <w:highlight w:val="none"/>
                <w:lang w:val="en-US" w:eastAsia="zh-CN"/>
              </w:rPr>
              <w:t>可减小</w:t>
            </w:r>
            <w:r>
              <w:rPr>
                <w:rFonts w:hint="eastAsia"/>
                <w:color w:val="auto"/>
                <w:kern w:val="0"/>
                <w:szCs w:val="21"/>
                <w:highlight w:val="none"/>
              </w:rPr>
              <w:t>。</w:t>
            </w:r>
          </w:p>
          <w:p>
            <w:pPr>
              <w:autoSpaceDE w:val="0"/>
              <w:autoSpaceDN w:val="0"/>
              <w:adjustRightInd w:val="0"/>
              <w:snapToGrid w:val="0"/>
              <w:spacing w:line="360" w:lineRule="auto"/>
              <w:ind w:firstLine="420" w:firstLineChars="200"/>
              <w:jc w:val="left"/>
              <w:rPr>
                <w:color w:val="auto"/>
                <w:kern w:val="0"/>
                <w:szCs w:val="21"/>
                <w:highlight w:val="none"/>
              </w:rPr>
            </w:pPr>
            <w:r>
              <w:rPr>
                <w:rFonts w:hint="eastAsia"/>
                <w:color w:val="auto"/>
                <w:kern w:val="0"/>
                <w:szCs w:val="21"/>
                <w:highlight w:val="none"/>
              </w:rPr>
              <w:t>综上所述，项目总平面布置实现了病区分类设置原则，避免了其相互影响，公辅设施位置设计合理，项目总平面布置合理。</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项目具体布置情况见附图。</w:t>
            </w:r>
          </w:p>
          <w:p>
            <w:pPr>
              <w:autoSpaceDE w:val="0"/>
              <w:autoSpaceDN w:val="0"/>
              <w:adjustRightInd w:val="0"/>
              <w:snapToGrid w:val="0"/>
              <w:spacing w:line="360" w:lineRule="auto"/>
              <w:ind w:firstLine="422" w:firstLineChars="200"/>
              <w:jc w:val="left"/>
              <w:rPr>
                <w:b/>
                <w:color w:val="auto"/>
                <w:kern w:val="0"/>
                <w:szCs w:val="21"/>
                <w:highlight w:val="none"/>
              </w:rPr>
            </w:pPr>
            <w:r>
              <w:rPr>
                <w:b/>
                <w:color w:val="auto"/>
                <w:kern w:val="0"/>
                <w:szCs w:val="21"/>
                <w:highlight w:val="none"/>
              </w:rPr>
              <w:t>10、环保投资</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本项目总投资</w:t>
            </w:r>
            <w:r>
              <w:rPr>
                <w:rFonts w:hint="eastAsia"/>
                <w:color w:val="auto"/>
                <w:kern w:val="0"/>
                <w:szCs w:val="21"/>
                <w:highlight w:val="none"/>
                <w:lang w:val="en-US" w:eastAsia="zh-CN"/>
              </w:rPr>
              <w:t>66000</w:t>
            </w:r>
            <w:r>
              <w:rPr>
                <w:color w:val="auto"/>
                <w:kern w:val="0"/>
                <w:szCs w:val="21"/>
                <w:highlight w:val="none"/>
              </w:rPr>
              <w:t>万，环保投资</w:t>
            </w:r>
            <w:r>
              <w:rPr>
                <w:rFonts w:hint="eastAsia"/>
                <w:color w:val="auto"/>
                <w:kern w:val="0"/>
                <w:szCs w:val="21"/>
                <w:highlight w:val="none"/>
                <w:lang w:val="en-US" w:eastAsia="zh-CN"/>
              </w:rPr>
              <w:t>200</w:t>
            </w:r>
            <w:r>
              <w:rPr>
                <w:color w:val="auto"/>
                <w:kern w:val="0"/>
                <w:szCs w:val="21"/>
                <w:highlight w:val="none"/>
              </w:rPr>
              <w:t>万，占工程总投资的</w:t>
            </w:r>
            <w:r>
              <w:rPr>
                <w:rFonts w:hint="eastAsia"/>
                <w:color w:val="auto"/>
                <w:kern w:val="0"/>
                <w:szCs w:val="21"/>
                <w:highlight w:val="none"/>
                <w:lang w:val="en-US" w:eastAsia="zh-CN"/>
              </w:rPr>
              <w:t>0.3</w:t>
            </w:r>
            <w:r>
              <w:rPr>
                <w:color w:val="auto"/>
                <w:kern w:val="0"/>
                <w:szCs w:val="21"/>
                <w:highlight w:val="none"/>
              </w:rPr>
              <w:t>%，环保建设内容见下表。</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表2-</w:t>
            </w:r>
            <w:r>
              <w:rPr>
                <w:rFonts w:hint="eastAsia"/>
                <w:b/>
                <w:bCs/>
                <w:color w:val="auto"/>
                <w:kern w:val="0"/>
                <w:szCs w:val="21"/>
                <w:highlight w:val="none"/>
                <w:lang w:val="en-US" w:eastAsia="zh-CN"/>
              </w:rPr>
              <w:t>9</w:t>
            </w:r>
            <w:r>
              <w:rPr>
                <w:b/>
                <w:bCs/>
                <w:color w:val="auto"/>
                <w:kern w:val="0"/>
                <w:szCs w:val="21"/>
                <w:highlight w:val="none"/>
              </w:rPr>
              <w:t xml:space="preserve">  工程环保设施（措施）及投资估算一览表</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4"/>
              <w:gridCol w:w="899"/>
              <w:gridCol w:w="4471"/>
              <w:gridCol w:w="1309"/>
              <w:gridCol w:w="1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序号</w:t>
                  </w:r>
                </w:p>
              </w:tc>
              <w:tc>
                <w:tcPr>
                  <w:tcW w:w="8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项目名称</w:t>
                  </w:r>
                </w:p>
              </w:tc>
              <w:tc>
                <w:tcPr>
                  <w:tcW w:w="4472"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处理方式</w:t>
                  </w:r>
                </w:p>
              </w:tc>
              <w:tc>
                <w:tcPr>
                  <w:tcW w:w="130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投资（万元）</w:t>
                  </w:r>
                </w:p>
              </w:tc>
              <w:tc>
                <w:tcPr>
                  <w:tcW w:w="1076"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三同时进度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1</w:t>
                  </w:r>
                </w:p>
              </w:tc>
              <w:tc>
                <w:tcPr>
                  <w:tcW w:w="8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废气</w:t>
                  </w:r>
                </w:p>
              </w:tc>
              <w:tc>
                <w:tcPr>
                  <w:tcW w:w="4472"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color w:val="auto"/>
                      <w:sz w:val="18"/>
                      <w:szCs w:val="18"/>
                      <w:highlight w:val="none"/>
                    </w:rPr>
                    <w:t>采用地埋式污水站</w:t>
                  </w:r>
                  <w:r>
                    <w:rPr>
                      <w:rFonts w:hint="eastAsia"/>
                      <w:color w:val="auto"/>
                      <w:sz w:val="18"/>
                      <w:szCs w:val="18"/>
                      <w:highlight w:val="none"/>
                      <w:lang w:eastAsia="zh-CN"/>
                    </w:rPr>
                    <w:t>，</w:t>
                  </w:r>
                  <w:r>
                    <w:rPr>
                      <w:rFonts w:hint="eastAsia"/>
                      <w:color w:val="auto"/>
                      <w:sz w:val="18"/>
                      <w:szCs w:val="18"/>
                      <w:highlight w:val="none"/>
                      <w:lang w:val="en-US" w:eastAsia="zh-CN"/>
                    </w:rPr>
                    <w:t>废气经管线收集后通过一套生物除臭系统处理后通过一根15m的排气筒DA001有组织排放；食堂油烟通过油烟净化器处理后通过屋顶排气筒有组织排放</w:t>
                  </w:r>
                </w:p>
              </w:tc>
              <w:tc>
                <w:tcPr>
                  <w:tcW w:w="1309"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30</w:t>
                  </w:r>
                </w:p>
              </w:tc>
              <w:tc>
                <w:tcPr>
                  <w:tcW w:w="1076" w:type="dxa"/>
                  <w:vMerge w:val="restart"/>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与建设项目同时设计、同时施工、同时投产使用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2</w:t>
                  </w:r>
                </w:p>
              </w:tc>
              <w:tc>
                <w:tcPr>
                  <w:tcW w:w="8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噪声</w:t>
                  </w:r>
                </w:p>
              </w:tc>
              <w:tc>
                <w:tcPr>
                  <w:tcW w:w="4472"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隔声、减振</w:t>
                  </w:r>
                </w:p>
              </w:tc>
              <w:tc>
                <w:tcPr>
                  <w:tcW w:w="1309" w:type="dxa"/>
                  <w:vAlign w:val="center"/>
                </w:tcPr>
                <w:p>
                  <w:pPr>
                    <w:pStyle w:val="26"/>
                    <w:snapToGrid w:val="0"/>
                    <w:spacing w:before="24" w:after="24" w:line="240" w:lineRule="exact"/>
                    <w:ind w:left="0" w:leftChars="0" w:firstLine="0" w:firstLineChars="0"/>
                    <w:jc w:val="center"/>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076" w:type="dxa"/>
                  <w:vMerge w:val="continue"/>
                  <w:vAlign w:val="center"/>
                </w:tcPr>
                <w:p>
                  <w:pPr>
                    <w:jc w:val="center"/>
                    <w:textAlignment w:val="baseline"/>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3</w:t>
                  </w:r>
                </w:p>
              </w:tc>
              <w:tc>
                <w:tcPr>
                  <w:tcW w:w="8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固废</w:t>
                  </w:r>
                </w:p>
              </w:tc>
              <w:tc>
                <w:tcPr>
                  <w:tcW w:w="4472" w:type="dxa"/>
                  <w:vAlign w:val="center"/>
                </w:tcPr>
                <w:p>
                  <w:pPr>
                    <w:rPr>
                      <w:color w:val="auto"/>
                      <w:sz w:val="18"/>
                      <w:szCs w:val="18"/>
                      <w:highlight w:val="none"/>
                    </w:rPr>
                  </w:pPr>
                  <w:r>
                    <w:rPr>
                      <w:rFonts w:hint="eastAsia"/>
                      <w:color w:val="auto"/>
                      <w:sz w:val="18"/>
                      <w:szCs w:val="18"/>
                      <w:highlight w:val="none"/>
                      <w:lang w:val="en-US" w:eastAsia="zh-CN"/>
                    </w:rPr>
                    <w:t>综合楼</w:t>
                  </w:r>
                  <w:r>
                    <w:rPr>
                      <w:color w:val="auto"/>
                      <w:sz w:val="18"/>
                      <w:szCs w:val="18"/>
                      <w:highlight w:val="none"/>
                    </w:rPr>
                    <w:t>建</w:t>
                  </w:r>
                  <w:r>
                    <w:rPr>
                      <w:rFonts w:hint="eastAsia"/>
                      <w:color w:val="auto"/>
                      <w:sz w:val="18"/>
                      <w:szCs w:val="18"/>
                      <w:highlight w:val="none"/>
                      <w:lang w:val="en-US" w:eastAsia="zh-CN"/>
                    </w:rPr>
                    <w:t>-2</w:t>
                  </w:r>
                  <w:r>
                    <w:rPr>
                      <w:color w:val="auto"/>
                      <w:sz w:val="18"/>
                      <w:szCs w:val="18"/>
                      <w:highlight w:val="none"/>
                    </w:rPr>
                    <w:t>F</w:t>
                  </w:r>
                  <w:r>
                    <w:rPr>
                      <w:rFonts w:hint="eastAsia"/>
                      <w:color w:val="auto"/>
                      <w:sz w:val="18"/>
                      <w:szCs w:val="18"/>
                      <w:highlight w:val="none"/>
                      <w:lang w:val="en-US" w:eastAsia="zh-CN"/>
                    </w:rPr>
                    <w:t>层东北角建设一座一般固废暂存间，</w:t>
                  </w:r>
                  <w:r>
                    <w:rPr>
                      <w:color w:val="auto"/>
                      <w:sz w:val="18"/>
                      <w:szCs w:val="18"/>
                      <w:highlight w:val="none"/>
                    </w:rPr>
                    <w:t>筑面积约</w:t>
                  </w:r>
                  <w:r>
                    <w:rPr>
                      <w:rFonts w:hint="eastAsia"/>
                      <w:color w:val="auto"/>
                      <w:sz w:val="18"/>
                      <w:szCs w:val="18"/>
                      <w:highlight w:val="none"/>
                      <w:lang w:val="en-US" w:eastAsia="zh-CN"/>
                    </w:rPr>
                    <w:t>90</w:t>
                  </w:r>
                  <w:r>
                    <w:rPr>
                      <w:color w:val="auto"/>
                      <w:sz w:val="18"/>
                      <w:szCs w:val="18"/>
                      <w:highlight w:val="none"/>
                    </w:rPr>
                    <w:t xml:space="preserve"> m</w:t>
                  </w:r>
                  <w:r>
                    <w:rPr>
                      <w:color w:val="auto"/>
                      <w:sz w:val="18"/>
                      <w:szCs w:val="18"/>
                      <w:highlight w:val="none"/>
                      <w:vertAlign w:val="superscript"/>
                    </w:rPr>
                    <w:t>2</w:t>
                  </w:r>
                  <w:r>
                    <w:rPr>
                      <w:color w:val="auto"/>
                      <w:sz w:val="18"/>
                      <w:szCs w:val="18"/>
                      <w:highlight w:val="none"/>
                    </w:rPr>
                    <w:t>，用于一般固体废物贮存</w:t>
                  </w:r>
                  <w:r>
                    <w:rPr>
                      <w:rFonts w:hint="eastAsia"/>
                      <w:color w:val="auto"/>
                      <w:sz w:val="18"/>
                      <w:szCs w:val="18"/>
                      <w:highlight w:val="none"/>
                      <w:lang w:eastAsia="zh-CN"/>
                    </w:rPr>
                    <w:t>，</w:t>
                  </w:r>
                  <w:r>
                    <w:rPr>
                      <w:rFonts w:hint="eastAsia"/>
                      <w:color w:val="auto"/>
                      <w:sz w:val="18"/>
                      <w:szCs w:val="18"/>
                      <w:highlight w:val="none"/>
                      <w:lang w:val="en-US" w:eastAsia="zh-CN"/>
                    </w:rPr>
                    <w:t>并进行防渗处理；综合楼</w:t>
                  </w:r>
                  <w:r>
                    <w:rPr>
                      <w:color w:val="auto"/>
                      <w:sz w:val="18"/>
                      <w:szCs w:val="18"/>
                      <w:highlight w:val="none"/>
                    </w:rPr>
                    <w:t>建</w:t>
                  </w:r>
                  <w:r>
                    <w:rPr>
                      <w:rFonts w:hint="eastAsia"/>
                      <w:color w:val="auto"/>
                      <w:sz w:val="18"/>
                      <w:szCs w:val="18"/>
                      <w:highlight w:val="none"/>
                      <w:lang w:val="en-US" w:eastAsia="zh-CN"/>
                    </w:rPr>
                    <w:t>-1</w:t>
                  </w:r>
                  <w:r>
                    <w:rPr>
                      <w:color w:val="auto"/>
                      <w:sz w:val="18"/>
                      <w:szCs w:val="18"/>
                      <w:highlight w:val="none"/>
                    </w:rPr>
                    <w:t>F</w:t>
                  </w:r>
                  <w:r>
                    <w:rPr>
                      <w:rFonts w:hint="eastAsia"/>
                      <w:color w:val="auto"/>
                      <w:sz w:val="18"/>
                      <w:szCs w:val="18"/>
                      <w:highlight w:val="none"/>
                      <w:lang w:val="en-US" w:eastAsia="zh-CN"/>
                    </w:rPr>
                    <w:t>层东北角建设一座危险废物暂存间，</w:t>
                  </w:r>
                  <w:r>
                    <w:rPr>
                      <w:color w:val="auto"/>
                      <w:sz w:val="18"/>
                      <w:szCs w:val="18"/>
                      <w:highlight w:val="none"/>
                    </w:rPr>
                    <w:t>筑面积约</w:t>
                  </w:r>
                  <w:r>
                    <w:rPr>
                      <w:rFonts w:hint="eastAsia"/>
                      <w:color w:val="auto"/>
                      <w:sz w:val="18"/>
                      <w:szCs w:val="18"/>
                      <w:highlight w:val="none"/>
                      <w:lang w:val="en-US" w:eastAsia="zh-CN"/>
                    </w:rPr>
                    <w:t>70</w:t>
                  </w:r>
                  <w:r>
                    <w:rPr>
                      <w:color w:val="auto"/>
                      <w:sz w:val="18"/>
                      <w:szCs w:val="18"/>
                      <w:highlight w:val="none"/>
                    </w:rPr>
                    <w:t xml:space="preserve"> m</w:t>
                  </w:r>
                  <w:r>
                    <w:rPr>
                      <w:color w:val="auto"/>
                      <w:sz w:val="18"/>
                      <w:szCs w:val="18"/>
                      <w:highlight w:val="none"/>
                      <w:vertAlign w:val="superscript"/>
                    </w:rPr>
                    <w:t>2</w:t>
                  </w:r>
                  <w:r>
                    <w:rPr>
                      <w:color w:val="auto"/>
                      <w:sz w:val="18"/>
                      <w:szCs w:val="18"/>
                      <w:highlight w:val="none"/>
                    </w:rPr>
                    <w:t>，用于</w:t>
                  </w:r>
                  <w:r>
                    <w:rPr>
                      <w:rFonts w:hint="eastAsia"/>
                      <w:color w:val="auto"/>
                      <w:sz w:val="18"/>
                      <w:szCs w:val="18"/>
                      <w:highlight w:val="none"/>
                      <w:lang w:val="en-US" w:eastAsia="zh-CN"/>
                    </w:rPr>
                    <w:t>危险废物的</w:t>
                  </w:r>
                  <w:r>
                    <w:rPr>
                      <w:color w:val="auto"/>
                      <w:sz w:val="18"/>
                      <w:szCs w:val="18"/>
                      <w:highlight w:val="none"/>
                    </w:rPr>
                    <w:t>贮存</w:t>
                  </w:r>
                  <w:r>
                    <w:rPr>
                      <w:rFonts w:hint="eastAsia"/>
                      <w:color w:val="auto"/>
                      <w:sz w:val="18"/>
                      <w:szCs w:val="18"/>
                      <w:highlight w:val="none"/>
                      <w:lang w:eastAsia="zh-CN"/>
                    </w:rPr>
                    <w:t>，</w:t>
                  </w:r>
                  <w:r>
                    <w:rPr>
                      <w:rFonts w:hint="eastAsia"/>
                      <w:color w:val="auto"/>
                      <w:sz w:val="18"/>
                      <w:szCs w:val="18"/>
                      <w:highlight w:val="none"/>
                      <w:lang w:val="en-US" w:eastAsia="zh-CN"/>
                    </w:rPr>
                    <w:t>并进行防渗处理</w:t>
                  </w:r>
                </w:p>
              </w:tc>
              <w:tc>
                <w:tcPr>
                  <w:tcW w:w="1309"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40</w:t>
                  </w:r>
                </w:p>
              </w:tc>
              <w:tc>
                <w:tcPr>
                  <w:tcW w:w="1076" w:type="dxa"/>
                  <w:vMerge w:val="continue"/>
                  <w:vAlign w:val="center"/>
                </w:tcPr>
                <w:p>
                  <w:pPr>
                    <w:jc w:val="center"/>
                    <w:textAlignment w:val="baseline"/>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4</w:t>
                  </w:r>
                </w:p>
              </w:tc>
              <w:tc>
                <w:tcPr>
                  <w:tcW w:w="8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废水</w:t>
                  </w:r>
                </w:p>
              </w:tc>
              <w:tc>
                <w:tcPr>
                  <w:tcW w:w="4472"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地埋式污水处理站，处理能力为200m</w:t>
                  </w:r>
                  <w:r>
                    <w:rPr>
                      <w:rFonts w:hint="eastAsia"/>
                      <w:color w:val="auto"/>
                      <w:sz w:val="18"/>
                      <w:szCs w:val="18"/>
                      <w:highlight w:val="none"/>
                      <w:vertAlign w:val="superscript"/>
                      <w:lang w:val="en-US" w:eastAsia="zh-CN"/>
                    </w:rPr>
                    <w:t>3</w:t>
                  </w:r>
                  <w:r>
                    <w:rPr>
                      <w:rFonts w:hint="eastAsia"/>
                      <w:color w:val="auto"/>
                      <w:sz w:val="18"/>
                      <w:szCs w:val="18"/>
                      <w:highlight w:val="none"/>
                      <w:lang w:val="en-US" w:eastAsia="zh-CN"/>
                    </w:rPr>
                    <w:t>/d</w:t>
                  </w:r>
                </w:p>
              </w:tc>
              <w:tc>
                <w:tcPr>
                  <w:tcW w:w="1309"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125</w:t>
                  </w:r>
                </w:p>
              </w:tc>
              <w:tc>
                <w:tcPr>
                  <w:tcW w:w="1076" w:type="dxa"/>
                  <w:vMerge w:val="continue"/>
                  <w:vAlign w:val="center"/>
                </w:tcPr>
                <w:p>
                  <w:pPr>
                    <w:jc w:val="center"/>
                    <w:textAlignment w:val="baseline"/>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54"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5</w:t>
                  </w:r>
                </w:p>
              </w:tc>
              <w:tc>
                <w:tcPr>
                  <w:tcW w:w="899"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合计</w:t>
                  </w:r>
                </w:p>
              </w:tc>
              <w:tc>
                <w:tcPr>
                  <w:tcW w:w="4472" w:type="dxa"/>
                  <w:vAlign w:val="center"/>
                </w:tcPr>
                <w:p>
                  <w:pPr>
                    <w:pStyle w:val="26"/>
                    <w:snapToGrid w:val="0"/>
                    <w:spacing w:before="24" w:after="24" w:line="240" w:lineRule="exact"/>
                    <w:ind w:left="0" w:leftChars="0" w:firstLine="0" w:firstLineChars="0"/>
                    <w:jc w:val="center"/>
                    <w:rPr>
                      <w:color w:val="auto"/>
                      <w:sz w:val="18"/>
                      <w:szCs w:val="18"/>
                      <w:highlight w:val="none"/>
                    </w:rPr>
                  </w:pPr>
                  <w:r>
                    <w:rPr>
                      <w:color w:val="auto"/>
                      <w:sz w:val="18"/>
                      <w:szCs w:val="18"/>
                      <w:highlight w:val="none"/>
                    </w:rPr>
                    <w:t>--</w:t>
                  </w:r>
                </w:p>
              </w:tc>
              <w:tc>
                <w:tcPr>
                  <w:tcW w:w="1309" w:type="dxa"/>
                  <w:vAlign w:val="center"/>
                </w:tcPr>
                <w:p>
                  <w:pPr>
                    <w:pStyle w:val="26"/>
                    <w:snapToGrid w:val="0"/>
                    <w:spacing w:before="24" w:after="24" w:line="240" w:lineRule="exact"/>
                    <w:ind w:left="0" w:leftChars="0" w:firstLine="0" w:firstLineChars="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200</w:t>
                  </w:r>
                </w:p>
              </w:tc>
              <w:tc>
                <w:tcPr>
                  <w:tcW w:w="1076" w:type="dxa"/>
                  <w:vMerge w:val="continue"/>
                  <w:vAlign w:val="center"/>
                </w:tcPr>
                <w:p>
                  <w:pPr>
                    <w:jc w:val="center"/>
                    <w:textAlignment w:val="baseline"/>
                    <w:rPr>
                      <w:color w:val="auto"/>
                      <w:szCs w:val="21"/>
                      <w:highlight w:val="none"/>
                    </w:rPr>
                  </w:pPr>
                </w:p>
              </w:tc>
            </w:tr>
          </w:tbl>
          <w:p>
            <w:pPr>
              <w:adjustRightInd w:val="0"/>
              <w:snapToGrid w:val="0"/>
              <w:rPr>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 w:type="pct"/>
            <w:vAlign w:val="center"/>
          </w:tcPr>
          <w:p>
            <w:pPr>
              <w:pStyle w:val="22"/>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color w:val="auto"/>
                <w:sz w:val="21"/>
                <w:szCs w:val="21"/>
                <w:highlight w:val="none"/>
              </w:rPr>
              <w:t>工艺流程和产物环节</w:t>
            </w:r>
          </w:p>
          <w:p>
            <w:pPr>
              <w:pStyle w:val="22"/>
              <w:adjustRightInd w:val="0"/>
              <w:snapToGrid w:val="0"/>
              <w:spacing w:before="0" w:beforeAutospacing="0" w:after="0" w:afterAutospacing="0"/>
              <w:jc w:val="center"/>
              <w:rPr>
                <w:rFonts w:ascii="Times New Roman" w:hAnsi="Times New Roman"/>
                <w:color w:val="auto"/>
                <w:sz w:val="21"/>
                <w:szCs w:val="21"/>
                <w:highlight w:val="none"/>
              </w:rPr>
            </w:pPr>
          </w:p>
        </w:tc>
        <w:tc>
          <w:tcPr>
            <w:tcW w:w="4766" w:type="pct"/>
          </w:tcPr>
          <w:p>
            <w:pPr>
              <w:adjustRightInd w:val="0"/>
              <w:snapToGrid w:val="0"/>
              <w:spacing w:line="360" w:lineRule="auto"/>
              <w:rPr>
                <w:color w:val="auto"/>
                <w:szCs w:val="21"/>
                <w:highlight w:val="none"/>
              </w:rPr>
            </w:pPr>
            <w:r>
              <w:rPr>
                <w:color w:val="auto"/>
                <w:highlight w:val="none"/>
              </w:rPr>
              <w:t>1、工</w:t>
            </w:r>
            <w:r>
              <w:rPr>
                <w:color w:val="auto"/>
                <w:szCs w:val="21"/>
                <w:highlight w:val="none"/>
              </w:rPr>
              <w:t>艺流程</w:t>
            </w:r>
          </w:p>
          <w:p>
            <w:pPr>
              <w:autoSpaceDE w:val="0"/>
              <w:autoSpaceDN w:val="0"/>
              <w:adjustRightInd w:val="0"/>
              <w:snapToGrid w:val="0"/>
              <w:spacing w:line="360" w:lineRule="auto"/>
              <w:ind w:firstLine="422" w:firstLineChars="200"/>
              <w:jc w:val="left"/>
              <w:rPr>
                <w:rFonts w:hint="eastAsia" w:eastAsia="宋体"/>
                <w:b/>
                <w:bCs/>
                <w:color w:val="auto"/>
                <w:kern w:val="0"/>
                <w:szCs w:val="21"/>
                <w:highlight w:val="none"/>
                <w:lang w:val="en-US" w:eastAsia="zh-CN"/>
              </w:rPr>
            </w:pPr>
            <w:r>
              <w:rPr>
                <w:rFonts w:hint="eastAsia"/>
                <w:b/>
                <w:bCs/>
                <w:color w:val="auto"/>
                <w:kern w:val="0"/>
                <w:szCs w:val="21"/>
                <w:highlight w:val="none"/>
                <w:lang w:val="en-US" w:eastAsia="zh-CN"/>
              </w:rPr>
              <w:t>施工期</w:t>
            </w:r>
          </w:p>
          <w:p>
            <w:pPr>
              <w:spacing w:line="360" w:lineRule="auto"/>
              <w:ind w:firstLine="422" w:firstLineChars="200"/>
              <w:rPr>
                <w:rFonts w:eastAsia="宋体"/>
                <w:b/>
                <w:bCs/>
                <w:color w:val="auto"/>
                <w:kern w:val="0"/>
                <w:highlight w:val="none"/>
                <w:lang w:eastAsia="zh-CN"/>
              </w:rPr>
            </w:pPr>
            <w:r>
              <w:rPr>
                <w:rFonts w:hint="eastAsia"/>
                <w:b/>
                <w:bCs/>
                <w:color w:val="auto"/>
                <w:kern w:val="0"/>
                <w:highlight w:val="none"/>
                <w:lang w:eastAsia="zh-CN"/>
              </w:rPr>
              <w:t>（</w:t>
            </w:r>
            <w:r>
              <w:rPr>
                <w:rFonts w:hint="eastAsia"/>
                <w:b/>
                <w:bCs/>
                <w:color w:val="auto"/>
                <w:kern w:val="0"/>
                <w:highlight w:val="none"/>
                <w:lang w:val="en-US" w:eastAsia="zh-CN"/>
              </w:rPr>
              <w:t>1</w:t>
            </w:r>
            <w:r>
              <w:rPr>
                <w:rFonts w:hint="eastAsia"/>
                <w:b/>
                <w:bCs/>
                <w:color w:val="auto"/>
                <w:kern w:val="0"/>
                <w:highlight w:val="none"/>
                <w:lang w:eastAsia="zh-CN"/>
              </w:rPr>
              <w:t>）</w:t>
            </w:r>
            <w:r>
              <w:rPr>
                <w:b/>
                <w:bCs/>
                <w:color w:val="auto"/>
                <w:kern w:val="0"/>
                <w:highlight w:val="none"/>
              </w:rPr>
              <w:t>工艺流程</w:t>
            </w:r>
          </w:p>
          <w:p>
            <w:pPr>
              <w:spacing w:line="360" w:lineRule="auto"/>
              <w:ind w:firstLine="420" w:firstLineChars="200"/>
              <w:rPr>
                <w:rFonts w:hint="default" w:eastAsia="宋体"/>
                <w:color w:val="auto"/>
                <w:kern w:val="0"/>
                <w:highlight w:val="none"/>
                <w:lang w:val="en-US" w:eastAsia="zh-CN"/>
              </w:rPr>
            </w:pPr>
            <w:r>
              <w:rPr>
                <w:rFonts w:hint="eastAsia" w:eastAsia="宋体"/>
                <w:color w:val="auto"/>
                <w:kern w:val="0"/>
                <w:highlight w:val="none"/>
                <w:lang w:val="en-US" w:eastAsia="zh-CN"/>
              </w:rPr>
              <w:t>本项目施工期建设流程如下图所示。</w:t>
            </w:r>
          </w:p>
          <w:p>
            <w:pPr>
              <w:snapToGrid w:val="0"/>
              <w:jc w:val="center"/>
              <w:rPr>
                <w:rFonts w:ascii="Times New Roman" w:hAnsi="Times New Roman" w:eastAsia="宋体" w:cs="Times New Roman"/>
                <w:b/>
                <w:color w:val="auto"/>
                <w:spacing w:val="-4"/>
                <w:highlight w:val="none"/>
                <w:lang w:val="en-US" w:eastAsia="zh-CN"/>
              </w:rPr>
            </w:pPr>
            <w:r>
              <w:rPr>
                <w:rFonts w:ascii="Times New Roman" w:hAnsi="Times New Roman" w:eastAsia="宋体" w:cs="Times New Roman"/>
                <w:b/>
                <w:color w:val="auto"/>
                <w:spacing w:val="-4"/>
                <w:highlight w:val="none"/>
              </w:rPr>
              <w:drawing>
                <wp:anchor distT="0" distB="0" distL="114300" distR="114300" simplePos="0" relativeHeight="251661312" behindDoc="0" locked="0" layoutInCell="1" allowOverlap="1">
                  <wp:simplePos x="0" y="0"/>
                  <wp:positionH relativeFrom="column">
                    <wp:posOffset>296545</wp:posOffset>
                  </wp:positionH>
                  <wp:positionV relativeFrom="paragraph">
                    <wp:posOffset>41910</wp:posOffset>
                  </wp:positionV>
                  <wp:extent cx="4703445" cy="1651000"/>
                  <wp:effectExtent l="0" t="0" r="1905" b="6350"/>
                  <wp:wrapTopAndBottom/>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4703445" cy="1651000"/>
                          </a:xfrm>
                          <a:prstGeom prst="rect">
                            <a:avLst/>
                          </a:prstGeom>
                          <a:noFill/>
                          <a:ln>
                            <a:noFill/>
                          </a:ln>
                        </pic:spPr>
                      </pic:pic>
                    </a:graphicData>
                  </a:graphic>
                </wp:anchor>
              </w:drawing>
            </w:r>
            <w:r>
              <w:rPr>
                <w:rFonts w:ascii="Times New Roman" w:hAnsi="Times New Roman" w:eastAsia="宋体" w:cs="Times New Roman"/>
                <w:b/>
                <w:color w:val="auto"/>
                <w:spacing w:val="-4"/>
                <w:highlight w:val="none"/>
              </w:rPr>
              <w:t>图</w:t>
            </w:r>
            <w:r>
              <w:rPr>
                <w:rFonts w:hint="eastAsia" w:ascii="Times New Roman" w:hAnsi="Times New Roman" w:eastAsia="宋体" w:cs="Times New Roman"/>
                <w:b/>
                <w:color w:val="auto"/>
                <w:spacing w:val="-4"/>
                <w:highlight w:val="none"/>
                <w:lang w:val="en-US" w:eastAsia="zh-CN"/>
              </w:rPr>
              <w:t>2-2</w:t>
            </w:r>
            <w:r>
              <w:rPr>
                <w:rFonts w:ascii="Times New Roman" w:hAnsi="Times New Roman" w:eastAsia="宋体" w:cs="Times New Roman"/>
                <w:b/>
                <w:color w:val="auto"/>
                <w:spacing w:val="-4"/>
                <w:highlight w:val="none"/>
              </w:rPr>
              <w:t xml:space="preserve">   </w:t>
            </w:r>
            <w:r>
              <w:rPr>
                <w:rFonts w:hint="eastAsia" w:ascii="Times New Roman" w:hAnsi="Times New Roman" w:eastAsia="宋体" w:cs="Times New Roman"/>
                <w:b/>
                <w:color w:val="auto"/>
                <w:spacing w:val="-4"/>
                <w:highlight w:val="none"/>
                <w:lang w:val="en-US" w:eastAsia="zh-CN"/>
              </w:rPr>
              <w:t>施工</w:t>
            </w:r>
            <w:r>
              <w:rPr>
                <w:rFonts w:ascii="Times New Roman" w:hAnsi="Times New Roman" w:eastAsia="宋体" w:cs="Times New Roman"/>
                <w:b/>
                <w:color w:val="auto"/>
                <w:spacing w:val="-4"/>
                <w:highlight w:val="none"/>
              </w:rPr>
              <w:t>期流程及产污环节图</w:t>
            </w:r>
          </w:p>
          <w:p>
            <w:pPr>
              <w:autoSpaceDE w:val="0"/>
              <w:autoSpaceDN w:val="0"/>
              <w:adjustRightInd w:val="0"/>
              <w:snapToGrid w:val="0"/>
              <w:spacing w:line="360" w:lineRule="auto"/>
              <w:ind w:firstLine="422" w:firstLineChars="200"/>
              <w:jc w:val="left"/>
              <w:rPr>
                <w:b/>
                <w:bCs/>
                <w:color w:val="auto"/>
                <w:kern w:val="0"/>
                <w:szCs w:val="21"/>
                <w:highlight w:val="none"/>
              </w:rPr>
            </w:pPr>
            <w:r>
              <w:rPr>
                <w:b/>
                <w:bCs/>
                <w:color w:val="auto"/>
                <w:kern w:val="0"/>
                <w:szCs w:val="21"/>
                <w:highlight w:val="none"/>
              </w:rPr>
              <w:t>（</w:t>
            </w:r>
            <w:r>
              <w:rPr>
                <w:rFonts w:hint="eastAsia"/>
                <w:b/>
                <w:bCs/>
                <w:color w:val="auto"/>
                <w:kern w:val="0"/>
                <w:szCs w:val="21"/>
                <w:highlight w:val="none"/>
                <w:lang w:val="en-US" w:eastAsia="zh-CN"/>
              </w:rPr>
              <w:t>2</w:t>
            </w:r>
            <w:r>
              <w:rPr>
                <w:b/>
                <w:bCs/>
                <w:color w:val="auto"/>
                <w:kern w:val="0"/>
                <w:szCs w:val="21"/>
                <w:highlight w:val="none"/>
              </w:rPr>
              <w:t>）工艺流程简述</w:t>
            </w:r>
          </w:p>
          <w:p>
            <w:pPr>
              <w:autoSpaceDE w:val="0"/>
              <w:autoSpaceDN w:val="0"/>
              <w:adjustRightInd w:val="0"/>
              <w:snapToGrid w:val="0"/>
              <w:spacing w:line="360" w:lineRule="auto"/>
              <w:ind w:firstLine="42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val="en-US" w:eastAsia="zh-CN"/>
              </w:rPr>
              <w:t>项目施工期主要包括基础工程（基坑、基础结构、土石方等工程）、主体建设（建筑</w:t>
            </w:r>
            <w:r>
              <w:rPr>
                <w:rFonts w:hint="default" w:ascii="Times New Roman" w:hAnsi="Times New Roman" w:eastAsia="宋体" w:cs="Times New Roman"/>
                <w:color w:val="auto"/>
                <w:kern w:val="0"/>
                <w:szCs w:val="21"/>
                <w:highlight w:val="none"/>
                <w:lang w:val="en-US" w:eastAsia="zh-CN"/>
              </w:rPr>
              <w:t>物主体结构建造工程）、装饰工程（地面、外墙施工）、绿化工程（花草树木、园林绿化等）等环节。根据项目施工方案，项目坑基开挖过程不使用爆破，采用机械挖掘方式进行。</w:t>
            </w:r>
          </w:p>
          <w:p>
            <w:pPr>
              <w:autoSpaceDE w:val="0"/>
              <w:autoSpaceDN w:val="0"/>
              <w:adjustRightInd w:val="0"/>
              <w:snapToGrid w:val="0"/>
              <w:spacing w:line="360" w:lineRule="auto"/>
              <w:ind w:firstLine="422" w:firstLineChars="200"/>
              <w:jc w:val="left"/>
              <w:rPr>
                <w:b/>
                <w:bCs/>
                <w:color w:val="auto"/>
                <w:kern w:val="0"/>
                <w:szCs w:val="21"/>
                <w:highlight w:val="none"/>
              </w:rPr>
            </w:pPr>
            <w:r>
              <w:rPr>
                <w:b/>
                <w:bCs/>
                <w:color w:val="auto"/>
                <w:kern w:val="0"/>
                <w:szCs w:val="21"/>
                <w:highlight w:val="none"/>
              </w:rPr>
              <w:t>（3）产污环节</w:t>
            </w:r>
          </w:p>
          <w:p>
            <w:pPr>
              <w:spacing w:line="360" w:lineRule="auto"/>
              <w:ind w:firstLine="420" w:firstLineChars="200"/>
              <w:rPr>
                <w:color w:val="auto"/>
                <w:szCs w:val="21"/>
                <w:highlight w:val="none"/>
              </w:rPr>
            </w:pPr>
            <w:r>
              <w:rPr>
                <w:color w:val="auto"/>
                <w:szCs w:val="21"/>
                <w:highlight w:val="none"/>
              </w:rPr>
              <w:t>产污环节见下表。</w:t>
            </w:r>
          </w:p>
          <w:p>
            <w:pPr>
              <w:jc w:val="center"/>
              <w:rPr>
                <w:rStyle w:val="69"/>
                <w:rFonts w:hint="default" w:ascii="Times New Roman" w:hAnsi="Times New Roman" w:eastAsia="宋体" w:cs="Times New Roman"/>
                <w:color w:val="auto"/>
                <w:sz w:val="21"/>
                <w:szCs w:val="21"/>
                <w:highlight w:val="none"/>
                <w:lang w:bidi="ar"/>
              </w:rPr>
            </w:pPr>
            <w:r>
              <w:rPr>
                <w:rStyle w:val="69"/>
                <w:rFonts w:hint="default" w:ascii="Times New Roman" w:hAnsi="Times New Roman" w:eastAsia="宋体" w:cs="Times New Roman"/>
                <w:color w:val="auto"/>
                <w:sz w:val="21"/>
                <w:szCs w:val="21"/>
                <w:highlight w:val="none"/>
                <w:lang w:bidi="ar"/>
              </w:rPr>
              <w:t>表2-</w:t>
            </w:r>
            <w:r>
              <w:rPr>
                <w:rStyle w:val="69"/>
                <w:rFonts w:hint="default" w:ascii="Times New Roman" w:hAnsi="Times New Roman" w:cs="Times New Roman"/>
                <w:color w:val="auto"/>
                <w:sz w:val="21"/>
                <w:szCs w:val="21"/>
                <w:highlight w:val="none"/>
                <w:lang w:val="en-US" w:eastAsia="zh-CN" w:bidi="ar"/>
              </w:rPr>
              <w:t>11</w:t>
            </w:r>
            <w:r>
              <w:rPr>
                <w:rStyle w:val="69"/>
                <w:rFonts w:hint="default" w:ascii="Times New Roman" w:hAnsi="Times New Roman" w:eastAsia="宋体" w:cs="Times New Roman"/>
                <w:color w:val="auto"/>
                <w:sz w:val="21"/>
                <w:szCs w:val="21"/>
                <w:highlight w:val="none"/>
                <w:lang w:bidi="ar"/>
              </w:rPr>
              <w:t xml:space="preserve">  </w:t>
            </w:r>
            <w:r>
              <w:rPr>
                <w:rStyle w:val="69"/>
                <w:rFonts w:hint="default" w:ascii="Times New Roman" w:hAnsi="Times New Roman" w:eastAsia="宋体" w:cs="Times New Roman"/>
                <w:color w:val="auto"/>
                <w:sz w:val="21"/>
                <w:szCs w:val="21"/>
                <w:highlight w:val="none"/>
                <w:lang w:val="en-US" w:eastAsia="zh-CN" w:bidi="ar"/>
              </w:rPr>
              <w:t>施工期</w:t>
            </w:r>
            <w:r>
              <w:rPr>
                <w:rStyle w:val="69"/>
                <w:rFonts w:hint="default" w:ascii="Times New Roman" w:hAnsi="Times New Roman" w:eastAsia="宋体" w:cs="Times New Roman"/>
                <w:color w:val="auto"/>
                <w:sz w:val="21"/>
                <w:szCs w:val="21"/>
                <w:highlight w:val="none"/>
                <w:lang w:bidi="ar"/>
              </w:rPr>
              <w:t>产污环节一览表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1537"/>
              <w:gridCol w:w="1223"/>
              <w:gridCol w:w="1714"/>
              <w:gridCol w:w="1759"/>
              <w:gridCol w:w="1135"/>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Align w:val="center"/>
                </w:tcPr>
                <w:p>
                  <w:pPr>
                    <w:adjustRightInd w:val="0"/>
                    <w:jc w:val="center"/>
                    <w:rPr>
                      <w:color w:val="auto"/>
                      <w:sz w:val="18"/>
                      <w:szCs w:val="18"/>
                      <w:highlight w:val="none"/>
                    </w:rPr>
                  </w:pPr>
                  <w:r>
                    <w:rPr>
                      <w:color w:val="auto"/>
                      <w:sz w:val="18"/>
                      <w:szCs w:val="18"/>
                      <w:highlight w:val="none"/>
                    </w:rPr>
                    <w:t>类别</w:t>
                  </w:r>
                </w:p>
              </w:tc>
              <w:tc>
                <w:tcPr>
                  <w:tcW w:w="1641" w:type="pct"/>
                  <w:gridSpan w:val="2"/>
                  <w:vAlign w:val="center"/>
                </w:tcPr>
                <w:p>
                  <w:pPr>
                    <w:adjustRightInd w:val="0"/>
                    <w:jc w:val="center"/>
                    <w:rPr>
                      <w:color w:val="auto"/>
                      <w:sz w:val="18"/>
                      <w:szCs w:val="18"/>
                      <w:highlight w:val="none"/>
                    </w:rPr>
                  </w:pPr>
                  <w:r>
                    <w:rPr>
                      <w:color w:val="auto"/>
                      <w:sz w:val="18"/>
                      <w:szCs w:val="18"/>
                      <w:highlight w:val="none"/>
                    </w:rPr>
                    <w:t>产污环节</w:t>
                  </w:r>
                </w:p>
              </w:tc>
              <w:tc>
                <w:tcPr>
                  <w:tcW w:w="1019" w:type="pct"/>
                  <w:vAlign w:val="center"/>
                </w:tcPr>
                <w:p>
                  <w:pPr>
                    <w:adjustRightInd w:val="0"/>
                    <w:jc w:val="center"/>
                    <w:rPr>
                      <w:color w:val="auto"/>
                      <w:sz w:val="18"/>
                      <w:szCs w:val="18"/>
                      <w:highlight w:val="none"/>
                    </w:rPr>
                  </w:pPr>
                  <w:r>
                    <w:rPr>
                      <w:color w:val="auto"/>
                      <w:sz w:val="18"/>
                      <w:szCs w:val="18"/>
                      <w:highlight w:val="none"/>
                    </w:rPr>
                    <w:t>污染物</w:t>
                  </w:r>
                </w:p>
              </w:tc>
              <w:tc>
                <w:tcPr>
                  <w:tcW w:w="1046" w:type="pct"/>
                  <w:vAlign w:val="center"/>
                </w:tcPr>
                <w:p>
                  <w:pPr>
                    <w:adjustRightInd w:val="0"/>
                    <w:jc w:val="center"/>
                    <w:rPr>
                      <w:color w:val="auto"/>
                      <w:sz w:val="18"/>
                      <w:szCs w:val="18"/>
                      <w:highlight w:val="none"/>
                    </w:rPr>
                  </w:pPr>
                  <w:r>
                    <w:rPr>
                      <w:color w:val="auto"/>
                      <w:sz w:val="18"/>
                      <w:szCs w:val="18"/>
                      <w:highlight w:val="none"/>
                    </w:rPr>
                    <w:t>治理措施</w:t>
                  </w:r>
                </w:p>
              </w:tc>
              <w:tc>
                <w:tcPr>
                  <w:tcW w:w="675" w:type="pct"/>
                  <w:vAlign w:val="center"/>
                </w:tcPr>
                <w:p>
                  <w:pPr>
                    <w:adjustRightInd w:val="0"/>
                    <w:jc w:val="center"/>
                    <w:rPr>
                      <w:color w:val="auto"/>
                      <w:sz w:val="18"/>
                      <w:szCs w:val="18"/>
                      <w:highlight w:val="none"/>
                    </w:rPr>
                  </w:pPr>
                  <w:r>
                    <w:rPr>
                      <w:color w:val="auto"/>
                      <w:sz w:val="18"/>
                      <w:szCs w:val="18"/>
                      <w:highlight w:val="none"/>
                    </w:rPr>
                    <w:t>排放口</w:t>
                  </w:r>
                </w:p>
              </w:tc>
              <w:tc>
                <w:tcPr>
                  <w:tcW w:w="381" w:type="pct"/>
                  <w:vAlign w:val="center"/>
                </w:tcPr>
                <w:p>
                  <w:pPr>
                    <w:adjustRightInd w:val="0"/>
                    <w:jc w:val="center"/>
                    <w:rPr>
                      <w:color w:val="auto"/>
                      <w:sz w:val="18"/>
                      <w:szCs w:val="18"/>
                      <w:highlight w:val="none"/>
                    </w:rPr>
                  </w:pPr>
                  <w:r>
                    <w:rPr>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restart"/>
                  <w:vAlign w:val="center"/>
                </w:tcPr>
                <w:p>
                  <w:pPr>
                    <w:adjustRightInd w:val="0"/>
                    <w:jc w:val="center"/>
                    <w:rPr>
                      <w:color w:val="auto"/>
                      <w:sz w:val="18"/>
                      <w:szCs w:val="18"/>
                      <w:highlight w:val="none"/>
                    </w:rPr>
                  </w:pPr>
                  <w:r>
                    <w:rPr>
                      <w:color w:val="auto"/>
                      <w:sz w:val="18"/>
                      <w:szCs w:val="18"/>
                      <w:highlight w:val="none"/>
                    </w:rPr>
                    <w:t>废气</w:t>
                  </w:r>
                </w:p>
              </w:tc>
              <w:tc>
                <w:tcPr>
                  <w:tcW w:w="914" w:type="pct"/>
                  <w:vAlign w:val="center"/>
                </w:tcPr>
                <w:p>
                  <w:pPr>
                    <w:adjustRightInd w:val="0"/>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施工扬尘</w:t>
                  </w:r>
                </w:p>
              </w:tc>
              <w:tc>
                <w:tcPr>
                  <w:tcW w:w="727" w:type="pct"/>
                  <w:vAlign w:val="center"/>
                </w:tcPr>
                <w:p>
                  <w:pPr>
                    <w:adjustRightInd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无组织</w:t>
                  </w:r>
                </w:p>
              </w:tc>
              <w:tc>
                <w:tcPr>
                  <w:tcW w:w="1019" w:type="pct"/>
                  <w:vAlign w:val="center"/>
                </w:tcPr>
                <w:p>
                  <w:pPr>
                    <w:adjustRightInd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颗粒物</w:t>
                  </w:r>
                </w:p>
              </w:tc>
              <w:tc>
                <w:tcPr>
                  <w:tcW w:w="1046" w:type="pct"/>
                  <w:vMerge w:val="restart"/>
                  <w:vAlign w:val="center"/>
                </w:tcPr>
                <w:p>
                  <w:pPr>
                    <w:adjustRightIn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加强施工期管理</w:t>
                  </w:r>
                </w:p>
              </w:tc>
              <w:tc>
                <w:tcPr>
                  <w:tcW w:w="675" w:type="pct"/>
                  <w:vMerge w:val="restart"/>
                  <w:vAlign w:val="center"/>
                </w:tcPr>
                <w:p>
                  <w:pPr>
                    <w:adjustRightInd w:val="0"/>
                    <w:jc w:val="center"/>
                    <w:rPr>
                      <w:color w:val="auto"/>
                      <w:sz w:val="18"/>
                      <w:szCs w:val="18"/>
                      <w:highlight w:val="none"/>
                    </w:rPr>
                  </w:pPr>
                  <w:r>
                    <w:rPr>
                      <w:color w:val="auto"/>
                      <w:sz w:val="18"/>
                      <w:szCs w:val="18"/>
                      <w:highlight w:val="none"/>
                    </w:rPr>
                    <w:t>无组织排放</w:t>
                  </w:r>
                </w:p>
              </w:tc>
              <w:tc>
                <w:tcPr>
                  <w:tcW w:w="381" w:type="pc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36" w:type="pct"/>
                  <w:vMerge w:val="continue"/>
                  <w:vAlign w:val="center"/>
                </w:tcPr>
                <w:p>
                  <w:pPr>
                    <w:adjustRightInd w:val="0"/>
                    <w:jc w:val="center"/>
                    <w:rPr>
                      <w:color w:val="auto"/>
                      <w:sz w:val="18"/>
                      <w:szCs w:val="18"/>
                      <w:highlight w:val="none"/>
                    </w:rPr>
                  </w:pPr>
                </w:p>
              </w:tc>
              <w:tc>
                <w:tcPr>
                  <w:tcW w:w="914" w:type="pct"/>
                  <w:vAlign w:val="center"/>
                </w:tcPr>
                <w:p>
                  <w:pPr>
                    <w:adjustRightInd w:val="0"/>
                    <w:jc w:val="center"/>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rPr>
                    <w:t>运输车辆及施工机械排放的尾气</w:t>
                  </w:r>
                </w:p>
              </w:tc>
              <w:tc>
                <w:tcPr>
                  <w:tcW w:w="727" w:type="pct"/>
                  <w:vAlign w:val="center"/>
                </w:tcPr>
                <w:p>
                  <w:pPr>
                    <w:adjustRightInd w:val="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无组织</w:t>
                  </w:r>
                </w:p>
              </w:tc>
              <w:tc>
                <w:tcPr>
                  <w:tcW w:w="1019" w:type="pct"/>
                  <w:vAlign w:val="center"/>
                </w:tcPr>
                <w:p>
                  <w:pPr>
                    <w:adjustRightInd w:val="0"/>
                    <w:jc w:val="center"/>
                    <w:rPr>
                      <w:color w:val="auto"/>
                      <w:sz w:val="18"/>
                      <w:szCs w:val="18"/>
                      <w:highlight w:val="none"/>
                    </w:rPr>
                  </w:pPr>
                  <w:r>
                    <w:rPr>
                      <w:color w:val="auto"/>
                      <w:sz w:val="18"/>
                      <w:szCs w:val="18"/>
                      <w:highlight w:val="none"/>
                    </w:rPr>
                    <w:t>NOx、SO</w:t>
                  </w:r>
                  <w:r>
                    <w:rPr>
                      <w:color w:val="auto"/>
                      <w:sz w:val="18"/>
                      <w:szCs w:val="18"/>
                      <w:highlight w:val="none"/>
                      <w:vertAlign w:val="subscript"/>
                    </w:rPr>
                    <w:t>2</w:t>
                  </w:r>
                  <w:r>
                    <w:rPr>
                      <w:color w:val="auto"/>
                      <w:sz w:val="18"/>
                      <w:szCs w:val="18"/>
                      <w:highlight w:val="none"/>
                    </w:rPr>
                    <w:t>、HC、CO</w:t>
                  </w:r>
                </w:p>
              </w:tc>
              <w:tc>
                <w:tcPr>
                  <w:tcW w:w="1046" w:type="pct"/>
                  <w:vMerge w:val="continue"/>
                  <w:vAlign w:val="center"/>
                </w:tcPr>
                <w:p>
                  <w:pPr>
                    <w:adjustRightInd w:val="0"/>
                    <w:jc w:val="center"/>
                    <w:rPr>
                      <w:color w:val="auto"/>
                      <w:sz w:val="18"/>
                      <w:szCs w:val="18"/>
                      <w:highlight w:val="none"/>
                    </w:rPr>
                  </w:pPr>
                </w:p>
              </w:tc>
              <w:tc>
                <w:tcPr>
                  <w:tcW w:w="675" w:type="pct"/>
                  <w:vMerge w:val="continue"/>
                  <w:vAlign w:val="center"/>
                </w:tcPr>
                <w:p>
                  <w:pPr>
                    <w:adjustRightInd w:val="0"/>
                    <w:jc w:val="center"/>
                    <w:rPr>
                      <w:color w:val="auto"/>
                      <w:sz w:val="18"/>
                      <w:szCs w:val="18"/>
                      <w:highlight w:val="none"/>
                    </w:rPr>
                  </w:pPr>
                </w:p>
              </w:tc>
              <w:tc>
                <w:tcPr>
                  <w:tcW w:w="381" w:type="pct"/>
                  <w:vAlign w:val="center"/>
                </w:tcPr>
                <w:p>
                  <w:pPr>
                    <w:adjustRightIn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restart"/>
                  <w:vAlign w:val="center"/>
                </w:tcPr>
                <w:p>
                  <w:pPr>
                    <w:adjustRightInd w:val="0"/>
                    <w:rPr>
                      <w:color w:val="auto"/>
                      <w:sz w:val="18"/>
                      <w:szCs w:val="18"/>
                      <w:highlight w:val="none"/>
                    </w:rPr>
                  </w:pPr>
                  <w:r>
                    <w:rPr>
                      <w:color w:val="auto"/>
                      <w:sz w:val="18"/>
                      <w:szCs w:val="18"/>
                      <w:highlight w:val="none"/>
                    </w:rPr>
                    <w:t>废水</w:t>
                  </w:r>
                </w:p>
              </w:tc>
              <w:tc>
                <w:tcPr>
                  <w:tcW w:w="1641" w:type="pct"/>
                  <w:gridSpan w:val="2"/>
                  <w:vAlign w:val="center"/>
                </w:tcPr>
                <w:p>
                  <w:pPr>
                    <w:adjustRightIn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生活污水</w:t>
                  </w:r>
                </w:p>
              </w:tc>
              <w:tc>
                <w:tcPr>
                  <w:tcW w:w="1019" w:type="pct"/>
                  <w:vAlign w:val="center"/>
                </w:tcPr>
                <w:p>
                  <w:pPr>
                    <w:adjustRightInd w:val="0"/>
                    <w:jc w:val="center"/>
                    <w:rPr>
                      <w:color w:val="auto"/>
                      <w:sz w:val="18"/>
                      <w:szCs w:val="18"/>
                      <w:highlight w:val="none"/>
                    </w:rPr>
                  </w:pPr>
                  <w:r>
                    <w:rPr>
                      <w:color w:val="auto"/>
                      <w:sz w:val="18"/>
                      <w:szCs w:val="18"/>
                      <w:highlight w:val="none"/>
                    </w:rPr>
                    <w:t>CODcr、BOD</w:t>
                  </w:r>
                  <w:r>
                    <w:rPr>
                      <w:color w:val="auto"/>
                      <w:sz w:val="18"/>
                      <w:szCs w:val="18"/>
                      <w:highlight w:val="none"/>
                      <w:vertAlign w:val="subscript"/>
                    </w:rPr>
                    <w:t>5</w:t>
                  </w:r>
                  <w:r>
                    <w:rPr>
                      <w:color w:val="auto"/>
                      <w:sz w:val="18"/>
                      <w:szCs w:val="18"/>
                      <w:highlight w:val="none"/>
                    </w:rPr>
                    <w:t xml:space="preserve"> 、氨氮、SS</w:t>
                  </w:r>
                </w:p>
              </w:tc>
              <w:tc>
                <w:tcPr>
                  <w:tcW w:w="1046" w:type="pct"/>
                  <w:vAlign w:val="center"/>
                </w:tcPr>
                <w:p>
                  <w:pPr>
                    <w:adjustRightIn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临时化粪池</w:t>
                  </w:r>
                </w:p>
              </w:tc>
              <w:tc>
                <w:tcPr>
                  <w:tcW w:w="675" w:type="pct"/>
                  <w:vAlign w:val="center"/>
                </w:tcPr>
                <w:p>
                  <w:pPr>
                    <w:adjustRightIn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环卫部门定期清运</w:t>
                  </w:r>
                </w:p>
              </w:tc>
              <w:tc>
                <w:tcPr>
                  <w:tcW w:w="381" w:type="pct"/>
                  <w:vMerge w:val="restar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236" w:type="pct"/>
                  <w:vMerge w:val="continue"/>
                  <w:vAlign w:val="center"/>
                </w:tcPr>
                <w:p>
                  <w:pPr>
                    <w:adjustRightInd w:val="0"/>
                    <w:rPr>
                      <w:color w:val="auto"/>
                      <w:sz w:val="18"/>
                      <w:szCs w:val="18"/>
                      <w:highlight w:val="none"/>
                    </w:rPr>
                  </w:pPr>
                </w:p>
              </w:tc>
              <w:tc>
                <w:tcPr>
                  <w:tcW w:w="1641" w:type="pct"/>
                  <w:gridSpan w:val="2"/>
                  <w:vAlign w:val="center"/>
                </w:tcPr>
                <w:p>
                  <w:pPr>
                    <w:adjustRightInd w:val="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 xml:space="preserve">施工废水 </w:t>
                  </w:r>
                </w:p>
              </w:tc>
              <w:tc>
                <w:tcPr>
                  <w:tcW w:w="1019" w:type="pct"/>
                  <w:vAlign w:val="center"/>
                </w:tcPr>
                <w:p>
                  <w:pPr>
                    <w:adjustRightInd w:val="0"/>
                    <w:jc w:val="center"/>
                    <w:rPr>
                      <w:color w:val="auto"/>
                      <w:sz w:val="18"/>
                      <w:szCs w:val="18"/>
                      <w:highlight w:val="none"/>
                    </w:rPr>
                  </w:pPr>
                  <w:r>
                    <w:rPr>
                      <w:color w:val="auto"/>
                      <w:sz w:val="18"/>
                      <w:szCs w:val="18"/>
                      <w:highlight w:val="none"/>
                    </w:rPr>
                    <w:t>SS</w:t>
                  </w:r>
                </w:p>
              </w:tc>
              <w:tc>
                <w:tcPr>
                  <w:tcW w:w="1046" w:type="pct"/>
                  <w:vAlign w:val="center"/>
                </w:tcPr>
                <w:p>
                  <w:pPr>
                    <w:adjustRightIn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c>
                <w:tcPr>
                  <w:tcW w:w="675" w:type="pct"/>
                  <w:vAlign w:val="center"/>
                </w:tcPr>
                <w:p>
                  <w:pPr>
                    <w:adjustRightIn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蒸发损耗</w:t>
                  </w:r>
                </w:p>
              </w:tc>
              <w:tc>
                <w:tcPr>
                  <w:tcW w:w="381" w:type="pct"/>
                  <w:vMerge w:val="continue"/>
                  <w:vAlign w:val="center"/>
                </w:tcPr>
                <w:p>
                  <w:pPr>
                    <w:adjustRightIn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restart"/>
                  <w:vAlign w:val="center"/>
                </w:tcPr>
                <w:p>
                  <w:pPr>
                    <w:adjustRightInd w:val="0"/>
                    <w:jc w:val="center"/>
                    <w:rPr>
                      <w:color w:val="auto"/>
                      <w:sz w:val="18"/>
                      <w:szCs w:val="18"/>
                      <w:highlight w:val="none"/>
                    </w:rPr>
                  </w:pPr>
                  <w:r>
                    <w:rPr>
                      <w:color w:val="auto"/>
                      <w:sz w:val="18"/>
                      <w:szCs w:val="18"/>
                      <w:highlight w:val="none"/>
                    </w:rPr>
                    <w:t>固废</w:t>
                  </w:r>
                </w:p>
              </w:tc>
              <w:tc>
                <w:tcPr>
                  <w:tcW w:w="1641" w:type="pct"/>
                  <w:gridSpan w:val="2"/>
                  <w:vAlign w:val="center"/>
                </w:tcPr>
                <w:p>
                  <w:pPr>
                    <w:adjustRightIn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施工人员生活</w:t>
                  </w:r>
                </w:p>
              </w:tc>
              <w:tc>
                <w:tcPr>
                  <w:tcW w:w="1019" w:type="pct"/>
                  <w:vAlign w:val="center"/>
                </w:tcPr>
                <w:p>
                  <w:pPr>
                    <w:adjustRightInd w:val="0"/>
                    <w:jc w:val="center"/>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rPr>
                    <w:t>生活垃圾</w:t>
                  </w:r>
                </w:p>
              </w:tc>
              <w:tc>
                <w:tcPr>
                  <w:tcW w:w="1721" w:type="pct"/>
                  <w:gridSpan w:val="2"/>
                  <w:vAlign w:val="center"/>
                </w:tcPr>
                <w:p>
                  <w:pPr>
                    <w:adjustRightInd w:val="0"/>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环卫部分定期清运</w:t>
                  </w:r>
                </w:p>
              </w:tc>
              <w:tc>
                <w:tcPr>
                  <w:tcW w:w="381" w:type="pc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jc w:val="center"/>
                    <w:rPr>
                      <w:color w:val="auto"/>
                      <w:sz w:val="18"/>
                      <w:szCs w:val="18"/>
                      <w:highlight w:val="none"/>
                    </w:rPr>
                  </w:pPr>
                </w:p>
              </w:tc>
              <w:tc>
                <w:tcPr>
                  <w:tcW w:w="1641" w:type="pct"/>
                  <w:gridSpan w:val="2"/>
                  <w:vAlign w:val="center"/>
                </w:tcPr>
                <w:p>
                  <w:pPr>
                    <w:adjustRightInd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土方开挖</w:t>
                  </w:r>
                </w:p>
              </w:tc>
              <w:tc>
                <w:tcPr>
                  <w:tcW w:w="1019" w:type="pct"/>
                  <w:vAlign w:val="center"/>
                </w:tcPr>
                <w:p>
                  <w:pPr>
                    <w:adjustRightInd w:val="0"/>
                    <w:jc w:val="center"/>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rPr>
                    <w:t>渣土、碎石</w:t>
                  </w:r>
                </w:p>
              </w:tc>
              <w:tc>
                <w:tcPr>
                  <w:tcW w:w="1721" w:type="pct"/>
                  <w:gridSpan w:val="2"/>
                  <w:vAlign w:val="center"/>
                </w:tcPr>
                <w:p>
                  <w:pPr>
                    <w:adjustRightInd w:val="0"/>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回填</w:t>
                  </w:r>
                </w:p>
              </w:tc>
              <w:tc>
                <w:tcPr>
                  <w:tcW w:w="381" w:type="pc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 w:type="pct"/>
                  <w:vMerge w:val="continue"/>
                  <w:vAlign w:val="center"/>
                </w:tcPr>
                <w:p>
                  <w:pPr>
                    <w:adjustRightInd w:val="0"/>
                    <w:jc w:val="center"/>
                    <w:rPr>
                      <w:color w:val="auto"/>
                      <w:sz w:val="18"/>
                      <w:szCs w:val="18"/>
                      <w:highlight w:val="none"/>
                    </w:rPr>
                  </w:pPr>
                </w:p>
              </w:tc>
              <w:tc>
                <w:tcPr>
                  <w:tcW w:w="1641" w:type="pct"/>
                  <w:gridSpan w:val="2"/>
                  <w:vAlign w:val="center"/>
                </w:tcPr>
                <w:p>
                  <w:pPr>
                    <w:adjustRightInd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施工建设</w:t>
                  </w:r>
                </w:p>
              </w:tc>
              <w:tc>
                <w:tcPr>
                  <w:tcW w:w="1019" w:type="pct"/>
                  <w:vAlign w:val="center"/>
                </w:tcPr>
                <w:p>
                  <w:pPr>
                    <w:adjustRightInd w:val="0"/>
                    <w:jc w:val="center"/>
                    <w:rPr>
                      <w:rFonts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val="en-US" w:eastAsia="zh-CN"/>
                    </w:rPr>
                    <w:t>建筑垃圾</w:t>
                  </w:r>
                </w:p>
              </w:tc>
              <w:tc>
                <w:tcPr>
                  <w:tcW w:w="1721" w:type="pct"/>
                  <w:gridSpan w:val="2"/>
                  <w:vAlign w:val="center"/>
                </w:tcPr>
                <w:p>
                  <w:pPr>
                    <w:adjustRightInd w:val="0"/>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运输至政府指定处理厂处理</w:t>
                  </w:r>
                </w:p>
              </w:tc>
              <w:tc>
                <w:tcPr>
                  <w:tcW w:w="381" w:type="pc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36" w:type="pct"/>
                  <w:vAlign w:val="center"/>
                </w:tcPr>
                <w:p>
                  <w:pPr>
                    <w:adjustRightInd w:val="0"/>
                    <w:jc w:val="center"/>
                    <w:rPr>
                      <w:color w:val="auto"/>
                      <w:sz w:val="18"/>
                      <w:szCs w:val="18"/>
                      <w:highlight w:val="none"/>
                    </w:rPr>
                  </w:pPr>
                  <w:r>
                    <w:rPr>
                      <w:color w:val="auto"/>
                      <w:sz w:val="18"/>
                      <w:szCs w:val="18"/>
                      <w:highlight w:val="none"/>
                    </w:rPr>
                    <w:t>噪音</w:t>
                  </w:r>
                </w:p>
              </w:tc>
              <w:tc>
                <w:tcPr>
                  <w:tcW w:w="1641" w:type="pct"/>
                  <w:gridSpan w:val="2"/>
                  <w:vAlign w:val="center"/>
                </w:tcPr>
                <w:p>
                  <w:pPr>
                    <w:adjustRightIn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施工设备</w:t>
                  </w:r>
                </w:p>
              </w:tc>
              <w:tc>
                <w:tcPr>
                  <w:tcW w:w="1019" w:type="pct"/>
                  <w:vAlign w:val="center"/>
                </w:tcPr>
                <w:p>
                  <w:pPr>
                    <w:adjustRightInd w:val="0"/>
                    <w:jc w:val="center"/>
                    <w:rPr>
                      <w:color w:val="auto"/>
                      <w:sz w:val="18"/>
                      <w:szCs w:val="18"/>
                      <w:highlight w:val="none"/>
                    </w:rPr>
                  </w:pPr>
                  <w:r>
                    <w:rPr>
                      <w:color w:val="auto"/>
                      <w:sz w:val="18"/>
                      <w:szCs w:val="18"/>
                      <w:highlight w:val="none"/>
                    </w:rPr>
                    <w:t>dB(A)</w:t>
                  </w:r>
                </w:p>
              </w:tc>
              <w:tc>
                <w:tcPr>
                  <w:tcW w:w="1721" w:type="pct"/>
                  <w:gridSpan w:val="2"/>
                  <w:vAlign w:val="center"/>
                </w:tcPr>
                <w:p>
                  <w:pPr>
                    <w:adjustRightInd w:val="0"/>
                    <w:jc w:val="center"/>
                    <w:rPr>
                      <w:color w:val="auto"/>
                      <w:sz w:val="18"/>
                      <w:szCs w:val="18"/>
                      <w:highlight w:val="none"/>
                    </w:rPr>
                  </w:pPr>
                  <w:r>
                    <w:rPr>
                      <w:color w:val="auto"/>
                      <w:sz w:val="18"/>
                      <w:szCs w:val="18"/>
                      <w:highlight w:val="none"/>
                    </w:rPr>
                    <w:t>隔声、减振等常见措施</w:t>
                  </w:r>
                </w:p>
              </w:tc>
              <w:tc>
                <w:tcPr>
                  <w:tcW w:w="381" w:type="pct"/>
                  <w:vAlign w:val="center"/>
                </w:tcPr>
                <w:p>
                  <w:pPr>
                    <w:adjustRightInd w:val="0"/>
                    <w:jc w:val="center"/>
                    <w:rPr>
                      <w:color w:val="auto"/>
                      <w:sz w:val="18"/>
                      <w:szCs w:val="18"/>
                      <w:highlight w:val="none"/>
                    </w:rPr>
                  </w:pPr>
                  <w:r>
                    <w:rPr>
                      <w:color w:val="auto"/>
                      <w:sz w:val="18"/>
                      <w:szCs w:val="18"/>
                      <w:highlight w:val="none"/>
                    </w:rPr>
                    <w:t>/</w:t>
                  </w:r>
                </w:p>
              </w:tc>
            </w:tr>
          </w:tbl>
          <w:p>
            <w:pPr>
              <w:autoSpaceDE w:val="0"/>
              <w:autoSpaceDN w:val="0"/>
              <w:adjustRightInd w:val="0"/>
              <w:snapToGrid w:val="0"/>
              <w:spacing w:line="360" w:lineRule="auto"/>
              <w:ind w:firstLine="422" w:firstLineChars="200"/>
              <w:jc w:val="left"/>
              <w:rPr>
                <w:rFonts w:hint="eastAsia" w:eastAsia="宋体"/>
                <w:b/>
                <w:bCs/>
                <w:color w:val="auto"/>
                <w:kern w:val="0"/>
                <w:szCs w:val="21"/>
                <w:highlight w:val="none"/>
                <w:lang w:val="en-US" w:eastAsia="zh-CN"/>
              </w:rPr>
            </w:pPr>
            <w:r>
              <w:rPr>
                <w:rFonts w:hint="eastAsia"/>
                <w:b/>
                <w:bCs/>
                <w:color w:val="auto"/>
                <w:kern w:val="0"/>
                <w:szCs w:val="21"/>
                <w:highlight w:val="none"/>
                <w:lang w:val="en-US" w:eastAsia="zh-CN"/>
              </w:rPr>
              <w:t>营运期</w:t>
            </w:r>
          </w:p>
          <w:p>
            <w:pPr>
              <w:autoSpaceDE w:val="0"/>
              <w:autoSpaceDN w:val="0"/>
              <w:adjustRightInd w:val="0"/>
              <w:snapToGrid w:val="0"/>
              <w:spacing w:line="360" w:lineRule="auto"/>
              <w:ind w:firstLine="422" w:firstLineChars="200"/>
              <w:jc w:val="left"/>
              <w:rPr>
                <w:b/>
                <w:bCs/>
                <w:color w:val="auto"/>
                <w:kern w:val="0"/>
                <w:szCs w:val="21"/>
                <w:highlight w:val="none"/>
              </w:rPr>
            </w:pPr>
            <w:r>
              <w:rPr>
                <w:b/>
                <w:bCs/>
                <w:color w:val="auto"/>
                <w:kern w:val="0"/>
                <w:szCs w:val="21"/>
                <w:highlight w:val="none"/>
              </w:rPr>
              <w:t>（1）就医流程</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项目运营期主要对病人进行医治，具体内容为：病人进入医院挂号后经医生诊断病情，并根据病情进行治疗，缴费取药后治疗，如有需要则住院治疗。具体工艺流程及主要产污情况见</w:t>
            </w:r>
            <w:r>
              <w:rPr>
                <w:rFonts w:hint="eastAsia"/>
                <w:color w:val="auto"/>
                <w:kern w:val="0"/>
                <w:szCs w:val="21"/>
                <w:highlight w:val="none"/>
                <w:lang w:val="en-US" w:eastAsia="zh-CN"/>
              </w:rPr>
              <w:t>下</w:t>
            </w:r>
            <w:r>
              <w:rPr>
                <w:color w:val="auto"/>
                <w:kern w:val="0"/>
                <w:szCs w:val="21"/>
                <w:highlight w:val="none"/>
              </w:rPr>
              <w:t>图。</w:t>
            </w:r>
          </w:p>
          <w:p>
            <w:pPr>
              <w:adjustRightInd w:val="0"/>
              <w:snapToGrid w:val="0"/>
              <w:jc w:val="center"/>
              <w:rPr>
                <w:b/>
                <w:color w:val="auto"/>
                <w:highlight w:val="none"/>
              </w:rPr>
            </w:pPr>
            <w:r>
              <w:rPr>
                <w:color w:val="auto"/>
                <w:highlight w:val="none"/>
              </w:rPr>
              <w:object>
                <v:shape id="_x0000_i1026" o:spt="75" type="#_x0000_t75" style="height:283.2pt;width:423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r>
              <w:rPr>
                <w:b/>
                <w:color w:val="auto"/>
                <w:highlight w:val="none"/>
              </w:rPr>
              <w:t>图2-</w:t>
            </w:r>
            <w:r>
              <w:rPr>
                <w:rFonts w:hint="eastAsia"/>
                <w:b/>
                <w:color w:val="auto"/>
                <w:highlight w:val="none"/>
                <w:lang w:val="en-US" w:eastAsia="zh-CN"/>
              </w:rPr>
              <w:t>3</w:t>
            </w:r>
            <w:r>
              <w:rPr>
                <w:b/>
                <w:color w:val="auto"/>
                <w:highlight w:val="none"/>
              </w:rPr>
              <w:t xml:space="preserve">  项目运营期</w:t>
            </w:r>
            <w:r>
              <w:rPr>
                <w:rFonts w:hint="eastAsia"/>
                <w:b/>
                <w:color w:val="auto"/>
                <w:highlight w:val="none"/>
                <w:lang w:val="en-US" w:eastAsia="zh-CN"/>
              </w:rPr>
              <w:t>就医</w:t>
            </w:r>
            <w:r>
              <w:rPr>
                <w:b/>
                <w:color w:val="auto"/>
                <w:highlight w:val="none"/>
              </w:rPr>
              <w:t>工艺流程及产污环节图</w:t>
            </w:r>
          </w:p>
          <w:p>
            <w:pPr>
              <w:autoSpaceDE w:val="0"/>
              <w:autoSpaceDN w:val="0"/>
              <w:adjustRightInd w:val="0"/>
              <w:snapToGrid w:val="0"/>
              <w:spacing w:line="360" w:lineRule="auto"/>
              <w:ind w:firstLine="420" w:firstLineChars="200"/>
              <w:jc w:val="left"/>
              <w:rPr>
                <w:color w:val="auto"/>
                <w:highlight w:val="none"/>
              </w:rPr>
            </w:pPr>
          </w:p>
          <w:p>
            <w:pPr>
              <w:autoSpaceDE w:val="0"/>
              <w:autoSpaceDN w:val="0"/>
              <w:adjustRightInd w:val="0"/>
              <w:snapToGrid w:val="0"/>
              <w:spacing w:line="360" w:lineRule="auto"/>
              <w:ind w:firstLine="480" w:firstLineChars="200"/>
              <w:jc w:val="center"/>
              <w:rPr>
                <w:color w:val="auto"/>
                <w:highlight w:val="none"/>
              </w:rPr>
            </w:pPr>
            <w:r>
              <w:rPr>
                <w:rFonts w:hint="eastAsia" w:eastAsia="宋体"/>
                <w:color w:val="auto"/>
                <w:kern w:val="0"/>
                <w:sz w:val="24"/>
                <w:szCs w:val="24"/>
                <w:highlight w:val="none"/>
                <w:lang w:eastAsia="zh-CN"/>
              </w:rPr>
              <w:drawing>
                <wp:inline distT="0" distB="0" distL="114300" distR="114300">
                  <wp:extent cx="1856740" cy="3274060"/>
                  <wp:effectExtent l="0" t="0" r="0" b="0"/>
                  <wp:docPr id="13" name="ECB019B1-382A-4266-B25C-5B523AA43C14-1" descr="C:/Users/Administrator/AppData/Local/Temp/wps.rOEVW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CB019B1-382A-4266-B25C-5B523AA43C14-1" descr="C:/Users/Administrator/AppData/Local/Temp/wps.rOEVWkwps"/>
                          <pic:cNvPicPr>
                            <a:picLocks noChangeAspect="1"/>
                          </pic:cNvPicPr>
                        </pic:nvPicPr>
                        <pic:blipFill>
                          <a:blip r:embed="rId12"/>
                          <a:stretch>
                            <a:fillRect/>
                          </a:stretch>
                        </pic:blipFill>
                        <pic:spPr>
                          <a:xfrm>
                            <a:off x="0" y="0"/>
                            <a:ext cx="1856740" cy="3274060"/>
                          </a:xfrm>
                          <a:prstGeom prst="rect">
                            <a:avLst/>
                          </a:prstGeom>
                        </pic:spPr>
                      </pic:pic>
                    </a:graphicData>
                  </a:graphic>
                </wp:inline>
              </w:drawing>
            </w:r>
          </w:p>
          <w:p>
            <w:pPr>
              <w:autoSpaceDE w:val="0"/>
              <w:autoSpaceDN w:val="0"/>
              <w:adjustRightInd w:val="0"/>
              <w:snapToGrid w:val="0"/>
              <w:spacing w:line="360" w:lineRule="auto"/>
              <w:ind w:firstLine="422" w:firstLineChars="200"/>
              <w:jc w:val="center"/>
              <w:rPr>
                <w:color w:val="auto"/>
                <w:highlight w:val="none"/>
              </w:rPr>
            </w:pPr>
            <w:r>
              <w:rPr>
                <w:b/>
                <w:color w:val="auto"/>
                <w:highlight w:val="none"/>
              </w:rPr>
              <w:t>图2-</w:t>
            </w:r>
            <w:r>
              <w:rPr>
                <w:rFonts w:hint="eastAsia"/>
                <w:b/>
                <w:color w:val="auto"/>
                <w:highlight w:val="none"/>
                <w:lang w:val="en-US" w:eastAsia="zh-CN"/>
              </w:rPr>
              <w:t>4</w:t>
            </w:r>
            <w:r>
              <w:rPr>
                <w:b/>
                <w:color w:val="auto"/>
                <w:highlight w:val="none"/>
              </w:rPr>
              <w:t xml:space="preserve">  项目运营期</w:t>
            </w:r>
            <w:r>
              <w:rPr>
                <w:rFonts w:hint="eastAsia"/>
                <w:b/>
                <w:color w:val="auto"/>
                <w:highlight w:val="none"/>
                <w:lang w:val="en-US" w:eastAsia="zh-CN"/>
              </w:rPr>
              <w:t>医养</w:t>
            </w:r>
            <w:r>
              <w:rPr>
                <w:b/>
                <w:color w:val="auto"/>
                <w:highlight w:val="none"/>
              </w:rPr>
              <w:t>工艺流程及产污环节图</w:t>
            </w:r>
          </w:p>
          <w:p>
            <w:pPr>
              <w:autoSpaceDE w:val="0"/>
              <w:autoSpaceDN w:val="0"/>
              <w:adjustRightInd w:val="0"/>
              <w:snapToGrid w:val="0"/>
              <w:spacing w:line="360" w:lineRule="auto"/>
              <w:ind w:firstLine="422" w:firstLineChars="200"/>
              <w:jc w:val="left"/>
              <w:rPr>
                <w:b/>
                <w:bCs/>
                <w:color w:val="auto"/>
                <w:kern w:val="0"/>
                <w:szCs w:val="21"/>
                <w:highlight w:val="none"/>
              </w:rPr>
            </w:pPr>
            <w:r>
              <w:rPr>
                <w:b/>
                <w:bCs/>
                <w:color w:val="auto"/>
                <w:kern w:val="0"/>
                <w:szCs w:val="21"/>
                <w:highlight w:val="none"/>
              </w:rPr>
              <w:t>（</w:t>
            </w:r>
            <w:r>
              <w:rPr>
                <w:rFonts w:hint="eastAsia"/>
                <w:b/>
                <w:bCs/>
                <w:color w:val="auto"/>
                <w:kern w:val="0"/>
                <w:szCs w:val="21"/>
                <w:highlight w:val="none"/>
                <w:lang w:val="en-US" w:eastAsia="zh-CN"/>
              </w:rPr>
              <w:t>2</w:t>
            </w:r>
            <w:r>
              <w:rPr>
                <w:b/>
                <w:bCs/>
                <w:color w:val="auto"/>
                <w:kern w:val="0"/>
                <w:szCs w:val="21"/>
                <w:highlight w:val="none"/>
              </w:rPr>
              <w:t>）工艺流程简述</w:t>
            </w:r>
          </w:p>
          <w:p>
            <w:pPr>
              <w:autoSpaceDE w:val="0"/>
              <w:autoSpaceDN w:val="0"/>
              <w:adjustRightInd w:val="0"/>
              <w:snapToGrid w:val="0"/>
              <w:spacing w:line="360" w:lineRule="auto"/>
              <w:ind w:firstLine="422" w:firstLineChars="200"/>
              <w:jc w:val="left"/>
              <w:rPr>
                <w:color w:val="auto"/>
                <w:kern w:val="0"/>
                <w:szCs w:val="21"/>
                <w:highlight w:val="none"/>
              </w:rPr>
            </w:pPr>
            <w:r>
              <w:rPr>
                <w:rFonts w:hint="eastAsia"/>
                <w:b/>
                <w:bCs/>
                <w:color w:val="auto"/>
                <w:kern w:val="0"/>
                <w:szCs w:val="21"/>
                <w:highlight w:val="none"/>
                <w:lang w:val="en-US" w:eastAsia="zh-CN"/>
              </w:rPr>
              <w:t>就医流程：</w:t>
            </w:r>
            <w:r>
              <w:rPr>
                <w:color w:val="auto"/>
                <w:kern w:val="0"/>
                <w:szCs w:val="21"/>
                <w:highlight w:val="none"/>
              </w:rPr>
              <w:t>本项目为社会服务项目，非生产性项目，运营期为口腔科诊疗服务，主要流程入下：病患者来门诊部就医挂号咨询后接受检查和诊断，包括检查口唇、口腔黏膜、牙齿、牙周等相关情况，重点关注与病人陈述有关的口腔部位。不需要治疗的患者取药后即可离院；需要治疗的患者进行治疗、手术，主要包括根管治疗填充术、牙拔除术、牙种植术、固定矫治术等口腔治疗过程。患者完成治疗、手术后即可取药离院；如患者需要住院治疗，则安排住院登记手续，待康复即可取药离院。</w:t>
            </w:r>
          </w:p>
          <w:p>
            <w:pPr>
              <w:autoSpaceDE w:val="0"/>
              <w:autoSpaceDN w:val="0"/>
              <w:adjustRightInd w:val="0"/>
              <w:snapToGrid w:val="0"/>
              <w:spacing w:line="360" w:lineRule="auto"/>
              <w:ind w:firstLine="420" w:firstLineChars="200"/>
              <w:jc w:val="left"/>
              <w:rPr>
                <w:rFonts w:hint="eastAsia"/>
                <w:color w:val="auto"/>
                <w:kern w:val="0"/>
                <w:szCs w:val="21"/>
                <w:highlight w:val="none"/>
                <w:lang w:val="en-US" w:eastAsia="zh-CN"/>
              </w:rPr>
            </w:pPr>
            <w:r>
              <w:rPr>
                <w:rFonts w:hint="eastAsia"/>
                <w:color w:val="auto"/>
                <w:kern w:val="0"/>
                <w:szCs w:val="21"/>
                <w:highlight w:val="none"/>
                <w:lang w:val="en-US" w:eastAsia="zh-CN"/>
              </w:rPr>
              <w:t>医养流程：本项目设有医养病房，老人办理入院后，可通过院内的各类生活、休息、娱乐场所进行养老，并定期对院内医养的病人进行身体检查。</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本项目所使用的补牙材料不含汞、铬等重金属元素，无重金属污染问题。</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本项目不开设传染病科，不设置动物及生物实验室、煎药室等。</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有关放射性医疗设备对环境的影响，需例行申报，不在本次评价范围内。</w:t>
            </w:r>
          </w:p>
          <w:p>
            <w:pPr>
              <w:autoSpaceDE w:val="0"/>
              <w:autoSpaceDN w:val="0"/>
              <w:adjustRightInd w:val="0"/>
              <w:snapToGrid w:val="0"/>
              <w:spacing w:line="360" w:lineRule="auto"/>
              <w:ind w:firstLine="422" w:firstLineChars="200"/>
              <w:jc w:val="left"/>
              <w:rPr>
                <w:b/>
                <w:bCs/>
                <w:color w:val="auto"/>
                <w:kern w:val="0"/>
                <w:szCs w:val="21"/>
                <w:highlight w:val="none"/>
              </w:rPr>
            </w:pPr>
            <w:r>
              <w:rPr>
                <w:b/>
                <w:bCs/>
                <w:color w:val="auto"/>
                <w:kern w:val="0"/>
                <w:szCs w:val="21"/>
                <w:highlight w:val="none"/>
              </w:rPr>
              <w:t>（3）产污环节</w:t>
            </w:r>
          </w:p>
          <w:p>
            <w:pPr>
              <w:spacing w:line="360" w:lineRule="auto"/>
              <w:ind w:firstLine="420" w:firstLineChars="200"/>
              <w:rPr>
                <w:color w:val="auto"/>
                <w:szCs w:val="21"/>
                <w:highlight w:val="none"/>
              </w:rPr>
            </w:pPr>
            <w:r>
              <w:rPr>
                <w:color w:val="auto"/>
                <w:szCs w:val="21"/>
                <w:highlight w:val="none"/>
              </w:rPr>
              <w:t>产污环节见下表。</w:t>
            </w:r>
          </w:p>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表2-</w:t>
            </w:r>
            <w:r>
              <w:rPr>
                <w:rFonts w:hint="eastAsia" w:cs="Times New Roman"/>
                <w:b/>
                <w:color w:val="auto"/>
                <w:highlight w:val="none"/>
                <w:lang w:val="en-US" w:eastAsia="zh-CN"/>
              </w:rPr>
              <w:t>12</w:t>
            </w:r>
            <w:r>
              <w:rPr>
                <w:rFonts w:hint="default" w:ascii="Times New Roman" w:hAnsi="Times New Roman" w:eastAsia="宋体" w:cs="Times New Roman"/>
                <w:b/>
                <w:color w:val="auto"/>
                <w:highlight w:val="none"/>
              </w:rPr>
              <w:t xml:space="preserve">  产污环节一览表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348"/>
              <w:gridCol w:w="1044"/>
              <w:gridCol w:w="1563"/>
              <w:gridCol w:w="2383"/>
              <w:gridCol w:w="787"/>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46" w:type="pct"/>
                  <w:vAlign w:val="center"/>
                </w:tcPr>
                <w:p>
                  <w:pPr>
                    <w:adjustRightInd w:val="0"/>
                    <w:jc w:val="center"/>
                    <w:rPr>
                      <w:color w:val="auto"/>
                      <w:sz w:val="18"/>
                      <w:szCs w:val="18"/>
                      <w:highlight w:val="none"/>
                    </w:rPr>
                  </w:pPr>
                  <w:r>
                    <w:rPr>
                      <w:color w:val="auto"/>
                      <w:sz w:val="18"/>
                      <w:szCs w:val="18"/>
                      <w:highlight w:val="none"/>
                    </w:rPr>
                    <w:t>类别</w:t>
                  </w:r>
                </w:p>
              </w:tc>
              <w:tc>
                <w:tcPr>
                  <w:tcW w:w="1427" w:type="pct"/>
                  <w:gridSpan w:val="2"/>
                  <w:vAlign w:val="center"/>
                </w:tcPr>
                <w:p>
                  <w:pPr>
                    <w:adjustRightInd w:val="0"/>
                    <w:jc w:val="center"/>
                    <w:rPr>
                      <w:color w:val="auto"/>
                      <w:sz w:val="18"/>
                      <w:szCs w:val="18"/>
                      <w:highlight w:val="none"/>
                    </w:rPr>
                  </w:pPr>
                  <w:r>
                    <w:rPr>
                      <w:color w:val="auto"/>
                      <w:sz w:val="18"/>
                      <w:szCs w:val="18"/>
                      <w:highlight w:val="none"/>
                    </w:rPr>
                    <w:t>产污环节</w:t>
                  </w:r>
                </w:p>
              </w:tc>
              <w:tc>
                <w:tcPr>
                  <w:tcW w:w="932" w:type="pct"/>
                  <w:vAlign w:val="center"/>
                </w:tcPr>
                <w:p>
                  <w:pPr>
                    <w:adjustRightInd w:val="0"/>
                    <w:jc w:val="center"/>
                    <w:rPr>
                      <w:color w:val="auto"/>
                      <w:sz w:val="18"/>
                      <w:szCs w:val="18"/>
                      <w:highlight w:val="none"/>
                    </w:rPr>
                  </w:pPr>
                  <w:r>
                    <w:rPr>
                      <w:color w:val="auto"/>
                      <w:sz w:val="18"/>
                      <w:szCs w:val="18"/>
                      <w:highlight w:val="none"/>
                    </w:rPr>
                    <w:t>污染物</w:t>
                  </w:r>
                </w:p>
              </w:tc>
              <w:tc>
                <w:tcPr>
                  <w:tcW w:w="1419" w:type="pct"/>
                  <w:vAlign w:val="center"/>
                </w:tcPr>
                <w:p>
                  <w:pPr>
                    <w:adjustRightInd w:val="0"/>
                    <w:jc w:val="center"/>
                    <w:rPr>
                      <w:color w:val="auto"/>
                      <w:sz w:val="18"/>
                      <w:szCs w:val="18"/>
                      <w:highlight w:val="none"/>
                    </w:rPr>
                  </w:pPr>
                  <w:r>
                    <w:rPr>
                      <w:color w:val="auto"/>
                      <w:sz w:val="18"/>
                      <w:szCs w:val="18"/>
                      <w:highlight w:val="none"/>
                    </w:rPr>
                    <w:t>治理措施</w:t>
                  </w:r>
                </w:p>
              </w:tc>
              <w:tc>
                <w:tcPr>
                  <w:tcW w:w="454" w:type="pct"/>
                  <w:vAlign w:val="center"/>
                </w:tcPr>
                <w:p>
                  <w:pPr>
                    <w:adjustRightInd w:val="0"/>
                    <w:jc w:val="center"/>
                    <w:rPr>
                      <w:color w:val="auto"/>
                      <w:sz w:val="18"/>
                      <w:szCs w:val="18"/>
                      <w:highlight w:val="none"/>
                    </w:rPr>
                  </w:pPr>
                  <w:r>
                    <w:rPr>
                      <w:color w:val="auto"/>
                      <w:sz w:val="18"/>
                      <w:szCs w:val="18"/>
                      <w:highlight w:val="none"/>
                    </w:rPr>
                    <w:t>排放口</w:t>
                  </w:r>
                </w:p>
              </w:tc>
              <w:tc>
                <w:tcPr>
                  <w:tcW w:w="420" w:type="pct"/>
                  <w:vAlign w:val="center"/>
                </w:tcPr>
                <w:p>
                  <w:pPr>
                    <w:adjustRightInd w:val="0"/>
                    <w:jc w:val="center"/>
                    <w:rPr>
                      <w:color w:val="auto"/>
                      <w:sz w:val="18"/>
                      <w:szCs w:val="18"/>
                      <w:highlight w:val="none"/>
                    </w:rPr>
                  </w:pPr>
                  <w:r>
                    <w:rPr>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restart"/>
                  <w:vAlign w:val="center"/>
                </w:tcPr>
                <w:p>
                  <w:pPr>
                    <w:adjustRightInd w:val="0"/>
                    <w:jc w:val="center"/>
                    <w:rPr>
                      <w:color w:val="auto"/>
                      <w:sz w:val="18"/>
                      <w:szCs w:val="18"/>
                      <w:highlight w:val="none"/>
                    </w:rPr>
                  </w:pPr>
                  <w:r>
                    <w:rPr>
                      <w:color w:val="auto"/>
                      <w:sz w:val="18"/>
                      <w:szCs w:val="18"/>
                      <w:highlight w:val="none"/>
                    </w:rPr>
                    <w:t>废气</w:t>
                  </w:r>
                </w:p>
              </w:tc>
              <w:tc>
                <w:tcPr>
                  <w:tcW w:w="804" w:type="pct"/>
                  <w:vAlign w:val="center"/>
                </w:tcPr>
                <w:p>
                  <w:pPr>
                    <w:adjustRightInd w:val="0"/>
                    <w:jc w:val="center"/>
                    <w:rPr>
                      <w:color w:val="auto"/>
                      <w:sz w:val="18"/>
                      <w:szCs w:val="18"/>
                      <w:highlight w:val="none"/>
                    </w:rPr>
                  </w:pPr>
                  <w:r>
                    <w:rPr>
                      <w:color w:val="auto"/>
                      <w:sz w:val="18"/>
                      <w:szCs w:val="18"/>
                      <w:highlight w:val="none"/>
                    </w:rPr>
                    <w:t>污水处理站</w:t>
                  </w:r>
                </w:p>
              </w:tc>
              <w:tc>
                <w:tcPr>
                  <w:tcW w:w="622" w:type="pct"/>
                  <w:vAlign w:val="center"/>
                </w:tcPr>
                <w:p>
                  <w:pPr>
                    <w:adjustRightInd w:val="0"/>
                    <w:jc w:val="center"/>
                    <w:rPr>
                      <w:color w:val="auto"/>
                      <w:sz w:val="18"/>
                      <w:szCs w:val="18"/>
                      <w:highlight w:val="none"/>
                    </w:rPr>
                  </w:pPr>
                  <w:r>
                    <w:rPr>
                      <w:rFonts w:hint="eastAsia"/>
                      <w:color w:val="auto"/>
                      <w:sz w:val="18"/>
                      <w:szCs w:val="18"/>
                      <w:highlight w:val="none"/>
                      <w:lang w:val="en-US" w:eastAsia="zh-CN"/>
                    </w:rPr>
                    <w:t>有</w:t>
                  </w:r>
                  <w:r>
                    <w:rPr>
                      <w:color w:val="auto"/>
                      <w:sz w:val="18"/>
                      <w:szCs w:val="18"/>
                      <w:highlight w:val="none"/>
                    </w:rPr>
                    <w:t>组织</w:t>
                  </w:r>
                </w:p>
              </w:tc>
              <w:tc>
                <w:tcPr>
                  <w:tcW w:w="932" w:type="pct"/>
                  <w:vAlign w:val="center"/>
                </w:tcPr>
                <w:p>
                  <w:pPr>
                    <w:adjustRightInd w:val="0"/>
                    <w:jc w:val="center"/>
                    <w:rPr>
                      <w:color w:val="auto"/>
                      <w:sz w:val="18"/>
                      <w:szCs w:val="18"/>
                      <w:highlight w:val="none"/>
                    </w:rPr>
                  </w:pPr>
                  <w:r>
                    <w:rPr>
                      <w:color w:val="auto"/>
                      <w:sz w:val="18"/>
                      <w:szCs w:val="18"/>
                      <w:highlight w:val="none"/>
                    </w:rPr>
                    <w:t>NH</w:t>
                  </w:r>
                  <w:r>
                    <w:rPr>
                      <w:color w:val="auto"/>
                      <w:sz w:val="18"/>
                      <w:szCs w:val="18"/>
                      <w:highlight w:val="none"/>
                      <w:vertAlign w:val="subscript"/>
                    </w:rPr>
                    <w:t>3</w:t>
                  </w:r>
                  <w:r>
                    <w:rPr>
                      <w:color w:val="auto"/>
                      <w:sz w:val="18"/>
                      <w:szCs w:val="18"/>
                      <w:highlight w:val="none"/>
                    </w:rPr>
                    <w:t>、H</w:t>
                  </w:r>
                  <w:r>
                    <w:rPr>
                      <w:color w:val="auto"/>
                      <w:sz w:val="18"/>
                      <w:szCs w:val="18"/>
                      <w:highlight w:val="none"/>
                      <w:vertAlign w:val="subscript"/>
                    </w:rPr>
                    <w:t>2</w:t>
                  </w:r>
                  <w:r>
                    <w:rPr>
                      <w:color w:val="auto"/>
                      <w:sz w:val="18"/>
                      <w:szCs w:val="18"/>
                      <w:highlight w:val="none"/>
                    </w:rPr>
                    <w:t>S、臭气浓度等</w:t>
                  </w:r>
                </w:p>
              </w:tc>
              <w:tc>
                <w:tcPr>
                  <w:tcW w:w="1419" w:type="pct"/>
                  <w:vAlign w:val="center"/>
                </w:tcPr>
                <w:p>
                  <w:pPr>
                    <w:adjustRightIn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经管线收集后通过生物除臭装置处理后通过15m的排气筒DA001有组织排放</w:t>
                  </w:r>
                </w:p>
              </w:tc>
              <w:tc>
                <w:tcPr>
                  <w:tcW w:w="454" w:type="pct"/>
                  <w:vAlign w:val="center"/>
                </w:tcPr>
                <w:p>
                  <w:pPr>
                    <w:adjustRightIn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DA001</w:t>
                  </w:r>
                </w:p>
              </w:tc>
              <w:tc>
                <w:tcPr>
                  <w:tcW w:w="420" w:type="pc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continue"/>
                  <w:vAlign w:val="center"/>
                </w:tcPr>
                <w:p>
                  <w:pPr>
                    <w:adjustRightInd w:val="0"/>
                    <w:jc w:val="center"/>
                    <w:rPr>
                      <w:color w:val="auto"/>
                      <w:sz w:val="18"/>
                      <w:szCs w:val="18"/>
                      <w:highlight w:val="none"/>
                    </w:rPr>
                  </w:pPr>
                </w:p>
              </w:tc>
              <w:tc>
                <w:tcPr>
                  <w:tcW w:w="804" w:type="pct"/>
                  <w:vAlign w:val="center"/>
                </w:tcPr>
                <w:p>
                  <w:pPr>
                    <w:adjustRightIn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食堂</w:t>
                  </w:r>
                </w:p>
              </w:tc>
              <w:tc>
                <w:tcPr>
                  <w:tcW w:w="622" w:type="pct"/>
                  <w:vAlign w:val="center"/>
                </w:tcPr>
                <w:p>
                  <w:pPr>
                    <w:adjustRightInd w:val="0"/>
                    <w:jc w:val="center"/>
                    <w:rPr>
                      <w:rFonts w:hint="eastAsia"/>
                      <w:color w:val="auto"/>
                      <w:sz w:val="18"/>
                      <w:szCs w:val="18"/>
                      <w:highlight w:val="none"/>
                      <w:lang w:val="en-US" w:eastAsia="zh-CN"/>
                    </w:rPr>
                  </w:pPr>
                  <w:r>
                    <w:rPr>
                      <w:rFonts w:hint="eastAsia"/>
                      <w:color w:val="auto"/>
                      <w:sz w:val="18"/>
                      <w:szCs w:val="18"/>
                      <w:highlight w:val="none"/>
                      <w:lang w:val="en-US" w:eastAsia="zh-CN"/>
                    </w:rPr>
                    <w:t>有</w:t>
                  </w:r>
                  <w:r>
                    <w:rPr>
                      <w:color w:val="auto"/>
                      <w:sz w:val="18"/>
                      <w:szCs w:val="18"/>
                      <w:highlight w:val="none"/>
                    </w:rPr>
                    <w:t>组织</w:t>
                  </w:r>
                </w:p>
              </w:tc>
              <w:tc>
                <w:tcPr>
                  <w:tcW w:w="932" w:type="pct"/>
                  <w:vAlign w:val="center"/>
                </w:tcPr>
                <w:p>
                  <w:pPr>
                    <w:adjustRightIn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油烟</w:t>
                  </w:r>
                </w:p>
              </w:tc>
              <w:tc>
                <w:tcPr>
                  <w:tcW w:w="1419" w:type="pct"/>
                  <w:vAlign w:val="center"/>
                </w:tcPr>
                <w:p>
                  <w:pPr>
                    <w:adjustRightInd w:val="0"/>
                    <w:jc w:val="center"/>
                    <w:rPr>
                      <w:rFonts w:hint="default"/>
                      <w:color w:val="auto"/>
                      <w:sz w:val="18"/>
                      <w:szCs w:val="18"/>
                      <w:highlight w:val="none"/>
                      <w:lang w:val="en-US" w:eastAsia="zh-CN"/>
                    </w:rPr>
                  </w:pPr>
                  <w:r>
                    <w:rPr>
                      <w:rFonts w:hint="eastAsia"/>
                      <w:color w:val="auto"/>
                      <w:sz w:val="18"/>
                      <w:szCs w:val="18"/>
                      <w:highlight w:val="none"/>
                      <w:lang w:val="en-US" w:eastAsia="zh-CN"/>
                    </w:rPr>
                    <w:t>经管线收集后通过油烟净化器处理后通过屋顶1.5m出排气筒有组织排放</w:t>
                  </w:r>
                </w:p>
              </w:tc>
              <w:tc>
                <w:tcPr>
                  <w:tcW w:w="454" w:type="pct"/>
                  <w:vAlign w:val="center"/>
                </w:tcPr>
                <w:p>
                  <w:pPr>
                    <w:adjustRightInd w:val="0"/>
                    <w:jc w:val="center"/>
                    <w:rPr>
                      <w:rFonts w:hint="default"/>
                      <w:color w:val="auto"/>
                      <w:sz w:val="18"/>
                      <w:szCs w:val="18"/>
                      <w:highlight w:val="none"/>
                      <w:lang w:val="en-US" w:eastAsia="zh-CN"/>
                    </w:rPr>
                  </w:pPr>
                  <w:r>
                    <w:rPr>
                      <w:rFonts w:hint="eastAsia"/>
                      <w:color w:val="auto"/>
                      <w:sz w:val="18"/>
                      <w:szCs w:val="18"/>
                      <w:highlight w:val="none"/>
                      <w:lang w:val="en-US" w:eastAsia="zh-CN"/>
                    </w:rPr>
                    <w:t>DA002</w:t>
                  </w:r>
                </w:p>
              </w:tc>
              <w:tc>
                <w:tcPr>
                  <w:tcW w:w="420" w:type="pct"/>
                  <w:vAlign w:val="center"/>
                </w:tcPr>
                <w:p>
                  <w:pPr>
                    <w:adjustRightIn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continue"/>
                  <w:vAlign w:val="center"/>
                </w:tcPr>
                <w:p>
                  <w:pPr>
                    <w:adjustRightInd w:val="0"/>
                    <w:jc w:val="center"/>
                    <w:rPr>
                      <w:color w:val="auto"/>
                      <w:sz w:val="18"/>
                      <w:szCs w:val="18"/>
                      <w:highlight w:val="none"/>
                    </w:rPr>
                  </w:pPr>
                </w:p>
              </w:tc>
              <w:tc>
                <w:tcPr>
                  <w:tcW w:w="804" w:type="pct"/>
                  <w:vAlign w:val="center"/>
                </w:tcPr>
                <w:p>
                  <w:pPr>
                    <w:adjustRightIn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未收集废气</w:t>
                  </w:r>
                </w:p>
              </w:tc>
              <w:tc>
                <w:tcPr>
                  <w:tcW w:w="622" w:type="pct"/>
                  <w:vAlign w:val="center"/>
                </w:tcPr>
                <w:p>
                  <w:pPr>
                    <w:adjustRightInd w:val="0"/>
                    <w:jc w:val="center"/>
                    <w:rPr>
                      <w:rFonts w:hint="default"/>
                      <w:color w:val="auto"/>
                      <w:sz w:val="18"/>
                      <w:szCs w:val="18"/>
                      <w:highlight w:val="none"/>
                      <w:lang w:val="en-US" w:eastAsia="zh-CN"/>
                    </w:rPr>
                  </w:pPr>
                  <w:r>
                    <w:rPr>
                      <w:rFonts w:hint="eastAsia"/>
                      <w:color w:val="auto"/>
                      <w:sz w:val="18"/>
                      <w:szCs w:val="18"/>
                      <w:highlight w:val="none"/>
                      <w:lang w:val="en-US" w:eastAsia="zh-CN"/>
                    </w:rPr>
                    <w:t>无组织</w:t>
                  </w:r>
                </w:p>
              </w:tc>
              <w:tc>
                <w:tcPr>
                  <w:tcW w:w="932" w:type="pct"/>
                  <w:vAlign w:val="center"/>
                </w:tcPr>
                <w:p>
                  <w:pPr>
                    <w:adjustRightInd w:val="0"/>
                    <w:jc w:val="center"/>
                    <w:rPr>
                      <w:color w:val="auto"/>
                      <w:sz w:val="18"/>
                      <w:szCs w:val="18"/>
                      <w:highlight w:val="none"/>
                    </w:rPr>
                  </w:pPr>
                  <w:r>
                    <w:rPr>
                      <w:color w:val="auto"/>
                      <w:sz w:val="18"/>
                      <w:szCs w:val="18"/>
                      <w:highlight w:val="none"/>
                    </w:rPr>
                    <w:t>NH</w:t>
                  </w:r>
                  <w:r>
                    <w:rPr>
                      <w:color w:val="auto"/>
                      <w:sz w:val="18"/>
                      <w:szCs w:val="18"/>
                      <w:highlight w:val="none"/>
                      <w:vertAlign w:val="subscript"/>
                    </w:rPr>
                    <w:t>3</w:t>
                  </w:r>
                  <w:r>
                    <w:rPr>
                      <w:color w:val="auto"/>
                      <w:sz w:val="18"/>
                      <w:szCs w:val="18"/>
                      <w:highlight w:val="none"/>
                    </w:rPr>
                    <w:t>、H</w:t>
                  </w:r>
                  <w:r>
                    <w:rPr>
                      <w:color w:val="auto"/>
                      <w:sz w:val="18"/>
                      <w:szCs w:val="18"/>
                      <w:highlight w:val="none"/>
                      <w:vertAlign w:val="subscript"/>
                    </w:rPr>
                    <w:t>2</w:t>
                  </w:r>
                  <w:r>
                    <w:rPr>
                      <w:color w:val="auto"/>
                      <w:sz w:val="18"/>
                      <w:szCs w:val="18"/>
                      <w:highlight w:val="none"/>
                    </w:rPr>
                    <w:t>S、臭气浓度等</w:t>
                  </w:r>
                </w:p>
              </w:tc>
              <w:tc>
                <w:tcPr>
                  <w:tcW w:w="1419" w:type="pct"/>
                  <w:vAlign w:val="center"/>
                </w:tcPr>
                <w:p>
                  <w:pPr>
                    <w:adjustRightInd w:val="0"/>
                    <w:jc w:val="center"/>
                    <w:rPr>
                      <w:rFonts w:hint="default"/>
                      <w:color w:val="auto"/>
                      <w:sz w:val="18"/>
                      <w:szCs w:val="18"/>
                      <w:highlight w:val="none"/>
                      <w:lang w:val="en-US" w:eastAsia="zh-CN"/>
                    </w:rPr>
                  </w:pPr>
                  <w:r>
                    <w:rPr>
                      <w:rFonts w:hint="eastAsia"/>
                      <w:color w:val="auto"/>
                      <w:sz w:val="18"/>
                      <w:szCs w:val="18"/>
                      <w:highlight w:val="none"/>
                      <w:lang w:val="en-US" w:eastAsia="zh-CN"/>
                    </w:rPr>
                    <w:t>/</w:t>
                  </w:r>
                </w:p>
              </w:tc>
              <w:tc>
                <w:tcPr>
                  <w:tcW w:w="454" w:type="pct"/>
                  <w:vAlign w:val="center"/>
                </w:tcPr>
                <w:p>
                  <w:pPr>
                    <w:adjustRightInd w:val="0"/>
                    <w:jc w:val="center"/>
                    <w:rPr>
                      <w:rFonts w:hint="default"/>
                      <w:color w:val="auto"/>
                      <w:sz w:val="18"/>
                      <w:szCs w:val="18"/>
                      <w:highlight w:val="none"/>
                      <w:lang w:val="en-US" w:eastAsia="zh-CN"/>
                    </w:rPr>
                  </w:pPr>
                  <w:r>
                    <w:rPr>
                      <w:rFonts w:hint="eastAsia"/>
                      <w:color w:val="auto"/>
                      <w:sz w:val="18"/>
                      <w:szCs w:val="18"/>
                      <w:highlight w:val="none"/>
                      <w:lang w:val="en-US" w:eastAsia="zh-CN"/>
                    </w:rPr>
                    <w:t>无组织排放</w:t>
                  </w:r>
                </w:p>
              </w:tc>
              <w:tc>
                <w:tcPr>
                  <w:tcW w:w="420" w:type="pct"/>
                  <w:vAlign w:val="center"/>
                </w:tcPr>
                <w:p>
                  <w:pPr>
                    <w:adjustRightIn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restart"/>
                  <w:vAlign w:val="center"/>
                </w:tcPr>
                <w:p>
                  <w:pPr>
                    <w:adjustRightInd w:val="0"/>
                    <w:rPr>
                      <w:color w:val="auto"/>
                      <w:sz w:val="18"/>
                      <w:szCs w:val="18"/>
                      <w:highlight w:val="none"/>
                    </w:rPr>
                  </w:pPr>
                  <w:r>
                    <w:rPr>
                      <w:color w:val="auto"/>
                      <w:sz w:val="18"/>
                      <w:szCs w:val="18"/>
                      <w:highlight w:val="none"/>
                    </w:rPr>
                    <w:t>废水</w:t>
                  </w:r>
                </w:p>
              </w:tc>
              <w:tc>
                <w:tcPr>
                  <w:tcW w:w="1427" w:type="pct"/>
                  <w:gridSpan w:val="2"/>
                  <w:vAlign w:val="center"/>
                </w:tcPr>
                <w:p>
                  <w:pPr>
                    <w:adjustRightInd w:val="0"/>
                    <w:jc w:val="center"/>
                    <w:rPr>
                      <w:color w:val="auto"/>
                      <w:sz w:val="18"/>
                      <w:szCs w:val="18"/>
                      <w:highlight w:val="none"/>
                    </w:rPr>
                  </w:pPr>
                  <w:r>
                    <w:rPr>
                      <w:color w:val="auto"/>
                      <w:sz w:val="18"/>
                      <w:szCs w:val="18"/>
                      <w:highlight w:val="none"/>
                    </w:rPr>
                    <w:t>医务人员生活污水</w:t>
                  </w:r>
                </w:p>
              </w:tc>
              <w:tc>
                <w:tcPr>
                  <w:tcW w:w="932" w:type="pct"/>
                  <w:vMerge w:val="restart"/>
                  <w:vAlign w:val="center"/>
                </w:tcPr>
                <w:p>
                  <w:pPr>
                    <w:adjustRightInd w:val="0"/>
                    <w:jc w:val="center"/>
                    <w:rPr>
                      <w:rFonts w:hint="default" w:eastAsia="宋体"/>
                      <w:color w:val="auto"/>
                      <w:sz w:val="18"/>
                      <w:szCs w:val="18"/>
                      <w:highlight w:val="none"/>
                      <w:lang w:val="en-US" w:eastAsia="zh-CN"/>
                    </w:rPr>
                  </w:pPr>
                  <w:r>
                    <w:rPr>
                      <w:color w:val="auto"/>
                      <w:sz w:val="18"/>
                      <w:szCs w:val="18"/>
                      <w:highlight w:val="none"/>
                    </w:rPr>
                    <w:t>CODcr、BOD</w:t>
                  </w:r>
                  <w:r>
                    <w:rPr>
                      <w:color w:val="auto"/>
                      <w:sz w:val="18"/>
                      <w:szCs w:val="18"/>
                      <w:highlight w:val="none"/>
                      <w:vertAlign w:val="subscript"/>
                    </w:rPr>
                    <w:t>5</w:t>
                  </w:r>
                  <w:r>
                    <w:rPr>
                      <w:color w:val="auto"/>
                      <w:sz w:val="18"/>
                      <w:szCs w:val="18"/>
                      <w:highlight w:val="none"/>
                    </w:rPr>
                    <w:t>、氨氮、SS</w:t>
                  </w:r>
                  <w:r>
                    <w:rPr>
                      <w:rFonts w:hint="eastAsia"/>
                      <w:color w:val="auto"/>
                      <w:sz w:val="18"/>
                      <w:szCs w:val="18"/>
                      <w:highlight w:val="none"/>
                    </w:rPr>
                    <w:t>、粪</w:t>
                  </w:r>
                  <w:r>
                    <w:rPr>
                      <w:color w:val="auto"/>
                      <w:sz w:val="18"/>
                      <w:szCs w:val="18"/>
                      <w:highlight w:val="none"/>
                    </w:rPr>
                    <w:t>大肠菌群</w:t>
                  </w:r>
                  <w:r>
                    <w:rPr>
                      <w:rFonts w:hint="eastAsia"/>
                      <w:color w:val="auto"/>
                      <w:sz w:val="18"/>
                      <w:szCs w:val="18"/>
                      <w:highlight w:val="none"/>
                      <w:lang w:eastAsia="zh-CN"/>
                    </w:rPr>
                    <w:t>、</w:t>
                  </w:r>
                  <w:r>
                    <w:rPr>
                      <w:rFonts w:hint="eastAsia"/>
                      <w:color w:val="auto"/>
                      <w:sz w:val="18"/>
                      <w:szCs w:val="18"/>
                      <w:highlight w:val="none"/>
                      <w:lang w:val="en-US" w:eastAsia="zh-CN"/>
                    </w:rPr>
                    <w:t>动植物油</w:t>
                  </w:r>
                </w:p>
              </w:tc>
              <w:tc>
                <w:tcPr>
                  <w:tcW w:w="1419" w:type="pct"/>
                  <w:vMerge w:val="restart"/>
                  <w:vAlign w:val="center"/>
                </w:tcPr>
                <w:p>
                  <w:pPr>
                    <w:adjustRightInd w:val="0"/>
                    <w:jc w:val="center"/>
                    <w:rPr>
                      <w:color w:val="auto"/>
                      <w:sz w:val="18"/>
                      <w:szCs w:val="18"/>
                      <w:highlight w:val="none"/>
                    </w:rPr>
                  </w:pPr>
                  <w:r>
                    <w:rPr>
                      <w:rFonts w:hint="eastAsia"/>
                      <w:color w:val="auto"/>
                      <w:sz w:val="18"/>
                      <w:szCs w:val="18"/>
                      <w:highlight w:val="none"/>
                      <w:lang w:val="en-US" w:eastAsia="zh-CN"/>
                    </w:rPr>
                    <w:t>食堂废水经单独隔油池处理后与其他废水一同进入</w:t>
                  </w:r>
                  <w:r>
                    <w:rPr>
                      <w:color w:val="auto"/>
                      <w:sz w:val="18"/>
                      <w:szCs w:val="18"/>
                      <w:highlight w:val="none"/>
                    </w:rPr>
                    <w:t>厂区内设置</w:t>
                  </w:r>
                  <w:r>
                    <w:rPr>
                      <w:rFonts w:hint="eastAsia"/>
                      <w:color w:val="auto"/>
                      <w:sz w:val="18"/>
                      <w:szCs w:val="18"/>
                      <w:highlight w:val="none"/>
                      <w:lang w:val="en-US" w:eastAsia="zh-CN"/>
                    </w:rPr>
                    <w:t>的</w:t>
                  </w:r>
                  <w:r>
                    <w:rPr>
                      <w:color w:val="auto"/>
                      <w:sz w:val="18"/>
                      <w:szCs w:val="18"/>
                      <w:highlight w:val="none"/>
                    </w:rPr>
                    <w:t>污水处理站，采用</w:t>
                  </w:r>
                  <w:r>
                    <w:rPr>
                      <w:rFonts w:hint="eastAsia"/>
                      <w:color w:val="auto"/>
                      <w:sz w:val="18"/>
                      <w:szCs w:val="18"/>
                      <w:highlight w:val="none"/>
                      <w:lang w:eastAsia="zh-CN"/>
                    </w:rPr>
                    <w:t>“</w:t>
                  </w:r>
                  <w:r>
                    <w:rPr>
                      <w:color w:val="auto"/>
                      <w:sz w:val="18"/>
                      <w:szCs w:val="18"/>
                      <w:highlight w:val="none"/>
                    </w:rPr>
                    <w:t>格栅+调节池+</w:t>
                  </w:r>
                  <w:r>
                    <w:rPr>
                      <w:rFonts w:hint="eastAsia"/>
                      <w:color w:val="auto"/>
                      <w:sz w:val="18"/>
                      <w:szCs w:val="18"/>
                      <w:highlight w:val="none"/>
                      <w:lang w:val="en-US" w:eastAsia="zh-CN"/>
                    </w:rPr>
                    <w:t>缺氧池</w:t>
                  </w:r>
                  <w:r>
                    <w:rPr>
                      <w:color w:val="auto"/>
                      <w:sz w:val="18"/>
                      <w:szCs w:val="18"/>
                      <w:highlight w:val="none"/>
                    </w:rPr>
                    <w:t>+</w:t>
                  </w:r>
                  <w:r>
                    <w:rPr>
                      <w:rFonts w:hint="eastAsia"/>
                      <w:color w:val="auto"/>
                      <w:sz w:val="18"/>
                      <w:szCs w:val="18"/>
                      <w:highlight w:val="none"/>
                      <w:lang w:val="en-US" w:eastAsia="zh-CN"/>
                    </w:rPr>
                    <w:t>好氧池+二沉池</w:t>
                  </w:r>
                  <w:r>
                    <w:rPr>
                      <w:color w:val="auto"/>
                      <w:sz w:val="18"/>
                      <w:szCs w:val="18"/>
                      <w:highlight w:val="none"/>
                    </w:rPr>
                    <w:t>+</w:t>
                  </w:r>
                  <w:r>
                    <w:rPr>
                      <w:rFonts w:hint="eastAsia"/>
                      <w:color w:val="auto"/>
                      <w:sz w:val="18"/>
                      <w:szCs w:val="18"/>
                      <w:highlight w:val="none"/>
                      <w:lang w:val="en-US" w:eastAsia="zh-CN"/>
                    </w:rPr>
                    <w:t>絮凝池+</w:t>
                  </w:r>
                  <w:r>
                    <w:rPr>
                      <w:color w:val="auto"/>
                      <w:sz w:val="18"/>
                      <w:szCs w:val="18"/>
                      <w:highlight w:val="none"/>
                    </w:rPr>
                    <w:t>消毒池</w:t>
                  </w:r>
                  <w:r>
                    <w:rPr>
                      <w:rFonts w:hint="eastAsia"/>
                      <w:color w:val="auto"/>
                      <w:sz w:val="18"/>
                      <w:szCs w:val="18"/>
                      <w:highlight w:val="none"/>
                      <w:lang w:eastAsia="zh-CN"/>
                    </w:rPr>
                    <w:t>”</w:t>
                  </w:r>
                  <w:r>
                    <w:rPr>
                      <w:color w:val="auto"/>
                      <w:sz w:val="18"/>
                      <w:szCs w:val="18"/>
                      <w:highlight w:val="none"/>
                    </w:rPr>
                    <w:t>工艺</w:t>
                  </w:r>
                </w:p>
              </w:tc>
              <w:tc>
                <w:tcPr>
                  <w:tcW w:w="454" w:type="pct"/>
                  <w:vMerge w:val="restart"/>
                  <w:vAlign w:val="center"/>
                </w:tcPr>
                <w:p>
                  <w:pPr>
                    <w:adjustRightInd w:val="0"/>
                    <w:jc w:val="center"/>
                    <w:rPr>
                      <w:color w:val="auto"/>
                      <w:sz w:val="18"/>
                      <w:szCs w:val="18"/>
                      <w:highlight w:val="none"/>
                    </w:rPr>
                  </w:pPr>
                  <w:r>
                    <w:rPr>
                      <w:color w:val="auto"/>
                      <w:sz w:val="18"/>
                      <w:szCs w:val="18"/>
                      <w:highlight w:val="none"/>
                    </w:rPr>
                    <w:t>DW001</w:t>
                  </w:r>
                </w:p>
              </w:tc>
              <w:tc>
                <w:tcPr>
                  <w:tcW w:w="420" w:type="pct"/>
                  <w:vMerge w:val="restar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continue"/>
                  <w:vAlign w:val="center"/>
                </w:tcPr>
                <w:p>
                  <w:pPr>
                    <w:adjustRightInd w:val="0"/>
                    <w:rPr>
                      <w:color w:val="auto"/>
                      <w:sz w:val="18"/>
                      <w:szCs w:val="18"/>
                      <w:highlight w:val="none"/>
                    </w:rPr>
                  </w:pPr>
                </w:p>
              </w:tc>
              <w:tc>
                <w:tcPr>
                  <w:tcW w:w="1427" w:type="pct"/>
                  <w:gridSpan w:val="2"/>
                  <w:vAlign w:val="center"/>
                </w:tcPr>
                <w:p>
                  <w:pPr>
                    <w:adjustRightInd w:val="0"/>
                    <w:jc w:val="center"/>
                    <w:rPr>
                      <w:color w:val="auto"/>
                      <w:sz w:val="18"/>
                      <w:szCs w:val="18"/>
                      <w:highlight w:val="none"/>
                    </w:rPr>
                  </w:pPr>
                  <w:r>
                    <w:rPr>
                      <w:color w:val="auto"/>
                      <w:sz w:val="18"/>
                      <w:szCs w:val="18"/>
                      <w:highlight w:val="none"/>
                    </w:rPr>
                    <w:t>病房医疗废水</w:t>
                  </w:r>
                </w:p>
              </w:tc>
              <w:tc>
                <w:tcPr>
                  <w:tcW w:w="932" w:type="pct"/>
                  <w:vMerge w:val="continue"/>
                  <w:vAlign w:val="center"/>
                </w:tcPr>
                <w:p>
                  <w:pPr>
                    <w:adjustRightInd w:val="0"/>
                    <w:jc w:val="center"/>
                    <w:rPr>
                      <w:color w:val="auto"/>
                      <w:sz w:val="18"/>
                      <w:szCs w:val="18"/>
                      <w:highlight w:val="none"/>
                    </w:rPr>
                  </w:pPr>
                </w:p>
              </w:tc>
              <w:tc>
                <w:tcPr>
                  <w:tcW w:w="1419" w:type="pct"/>
                  <w:vMerge w:val="continue"/>
                  <w:vAlign w:val="center"/>
                </w:tcPr>
                <w:p>
                  <w:pPr>
                    <w:adjustRightInd w:val="0"/>
                    <w:jc w:val="center"/>
                    <w:rPr>
                      <w:color w:val="auto"/>
                      <w:sz w:val="18"/>
                      <w:szCs w:val="18"/>
                      <w:highlight w:val="none"/>
                    </w:rPr>
                  </w:pPr>
                </w:p>
              </w:tc>
              <w:tc>
                <w:tcPr>
                  <w:tcW w:w="454" w:type="pct"/>
                  <w:vMerge w:val="continue"/>
                  <w:vAlign w:val="center"/>
                </w:tcPr>
                <w:p>
                  <w:pPr>
                    <w:adjustRightInd w:val="0"/>
                    <w:jc w:val="center"/>
                    <w:rPr>
                      <w:color w:val="auto"/>
                      <w:sz w:val="18"/>
                      <w:szCs w:val="18"/>
                      <w:highlight w:val="none"/>
                    </w:rPr>
                  </w:pPr>
                </w:p>
              </w:tc>
              <w:tc>
                <w:tcPr>
                  <w:tcW w:w="420" w:type="pct"/>
                  <w:vMerge w:val="continue"/>
                  <w:vAlign w:val="center"/>
                </w:tcPr>
                <w:p>
                  <w:pPr>
                    <w:adjustRightIn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continue"/>
                  <w:vAlign w:val="center"/>
                </w:tcPr>
                <w:p>
                  <w:pPr>
                    <w:adjustRightInd w:val="0"/>
                    <w:rPr>
                      <w:color w:val="auto"/>
                      <w:sz w:val="18"/>
                      <w:szCs w:val="18"/>
                      <w:highlight w:val="none"/>
                    </w:rPr>
                  </w:pPr>
                </w:p>
              </w:tc>
              <w:tc>
                <w:tcPr>
                  <w:tcW w:w="1427" w:type="pct"/>
                  <w:gridSpan w:val="2"/>
                  <w:vAlign w:val="center"/>
                </w:tcPr>
                <w:p>
                  <w:pPr>
                    <w:adjustRightInd w:val="0"/>
                    <w:jc w:val="center"/>
                    <w:rPr>
                      <w:color w:val="auto"/>
                      <w:sz w:val="18"/>
                      <w:szCs w:val="18"/>
                      <w:highlight w:val="none"/>
                    </w:rPr>
                  </w:pPr>
                  <w:r>
                    <w:rPr>
                      <w:color w:val="auto"/>
                      <w:sz w:val="18"/>
                      <w:szCs w:val="18"/>
                      <w:highlight w:val="none"/>
                    </w:rPr>
                    <w:t>门诊医疗废水</w:t>
                  </w:r>
                </w:p>
              </w:tc>
              <w:tc>
                <w:tcPr>
                  <w:tcW w:w="932" w:type="pct"/>
                  <w:vMerge w:val="continue"/>
                  <w:vAlign w:val="center"/>
                </w:tcPr>
                <w:p>
                  <w:pPr>
                    <w:adjustRightInd w:val="0"/>
                    <w:jc w:val="center"/>
                    <w:rPr>
                      <w:color w:val="auto"/>
                      <w:sz w:val="18"/>
                      <w:szCs w:val="18"/>
                      <w:highlight w:val="none"/>
                    </w:rPr>
                  </w:pPr>
                </w:p>
              </w:tc>
              <w:tc>
                <w:tcPr>
                  <w:tcW w:w="1419" w:type="pct"/>
                  <w:vMerge w:val="continue"/>
                  <w:vAlign w:val="center"/>
                </w:tcPr>
                <w:p>
                  <w:pPr>
                    <w:adjustRightInd w:val="0"/>
                    <w:jc w:val="center"/>
                    <w:rPr>
                      <w:color w:val="auto"/>
                      <w:sz w:val="18"/>
                      <w:szCs w:val="18"/>
                      <w:highlight w:val="none"/>
                    </w:rPr>
                  </w:pPr>
                </w:p>
              </w:tc>
              <w:tc>
                <w:tcPr>
                  <w:tcW w:w="454" w:type="pct"/>
                  <w:vMerge w:val="continue"/>
                  <w:vAlign w:val="center"/>
                </w:tcPr>
                <w:p>
                  <w:pPr>
                    <w:adjustRightInd w:val="0"/>
                    <w:jc w:val="center"/>
                    <w:rPr>
                      <w:color w:val="auto"/>
                      <w:sz w:val="18"/>
                      <w:szCs w:val="18"/>
                      <w:highlight w:val="none"/>
                    </w:rPr>
                  </w:pPr>
                </w:p>
              </w:tc>
              <w:tc>
                <w:tcPr>
                  <w:tcW w:w="420" w:type="pct"/>
                  <w:vMerge w:val="continue"/>
                  <w:vAlign w:val="center"/>
                </w:tcPr>
                <w:p>
                  <w:pPr>
                    <w:adjustRightIn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continue"/>
                  <w:vAlign w:val="center"/>
                </w:tcPr>
                <w:p>
                  <w:pPr>
                    <w:adjustRightInd w:val="0"/>
                    <w:rPr>
                      <w:color w:val="auto"/>
                      <w:sz w:val="18"/>
                      <w:szCs w:val="18"/>
                      <w:highlight w:val="none"/>
                    </w:rPr>
                  </w:pPr>
                </w:p>
              </w:tc>
              <w:tc>
                <w:tcPr>
                  <w:tcW w:w="1427" w:type="pct"/>
                  <w:gridSpan w:val="2"/>
                  <w:vAlign w:val="center"/>
                </w:tcPr>
                <w:p>
                  <w:pPr>
                    <w:adjustRightInd w:val="0"/>
                    <w:jc w:val="center"/>
                    <w:rPr>
                      <w:color w:val="auto"/>
                      <w:sz w:val="18"/>
                      <w:szCs w:val="18"/>
                      <w:highlight w:val="none"/>
                    </w:rPr>
                  </w:pPr>
                  <w:r>
                    <w:rPr>
                      <w:color w:val="auto"/>
                      <w:sz w:val="18"/>
                      <w:szCs w:val="18"/>
                      <w:highlight w:val="none"/>
                    </w:rPr>
                    <w:t>洗衣房废水</w:t>
                  </w:r>
                </w:p>
              </w:tc>
              <w:tc>
                <w:tcPr>
                  <w:tcW w:w="932" w:type="pct"/>
                  <w:vMerge w:val="continue"/>
                  <w:vAlign w:val="center"/>
                </w:tcPr>
                <w:p>
                  <w:pPr>
                    <w:adjustRightInd w:val="0"/>
                    <w:jc w:val="center"/>
                    <w:rPr>
                      <w:color w:val="auto"/>
                      <w:sz w:val="18"/>
                      <w:szCs w:val="18"/>
                      <w:highlight w:val="none"/>
                    </w:rPr>
                  </w:pPr>
                </w:p>
              </w:tc>
              <w:tc>
                <w:tcPr>
                  <w:tcW w:w="1419" w:type="pct"/>
                  <w:vMerge w:val="continue"/>
                  <w:vAlign w:val="center"/>
                </w:tcPr>
                <w:p>
                  <w:pPr>
                    <w:adjustRightInd w:val="0"/>
                    <w:jc w:val="center"/>
                    <w:rPr>
                      <w:color w:val="auto"/>
                      <w:sz w:val="18"/>
                      <w:szCs w:val="18"/>
                      <w:highlight w:val="none"/>
                    </w:rPr>
                  </w:pPr>
                </w:p>
              </w:tc>
              <w:tc>
                <w:tcPr>
                  <w:tcW w:w="454" w:type="pct"/>
                  <w:vMerge w:val="continue"/>
                  <w:vAlign w:val="center"/>
                </w:tcPr>
                <w:p>
                  <w:pPr>
                    <w:adjustRightInd w:val="0"/>
                    <w:jc w:val="center"/>
                    <w:rPr>
                      <w:color w:val="auto"/>
                      <w:sz w:val="18"/>
                      <w:szCs w:val="18"/>
                      <w:highlight w:val="none"/>
                    </w:rPr>
                  </w:pPr>
                </w:p>
              </w:tc>
              <w:tc>
                <w:tcPr>
                  <w:tcW w:w="420" w:type="pct"/>
                  <w:vMerge w:val="continue"/>
                  <w:vAlign w:val="center"/>
                </w:tcPr>
                <w:p>
                  <w:pPr>
                    <w:adjustRightIn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46" w:type="pct"/>
                  <w:vMerge w:val="continue"/>
                  <w:vAlign w:val="center"/>
                </w:tcPr>
                <w:p>
                  <w:pPr>
                    <w:adjustRightInd w:val="0"/>
                    <w:rPr>
                      <w:color w:val="auto"/>
                      <w:sz w:val="18"/>
                      <w:szCs w:val="18"/>
                      <w:highlight w:val="none"/>
                    </w:rPr>
                  </w:pPr>
                </w:p>
              </w:tc>
              <w:tc>
                <w:tcPr>
                  <w:tcW w:w="1427" w:type="pct"/>
                  <w:gridSpan w:val="2"/>
                  <w:vAlign w:val="center"/>
                </w:tcPr>
                <w:p>
                  <w:pPr>
                    <w:adjustRightInd w:val="0"/>
                    <w:jc w:val="center"/>
                    <w:rPr>
                      <w:color w:val="auto"/>
                      <w:sz w:val="18"/>
                      <w:szCs w:val="18"/>
                      <w:highlight w:val="none"/>
                    </w:rPr>
                  </w:pPr>
                  <w:r>
                    <w:rPr>
                      <w:color w:val="auto"/>
                      <w:sz w:val="18"/>
                      <w:szCs w:val="18"/>
                      <w:highlight w:val="none"/>
                    </w:rPr>
                    <w:t>牙椅医疗废水</w:t>
                  </w:r>
                </w:p>
              </w:tc>
              <w:tc>
                <w:tcPr>
                  <w:tcW w:w="932" w:type="pct"/>
                  <w:vMerge w:val="continue"/>
                  <w:vAlign w:val="center"/>
                </w:tcPr>
                <w:p>
                  <w:pPr>
                    <w:adjustRightInd w:val="0"/>
                    <w:jc w:val="center"/>
                    <w:rPr>
                      <w:color w:val="auto"/>
                      <w:sz w:val="18"/>
                      <w:szCs w:val="18"/>
                      <w:highlight w:val="none"/>
                    </w:rPr>
                  </w:pPr>
                </w:p>
              </w:tc>
              <w:tc>
                <w:tcPr>
                  <w:tcW w:w="1419" w:type="pct"/>
                  <w:vMerge w:val="continue"/>
                  <w:vAlign w:val="center"/>
                </w:tcPr>
                <w:p>
                  <w:pPr>
                    <w:adjustRightInd w:val="0"/>
                    <w:jc w:val="center"/>
                    <w:rPr>
                      <w:color w:val="auto"/>
                      <w:sz w:val="18"/>
                      <w:szCs w:val="18"/>
                      <w:highlight w:val="none"/>
                    </w:rPr>
                  </w:pPr>
                </w:p>
              </w:tc>
              <w:tc>
                <w:tcPr>
                  <w:tcW w:w="454" w:type="pct"/>
                  <w:vMerge w:val="continue"/>
                  <w:vAlign w:val="center"/>
                </w:tcPr>
                <w:p>
                  <w:pPr>
                    <w:adjustRightInd w:val="0"/>
                    <w:jc w:val="center"/>
                    <w:rPr>
                      <w:color w:val="auto"/>
                      <w:sz w:val="18"/>
                      <w:szCs w:val="18"/>
                      <w:highlight w:val="none"/>
                    </w:rPr>
                  </w:pPr>
                </w:p>
              </w:tc>
              <w:tc>
                <w:tcPr>
                  <w:tcW w:w="420" w:type="pct"/>
                  <w:vMerge w:val="continue"/>
                  <w:vAlign w:val="center"/>
                </w:tcPr>
                <w:p>
                  <w:pPr>
                    <w:adjustRightIn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continue"/>
                  <w:vAlign w:val="center"/>
                </w:tcPr>
                <w:p>
                  <w:pPr>
                    <w:adjustRightInd w:val="0"/>
                    <w:rPr>
                      <w:color w:val="auto"/>
                      <w:sz w:val="18"/>
                      <w:szCs w:val="18"/>
                      <w:highlight w:val="none"/>
                    </w:rPr>
                  </w:pPr>
                </w:p>
              </w:tc>
              <w:tc>
                <w:tcPr>
                  <w:tcW w:w="1427" w:type="pct"/>
                  <w:gridSpan w:val="2"/>
                  <w:vAlign w:val="center"/>
                </w:tcPr>
                <w:p>
                  <w:pPr>
                    <w:adjustRightInd w:val="0"/>
                    <w:jc w:val="center"/>
                    <w:rPr>
                      <w:color w:val="auto"/>
                      <w:sz w:val="18"/>
                      <w:szCs w:val="18"/>
                      <w:highlight w:val="none"/>
                    </w:rPr>
                  </w:pPr>
                  <w:r>
                    <w:rPr>
                      <w:rFonts w:hint="eastAsia"/>
                      <w:color w:val="auto"/>
                      <w:sz w:val="18"/>
                      <w:szCs w:val="18"/>
                      <w:highlight w:val="none"/>
                      <w:lang w:val="en-US" w:eastAsia="zh-CN"/>
                    </w:rPr>
                    <w:t>手术废水</w:t>
                  </w:r>
                </w:p>
              </w:tc>
              <w:tc>
                <w:tcPr>
                  <w:tcW w:w="932" w:type="pct"/>
                  <w:vMerge w:val="continue"/>
                  <w:vAlign w:val="center"/>
                </w:tcPr>
                <w:p>
                  <w:pPr>
                    <w:adjustRightInd w:val="0"/>
                    <w:jc w:val="center"/>
                    <w:rPr>
                      <w:color w:val="auto"/>
                      <w:sz w:val="18"/>
                      <w:szCs w:val="18"/>
                      <w:highlight w:val="none"/>
                    </w:rPr>
                  </w:pPr>
                </w:p>
              </w:tc>
              <w:tc>
                <w:tcPr>
                  <w:tcW w:w="1419" w:type="pct"/>
                  <w:vMerge w:val="continue"/>
                  <w:vAlign w:val="center"/>
                </w:tcPr>
                <w:p>
                  <w:pPr>
                    <w:adjustRightInd w:val="0"/>
                    <w:jc w:val="center"/>
                    <w:rPr>
                      <w:color w:val="auto"/>
                      <w:sz w:val="18"/>
                      <w:szCs w:val="18"/>
                      <w:highlight w:val="none"/>
                    </w:rPr>
                  </w:pPr>
                </w:p>
              </w:tc>
              <w:tc>
                <w:tcPr>
                  <w:tcW w:w="454" w:type="pct"/>
                  <w:vMerge w:val="continue"/>
                  <w:vAlign w:val="center"/>
                </w:tcPr>
                <w:p>
                  <w:pPr>
                    <w:adjustRightInd w:val="0"/>
                    <w:jc w:val="center"/>
                    <w:rPr>
                      <w:color w:val="auto"/>
                      <w:sz w:val="18"/>
                      <w:szCs w:val="18"/>
                      <w:highlight w:val="none"/>
                    </w:rPr>
                  </w:pPr>
                </w:p>
              </w:tc>
              <w:tc>
                <w:tcPr>
                  <w:tcW w:w="420" w:type="pct"/>
                  <w:vMerge w:val="continue"/>
                  <w:vAlign w:val="center"/>
                </w:tcPr>
                <w:p>
                  <w:pPr>
                    <w:adjustRightIn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continue"/>
                  <w:vAlign w:val="center"/>
                </w:tcPr>
                <w:p>
                  <w:pPr>
                    <w:adjustRightInd w:val="0"/>
                    <w:rPr>
                      <w:color w:val="auto"/>
                      <w:sz w:val="18"/>
                      <w:szCs w:val="18"/>
                      <w:highlight w:val="none"/>
                    </w:rPr>
                  </w:pPr>
                </w:p>
              </w:tc>
              <w:tc>
                <w:tcPr>
                  <w:tcW w:w="1427" w:type="pct"/>
                  <w:gridSpan w:val="2"/>
                  <w:vAlign w:val="center"/>
                </w:tcPr>
                <w:p>
                  <w:pPr>
                    <w:adjustRightInd w:val="0"/>
                    <w:jc w:val="center"/>
                    <w:rPr>
                      <w:rFonts w:hint="default"/>
                      <w:color w:val="auto"/>
                      <w:sz w:val="18"/>
                      <w:szCs w:val="18"/>
                      <w:highlight w:val="none"/>
                      <w:lang w:val="en-US" w:eastAsia="zh-CN"/>
                    </w:rPr>
                  </w:pPr>
                  <w:r>
                    <w:rPr>
                      <w:rFonts w:hint="eastAsia"/>
                      <w:color w:val="auto"/>
                      <w:sz w:val="18"/>
                      <w:szCs w:val="18"/>
                      <w:highlight w:val="none"/>
                      <w:lang w:val="en-US" w:eastAsia="zh-CN"/>
                    </w:rPr>
                    <w:t>食堂废水</w:t>
                  </w:r>
                </w:p>
              </w:tc>
              <w:tc>
                <w:tcPr>
                  <w:tcW w:w="932" w:type="pct"/>
                  <w:vMerge w:val="continue"/>
                  <w:vAlign w:val="center"/>
                </w:tcPr>
                <w:p>
                  <w:pPr>
                    <w:adjustRightInd w:val="0"/>
                    <w:jc w:val="center"/>
                    <w:rPr>
                      <w:color w:val="auto"/>
                      <w:sz w:val="18"/>
                      <w:szCs w:val="18"/>
                      <w:highlight w:val="none"/>
                    </w:rPr>
                  </w:pPr>
                </w:p>
              </w:tc>
              <w:tc>
                <w:tcPr>
                  <w:tcW w:w="1419" w:type="pct"/>
                  <w:vMerge w:val="continue"/>
                  <w:vAlign w:val="center"/>
                </w:tcPr>
                <w:p>
                  <w:pPr>
                    <w:adjustRightInd w:val="0"/>
                    <w:jc w:val="center"/>
                    <w:rPr>
                      <w:color w:val="auto"/>
                      <w:sz w:val="18"/>
                      <w:szCs w:val="18"/>
                      <w:highlight w:val="none"/>
                    </w:rPr>
                  </w:pPr>
                </w:p>
              </w:tc>
              <w:tc>
                <w:tcPr>
                  <w:tcW w:w="454" w:type="pct"/>
                  <w:vMerge w:val="continue"/>
                  <w:vAlign w:val="center"/>
                </w:tcPr>
                <w:p>
                  <w:pPr>
                    <w:adjustRightInd w:val="0"/>
                    <w:jc w:val="center"/>
                    <w:rPr>
                      <w:color w:val="auto"/>
                      <w:sz w:val="18"/>
                      <w:szCs w:val="18"/>
                      <w:highlight w:val="none"/>
                    </w:rPr>
                  </w:pPr>
                </w:p>
              </w:tc>
              <w:tc>
                <w:tcPr>
                  <w:tcW w:w="420" w:type="pct"/>
                  <w:vMerge w:val="continue"/>
                  <w:vAlign w:val="center"/>
                </w:tcPr>
                <w:p>
                  <w:pPr>
                    <w:adjustRightIn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46" w:type="pct"/>
                  <w:vMerge w:val="restart"/>
                  <w:vAlign w:val="center"/>
                </w:tcPr>
                <w:p>
                  <w:pPr>
                    <w:adjustRightInd w:val="0"/>
                    <w:jc w:val="center"/>
                    <w:rPr>
                      <w:color w:val="auto"/>
                      <w:sz w:val="18"/>
                      <w:szCs w:val="18"/>
                      <w:highlight w:val="none"/>
                    </w:rPr>
                  </w:pPr>
                  <w:r>
                    <w:rPr>
                      <w:color w:val="auto"/>
                      <w:sz w:val="18"/>
                      <w:szCs w:val="18"/>
                      <w:highlight w:val="none"/>
                    </w:rPr>
                    <w:t>固废</w:t>
                  </w:r>
                </w:p>
              </w:tc>
              <w:tc>
                <w:tcPr>
                  <w:tcW w:w="1427" w:type="pct"/>
                  <w:gridSpan w:val="2"/>
                  <w:vAlign w:val="center"/>
                </w:tcPr>
                <w:p>
                  <w:pPr>
                    <w:adjustRightInd w:val="0"/>
                    <w:jc w:val="center"/>
                    <w:rPr>
                      <w:color w:val="auto"/>
                      <w:sz w:val="18"/>
                      <w:szCs w:val="18"/>
                      <w:highlight w:val="none"/>
                    </w:rPr>
                  </w:pPr>
                  <w:r>
                    <w:rPr>
                      <w:color w:val="auto"/>
                      <w:sz w:val="18"/>
                      <w:szCs w:val="18"/>
                      <w:highlight w:val="none"/>
                    </w:rPr>
                    <w:t>医疗过程</w:t>
                  </w:r>
                </w:p>
              </w:tc>
              <w:tc>
                <w:tcPr>
                  <w:tcW w:w="932" w:type="pct"/>
                  <w:vAlign w:val="center"/>
                </w:tcPr>
                <w:p>
                  <w:pPr>
                    <w:adjustRightInd w:val="0"/>
                    <w:jc w:val="center"/>
                    <w:rPr>
                      <w:color w:val="auto"/>
                      <w:sz w:val="18"/>
                      <w:szCs w:val="18"/>
                      <w:highlight w:val="none"/>
                    </w:rPr>
                  </w:pPr>
                  <w:r>
                    <w:rPr>
                      <w:color w:val="auto"/>
                      <w:sz w:val="18"/>
                      <w:szCs w:val="18"/>
                      <w:highlight w:val="none"/>
                    </w:rPr>
                    <w:t>废包装材料</w:t>
                  </w:r>
                </w:p>
              </w:tc>
              <w:tc>
                <w:tcPr>
                  <w:tcW w:w="1873" w:type="pct"/>
                  <w:gridSpan w:val="2"/>
                  <w:vAlign w:val="center"/>
                </w:tcPr>
                <w:p>
                  <w:pPr>
                    <w:adjustRightInd w:val="0"/>
                    <w:jc w:val="center"/>
                    <w:rPr>
                      <w:color w:val="auto"/>
                      <w:sz w:val="18"/>
                      <w:szCs w:val="18"/>
                      <w:highlight w:val="none"/>
                    </w:rPr>
                  </w:pPr>
                  <w:r>
                    <w:rPr>
                      <w:color w:val="auto"/>
                      <w:sz w:val="18"/>
                      <w:szCs w:val="18"/>
                      <w:highlight w:val="none"/>
                    </w:rPr>
                    <w:t>集中收集外售综合利用</w:t>
                  </w:r>
                </w:p>
              </w:tc>
              <w:tc>
                <w:tcPr>
                  <w:tcW w:w="420" w:type="pc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continue"/>
                  <w:vAlign w:val="center"/>
                </w:tcPr>
                <w:p>
                  <w:pPr>
                    <w:adjustRightInd w:val="0"/>
                    <w:jc w:val="center"/>
                    <w:rPr>
                      <w:color w:val="auto"/>
                      <w:sz w:val="18"/>
                      <w:szCs w:val="18"/>
                      <w:highlight w:val="none"/>
                    </w:rPr>
                  </w:pPr>
                </w:p>
              </w:tc>
              <w:tc>
                <w:tcPr>
                  <w:tcW w:w="1427" w:type="pct"/>
                  <w:gridSpan w:val="2"/>
                  <w:vAlign w:val="center"/>
                </w:tcPr>
                <w:p>
                  <w:pPr>
                    <w:adjustRightIn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纯水制备</w:t>
                  </w:r>
                </w:p>
              </w:tc>
              <w:tc>
                <w:tcPr>
                  <w:tcW w:w="932" w:type="pct"/>
                  <w:vAlign w:val="center"/>
                </w:tcPr>
                <w:p>
                  <w:pPr>
                    <w:adjustRightIn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废离子交换树脂</w:t>
                  </w:r>
                </w:p>
              </w:tc>
              <w:tc>
                <w:tcPr>
                  <w:tcW w:w="1873" w:type="pct"/>
                  <w:gridSpan w:val="2"/>
                  <w:vAlign w:val="center"/>
                </w:tcPr>
                <w:p>
                  <w:pPr>
                    <w:adjustRightIn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厂家回收</w:t>
                  </w:r>
                </w:p>
              </w:tc>
              <w:tc>
                <w:tcPr>
                  <w:tcW w:w="420" w:type="pct"/>
                  <w:vAlign w:val="center"/>
                </w:tcPr>
                <w:p>
                  <w:pPr>
                    <w:adjustRightIn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46" w:type="pct"/>
                  <w:vMerge w:val="continue"/>
                  <w:vAlign w:val="center"/>
                </w:tcPr>
                <w:p>
                  <w:pPr>
                    <w:adjustRightInd w:val="0"/>
                    <w:jc w:val="center"/>
                    <w:rPr>
                      <w:color w:val="auto"/>
                      <w:sz w:val="18"/>
                      <w:szCs w:val="18"/>
                      <w:highlight w:val="none"/>
                    </w:rPr>
                  </w:pPr>
                </w:p>
              </w:tc>
              <w:tc>
                <w:tcPr>
                  <w:tcW w:w="1427" w:type="pct"/>
                  <w:gridSpan w:val="2"/>
                  <w:vAlign w:val="center"/>
                </w:tcPr>
                <w:p>
                  <w:pPr>
                    <w:adjustRightInd w:val="0"/>
                    <w:jc w:val="center"/>
                    <w:rPr>
                      <w:color w:val="auto"/>
                      <w:sz w:val="18"/>
                      <w:szCs w:val="18"/>
                      <w:highlight w:val="none"/>
                    </w:rPr>
                  </w:pPr>
                  <w:r>
                    <w:rPr>
                      <w:color w:val="auto"/>
                      <w:sz w:val="18"/>
                      <w:szCs w:val="18"/>
                      <w:highlight w:val="none"/>
                    </w:rPr>
                    <w:t>医疗过程</w:t>
                  </w:r>
                </w:p>
              </w:tc>
              <w:tc>
                <w:tcPr>
                  <w:tcW w:w="932" w:type="pct"/>
                  <w:vAlign w:val="center"/>
                </w:tcPr>
                <w:p>
                  <w:pPr>
                    <w:adjustRightInd w:val="0"/>
                    <w:jc w:val="center"/>
                    <w:rPr>
                      <w:color w:val="auto"/>
                      <w:sz w:val="18"/>
                      <w:szCs w:val="18"/>
                      <w:highlight w:val="none"/>
                    </w:rPr>
                  </w:pPr>
                  <w:r>
                    <w:rPr>
                      <w:color w:val="auto"/>
                      <w:sz w:val="18"/>
                      <w:szCs w:val="18"/>
                      <w:highlight w:val="none"/>
                    </w:rPr>
                    <w:t>医疗废物</w:t>
                  </w:r>
                </w:p>
              </w:tc>
              <w:tc>
                <w:tcPr>
                  <w:tcW w:w="1873" w:type="pct"/>
                  <w:gridSpan w:val="2"/>
                  <w:vMerge w:val="restart"/>
                  <w:vAlign w:val="center"/>
                </w:tcPr>
                <w:p>
                  <w:pPr>
                    <w:adjustRightInd w:val="0"/>
                    <w:jc w:val="center"/>
                    <w:rPr>
                      <w:color w:val="auto"/>
                      <w:sz w:val="18"/>
                      <w:szCs w:val="18"/>
                      <w:highlight w:val="none"/>
                    </w:rPr>
                  </w:pPr>
                  <w:r>
                    <w:rPr>
                      <w:color w:val="auto"/>
                      <w:sz w:val="18"/>
                      <w:szCs w:val="18"/>
                      <w:highlight w:val="none"/>
                    </w:rPr>
                    <w:t>危废间暂存后，委托有资质单位处置</w:t>
                  </w:r>
                </w:p>
              </w:tc>
              <w:tc>
                <w:tcPr>
                  <w:tcW w:w="420" w:type="pc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continue"/>
                  <w:vAlign w:val="center"/>
                </w:tcPr>
                <w:p>
                  <w:pPr>
                    <w:adjustRightInd w:val="0"/>
                    <w:jc w:val="center"/>
                    <w:rPr>
                      <w:color w:val="auto"/>
                      <w:sz w:val="18"/>
                      <w:szCs w:val="18"/>
                      <w:highlight w:val="none"/>
                    </w:rPr>
                  </w:pPr>
                </w:p>
              </w:tc>
              <w:tc>
                <w:tcPr>
                  <w:tcW w:w="1427" w:type="pct"/>
                  <w:gridSpan w:val="2"/>
                  <w:vMerge w:val="restart"/>
                  <w:vAlign w:val="center"/>
                </w:tcPr>
                <w:p>
                  <w:pPr>
                    <w:adjustRightInd w:val="0"/>
                    <w:jc w:val="center"/>
                    <w:rPr>
                      <w:color w:val="auto"/>
                      <w:sz w:val="18"/>
                      <w:szCs w:val="18"/>
                      <w:highlight w:val="none"/>
                    </w:rPr>
                  </w:pPr>
                  <w:r>
                    <w:rPr>
                      <w:color w:val="auto"/>
                      <w:sz w:val="18"/>
                      <w:szCs w:val="18"/>
                      <w:highlight w:val="none"/>
                    </w:rPr>
                    <w:t>污水处理站</w:t>
                  </w:r>
                </w:p>
              </w:tc>
              <w:tc>
                <w:tcPr>
                  <w:tcW w:w="932" w:type="pct"/>
                  <w:vAlign w:val="center"/>
                </w:tcPr>
                <w:p>
                  <w:pPr>
                    <w:adjustRightInd w:val="0"/>
                    <w:jc w:val="center"/>
                    <w:rPr>
                      <w:color w:val="auto"/>
                      <w:sz w:val="18"/>
                      <w:szCs w:val="18"/>
                      <w:highlight w:val="none"/>
                    </w:rPr>
                  </w:pPr>
                  <w:r>
                    <w:rPr>
                      <w:color w:val="auto"/>
                      <w:sz w:val="18"/>
                      <w:szCs w:val="18"/>
                      <w:highlight w:val="none"/>
                    </w:rPr>
                    <w:t>栅渣</w:t>
                  </w:r>
                </w:p>
              </w:tc>
              <w:tc>
                <w:tcPr>
                  <w:tcW w:w="1873" w:type="pct"/>
                  <w:gridSpan w:val="2"/>
                  <w:vMerge w:val="continue"/>
                  <w:vAlign w:val="center"/>
                </w:tcPr>
                <w:p>
                  <w:pPr>
                    <w:adjustRightInd w:val="0"/>
                    <w:jc w:val="center"/>
                    <w:rPr>
                      <w:color w:val="auto"/>
                      <w:sz w:val="18"/>
                      <w:szCs w:val="18"/>
                      <w:highlight w:val="none"/>
                    </w:rPr>
                  </w:pPr>
                </w:p>
              </w:tc>
              <w:tc>
                <w:tcPr>
                  <w:tcW w:w="420" w:type="pc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346" w:type="pct"/>
                  <w:vMerge w:val="continue"/>
                  <w:vAlign w:val="center"/>
                </w:tcPr>
                <w:p>
                  <w:pPr>
                    <w:adjustRightInd w:val="0"/>
                    <w:jc w:val="center"/>
                    <w:rPr>
                      <w:color w:val="auto"/>
                      <w:sz w:val="18"/>
                      <w:szCs w:val="18"/>
                      <w:highlight w:val="none"/>
                    </w:rPr>
                  </w:pPr>
                </w:p>
              </w:tc>
              <w:tc>
                <w:tcPr>
                  <w:tcW w:w="1427" w:type="pct"/>
                  <w:gridSpan w:val="2"/>
                  <w:vMerge w:val="continue"/>
                  <w:vAlign w:val="center"/>
                </w:tcPr>
                <w:p>
                  <w:pPr>
                    <w:adjustRightInd w:val="0"/>
                    <w:jc w:val="center"/>
                    <w:rPr>
                      <w:color w:val="auto"/>
                      <w:sz w:val="18"/>
                      <w:szCs w:val="18"/>
                      <w:highlight w:val="none"/>
                    </w:rPr>
                  </w:pPr>
                </w:p>
              </w:tc>
              <w:tc>
                <w:tcPr>
                  <w:tcW w:w="932" w:type="pct"/>
                  <w:vAlign w:val="center"/>
                </w:tcPr>
                <w:p>
                  <w:pPr>
                    <w:adjustRightInd w:val="0"/>
                    <w:jc w:val="center"/>
                    <w:rPr>
                      <w:color w:val="auto"/>
                      <w:sz w:val="18"/>
                      <w:szCs w:val="18"/>
                      <w:highlight w:val="none"/>
                    </w:rPr>
                  </w:pPr>
                  <w:r>
                    <w:rPr>
                      <w:color w:val="auto"/>
                      <w:sz w:val="18"/>
                      <w:szCs w:val="18"/>
                      <w:highlight w:val="none"/>
                    </w:rPr>
                    <w:t>污泥</w:t>
                  </w:r>
                </w:p>
              </w:tc>
              <w:tc>
                <w:tcPr>
                  <w:tcW w:w="1873" w:type="pct"/>
                  <w:gridSpan w:val="2"/>
                  <w:vMerge w:val="continue"/>
                  <w:vAlign w:val="center"/>
                </w:tcPr>
                <w:p>
                  <w:pPr>
                    <w:adjustRightInd w:val="0"/>
                    <w:jc w:val="center"/>
                    <w:rPr>
                      <w:color w:val="auto"/>
                      <w:sz w:val="18"/>
                      <w:szCs w:val="18"/>
                      <w:highlight w:val="none"/>
                    </w:rPr>
                  </w:pPr>
                </w:p>
              </w:tc>
              <w:tc>
                <w:tcPr>
                  <w:tcW w:w="420" w:type="pc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Merge w:val="continue"/>
                  <w:vAlign w:val="center"/>
                </w:tcPr>
                <w:p>
                  <w:pPr>
                    <w:adjustRightInd w:val="0"/>
                    <w:jc w:val="center"/>
                    <w:rPr>
                      <w:color w:val="auto"/>
                      <w:sz w:val="18"/>
                      <w:szCs w:val="18"/>
                      <w:highlight w:val="none"/>
                    </w:rPr>
                  </w:pPr>
                </w:p>
              </w:tc>
              <w:tc>
                <w:tcPr>
                  <w:tcW w:w="1427" w:type="pct"/>
                  <w:gridSpan w:val="2"/>
                  <w:vAlign w:val="center"/>
                </w:tcPr>
                <w:p>
                  <w:pPr>
                    <w:adjustRightInd w:val="0"/>
                    <w:jc w:val="center"/>
                    <w:rPr>
                      <w:color w:val="auto"/>
                      <w:sz w:val="18"/>
                      <w:szCs w:val="18"/>
                      <w:highlight w:val="none"/>
                    </w:rPr>
                  </w:pPr>
                  <w:r>
                    <w:rPr>
                      <w:color w:val="auto"/>
                      <w:sz w:val="18"/>
                      <w:szCs w:val="18"/>
                      <w:highlight w:val="none"/>
                    </w:rPr>
                    <w:t>人员生活</w:t>
                  </w:r>
                </w:p>
              </w:tc>
              <w:tc>
                <w:tcPr>
                  <w:tcW w:w="932" w:type="pct"/>
                  <w:vAlign w:val="center"/>
                </w:tcPr>
                <w:p>
                  <w:pPr>
                    <w:adjustRightInd w:val="0"/>
                    <w:jc w:val="center"/>
                    <w:rPr>
                      <w:color w:val="auto"/>
                      <w:sz w:val="18"/>
                      <w:szCs w:val="18"/>
                      <w:highlight w:val="none"/>
                    </w:rPr>
                  </w:pPr>
                  <w:r>
                    <w:rPr>
                      <w:color w:val="auto"/>
                      <w:sz w:val="18"/>
                      <w:szCs w:val="18"/>
                      <w:highlight w:val="none"/>
                    </w:rPr>
                    <w:t>生活垃圾</w:t>
                  </w:r>
                </w:p>
              </w:tc>
              <w:tc>
                <w:tcPr>
                  <w:tcW w:w="1873" w:type="pct"/>
                  <w:gridSpan w:val="2"/>
                  <w:vAlign w:val="center"/>
                </w:tcPr>
                <w:p>
                  <w:pPr>
                    <w:adjustRightInd w:val="0"/>
                    <w:jc w:val="center"/>
                    <w:rPr>
                      <w:color w:val="auto"/>
                      <w:sz w:val="18"/>
                      <w:szCs w:val="18"/>
                      <w:highlight w:val="none"/>
                    </w:rPr>
                  </w:pPr>
                  <w:r>
                    <w:rPr>
                      <w:color w:val="auto"/>
                      <w:sz w:val="18"/>
                      <w:szCs w:val="18"/>
                      <w:highlight w:val="none"/>
                    </w:rPr>
                    <w:t>环卫部门定期清运</w:t>
                  </w:r>
                </w:p>
              </w:tc>
              <w:tc>
                <w:tcPr>
                  <w:tcW w:w="420" w:type="pct"/>
                  <w:vAlign w:val="center"/>
                </w:tcPr>
                <w:p>
                  <w:pPr>
                    <w:adjustRightInd w:val="0"/>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6" w:type="pct"/>
                  <w:vAlign w:val="center"/>
                </w:tcPr>
                <w:p>
                  <w:pPr>
                    <w:adjustRightInd w:val="0"/>
                    <w:jc w:val="center"/>
                    <w:rPr>
                      <w:color w:val="auto"/>
                      <w:sz w:val="18"/>
                      <w:szCs w:val="18"/>
                      <w:highlight w:val="none"/>
                    </w:rPr>
                  </w:pPr>
                  <w:r>
                    <w:rPr>
                      <w:color w:val="auto"/>
                      <w:sz w:val="18"/>
                      <w:szCs w:val="18"/>
                      <w:highlight w:val="none"/>
                    </w:rPr>
                    <w:t>噪音</w:t>
                  </w:r>
                </w:p>
              </w:tc>
              <w:tc>
                <w:tcPr>
                  <w:tcW w:w="1427" w:type="pct"/>
                  <w:gridSpan w:val="2"/>
                  <w:vAlign w:val="center"/>
                </w:tcPr>
                <w:p>
                  <w:pPr>
                    <w:adjustRightInd w:val="0"/>
                    <w:jc w:val="center"/>
                    <w:rPr>
                      <w:color w:val="auto"/>
                      <w:sz w:val="18"/>
                      <w:szCs w:val="18"/>
                      <w:highlight w:val="none"/>
                    </w:rPr>
                  </w:pPr>
                  <w:r>
                    <w:rPr>
                      <w:color w:val="auto"/>
                      <w:sz w:val="18"/>
                      <w:szCs w:val="18"/>
                      <w:highlight w:val="none"/>
                    </w:rPr>
                    <w:t>医疗设备、泵类</w:t>
                  </w:r>
                </w:p>
              </w:tc>
              <w:tc>
                <w:tcPr>
                  <w:tcW w:w="932" w:type="pct"/>
                  <w:vAlign w:val="center"/>
                </w:tcPr>
                <w:p>
                  <w:pPr>
                    <w:adjustRightInd w:val="0"/>
                    <w:jc w:val="center"/>
                    <w:rPr>
                      <w:color w:val="auto"/>
                      <w:sz w:val="18"/>
                      <w:szCs w:val="18"/>
                      <w:highlight w:val="none"/>
                    </w:rPr>
                  </w:pPr>
                  <w:r>
                    <w:rPr>
                      <w:color w:val="auto"/>
                      <w:sz w:val="18"/>
                      <w:szCs w:val="18"/>
                      <w:highlight w:val="none"/>
                    </w:rPr>
                    <w:t>dB(A)</w:t>
                  </w:r>
                </w:p>
              </w:tc>
              <w:tc>
                <w:tcPr>
                  <w:tcW w:w="1873" w:type="pct"/>
                  <w:gridSpan w:val="2"/>
                  <w:vAlign w:val="center"/>
                </w:tcPr>
                <w:p>
                  <w:pPr>
                    <w:adjustRightInd w:val="0"/>
                    <w:jc w:val="center"/>
                    <w:rPr>
                      <w:color w:val="auto"/>
                      <w:sz w:val="18"/>
                      <w:szCs w:val="18"/>
                      <w:highlight w:val="none"/>
                    </w:rPr>
                  </w:pPr>
                  <w:r>
                    <w:rPr>
                      <w:color w:val="auto"/>
                      <w:sz w:val="18"/>
                      <w:szCs w:val="18"/>
                      <w:highlight w:val="none"/>
                    </w:rPr>
                    <w:t>隔声、减振等常见措施</w:t>
                  </w:r>
                </w:p>
              </w:tc>
              <w:tc>
                <w:tcPr>
                  <w:tcW w:w="420" w:type="pct"/>
                  <w:vAlign w:val="center"/>
                </w:tcPr>
                <w:p>
                  <w:pPr>
                    <w:adjustRightInd w:val="0"/>
                    <w:jc w:val="center"/>
                    <w:rPr>
                      <w:color w:val="auto"/>
                      <w:sz w:val="18"/>
                      <w:szCs w:val="18"/>
                      <w:highlight w:val="none"/>
                    </w:rPr>
                  </w:pPr>
                  <w:r>
                    <w:rPr>
                      <w:color w:val="auto"/>
                      <w:sz w:val="18"/>
                      <w:szCs w:val="18"/>
                      <w:highlight w:val="none"/>
                    </w:rPr>
                    <w:t>/</w:t>
                  </w:r>
                </w:p>
              </w:tc>
            </w:tr>
          </w:tbl>
          <w:p>
            <w:pPr>
              <w:autoSpaceDE w:val="0"/>
              <w:autoSpaceDN w:val="0"/>
              <w:adjustRightInd w:val="0"/>
              <w:snapToGrid w:val="0"/>
              <w:spacing w:line="360" w:lineRule="auto"/>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233" w:type="pct"/>
            <w:vAlign w:val="center"/>
          </w:tcPr>
          <w:p>
            <w:pPr>
              <w:pStyle w:val="22"/>
              <w:adjustRightInd w:val="0"/>
              <w:snapToGrid w:val="0"/>
              <w:spacing w:before="0" w:beforeAutospacing="0" w:after="0" w:afterAutospacing="0"/>
              <w:jc w:val="center"/>
              <w:rPr>
                <w:rFonts w:ascii="Times New Roman" w:hAnsi="Times New Roman"/>
                <w:color w:val="auto"/>
                <w:sz w:val="21"/>
                <w:szCs w:val="21"/>
                <w:highlight w:val="none"/>
              </w:rPr>
            </w:pPr>
            <w:r>
              <w:rPr>
                <w:rFonts w:ascii="Times New Roman" w:hAnsi="Times New Roman"/>
                <w:bCs/>
                <w:color w:val="auto"/>
                <w:kern w:val="2"/>
                <w:sz w:val="21"/>
                <w:szCs w:val="21"/>
                <w:highlight w:val="none"/>
              </w:rPr>
              <w:t>与项目有关的原有环境污染问题</w:t>
            </w:r>
          </w:p>
        </w:tc>
        <w:tc>
          <w:tcPr>
            <w:tcW w:w="4766" w:type="pct"/>
          </w:tcPr>
          <w:p>
            <w:pPr>
              <w:spacing w:line="360" w:lineRule="auto"/>
              <w:ind w:firstLine="482"/>
              <w:rPr>
                <w:color w:val="auto"/>
                <w:szCs w:val="21"/>
                <w:highlight w:val="none"/>
              </w:rPr>
            </w:pPr>
          </w:p>
          <w:p>
            <w:pPr>
              <w:autoSpaceDE w:val="0"/>
              <w:autoSpaceDN w:val="0"/>
              <w:adjustRightInd w:val="0"/>
              <w:snapToGrid w:val="0"/>
              <w:spacing w:line="360" w:lineRule="auto"/>
              <w:ind w:firstLine="420" w:firstLineChars="200"/>
              <w:jc w:val="left"/>
              <w:rPr>
                <w:rFonts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eastAsia="zh-CN"/>
              </w:rPr>
              <w:t>本项目为新建项目</w:t>
            </w:r>
            <w:r>
              <w:rPr>
                <w:rFonts w:hint="default" w:ascii="Times New Roman" w:hAnsi="Times New Roman" w:eastAsia="宋体" w:cs="Times New Roman"/>
                <w:color w:val="auto"/>
                <w:kern w:val="0"/>
                <w:szCs w:val="21"/>
                <w:highlight w:val="none"/>
              </w:rPr>
              <w:t>，</w:t>
            </w:r>
            <w:r>
              <w:rPr>
                <w:rFonts w:hint="eastAsia" w:cs="Times New Roman"/>
                <w:color w:val="auto"/>
                <w:kern w:val="0"/>
                <w:szCs w:val="21"/>
                <w:highlight w:val="none"/>
                <w:lang w:val="en-US" w:eastAsia="zh-CN"/>
              </w:rPr>
              <w:t>土地现状为空地，无其他用地历史，</w:t>
            </w:r>
            <w:r>
              <w:rPr>
                <w:rFonts w:hint="default" w:ascii="Times New Roman" w:hAnsi="Times New Roman" w:eastAsia="宋体" w:cs="Times New Roman"/>
                <w:color w:val="auto"/>
                <w:kern w:val="0"/>
                <w:szCs w:val="21"/>
                <w:highlight w:val="none"/>
              </w:rPr>
              <w:t>无与项目有关的原有环境污染问题。</w:t>
            </w:r>
          </w:p>
          <w:p>
            <w:pPr>
              <w:pStyle w:val="26"/>
              <w:ind w:firstLine="480"/>
              <w:rPr>
                <w:color w:val="auto"/>
                <w:highlight w:val="none"/>
              </w:rPr>
            </w:pPr>
          </w:p>
          <w:p>
            <w:pPr>
              <w:rPr>
                <w:color w:val="auto"/>
                <w:highlight w:val="none"/>
              </w:rPr>
            </w:pPr>
          </w:p>
          <w:p>
            <w:pPr>
              <w:pStyle w:val="26"/>
              <w:ind w:firstLine="480"/>
              <w:rPr>
                <w:color w:val="auto"/>
                <w:highlight w:val="none"/>
              </w:rPr>
            </w:pPr>
          </w:p>
          <w:p>
            <w:pPr>
              <w:rPr>
                <w:color w:val="auto"/>
                <w:highlight w:val="none"/>
              </w:rPr>
            </w:pPr>
          </w:p>
          <w:p>
            <w:pPr>
              <w:pStyle w:val="26"/>
              <w:ind w:firstLine="480"/>
              <w:rPr>
                <w:color w:val="auto"/>
                <w:highlight w:val="none"/>
              </w:rPr>
            </w:pPr>
          </w:p>
          <w:p>
            <w:pPr>
              <w:rPr>
                <w:color w:val="auto"/>
                <w:highlight w:val="none"/>
              </w:rPr>
            </w:pPr>
          </w:p>
          <w:p>
            <w:pPr>
              <w:pStyle w:val="6"/>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pStyle w:val="7"/>
              <w:widowControl w:val="0"/>
              <w:numPr>
                <w:ilvl w:val="0"/>
                <w:numId w:val="0"/>
              </w:numPr>
              <w:jc w:val="both"/>
              <w:rPr>
                <w:color w:val="auto"/>
                <w:highlight w:val="none"/>
              </w:rPr>
            </w:pPr>
          </w:p>
          <w:p>
            <w:pPr>
              <w:rPr>
                <w:color w:val="auto"/>
                <w:highlight w:val="none"/>
              </w:rPr>
            </w:pPr>
          </w:p>
        </w:tc>
      </w:tr>
    </w:tbl>
    <w:p>
      <w:pPr>
        <w:pStyle w:val="22"/>
        <w:jc w:val="center"/>
        <w:rPr>
          <w:rFonts w:ascii="Times New Roman" w:hAnsi="Times New Roman" w:eastAsia="黑体"/>
          <w:snapToGrid w:val="0"/>
          <w:color w:val="auto"/>
          <w:sz w:val="36"/>
          <w:szCs w:val="36"/>
          <w:highlight w:val="none"/>
        </w:rPr>
        <w:sectPr>
          <w:pgSz w:w="11906" w:h="16838"/>
          <w:pgMar w:top="1701" w:right="1531" w:bottom="1701" w:left="1531" w:header="851" w:footer="851" w:gutter="0"/>
          <w:pgNumType w:fmt="numberInDash"/>
          <w:cols w:space="720" w:num="1"/>
          <w:docGrid w:linePitch="312" w:charSpace="0"/>
        </w:sectPr>
      </w:pPr>
    </w:p>
    <w:p>
      <w:pPr>
        <w:pStyle w:val="22"/>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三、区域环境质量现状、环境保护目标及评价标准</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85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438" w:type="dxa"/>
            <w:vAlign w:val="center"/>
          </w:tcPr>
          <w:p>
            <w:pPr>
              <w:adjustRightInd w:val="0"/>
              <w:snapToGrid w:val="0"/>
              <w:jc w:val="center"/>
              <w:rPr>
                <w:color w:val="auto"/>
                <w:kern w:val="0"/>
                <w:szCs w:val="21"/>
                <w:highlight w:val="none"/>
              </w:rPr>
            </w:pPr>
            <w:r>
              <w:rPr>
                <w:color w:val="auto"/>
                <w:kern w:val="0"/>
                <w:szCs w:val="21"/>
                <w:highlight w:val="none"/>
              </w:rPr>
              <w:t>区域</w:t>
            </w:r>
          </w:p>
          <w:p>
            <w:pPr>
              <w:adjustRightInd w:val="0"/>
              <w:snapToGrid w:val="0"/>
              <w:jc w:val="center"/>
              <w:rPr>
                <w:color w:val="auto"/>
                <w:kern w:val="0"/>
                <w:szCs w:val="21"/>
                <w:highlight w:val="none"/>
              </w:rPr>
            </w:pPr>
            <w:r>
              <w:rPr>
                <w:color w:val="auto"/>
                <w:kern w:val="0"/>
                <w:szCs w:val="21"/>
                <w:highlight w:val="none"/>
              </w:rPr>
              <w:t>环境</w:t>
            </w:r>
          </w:p>
          <w:p>
            <w:pPr>
              <w:adjustRightInd w:val="0"/>
              <w:snapToGrid w:val="0"/>
              <w:jc w:val="center"/>
              <w:rPr>
                <w:color w:val="auto"/>
                <w:kern w:val="0"/>
                <w:szCs w:val="21"/>
                <w:highlight w:val="none"/>
              </w:rPr>
            </w:pPr>
            <w:r>
              <w:rPr>
                <w:color w:val="auto"/>
                <w:kern w:val="0"/>
                <w:szCs w:val="21"/>
                <w:highlight w:val="none"/>
              </w:rPr>
              <w:t>质量</w:t>
            </w:r>
          </w:p>
          <w:p>
            <w:pPr>
              <w:adjustRightInd w:val="0"/>
              <w:snapToGrid w:val="0"/>
              <w:jc w:val="center"/>
              <w:rPr>
                <w:color w:val="auto"/>
                <w:kern w:val="0"/>
                <w:szCs w:val="21"/>
                <w:highlight w:val="none"/>
              </w:rPr>
            </w:pPr>
            <w:r>
              <w:rPr>
                <w:color w:val="auto"/>
                <w:kern w:val="0"/>
                <w:szCs w:val="21"/>
                <w:highlight w:val="none"/>
              </w:rPr>
              <w:t>现状</w:t>
            </w:r>
          </w:p>
        </w:tc>
        <w:tc>
          <w:tcPr>
            <w:tcW w:w="8552" w:type="dxa"/>
            <w:vAlign w:val="center"/>
          </w:tcPr>
          <w:p>
            <w:pPr>
              <w:pStyle w:val="16"/>
              <w:spacing w:line="360" w:lineRule="auto"/>
              <w:ind w:firstLine="420" w:firstLineChars="200"/>
              <w:rPr>
                <w:rFonts w:ascii="Times New Roman" w:hAnsi="Times New Roman"/>
                <w:b/>
                <w:bCs/>
                <w:color w:val="auto"/>
                <w:szCs w:val="21"/>
                <w:highlight w:val="none"/>
              </w:rPr>
            </w:pPr>
            <w:r>
              <w:rPr>
                <w:rFonts w:ascii="Times New Roman" w:hAnsi="Times New Roman"/>
                <w:color w:val="auto"/>
                <w:szCs w:val="21"/>
                <w:highlight w:val="none"/>
              </w:rPr>
              <w:t>根据当地环境规划，该区域属于《环境空气质量标准》（GB3095-2012）二级标准适用区；区域地表水域为</w:t>
            </w:r>
            <w:r>
              <w:rPr>
                <w:rFonts w:hint="eastAsia" w:ascii="Times New Roman" w:hAnsi="Times New Roman"/>
                <w:color w:val="auto"/>
                <w:szCs w:val="21"/>
                <w:highlight w:val="none"/>
                <w:lang w:val="en-US" w:eastAsia="zh-CN"/>
              </w:rPr>
              <w:t>孝妇河</w:t>
            </w:r>
            <w:r>
              <w:rPr>
                <w:rFonts w:ascii="Times New Roman" w:hAnsi="Times New Roman"/>
                <w:color w:val="auto"/>
                <w:szCs w:val="21"/>
                <w:highlight w:val="none"/>
              </w:rPr>
              <w:t>，水质执行《地表水环境质量标准》（GB3838-2002）中</w:t>
            </w:r>
            <w:r>
              <w:rPr>
                <w:rFonts w:ascii="Times New Roman" w:hAnsi="Times New Roman"/>
                <w:color w:val="auto"/>
                <w:szCs w:val="21"/>
                <w:highlight w:val="none"/>
              </w:rPr>
              <w:fldChar w:fldCharType="begin"/>
            </w:r>
            <w:r>
              <w:rPr>
                <w:rFonts w:ascii="Times New Roman" w:hAnsi="Times New Roman"/>
                <w:color w:val="auto"/>
                <w:szCs w:val="21"/>
                <w:highlight w:val="none"/>
              </w:rPr>
              <w:instrText xml:space="preserve"> = 4 \* ROMAN </w:instrText>
            </w:r>
            <w:r>
              <w:rPr>
                <w:rFonts w:ascii="Times New Roman" w:hAnsi="Times New Roman"/>
                <w:color w:val="auto"/>
                <w:szCs w:val="21"/>
                <w:highlight w:val="none"/>
              </w:rPr>
              <w:fldChar w:fldCharType="separate"/>
            </w:r>
            <w:r>
              <w:rPr>
                <w:rFonts w:ascii="Times New Roman" w:hAnsi="Times New Roman"/>
                <w:color w:val="auto"/>
                <w:szCs w:val="21"/>
                <w:highlight w:val="none"/>
              </w:rPr>
              <w:t>V</w:t>
            </w:r>
            <w:r>
              <w:rPr>
                <w:rFonts w:ascii="Times New Roman" w:hAnsi="Times New Roman"/>
                <w:color w:val="auto"/>
                <w:szCs w:val="21"/>
                <w:highlight w:val="none"/>
              </w:rPr>
              <w:fldChar w:fldCharType="end"/>
            </w:r>
            <w:r>
              <w:rPr>
                <w:rFonts w:ascii="Times New Roman" w:hAnsi="Times New Roman"/>
                <w:color w:val="auto"/>
                <w:szCs w:val="21"/>
                <w:highlight w:val="none"/>
              </w:rPr>
              <w:t>类标准要求；地下水环境执行《地下水质量标准》（GB/T14848-2017）Ⅲ类标准；区域噪声执行《声环境质量标准》（GB3096-2008）1类标准要求</w:t>
            </w:r>
            <w:r>
              <w:rPr>
                <w:rFonts w:ascii="Times New Roman" w:hAnsi="Times New Roman"/>
                <w:bCs/>
                <w:color w:val="auto"/>
                <w:szCs w:val="21"/>
                <w:highlight w:val="none"/>
              </w:rPr>
              <w:t>。</w:t>
            </w:r>
          </w:p>
          <w:p>
            <w:pPr>
              <w:snapToGrid w:val="0"/>
              <w:spacing w:line="360" w:lineRule="auto"/>
              <w:ind w:firstLine="422" w:firstLineChars="200"/>
              <w:rPr>
                <w:b/>
                <w:bCs/>
                <w:color w:val="auto"/>
                <w:szCs w:val="21"/>
                <w:highlight w:val="none"/>
                <w:lang w:val="zh-CN"/>
              </w:rPr>
            </w:pPr>
            <w:r>
              <w:rPr>
                <w:b/>
                <w:bCs/>
                <w:color w:val="auto"/>
                <w:szCs w:val="21"/>
                <w:highlight w:val="none"/>
                <w:lang w:val="zh-CN"/>
              </w:rPr>
              <w:t>1、环境空气质量现状</w:t>
            </w:r>
          </w:p>
          <w:p>
            <w:pPr>
              <w:spacing w:line="360" w:lineRule="auto"/>
              <w:ind w:firstLine="420" w:firstLineChars="200"/>
              <w:rPr>
                <w:rFonts w:hint="default"/>
                <w:color w:val="auto"/>
                <w:highlight w:val="none"/>
              </w:rPr>
            </w:pPr>
            <w:r>
              <w:rPr>
                <w:color w:val="auto"/>
                <w:highlight w:val="none"/>
              </w:rPr>
              <w:t>根据淄博市生态环境局网站发布的《生态淄博建设工作简报》（202</w:t>
            </w:r>
            <w:r>
              <w:rPr>
                <w:rFonts w:hint="eastAsia"/>
                <w:color w:val="auto"/>
                <w:highlight w:val="none"/>
                <w:lang w:val="en-US" w:eastAsia="zh-CN"/>
              </w:rPr>
              <w:t>3</w:t>
            </w:r>
            <w:r>
              <w:rPr>
                <w:color w:val="auto"/>
                <w:highlight w:val="none"/>
              </w:rPr>
              <w:t>年1月</w:t>
            </w:r>
            <w:r>
              <w:rPr>
                <w:rFonts w:hint="eastAsia"/>
                <w:color w:val="auto"/>
                <w:highlight w:val="none"/>
                <w:lang w:val="en-US" w:eastAsia="zh-CN"/>
              </w:rPr>
              <w:t>17</w:t>
            </w:r>
            <w:r>
              <w:rPr>
                <w:color w:val="auto"/>
                <w:highlight w:val="none"/>
              </w:rPr>
              <w:t>日），</w:t>
            </w:r>
            <w:r>
              <w:rPr>
                <w:rFonts w:hint="eastAsia"/>
                <w:color w:val="auto"/>
                <w:highlight w:val="none"/>
                <w:lang w:val="en-US" w:eastAsia="zh-CN"/>
              </w:rPr>
              <w:t>2022年</w:t>
            </w:r>
            <w:r>
              <w:rPr>
                <w:rFonts w:hint="default"/>
                <w:color w:val="auto"/>
                <w:highlight w:val="none"/>
                <w:lang w:val="en-US" w:eastAsia="zh-CN"/>
              </w:rPr>
              <w:t>，</w:t>
            </w:r>
            <w:r>
              <w:rPr>
                <w:rFonts w:hint="default"/>
                <w:color w:val="auto"/>
                <w:highlight w:val="none"/>
                <w:lang w:eastAsia="zh-CN"/>
              </w:rPr>
              <w:t>全市良好天数</w:t>
            </w:r>
            <w:r>
              <w:rPr>
                <w:rFonts w:hint="default"/>
                <w:color w:val="auto"/>
                <w:highlight w:val="none"/>
                <w:lang w:val="en-US" w:eastAsia="zh-CN"/>
              </w:rPr>
              <w:t>2</w:t>
            </w:r>
            <w:r>
              <w:rPr>
                <w:rFonts w:hint="eastAsia"/>
                <w:color w:val="auto"/>
                <w:highlight w:val="none"/>
                <w:lang w:val="en-US" w:eastAsia="zh-CN"/>
              </w:rPr>
              <w:t>36</w:t>
            </w:r>
            <w:r>
              <w:rPr>
                <w:rFonts w:hint="default"/>
                <w:color w:val="auto"/>
                <w:highlight w:val="none"/>
                <w:lang w:eastAsia="zh-CN"/>
              </w:rPr>
              <w:t>天</w:t>
            </w:r>
            <w:r>
              <w:rPr>
                <w:rFonts w:hint="default"/>
                <w:color w:val="auto"/>
                <w:highlight w:val="none"/>
              </w:rPr>
              <w:t>（国控）</w:t>
            </w:r>
            <w:r>
              <w:rPr>
                <w:rFonts w:hint="default"/>
                <w:color w:val="auto"/>
                <w:highlight w:val="none"/>
                <w:lang w:eastAsia="zh-CN"/>
              </w:rPr>
              <w:t>，同比增加</w:t>
            </w:r>
            <w:r>
              <w:rPr>
                <w:rFonts w:hint="default"/>
                <w:color w:val="auto"/>
                <w:highlight w:val="none"/>
                <w:lang w:val="en-US" w:eastAsia="zh-CN"/>
              </w:rPr>
              <w:t>1</w:t>
            </w:r>
            <w:r>
              <w:rPr>
                <w:rFonts w:hint="eastAsia"/>
                <w:color w:val="auto"/>
                <w:highlight w:val="none"/>
                <w:lang w:val="en-US" w:eastAsia="zh-CN"/>
              </w:rPr>
              <w:t>4</w:t>
            </w:r>
            <w:r>
              <w:rPr>
                <w:rFonts w:hint="default"/>
                <w:color w:val="auto"/>
                <w:highlight w:val="none"/>
                <w:lang w:eastAsia="zh-CN"/>
              </w:rPr>
              <w:t>天。重污染天数</w:t>
            </w:r>
            <w:r>
              <w:rPr>
                <w:rFonts w:hint="eastAsia"/>
                <w:color w:val="auto"/>
                <w:highlight w:val="none"/>
                <w:lang w:val="en-US" w:eastAsia="zh-CN"/>
              </w:rPr>
              <w:t>6</w:t>
            </w:r>
            <w:r>
              <w:rPr>
                <w:rFonts w:hint="default"/>
                <w:color w:val="auto"/>
                <w:highlight w:val="none"/>
                <w:lang w:eastAsia="zh-CN"/>
              </w:rPr>
              <w:t>天，同比减少</w:t>
            </w:r>
            <w:r>
              <w:rPr>
                <w:rFonts w:hint="eastAsia"/>
                <w:color w:val="auto"/>
                <w:highlight w:val="none"/>
                <w:lang w:val="en-US" w:eastAsia="zh-CN"/>
              </w:rPr>
              <w:t>2</w:t>
            </w:r>
            <w:r>
              <w:rPr>
                <w:rFonts w:hint="default"/>
                <w:color w:val="auto"/>
                <w:highlight w:val="none"/>
                <w:lang w:eastAsia="zh-CN"/>
              </w:rPr>
              <w:t>天。其中，二氧化硫（SO</w:t>
            </w:r>
            <w:r>
              <w:rPr>
                <w:rFonts w:hint="default"/>
                <w:color w:val="auto"/>
                <w:highlight w:val="none"/>
                <w:vertAlign w:val="subscript"/>
                <w:lang w:eastAsia="zh-CN"/>
              </w:rPr>
              <w:t>2</w:t>
            </w:r>
            <w:r>
              <w:rPr>
                <w:rFonts w:hint="default"/>
                <w:color w:val="auto"/>
                <w:highlight w:val="none"/>
                <w:lang w:eastAsia="zh-CN"/>
              </w:rPr>
              <w:t>）14微克/立方米，</w:t>
            </w:r>
            <w:r>
              <w:rPr>
                <w:rFonts w:hint="eastAsia"/>
                <w:color w:val="auto"/>
                <w:highlight w:val="none"/>
                <w:lang w:val="en-US" w:eastAsia="zh-CN"/>
              </w:rPr>
              <w:t>同比持平</w:t>
            </w:r>
            <w:r>
              <w:rPr>
                <w:rFonts w:hint="default"/>
                <w:color w:val="auto"/>
                <w:highlight w:val="none"/>
                <w:lang w:val="en-US" w:eastAsia="zh-CN"/>
              </w:rPr>
              <w:t>；</w:t>
            </w:r>
            <w:r>
              <w:rPr>
                <w:rFonts w:hint="default"/>
                <w:color w:val="auto"/>
                <w:highlight w:val="none"/>
                <w:lang w:eastAsia="zh-CN"/>
              </w:rPr>
              <w:t>二氧化氮（NO</w:t>
            </w:r>
            <w:r>
              <w:rPr>
                <w:rFonts w:hint="default"/>
                <w:color w:val="auto"/>
                <w:highlight w:val="none"/>
                <w:vertAlign w:val="subscript"/>
                <w:lang w:eastAsia="zh-CN"/>
              </w:rPr>
              <w:t>2</w:t>
            </w:r>
            <w:r>
              <w:rPr>
                <w:rFonts w:hint="default"/>
                <w:color w:val="auto"/>
                <w:highlight w:val="none"/>
                <w:lang w:eastAsia="zh-CN"/>
              </w:rPr>
              <w:t>）</w:t>
            </w:r>
            <w:r>
              <w:rPr>
                <w:rFonts w:hint="default"/>
                <w:color w:val="auto"/>
                <w:highlight w:val="none"/>
                <w:lang w:val="en-US" w:eastAsia="zh-CN"/>
              </w:rPr>
              <w:t>3</w:t>
            </w:r>
            <w:r>
              <w:rPr>
                <w:rFonts w:hint="eastAsia"/>
                <w:color w:val="auto"/>
                <w:highlight w:val="none"/>
                <w:lang w:val="en-US" w:eastAsia="zh-CN"/>
              </w:rPr>
              <w:t>3</w:t>
            </w:r>
            <w:r>
              <w:rPr>
                <w:rFonts w:hint="default"/>
                <w:color w:val="auto"/>
                <w:highlight w:val="none"/>
                <w:lang w:eastAsia="zh-CN"/>
              </w:rPr>
              <w:t>微克/立方米，同比改善</w:t>
            </w:r>
            <w:r>
              <w:rPr>
                <w:rFonts w:hint="eastAsia"/>
                <w:color w:val="auto"/>
                <w:highlight w:val="none"/>
                <w:lang w:val="en-US" w:eastAsia="zh-CN"/>
              </w:rPr>
              <w:t>5.7</w:t>
            </w:r>
            <w:r>
              <w:rPr>
                <w:rFonts w:hint="default"/>
                <w:color w:val="auto"/>
                <w:highlight w:val="none"/>
                <w:lang w:eastAsia="zh-CN"/>
              </w:rPr>
              <w:t>%；可吸入颗粒物（PM</w:t>
            </w:r>
            <w:r>
              <w:rPr>
                <w:rFonts w:hint="default"/>
                <w:color w:val="auto"/>
                <w:highlight w:val="none"/>
                <w:vertAlign w:val="subscript"/>
                <w:lang w:eastAsia="zh-CN"/>
              </w:rPr>
              <w:t>10</w:t>
            </w:r>
            <w:r>
              <w:rPr>
                <w:rFonts w:hint="default"/>
                <w:color w:val="auto"/>
                <w:highlight w:val="none"/>
                <w:lang w:eastAsia="zh-CN"/>
              </w:rPr>
              <w:t>）</w:t>
            </w:r>
            <w:r>
              <w:rPr>
                <w:rFonts w:hint="default"/>
                <w:color w:val="auto"/>
                <w:highlight w:val="none"/>
                <w:lang w:val="en-US" w:eastAsia="zh-CN"/>
              </w:rPr>
              <w:t>7</w:t>
            </w:r>
            <w:r>
              <w:rPr>
                <w:rFonts w:hint="eastAsia"/>
                <w:color w:val="auto"/>
                <w:highlight w:val="none"/>
                <w:lang w:val="en-US" w:eastAsia="zh-CN"/>
              </w:rPr>
              <w:t>5</w:t>
            </w:r>
            <w:r>
              <w:rPr>
                <w:rFonts w:hint="default"/>
                <w:color w:val="auto"/>
                <w:highlight w:val="none"/>
                <w:lang w:eastAsia="zh-CN"/>
              </w:rPr>
              <w:t>微克/立方米，同比改善</w:t>
            </w:r>
            <w:r>
              <w:rPr>
                <w:rFonts w:hint="default"/>
                <w:color w:val="auto"/>
                <w:highlight w:val="none"/>
                <w:lang w:val="en-US" w:eastAsia="zh-CN"/>
              </w:rPr>
              <w:t>2.</w:t>
            </w:r>
            <w:r>
              <w:rPr>
                <w:rFonts w:hint="eastAsia"/>
                <w:color w:val="auto"/>
                <w:highlight w:val="none"/>
                <w:lang w:val="en-US" w:eastAsia="zh-CN"/>
              </w:rPr>
              <w:t>6</w:t>
            </w:r>
            <w:r>
              <w:rPr>
                <w:rFonts w:hint="default"/>
                <w:color w:val="auto"/>
                <w:highlight w:val="none"/>
                <w:lang w:eastAsia="zh-CN"/>
              </w:rPr>
              <w:t>%；细颗粒物（PM</w:t>
            </w:r>
            <w:r>
              <w:rPr>
                <w:rFonts w:hint="default"/>
                <w:color w:val="auto"/>
                <w:highlight w:val="none"/>
                <w:vertAlign w:val="subscript"/>
                <w:lang w:eastAsia="zh-CN"/>
              </w:rPr>
              <w:t>2.5</w:t>
            </w:r>
            <w:r>
              <w:rPr>
                <w:rFonts w:hint="default"/>
                <w:color w:val="auto"/>
                <w:highlight w:val="none"/>
                <w:lang w:eastAsia="zh-CN"/>
              </w:rPr>
              <w:t>）4</w:t>
            </w:r>
            <w:r>
              <w:rPr>
                <w:rFonts w:hint="eastAsia"/>
                <w:color w:val="auto"/>
                <w:highlight w:val="none"/>
                <w:lang w:val="en-US" w:eastAsia="zh-CN"/>
              </w:rPr>
              <w:t>3</w:t>
            </w:r>
            <w:r>
              <w:rPr>
                <w:rFonts w:hint="default"/>
                <w:color w:val="auto"/>
                <w:highlight w:val="none"/>
                <w:lang w:eastAsia="zh-CN"/>
              </w:rPr>
              <w:t>微克/立方米</w:t>
            </w:r>
            <w:r>
              <w:rPr>
                <w:rFonts w:hint="default"/>
                <w:color w:val="auto"/>
                <w:highlight w:val="none"/>
                <w:lang w:val="en-US" w:eastAsia="zh-CN"/>
              </w:rPr>
              <w:t>，</w:t>
            </w:r>
            <w:r>
              <w:rPr>
                <w:rFonts w:hint="default"/>
                <w:color w:val="auto"/>
                <w:highlight w:val="none"/>
                <w:lang w:eastAsia="zh-CN"/>
              </w:rPr>
              <w:t>同比改善</w:t>
            </w:r>
            <w:r>
              <w:rPr>
                <w:rFonts w:hint="default"/>
                <w:color w:val="auto"/>
                <w:highlight w:val="none"/>
                <w:lang w:val="en-US" w:eastAsia="zh-CN"/>
              </w:rPr>
              <w:t>8.</w:t>
            </w:r>
            <w:r>
              <w:rPr>
                <w:rFonts w:hint="eastAsia"/>
                <w:color w:val="auto"/>
                <w:highlight w:val="none"/>
                <w:lang w:val="en-US" w:eastAsia="zh-CN"/>
              </w:rPr>
              <w:t>5</w:t>
            </w:r>
            <w:r>
              <w:rPr>
                <w:rFonts w:hint="default"/>
                <w:color w:val="auto"/>
                <w:highlight w:val="none"/>
                <w:lang w:eastAsia="zh-CN"/>
              </w:rPr>
              <w:t>%；一氧化碳（CO）1.</w:t>
            </w:r>
            <w:r>
              <w:rPr>
                <w:rFonts w:hint="default"/>
                <w:color w:val="auto"/>
                <w:highlight w:val="none"/>
                <w:lang w:val="en-US" w:eastAsia="zh-CN"/>
              </w:rPr>
              <w:t>3</w:t>
            </w:r>
            <w:r>
              <w:rPr>
                <w:rFonts w:hint="default"/>
                <w:color w:val="auto"/>
                <w:highlight w:val="none"/>
                <w:lang w:eastAsia="zh-CN"/>
              </w:rPr>
              <w:t>毫克/立方米，同比改善</w:t>
            </w:r>
            <w:r>
              <w:rPr>
                <w:rFonts w:hint="default"/>
                <w:color w:val="auto"/>
                <w:highlight w:val="none"/>
                <w:lang w:val="en-US" w:eastAsia="zh-CN"/>
              </w:rPr>
              <w:t>1</w:t>
            </w:r>
            <w:r>
              <w:rPr>
                <w:rFonts w:hint="eastAsia"/>
                <w:color w:val="auto"/>
                <w:highlight w:val="none"/>
                <w:lang w:val="en-US" w:eastAsia="zh-CN"/>
              </w:rPr>
              <w:t>8.8</w:t>
            </w:r>
            <w:r>
              <w:rPr>
                <w:rFonts w:hint="default"/>
                <w:color w:val="auto"/>
                <w:highlight w:val="none"/>
                <w:lang w:eastAsia="zh-CN"/>
              </w:rPr>
              <w:t>%；</w:t>
            </w:r>
            <w:r>
              <w:rPr>
                <w:rFonts w:hint="default"/>
                <w:color w:val="auto"/>
                <w:highlight w:val="none"/>
              </w:rPr>
              <w:t>臭氧（O</w:t>
            </w:r>
            <w:r>
              <w:rPr>
                <w:rFonts w:hint="default"/>
                <w:color w:val="auto"/>
                <w:highlight w:val="none"/>
                <w:vertAlign w:val="subscript"/>
              </w:rPr>
              <w:t>3</w:t>
            </w:r>
            <w:r>
              <w:rPr>
                <w:rFonts w:hint="default"/>
                <w:color w:val="auto"/>
                <w:highlight w:val="none"/>
              </w:rPr>
              <w:t>）</w:t>
            </w:r>
            <w:r>
              <w:rPr>
                <w:rFonts w:hint="default"/>
                <w:color w:val="auto"/>
                <w:highlight w:val="none"/>
                <w:lang w:val="en-US" w:eastAsia="zh-CN"/>
              </w:rPr>
              <w:t>19</w:t>
            </w:r>
            <w:r>
              <w:rPr>
                <w:rFonts w:hint="eastAsia"/>
                <w:color w:val="auto"/>
                <w:highlight w:val="none"/>
                <w:lang w:val="en-US" w:eastAsia="zh-CN"/>
              </w:rPr>
              <w:t>2</w:t>
            </w:r>
            <w:r>
              <w:rPr>
                <w:rFonts w:hint="default"/>
                <w:color w:val="auto"/>
                <w:highlight w:val="none"/>
              </w:rPr>
              <w:t>微克/立方米，同比</w:t>
            </w:r>
            <w:r>
              <w:rPr>
                <w:rFonts w:hint="default"/>
                <w:color w:val="auto"/>
                <w:highlight w:val="none"/>
                <w:lang w:eastAsia="zh-CN"/>
              </w:rPr>
              <w:t>恶化</w:t>
            </w:r>
            <w:r>
              <w:rPr>
                <w:rFonts w:hint="default"/>
                <w:color w:val="auto"/>
                <w:highlight w:val="none"/>
                <w:lang w:val="en-US" w:eastAsia="zh-CN"/>
              </w:rPr>
              <w:t>4.</w:t>
            </w:r>
            <w:r>
              <w:rPr>
                <w:rFonts w:hint="eastAsia"/>
                <w:color w:val="auto"/>
                <w:highlight w:val="none"/>
                <w:lang w:val="en-US" w:eastAsia="zh-CN"/>
              </w:rPr>
              <w:t>9</w:t>
            </w:r>
            <w:r>
              <w:rPr>
                <w:rFonts w:hint="default"/>
                <w:color w:val="auto"/>
                <w:highlight w:val="none"/>
              </w:rPr>
              <w:t>%</w:t>
            </w:r>
            <w:r>
              <w:rPr>
                <w:rFonts w:hint="default"/>
                <w:color w:val="auto"/>
                <w:highlight w:val="none"/>
                <w:lang w:eastAsia="zh-CN"/>
              </w:rPr>
              <w:t>。全市综合指数为</w:t>
            </w:r>
            <w:r>
              <w:rPr>
                <w:rFonts w:hint="default"/>
                <w:color w:val="auto"/>
                <w:highlight w:val="none"/>
                <w:lang w:val="en-US" w:eastAsia="zh-CN"/>
              </w:rPr>
              <w:t>4.</w:t>
            </w:r>
            <w:r>
              <w:rPr>
                <w:rFonts w:hint="eastAsia"/>
                <w:color w:val="auto"/>
                <w:highlight w:val="none"/>
                <w:lang w:val="en-US" w:eastAsia="zh-CN"/>
              </w:rPr>
              <w:t>87</w:t>
            </w:r>
            <w:r>
              <w:rPr>
                <w:rFonts w:hint="default"/>
                <w:color w:val="auto"/>
                <w:highlight w:val="none"/>
                <w:lang w:val="en-US" w:eastAsia="zh-CN"/>
              </w:rPr>
              <w:t>，</w:t>
            </w:r>
            <w:r>
              <w:rPr>
                <w:rFonts w:hint="default"/>
                <w:color w:val="auto"/>
                <w:highlight w:val="none"/>
                <w:lang w:eastAsia="zh-CN"/>
              </w:rPr>
              <w:t>同比改善</w:t>
            </w:r>
            <w:r>
              <w:rPr>
                <w:rFonts w:hint="eastAsia"/>
                <w:color w:val="auto"/>
                <w:highlight w:val="none"/>
                <w:lang w:val="en-US" w:eastAsia="zh-CN"/>
              </w:rPr>
              <w:t>4.3</w:t>
            </w:r>
            <w:r>
              <w:rPr>
                <w:rFonts w:hint="default"/>
                <w:color w:val="auto"/>
                <w:highlight w:val="none"/>
                <w:lang w:eastAsia="zh-CN"/>
              </w:rPr>
              <w:t>%</w:t>
            </w:r>
            <w:r>
              <w:rPr>
                <w:rFonts w:hint="default"/>
                <w:color w:val="auto"/>
                <w:highlight w:val="none"/>
                <w:lang w:val="en-US" w:eastAsia="zh-CN"/>
              </w:rPr>
              <w:t>。</w:t>
            </w:r>
          </w:p>
          <w:p>
            <w:pPr>
              <w:spacing w:line="360" w:lineRule="auto"/>
              <w:ind w:firstLine="420" w:firstLineChars="200"/>
              <w:rPr>
                <w:color w:val="auto"/>
                <w:szCs w:val="21"/>
                <w:highlight w:val="none"/>
              </w:rPr>
            </w:pPr>
            <w:r>
              <w:rPr>
                <w:color w:val="auto"/>
                <w:szCs w:val="21"/>
                <w:highlight w:val="none"/>
              </w:rPr>
              <w:t>项目所在区域空气质量见下表</w:t>
            </w:r>
          </w:p>
          <w:p>
            <w:pPr>
              <w:spacing w:after="120"/>
              <w:ind w:left="420" w:leftChars="200" w:firstLine="422" w:firstLineChars="200"/>
              <w:jc w:val="center"/>
              <w:rPr>
                <w:b/>
                <w:bCs/>
                <w:color w:val="auto"/>
                <w:highlight w:val="none"/>
              </w:rPr>
            </w:pPr>
            <w:r>
              <w:rPr>
                <w:b/>
                <w:bCs/>
                <w:color w:val="auto"/>
                <w:highlight w:val="none"/>
              </w:rPr>
              <w:t>表3-1  张店区</w:t>
            </w:r>
            <w:r>
              <w:rPr>
                <w:b/>
                <w:bCs/>
                <w:color w:val="auto"/>
                <w:spacing w:val="-63"/>
                <w:highlight w:val="none"/>
              </w:rPr>
              <w:t xml:space="preserve"> </w:t>
            </w:r>
            <w:r>
              <w:rPr>
                <w:rFonts w:eastAsia="Times New Roman"/>
                <w:b/>
                <w:bCs/>
                <w:color w:val="auto"/>
                <w:highlight w:val="none"/>
              </w:rPr>
              <w:t>202</w:t>
            </w:r>
            <w:r>
              <w:rPr>
                <w:b/>
                <w:bCs/>
                <w:color w:val="auto"/>
                <w:highlight w:val="none"/>
              </w:rPr>
              <w:t>1</w:t>
            </w:r>
            <w:r>
              <w:rPr>
                <w:rFonts w:eastAsia="Times New Roman"/>
                <w:b/>
                <w:bCs/>
                <w:color w:val="auto"/>
                <w:spacing w:val="-2"/>
                <w:highlight w:val="none"/>
              </w:rPr>
              <w:t xml:space="preserve"> </w:t>
            </w:r>
            <w:r>
              <w:rPr>
                <w:b/>
                <w:bCs/>
                <w:color w:val="auto"/>
                <w:highlight w:val="none"/>
              </w:rPr>
              <w:t>年度环境质量情况</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4"/>
              <w:gridCol w:w="758"/>
              <w:gridCol w:w="2935"/>
              <w:gridCol w:w="978"/>
              <w:gridCol w:w="978"/>
              <w:gridCol w:w="102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00" w:type="dxa"/>
                  <w:vAlign w:val="center"/>
                </w:tcPr>
                <w:p>
                  <w:pPr>
                    <w:adjustRightInd w:val="0"/>
                    <w:snapToGrid w:val="0"/>
                    <w:jc w:val="center"/>
                    <w:rPr>
                      <w:bCs/>
                      <w:color w:val="auto"/>
                      <w:sz w:val="18"/>
                      <w:szCs w:val="18"/>
                      <w:highlight w:val="none"/>
                    </w:rPr>
                  </w:pPr>
                  <w:r>
                    <w:rPr>
                      <w:bCs/>
                      <w:color w:val="auto"/>
                      <w:sz w:val="18"/>
                      <w:szCs w:val="18"/>
                      <w:highlight w:val="none"/>
                    </w:rPr>
                    <w:t>污染物</w:t>
                  </w:r>
                </w:p>
              </w:tc>
              <w:tc>
                <w:tcPr>
                  <w:tcW w:w="710" w:type="dxa"/>
                  <w:vAlign w:val="center"/>
                </w:tcPr>
                <w:p>
                  <w:pPr>
                    <w:adjustRightInd w:val="0"/>
                    <w:snapToGrid w:val="0"/>
                    <w:jc w:val="center"/>
                    <w:rPr>
                      <w:bCs/>
                      <w:color w:val="auto"/>
                      <w:sz w:val="18"/>
                      <w:szCs w:val="18"/>
                      <w:highlight w:val="none"/>
                    </w:rPr>
                  </w:pPr>
                  <w:r>
                    <w:rPr>
                      <w:bCs/>
                      <w:color w:val="auto"/>
                      <w:sz w:val="18"/>
                      <w:szCs w:val="18"/>
                      <w:highlight w:val="none"/>
                    </w:rPr>
                    <w:t>单位</w:t>
                  </w:r>
                </w:p>
              </w:tc>
              <w:tc>
                <w:tcPr>
                  <w:tcW w:w="2747" w:type="dxa"/>
                  <w:vAlign w:val="center"/>
                </w:tcPr>
                <w:p>
                  <w:pPr>
                    <w:adjustRightInd w:val="0"/>
                    <w:snapToGrid w:val="0"/>
                    <w:jc w:val="center"/>
                    <w:rPr>
                      <w:bCs/>
                      <w:color w:val="auto"/>
                      <w:sz w:val="18"/>
                      <w:szCs w:val="18"/>
                      <w:highlight w:val="none"/>
                    </w:rPr>
                  </w:pPr>
                  <w:r>
                    <w:rPr>
                      <w:bCs/>
                      <w:color w:val="auto"/>
                      <w:sz w:val="18"/>
                      <w:szCs w:val="18"/>
                      <w:highlight w:val="none"/>
                    </w:rPr>
                    <w:t>年评价指标</w:t>
                  </w:r>
                </w:p>
              </w:tc>
              <w:tc>
                <w:tcPr>
                  <w:tcW w:w="915" w:type="dxa"/>
                  <w:vAlign w:val="center"/>
                </w:tcPr>
                <w:p>
                  <w:pPr>
                    <w:adjustRightInd w:val="0"/>
                    <w:snapToGrid w:val="0"/>
                    <w:jc w:val="center"/>
                    <w:rPr>
                      <w:bCs/>
                      <w:color w:val="auto"/>
                      <w:sz w:val="18"/>
                      <w:szCs w:val="18"/>
                      <w:highlight w:val="none"/>
                    </w:rPr>
                  </w:pPr>
                  <w:r>
                    <w:rPr>
                      <w:bCs/>
                      <w:color w:val="auto"/>
                      <w:sz w:val="18"/>
                      <w:szCs w:val="18"/>
                      <w:highlight w:val="none"/>
                    </w:rPr>
                    <w:t>现状浓度</w:t>
                  </w:r>
                </w:p>
              </w:tc>
              <w:tc>
                <w:tcPr>
                  <w:tcW w:w="915" w:type="dxa"/>
                  <w:vAlign w:val="center"/>
                </w:tcPr>
                <w:p>
                  <w:pPr>
                    <w:adjustRightInd w:val="0"/>
                    <w:snapToGrid w:val="0"/>
                    <w:jc w:val="center"/>
                    <w:rPr>
                      <w:bCs/>
                      <w:color w:val="auto"/>
                      <w:sz w:val="18"/>
                      <w:szCs w:val="18"/>
                      <w:highlight w:val="none"/>
                    </w:rPr>
                  </w:pPr>
                  <w:r>
                    <w:rPr>
                      <w:bCs/>
                      <w:color w:val="auto"/>
                      <w:sz w:val="18"/>
                      <w:szCs w:val="18"/>
                      <w:highlight w:val="none"/>
                    </w:rPr>
                    <w:t>评价标准</w:t>
                  </w:r>
                </w:p>
              </w:tc>
              <w:tc>
                <w:tcPr>
                  <w:tcW w:w="963" w:type="dxa"/>
                  <w:vAlign w:val="center"/>
                </w:tcPr>
                <w:p>
                  <w:pPr>
                    <w:adjustRightInd w:val="0"/>
                    <w:snapToGrid w:val="0"/>
                    <w:jc w:val="center"/>
                    <w:rPr>
                      <w:bCs/>
                      <w:color w:val="auto"/>
                      <w:sz w:val="18"/>
                      <w:szCs w:val="18"/>
                      <w:highlight w:val="none"/>
                    </w:rPr>
                  </w:pPr>
                  <w:r>
                    <w:rPr>
                      <w:bCs/>
                      <w:color w:val="auto"/>
                      <w:sz w:val="18"/>
                      <w:szCs w:val="18"/>
                      <w:highlight w:val="none"/>
                    </w:rPr>
                    <w:t>占标率</w:t>
                  </w:r>
                </w:p>
              </w:tc>
              <w:tc>
                <w:tcPr>
                  <w:tcW w:w="743" w:type="dxa"/>
                  <w:vAlign w:val="center"/>
                </w:tcPr>
                <w:p>
                  <w:pPr>
                    <w:adjustRightInd w:val="0"/>
                    <w:snapToGrid w:val="0"/>
                    <w:jc w:val="center"/>
                    <w:rPr>
                      <w:bCs/>
                      <w:color w:val="auto"/>
                      <w:sz w:val="18"/>
                      <w:szCs w:val="18"/>
                      <w:highlight w:val="none"/>
                    </w:rPr>
                  </w:pPr>
                  <w:r>
                    <w:rPr>
                      <w:bCs/>
                      <w:color w:val="auto"/>
                      <w:sz w:val="18"/>
                      <w:szCs w:val="18"/>
                      <w:highlight w:val="none"/>
                    </w:rPr>
                    <w:t>达标</w:t>
                  </w:r>
                </w:p>
                <w:p>
                  <w:pPr>
                    <w:adjustRightInd w:val="0"/>
                    <w:snapToGrid w:val="0"/>
                    <w:jc w:val="center"/>
                    <w:rPr>
                      <w:bCs/>
                      <w:color w:val="auto"/>
                      <w:sz w:val="18"/>
                      <w:szCs w:val="18"/>
                      <w:highlight w:val="none"/>
                    </w:rPr>
                  </w:pPr>
                  <w:r>
                    <w:rPr>
                      <w:bCs/>
                      <w:color w:val="auto"/>
                      <w:sz w:val="18"/>
                      <w:szCs w:val="18"/>
                      <w:highlight w:val="none"/>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auto"/>
                      <w:sz w:val="18"/>
                      <w:szCs w:val="18"/>
                      <w:highlight w:val="none"/>
                    </w:rPr>
                  </w:pPr>
                  <w:r>
                    <w:rPr>
                      <w:bCs/>
                      <w:color w:val="auto"/>
                      <w:sz w:val="18"/>
                      <w:szCs w:val="18"/>
                      <w:highlight w:val="none"/>
                    </w:rPr>
                    <w:t>SO</w:t>
                  </w:r>
                  <w:r>
                    <w:rPr>
                      <w:bCs/>
                      <w:color w:val="auto"/>
                      <w:sz w:val="18"/>
                      <w:szCs w:val="18"/>
                      <w:highlight w:val="none"/>
                      <w:vertAlign w:val="subscript"/>
                    </w:rPr>
                    <w:t>2</w:t>
                  </w:r>
                </w:p>
              </w:tc>
              <w:tc>
                <w:tcPr>
                  <w:tcW w:w="710" w:type="dxa"/>
                  <w:vAlign w:val="center"/>
                </w:tcPr>
                <w:p>
                  <w:pPr>
                    <w:adjustRightInd w:val="0"/>
                    <w:snapToGrid w:val="0"/>
                    <w:jc w:val="center"/>
                    <w:rPr>
                      <w:bCs/>
                      <w:color w:val="auto"/>
                      <w:sz w:val="18"/>
                      <w:szCs w:val="18"/>
                      <w:highlight w:val="none"/>
                    </w:rPr>
                  </w:pPr>
                  <w:r>
                    <w:rPr>
                      <w:bCs/>
                      <w:color w:val="auto"/>
                      <w:sz w:val="18"/>
                      <w:szCs w:val="18"/>
                      <w:highlight w:val="none"/>
                    </w:rPr>
                    <w:t>μg/m</w:t>
                  </w:r>
                  <w:r>
                    <w:rPr>
                      <w:bCs/>
                      <w:color w:val="auto"/>
                      <w:sz w:val="18"/>
                      <w:szCs w:val="18"/>
                      <w:highlight w:val="none"/>
                      <w:vertAlign w:val="superscript"/>
                    </w:rPr>
                    <w:t>3</w:t>
                  </w:r>
                </w:p>
              </w:tc>
              <w:tc>
                <w:tcPr>
                  <w:tcW w:w="2747" w:type="dxa"/>
                  <w:vAlign w:val="center"/>
                </w:tcPr>
                <w:p>
                  <w:pPr>
                    <w:adjustRightInd w:val="0"/>
                    <w:snapToGrid w:val="0"/>
                    <w:jc w:val="center"/>
                    <w:rPr>
                      <w:bCs/>
                      <w:color w:val="auto"/>
                      <w:sz w:val="18"/>
                      <w:szCs w:val="18"/>
                      <w:highlight w:val="none"/>
                    </w:rPr>
                  </w:pPr>
                  <w:r>
                    <w:rPr>
                      <w:bCs/>
                      <w:color w:val="auto"/>
                      <w:sz w:val="18"/>
                      <w:szCs w:val="18"/>
                      <w:highlight w:val="none"/>
                    </w:rPr>
                    <w:t>年平均质量浓度</w:t>
                  </w:r>
                </w:p>
              </w:tc>
              <w:tc>
                <w:tcPr>
                  <w:tcW w:w="915"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14</w:t>
                  </w:r>
                </w:p>
              </w:tc>
              <w:tc>
                <w:tcPr>
                  <w:tcW w:w="915" w:type="dxa"/>
                  <w:vAlign w:val="center"/>
                </w:tcPr>
                <w:p>
                  <w:pPr>
                    <w:adjustRightInd w:val="0"/>
                    <w:snapToGrid w:val="0"/>
                    <w:jc w:val="center"/>
                    <w:rPr>
                      <w:bCs/>
                      <w:color w:val="auto"/>
                      <w:sz w:val="18"/>
                      <w:szCs w:val="18"/>
                      <w:highlight w:val="none"/>
                    </w:rPr>
                  </w:pPr>
                  <w:r>
                    <w:rPr>
                      <w:bCs/>
                      <w:color w:val="auto"/>
                      <w:sz w:val="18"/>
                      <w:szCs w:val="18"/>
                      <w:highlight w:val="none"/>
                    </w:rPr>
                    <w:t>60</w:t>
                  </w:r>
                </w:p>
              </w:tc>
              <w:tc>
                <w:tcPr>
                  <w:tcW w:w="963"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23.33</w:t>
                  </w:r>
                </w:p>
              </w:tc>
              <w:tc>
                <w:tcPr>
                  <w:tcW w:w="743" w:type="dxa"/>
                  <w:vAlign w:val="center"/>
                </w:tcPr>
                <w:p>
                  <w:pPr>
                    <w:adjustRightInd w:val="0"/>
                    <w:snapToGrid w:val="0"/>
                    <w:jc w:val="center"/>
                    <w:rPr>
                      <w:bCs/>
                      <w:color w:val="auto"/>
                      <w:sz w:val="18"/>
                      <w:szCs w:val="18"/>
                      <w:highlight w:val="none"/>
                    </w:rPr>
                  </w:pPr>
                  <w:r>
                    <w:rPr>
                      <w:bCs/>
                      <w:color w:val="auto"/>
                      <w:sz w:val="18"/>
                      <w:szCs w:val="18"/>
                      <w:highlight w:val="non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00" w:type="dxa"/>
                  <w:vAlign w:val="center"/>
                </w:tcPr>
                <w:p>
                  <w:pPr>
                    <w:adjustRightInd w:val="0"/>
                    <w:snapToGrid w:val="0"/>
                    <w:jc w:val="center"/>
                    <w:rPr>
                      <w:bCs/>
                      <w:color w:val="auto"/>
                      <w:sz w:val="18"/>
                      <w:szCs w:val="18"/>
                      <w:highlight w:val="none"/>
                    </w:rPr>
                  </w:pPr>
                  <w:r>
                    <w:rPr>
                      <w:bCs/>
                      <w:color w:val="auto"/>
                      <w:sz w:val="18"/>
                      <w:szCs w:val="18"/>
                      <w:highlight w:val="none"/>
                    </w:rPr>
                    <w:t>NO</w:t>
                  </w:r>
                  <w:r>
                    <w:rPr>
                      <w:bCs/>
                      <w:color w:val="auto"/>
                      <w:sz w:val="18"/>
                      <w:szCs w:val="18"/>
                      <w:highlight w:val="none"/>
                      <w:vertAlign w:val="subscript"/>
                    </w:rPr>
                    <w:t>2</w:t>
                  </w:r>
                </w:p>
              </w:tc>
              <w:tc>
                <w:tcPr>
                  <w:tcW w:w="710" w:type="dxa"/>
                  <w:vAlign w:val="center"/>
                </w:tcPr>
                <w:p>
                  <w:pPr>
                    <w:adjustRightInd w:val="0"/>
                    <w:snapToGrid w:val="0"/>
                    <w:jc w:val="center"/>
                    <w:rPr>
                      <w:bCs/>
                      <w:color w:val="auto"/>
                      <w:sz w:val="18"/>
                      <w:szCs w:val="18"/>
                      <w:highlight w:val="none"/>
                    </w:rPr>
                  </w:pPr>
                  <w:r>
                    <w:rPr>
                      <w:bCs/>
                      <w:color w:val="auto"/>
                      <w:sz w:val="18"/>
                      <w:szCs w:val="18"/>
                      <w:highlight w:val="none"/>
                    </w:rPr>
                    <w:t>μg/m</w:t>
                  </w:r>
                  <w:r>
                    <w:rPr>
                      <w:bCs/>
                      <w:color w:val="auto"/>
                      <w:sz w:val="18"/>
                      <w:szCs w:val="18"/>
                      <w:highlight w:val="none"/>
                      <w:vertAlign w:val="superscript"/>
                    </w:rPr>
                    <w:t>3</w:t>
                  </w:r>
                </w:p>
              </w:tc>
              <w:tc>
                <w:tcPr>
                  <w:tcW w:w="2747" w:type="dxa"/>
                  <w:vAlign w:val="center"/>
                </w:tcPr>
                <w:p>
                  <w:pPr>
                    <w:adjustRightInd w:val="0"/>
                    <w:snapToGrid w:val="0"/>
                    <w:jc w:val="center"/>
                    <w:rPr>
                      <w:bCs/>
                      <w:color w:val="auto"/>
                      <w:sz w:val="18"/>
                      <w:szCs w:val="18"/>
                      <w:highlight w:val="none"/>
                    </w:rPr>
                  </w:pPr>
                  <w:r>
                    <w:rPr>
                      <w:bCs/>
                      <w:color w:val="auto"/>
                      <w:sz w:val="18"/>
                      <w:szCs w:val="18"/>
                      <w:highlight w:val="none"/>
                    </w:rPr>
                    <w:t>年平均质量浓度</w:t>
                  </w:r>
                </w:p>
              </w:tc>
              <w:tc>
                <w:tcPr>
                  <w:tcW w:w="915"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37</w:t>
                  </w:r>
                </w:p>
              </w:tc>
              <w:tc>
                <w:tcPr>
                  <w:tcW w:w="915" w:type="dxa"/>
                  <w:vAlign w:val="center"/>
                </w:tcPr>
                <w:p>
                  <w:pPr>
                    <w:adjustRightInd w:val="0"/>
                    <w:snapToGrid w:val="0"/>
                    <w:jc w:val="center"/>
                    <w:rPr>
                      <w:bCs/>
                      <w:color w:val="auto"/>
                      <w:sz w:val="18"/>
                      <w:szCs w:val="18"/>
                      <w:highlight w:val="none"/>
                    </w:rPr>
                  </w:pPr>
                  <w:r>
                    <w:rPr>
                      <w:bCs/>
                      <w:color w:val="auto"/>
                      <w:sz w:val="18"/>
                      <w:szCs w:val="18"/>
                      <w:highlight w:val="none"/>
                    </w:rPr>
                    <w:t>40</w:t>
                  </w:r>
                </w:p>
              </w:tc>
              <w:tc>
                <w:tcPr>
                  <w:tcW w:w="963"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92.5</w:t>
                  </w:r>
                </w:p>
              </w:tc>
              <w:tc>
                <w:tcPr>
                  <w:tcW w:w="743" w:type="dxa"/>
                  <w:vAlign w:val="center"/>
                </w:tcPr>
                <w:p>
                  <w:pPr>
                    <w:adjustRightInd w:val="0"/>
                    <w:snapToGrid w:val="0"/>
                    <w:jc w:val="center"/>
                    <w:rPr>
                      <w:bCs/>
                      <w:color w:val="auto"/>
                      <w:sz w:val="18"/>
                      <w:szCs w:val="18"/>
                      <w:highlight w:val="none"/>
                    </w:rPr>
                  </w:pPr>
                  <w:r>
                    <w:rPr>
                      <w:color w:val="auto"/>
                      <w:sz w:val="18"/>
                      <w:szCs w:val="18"/>
                      <w:highlight w:val="non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auto"/>
                      <w:sz w:val="18"/>
                      <w:szCs w:val="18"/>
                      <w:highlight w:val="none"/>
                    </w:rPr>
                  </w:pPr>
                  <w:r>
                    <w:rPr>
                      <w:bCs/>
                      <w:color w:val="auto"/>
                      <w:sz w:val="18"/>
                      <w:szCs w:val="18"/>
                      <w:highlight w:val="none"/>
                    </w:rPr>
                    <w:t>PM</w:t>
                  </w:r>
                  <w:r>
                    <w:rPr>
                      <w:bCs/>
                      <w:color w:val="auto"/>
                      <w:sz w:val="18"/>
                      <w:szCs w:val="18"/>
                      <w:highlight w:val="none"/>
                      <w:vertAlign w:val="subscript"/>
                    </w:rPr>
                    <w:t>10</w:t>
                  </w:r>
                </w:p>
              </w:tc>
              <w:tc>
                <w:tcPr>
                  <w:tcW w:w="710" w:type="dxa"/>
                  <w:vAlign w:val="center"/>
                </w:tcPr>
                <w:p>
                  <w:pPr>
                    <w:adjustRightInd w:val="0"/>
                    <w:snapToGrid w:val="0"/>
                    <w:jc w:val="center"/>
                    <w:rPr>
                      <w:bCs/>
                      <w:color w:val="auto"/>
                      <w:sz w:val="18"/>
                      <w:szCs w:val="18"/>
                      <w:highlight w:val="none"/>
                    </w:rPr>
                  </w:pPr>
                  <w:r>
                    <w:rPr>
                      <w:bCs/>
                      <w:color w:val="auto"/>
                      <w:sz w:val="18"/>
                      <w:szCs w:val="18"/>
                      <w:highlight w:val="none"/>
                    </w:rPr>
                    <w:t>μg/m</w:t>
                  </w:r>
                  <w:r>
                    <w:rPr>
                      <w:bCs/>
                      <w:color w:val="auto"/>
                      <w:sz w:val="18"/>
                      <w:szCs w:val="18"/>
                      <w:highlight w:val="none"/>
                      <w:vertAlign w:val="superscript"/>
                    </w:rPr>
                    <w:t>3</w:t>
                  </w:r>
                </w:p>
              </w:tc>
              <w:tc>
                <w:tcPr>
                  <w:tcW w:w="2747" w:type="dxa"/>
                  <w:vAlign w:val="center"/>
                </w:tcPr>
                <w:p>
                  <w:pPr>
                    <w:adjustRightInd w:val="0"/>
                    <w:snapToGrid w:val="0"/>
                    <w:jc w:val="center"/>
                    <w:rPr>
                      <w:bCs/>
                      <w:color w:val="auto"/>
                      <w:sz w:val="18"/>
                      <w:szCs w:val="18"/>
                      <w:highlight w:val="none"/>
                    </w:rPr>
                  </w:pPr>
                  <w:r>
                    <w:rPr>
                      <w:bCs/>
                      <w:color w:val="auto"/>
                      <w:sz w:val="18"/>
                      <w:szCs w:val="18"/>
                      <w:highlight w:val="none"/>
                    </w:rPr>
                    <w:t>年平均质量浓度</w:t>
                  </w:r>
                </w:p>
              </w:tc>
              <w:tc>
                <w:tcPr>
                  <w:tcW w:w="915"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77</w:t>
                  </w:r>
                </w:p>
              </w:tc>
              <w:tc>
                <w:tcPr>
                  <w:tcW w:w="915" w:type="dxa"/>
                  <w:vAlign w:val="center"/>
                </w:tcPr>
                <w:p>
                  <w:pPr>
                    <w:adjustRightInd w:val="0"/>
                    <w:snapToGrid w:val="0"/>
                    <w:jc w:val="center"/>
                    <w:rPr>
                      <w:bCs/>
                      <w:color w:val="auto"/>
                      <w:sz w:val="18"/>
                      <w:szCs w:val="18"/>
                      <w:highlight w:val="none"/>
                    </w:rPr>
                  </w:pPr>
                  <w:r>
                    <w:rPr>
                      <w:bCs/>
                      <w:color w:val="auto"/>
                      <w:sz w:val="18"/>
                      <w:szCs w:val="18"/>
                      <w:highlight w:val="none"/>
                    </w:rPr>
                    <w:t>70</w:t>
                  </w:r>
                </w:p>
              </w:tc>
              <w:tc>
                <w:tcPr>
                  <w:tcW w:w="963"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110</w:t>
                  </w:r>
                </w:p>
              </w:tc>
              <w:tc>
                <w:tcPr>
                  <w:tcW w:w="743" w:type="dxa"/>
                  <w:vAlign w:val="center"/>
                </w:tcPr>
                <w:p>
                  <w:pPr>
                    <w:adjustRightInd w:val="0"/>
                    <w:snapToGrid w:val="0"/>
                    <w:jc w:val="center"/>
                    <w:rPr>
                      <w:b/>
                      <w:color w:val="auto"/>
                      <w:sz w:val="18"/>
                      <w:szCs w:val="18"/>
                      <w:highlight w:val="none"/>
                    </w:rPr>
                  </w:pPr>
                  <w:r>
                    <w:rPr>
                      <w:b/>
                      <w:color w:val="auto"/>
                      <w:sz w:val="18"/>
                      <w:szCs w:val="18"/>
                      <w:highlight w:val="none"/>
                    </w:rPr>
                    <w:t>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00" w:type="dxa"/>
                  <w:vAlign w:val="center"/>
                </w:tcPr>
                <w:p>
                  <w:pPr>
                    <w:adjustRightInd w:val="0"/>
                    <w:snapToGrid w:val="0"/>
                    <w:jc w:val="center"/>
                    <w:rPr>
                      <w:bCs/>
                      <w:color w:val="auto"/>
                      <w:sz w:val="18"/>
                      <w:szCs w:val="18"/>
                      <w:highlight w:val="none"/>
                    </w:rPr>
                  </w:pPr>
                  <w:r>
                    <w:rPr>
                      <w:bCs/>
                      <w:color w:val="auto"/>
                      <w:sz w:val="18"/>
                      <w:szCs w:val="18"/>
                      <w:highlight w:val="none"/>
                    </w:rPr>
                    <w:t>PM</w:t>
                  </w:r>
                  <w:r>
                    <w:rPr>
                      <w:bCs/>
                      <w:color w:val="auto"/>
                      <w:sz w:val="18"/>
                      <w:szCs w:val="18"/>
                      <w:highlight w:val="none"/>
                      <w:vertAlign w:val="subscript"/>
                    </w:rPr>
                    <w:t>2.5</w:t>
                  </w:r>
                </w:p>
              </w:tc>
              <w:tc>
                <w:tcPr>
                  <w:tcW w:w="710" w:type="dxa"/>
                  <w:vAlign w:val="center"/>
                </w:tcPr>
                <w:p>
                  <w:pPr>
                    <w:adjustRightInd w:val="0"/>
                    <w:snapToGrid w:val="0"/>
                    <w:jc w:val="center"/>
                    <w:rPr>
                      <w:bCs/>
                      <w:color w:val="auto"/>
                      <w:sz w:val="18"/>
                      <w:szCs w:val="18"/>
                      <w:highlight w:val="none"/>
                    </w:rPr>
                  </w:pPr>
                  <w:r>
                    <w:rPr>
                      <w:bCs/>
                      <w:color w:val="auto"/>
                      <w:sz w:val="18"/>
                      <w:szCs w:val="18"/>
                      <w:highlight w:val="none"/>
                    </w:rPr>
                    <w:t>μg/m</w:t>
                  </w:r>
                  <w:r>
                    <w:rPr>
                      <w:bCs/>
                      <w:color w:val="auto"/>
                      <w:sz w:val="18"/>
                      <w:szCs w:val="18"/>
                      <w:highlight w:val="none"/>
                      <w:vertAlign w:val="superscript"/>
                    </w:rPr>
                    <w:t>3</w:t>
                  </w:r>
                </w:p>
              </w:tc>
              <w:tc>
                <w:tcPr>
                  <w:tcW w:w="2747" w:type="dxa"/>
                  <w:vAlign w:val="center"/>
                </w:tcPr>
                <w:p>
                  <w:pPr>
                    <w:adjustRightInd w:val="0"/>
                    <w:snapToGrid w:val="0"/>
                    <w:jc w:val="center"/>
                    <w:rPr>
                      <w:bCs/>
                      <w:color w:val="auto"/>
                      <w:sz w:val="18"/>
                      <w:szCs w:val="18"/>
                      <w:highlight w:val="none"/>
                    </w:rPr>
                  </w:pPr>
                  <w:r>
                    <w:rPr>
                      <w:bCs/>
                      <w:color w:val="auto"/>
                      <w:sz w:val="18"/>
                      <w:szCs w:val="18"/>
                      <w:highlight w:val="none"/>
                    </w:rPr>
                    <w:t>年平均质量浓度</w:t>
                  </w:r>
                </w:p>
              </w:tc>
              <w:tc>
                <w:tcPr>
                  <w:tcW w:w="915"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43</w:t>
                  </w:r>
                </w:p>
              </w:tc>
              <w:tc>
                <w:tcPr>
                  <w:tcW w:w="915" w:type="dxa"/>
                  <w:vAlign w:val="center"/>
                </w:tcPr>
                <w:p>
                  <w:pPr>
                    <w:adjustRightInd w:val="0"/>
                    <w:snapToGrid w:val="0"/>
                    <w:jc w:val="center"/>
                    <w:rPr>
                      <w:bCs/>
                      <w:color w:val="auto"/>
                      <w:sz w:val="18"/>
                      <w:szCs w:val="18"/>
                      <w:highlight w:val="none"/>
                    </w:rPr>
                  </w:pPr>
                  <w:r>
                    <w:rPr>
                      <w:bCs/>
                      <w:color w:val="auto"/>
                      <w:sz w:val="18"/>
                      <w:szCs w:val="18"/>
                      <w:highlight w:val="none"/>
                    </w:rPr>
                    <w:t>35</w:t>
                  </w:r>
                </w:p>
              </w:tc>
              <w:tc>
                <w:tcPr>
                  <w:tcW w:w="963"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122.86</w:t>
                  </w:r>
                </w:p>
              </w:tc>
              <w:tc>
                <w:tcPr>
                  <w:tcW w:w="743" w:type="dxa"/>
                  <w:vAlign w:val="center"/>
                </w:tcPr>
                <w:p>
                  <w:pPr>
                    <w:adjustRightInd w:val="0"/>
                    <w:snapToGrid w:val="0"/>
                    <w:jc w:val="center"/>
                    <w:rPr>
                      <w:b/>
                      <w:color w:val="auto"/>
                      <w:sz w:val="18"/>
                      <w:szCs w:val="18"/>
                      <w:highlight w:val="none"/>
                    </w:rPr>
                  </w:pPr>
                  <w:r>
                    <w:rPr>
                      <w:b/>
                      <w:color w:val="auto"/>
                      <w:sz w:val="18"/>
                      <w:szCs w:val="18"/>
                      <w:highlight w:val="none"/>
                    </w:rPr>
                    <w:t>超标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00" w:type="dxa"/>
                  <w:vAlign w:val="center"/>
                </w:tcPr>
                <w:p>
                  <w:pPr>
                    <w:adjustRightInd w:val="0"/>
                    <w:snapToGrid w:val="0"/>
                    <w:jc w:val="center"/>
                    <w:rPr>
                      <w:bCs/>
                      <w:color w:val="auto"/>
                      <w:sz w:val="18"/>
                      <w:szCs w:val="18"/>
                      <w:highlight w:val="none"/>
                    </w:rPr>
                  </w:pPr>
                  <w:r>
                    <w:rPr>
                      <w:bCs/>
                      <w:color w:val="auto"/>
                      <w:sz w:val="18"/>
                      <w:szCs w:val="18"/>
                      <w:highlight w:val="none"/>
                    </w:rPr>
                    <w:t>CO</w:t>
                  </w:r>
                </w:p>
              </w:tc>
              <w:tc>
                <w:tcPr>
                  <w:tcW w:w="710" w:type="dxa"/>
                  <w:vAlign w:val="center"/>
                </w:tcPr>
                <w:p>
                  <w:pPr>
                    <w:adjustRightInd w:val="0"/>
                    <w:snapToGrid w:val="0"/>
                    <w:jc w:val="center"/>
                    <w:rPr>
                      <w:bCs/>
                      <w:color w:val="auto"/>
                      <w:sz w:val="18"/>
                      <w:szCs w:val="18"/>
                      <w:highlight w:val="none"/>
                    </w:rPr>
                  </w:pPr>
                  <w:r>
                    <w:rPr>
                      <w:bCs/>
                      <w:color w:val="auto"/>
                      <w:sz w:val="18"/>
                      <w:szCs w:val="18"/>
                      <w:highlight w:val="none"/>
                    </w:rPr>
                    <w:t>mg/m</w:t>
                  </w:r>
                  <w:r>
                    <w:rPr>
                      <w:bCs/>
                      <w:color w:val="auto"/>
                      <w:sz w:val="18"/>
                      <w:szCs w:val="18"/>
                      <w:highlight w:val="none"/>
                      <w:vertAlign w:val="superscript"/>
                    </w:rPr>
                    <w:t>3</w:t>
                  </w:r>
                </w:p>
              </w:tc>
              <w:tc>
                <w:tcPr>
                  <w:tcW w:w="2747" w:type="dxa"/>
                  <w:vAlign w:val="center"/>
                </w:tcPr>
                <w:p>
                  <w:pPr>
                    <w:adjustRightInd w:val="0"/>
                    <w:snapToGrid w:val="0"/>
                    <w:jc w:val="center"/>
                    <w:rPr>
                      <w:bCs/>
                      <w:color w:val="auto"/>
                      <w:sz w:val="18"/>
                      <w:szCs w:val="18"/>
                      <w:highlight w:val="none"/>
                    </w:rPr>
                  </w:pPr>
                  <w:r>
                    <w:rPr>
                      <w:bCs/>
                      <w:color w:val="auto"/>
                      <w:sz w:val="18"/>
                      <w:szCs w:val="18"/>
                      <w:highlight w:val="none"/>
                    </w:rPr>
                    <w:t>95%保证率日平均浓度</w:t>
                  </w:r>
                </w:p>
              </w:tc>
              <w:tc>
                <w:tcPr>
                  <w:tcW w:w="915"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1.3</w:t>
                  </w:r>
                </w:p>
              </w:tc>
              <w:tc>
                <w:tcPr>
                  <w:tcW w:w="915" w:type="dxa"/>
                  <w:vAlign w:val="center"/>
                </w:tcPr>
                <w:p>
                  <w:pPr>
                    <w:adjustRightInd w:val="0"/>
                    <w:snapToGrid w:val="0"/>
                    <w:jc w:val="center"/>
                    <w:rPr>
                      <w:bCs/>
                      <w:color w:val="auto"/>
                      <w:sz w:val="18"/>
                      <w:szCs w:val="18"/>
                      <w:highlight w:val="none"/>
                    </w:rPr>
                  </w:pPr>
                  <w:r>
                    <w:rPr>
                      <w:bCs/>
                      <w:color w:val="auto"/>
                      <w:sz w:val="18"/>
                      <w:szCs w:val="18"/>
                      <w:highlight w:val="none"/>
                    </w:rPr>
                    <w:t>4</w:t>
                  </w:r>
                </w:p>
              </w:tc>
              <w:tc>
                <w:tcPr>
                  <w:tcW w:w="963"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32.5</w:t>
                  </w:r>
                </w:p>
              </w:tc>
              <w:tc>
                <w:tcPr>
                  <w:tcW w:w="743" w:type="dxa"/>
                  <w:vAlign w:val="center"/>
                </w:tcPr>
                <w:p>
                  <w:pPr>
                    <w:adjustRightInd w:val="0"/>
                    <w:snapToGrid w:val="0"/>
                    <w:jc w:val="center"/>
                    <w:rPr>
                      <w:bCs/>
                      <w:color w:val="auto"/>
                      <w:sz w:val="18"/>
                      <w:szCs w:val="18"/>
                      <w:highlight w:val="none"/>
                    </w:rPr>
                  </w:pPr>
                  <w:r>
                    <w:rPr>
                      <w:bCs/>
                      <w:color w:val="auto"/>
                      <w:sz w:val="18"/>
                      <w:szCs w:val="18"/>
                      <w:highlight w:val="non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00" w:type="dxa"/>
                  <w:vAlign w:val="center"/>
                </w:tcPr>
                <w:p>
                  <w:pPr>
                    <w:adjustRightInd w:val="0"/>
                    <w:snapToGrid w:val="0"/>
                    <w:jc w:val="center"/>
                    <w:rPr>
                      <w:bCs/>
                      <w:color w:val="auto"/>
                      <w:sz w:val="18"/>
                      <w:szCs w:val="18"/>
                      <w:highlight w:val="none"/>
                    </w:rPr>
                  </w:pPr>
                  <w:r>
                    <w:rPr>
                      <w:bCs/>
                      <w:color w:val="auto"/>
                      <w:sz w:val="18"/>
                      <w:szCs w:val="18"/>
                      <w:highlight w:val="none"/>
                    </w:rPr>
                    <w:t>O</w:t>
                  </w:r>
                  <w:r>
                    <w:rPr>
                      <w:bCs/>
                      <w:color w:val="auto"/>
                      <w:sz w:val="18"/>
                      <w:szCs w:val="18"/>
                      <w:highlight w:val="none"/>
                      <w:vertAlign w:val="subscript"/>
                    </w:rPr>
                    <w:t>3</w:t>
                  </w:r>
                </w:p>
              </w:tc>
              <w:tc>
                <w:tcPr>
                  <w:tcW w:w="710" w:type="dxa"/>
                  <w:vAlign w:val="center"/>
                </w:tcPr>
                <w:p>
                  <w:pPr>
                    <w:adjustRightInd w:val="0"/>
                    <w:snapToGrid w:val="0"/>
                    <w:jc w:val="center"/>
                    <w:rPr>
                      <w:bCs/>
                      <w:color w:val="auto"/>
                      <w:sz w:val="18"/>
                      <w:szCs w:val="18"/>
                      <w:highlight w:val="none"/>
                    </w:rPr>
                  </w:pPr>
                  <w:r>
                    <w:rPr>
                      <w:bCs/>
                      <w:color w:val="auto"/>
                      <w:sz w:val="18"/>
                      <w:szCs w:val="18"/>
                      <w:highlight w:val="none"/>
                    </w:rPr>
                    <w:t>μg/m</w:t>
                  </w:r>
                  <w:r>
                    <w:rPr>
                      <w:bCs/>
                      <w:color w:val="auto"/>
                      <w:sz w:val="18"/>
                      <w:szCs w:val="18"/>
                      <w:highlight w:val="none"/>
                      <w:vertAlign w:val="superscript"/>
                    </w:rPr>
                    <w:t>3</w:t>
                  </w:r>
                </w:p>
              </w:tc>
              <w:tc>
                <w:tcPr>
                  <w:tcW w:w="2747" w:type="dxa"/>
                  <w:vAlign w:val="center"/>
                </w:tcPr>
                <w:p>
                  <w:pPr>
                    <w:adjustRightInd w:val="0"/>
                    <w:snapToGrid w:val="0"/>
                    <w:jc w:val="center"/>
                    <w:rPr>
                      <w:bCs/>
                      <w:color w:val="auto"/>
                      <w:sz w:val="18"/>
                      <w:szCs w:val="18"/>
                      <w:highlight w:val="none"/>
                    </w:rPr>
                  </w:pPr>
                  <w:r>
                    <w:rPr>
                      <w:bCs/>
                      <w:color w:val="auto"/>
                      <w:sz w:val="18"/>
                      <w:szCs w:val="18"/>
                      <w:highlight w:val="none"/>
                    </w:rPr>
                    <w:t>90%保证率日最大8h滑动平均浓度</w:t>
                  </w:r>
                </w:p>
              </w:tc>
              <w:tc>
                <w:tcPr>
                  <w:tcW w:w="915"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195</w:t>
                  </w:r>
                </w:p>
              </w:tc>
              <w:tc>
                <w:tcPr>
                  <w:tcW w:w="915" w:type="dxa"/>
                  <w:vAlign w:val="center"/>
                </w:tcPr>
                <w:p>
                  <w:pPr>
                    <w:adjustRightInd w:val="0"/>
                    <w:snapToGrid w:val="0"/>
                    <w:jc w:val="center"/>
                    <w:rPr>
                      <w:bCs/>
                      <w:color w:val="auto"/>
                      <w:sz w:val="18"/>
                      <w:szCs w:val="18"/>
                      <w:highlight w:val="none"/>
                    </w:rPr>
                  </w:pPr>
                  <w:r>
                    <w:rPr>
                      <w:bCs/>
                      <w:color w:val="auto"/>
                      <w:sz w:val="18"/>
                      <w:szCs w:val="18"/>
                      <w:highlight w:val="none"/>
                    </w:rPr>
                    <w:t>160</w:t>
                  </w:r>
                </w:p>
              </w:tc>
              <w:tc>
                <w:tcPr>
                  <w:tcW w:w="963" w:type="dxa"/>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121.88</w:t>
                  </w:r>
                </w:p>
              </w:tc>
              <w:tc>
                <w:tcPr>
                  <w:tcW w:w="743" w:type="dxa"/>
                  <w:vAlign w:val="center"/>
                </w:tcPr>
                <w:p>
                  <w:pPr>
                    <w:adjustRightInd w:val="0"/>
                    <w:snapToGrid w:val="0"/>
                    <w:jc w:val="center"/>
                    <w:rPr>
                      <w:bCs/>
                      <w:color w:val="auto"/>
                      <w:sz w:val="18"/>
                      <w:szCs w:val="18"/>
                      <w:highlight w:val="none"/>
                    </w:rPr>
                  </w:pPr>
                  <w:r>
                    <w:rPr>
                      <w:b/>
                      <w:color w:val="auto"/>
                      <w:sz w:val="18"/>
                      <w:szCs w:val="18"/>
                      <w:highlight w:val="none"/>
                    </w:rPr>
                    <w:t>超标</w:t>
                  </w:r>
                </w:p>
              </w:tc>
            </w:tr>
          </w:tbl>
          <w:p>
            <w:pPr>
              <w:snapToGrid w:val="0"/>
              <w:spacing w:line="360" w:lineRule="auto"/>
              <w:ind w:firstLine="420" w:firstLineChars="200"/>
              <w:rPr>
                <w:color w:val="auto"/>
                <w:highlight w:val="none"/>
              </w:rPr>
            </w:pPr>
            <w:r>
              <w:rPr>
                <w:color w:val="auto"/>
                <w:highlight w:val="none"/>
              </w:rPr>
              <w:t>张店区202</w:t>
            </w:r>
            <w:r>
              <w:rPr>
                <w:rFonts w:hint="eastAsia"/>
                <w:color w:val="auto"/>
                <w:highlight w:val="none"/>
                <w:lang w:val="en-US" w:eastAsia="zh-CN"/>
              </w:rPr>
              <w:t>2</w:t>
            </w:r>
            <w:r>
              <w:rPr>
                <w:color w:val="auto"/>
                <w:highlight w:val="none"/>
              </w:rPr>
              <w:t>年PM</w:t>
            </w:r>
            <w:r>
              <w:rPr>
                <w:color w:val="auto"/>
                <w:highlight w:val="none"/>
                <w:vertAlign w:val="subscript"/>
              </w:rPr>
              <w:t>10</w:t>
            </w:r>
            <w:r>
              <w:rPr>
                <w:color w:val="auto"/>
                <w:highlight w:val="none"/>
              </w:rPr>
              <w:t>、PM</w:t>
            </w:r>
            <w:r>
              <w:rPr>
                <w:color w:val="auto"/>
                <w:highlight w:val="none"/>
                <w:vertAlign w:val="subscript"/>
              </w:rPr>
              <w:t>2.5</w:t>
            </w:r>
            <w:r>
              <w:rPr>
                <w:color w:val="auto"/>
                <w:highlight w:val="none"/>
              </w:rPr>
              <w:t>、O</w:t>
            </w:r>
            <w:r>
              <w:rPr>
                <w:color w:val="auto"/>
                <w:highlight w:val="none"/>
                <w:vertAlign w:val="subscript"/>
              </w:rPr>
              <w:t>3</w:t>
            </w:r>
            <w:r>
              <w:rPr>
                <w:color w:val="auto"/>
                <w:highlight w:val="none"/>
              </w:rPr>
              <w:t>的年均浓度不能满足《环境空气质量标准》（GB3095-2012）二级标准要求，存在超标现象，项目所在地处于不达标区。</w:t>
            </w:r>
          </w:p>
          <w:p>
            <w:pPr>
              <w:snapToGrid w:val="0"/>
              <w:spacing w:line="360" w:lineRule="auto"/>
              <w:ind w:firstLine="420" w:firstLineChars="200"/>
              <w:rPr>
                <w:color w:val="auto"/>
                <w:highlight w:val="none"/>
              </w:rPr>
            </w:pPr>
            <w:r>
              <w:rPr>
                <w:color w:val="auto"/>
                <w:highlight w:val="none"/>
              </w:rPr>
              <w:t>张店区2021年PM</w:t>
            </w:r>
            <w:r>
              <w:rPr>
                <w:color w:val="auto"/>
                <w:highlight w:val="none"/>
                <w:vertAlign w:val="subscript"/>
              </w:rPr>
              <w:t>10</w:t>
            </w:r>
            <w:r>
              <w:rPr>
                <w:color w:val="auto"/>
                <w:highlight w:val="none"/>
              </w:rPr>
              <w:t>、PM</w:t>
            </w:r>
            <w:r>
              <w:rPr>
                <w:color w:val="auto"/>
                <w:highlight w:val="none"/>
                <w:vertAlign w:val="subscript"/>
              </w:rPr>
              <w:t>2.5</w:t>
            </w:r>
            <w:r>
              <w:rPr>
                <w:color w:val="auto"/>
                <w:highlight w:val="none"/>
              </w:rPr>
              <w:t>、O</w:t>
            </w:r>
            <w:r>
              <w:rPr>
                <w:color w:val="auto"/>
                <w:highlight w:val="none"/>
                <w:vertAlign w:val="subscript"/>
              </w:rPr>
              <w:t>3</w:t>
            </w:r>
            <w:r>
              <w:rPr>
                <w:color w:val="auto"/>
                <w:highlight w:val="none"/>
              </w:rPr>
              <w:t>的年均浓度不能满足《环境空气质量标准》（GB3095-2012）二级标准要求，存在超标现象，项目所在地处于不达标区。</w:t>
            </w:r>
          </w:p>
          <w:p>
            <w:pPr>
              <w:pStyle w:val="71"/>
              <w:snapToGrid w:val="0"/>
              <w:spacing w:line="360" w:lineRule="auto"/>
              <w:ind w:firstLine="422" w:firstLineChars="200"/>
              <w:textAlignment w:val="baseline"/>
              <w:rPr>
                <w:b/>
                <w:bCs/>
                <w:color w:val="auto"/>
                <w:sz w:val="21"/>
                <w:szCs w:val="21"/>
                <w:highlight w:val="none"/>
              </w:rPr>
            </w:pPr>
            <w:r>
              <w:rPr>
                <w:b/>
                <w:bCs/>
                <w:color w:val="auto"/>
                <w:sz w:val="21"/>
                <w:szCs w:val="21"/>
                <w:highlight w:val="none"/>
              </w:rPr>
              <w:t>2、地表水环境质量现状</w:t>
            </w:r>
          </w:p>
          <w:p>
            <w:pPr>
              <w:snapToGrid w:val="0"/>
              <w:spacing w:line="360" w:lineRule="auto"/>
              <w:ind w:firstLine="420" w:firstLineChars="200"/>
              <w:rPr>
                <w:b/>
                <w:color w:val="auto"/>
                <w:szCs w:val="21"/>
                <w:highlight w:val="none"/>
              </w:rPr>
            </w:pPr>
            <w:r>
              <w:rPr>
                <w:rFonts w:hint="eastAsia"/>
                <w:color w:val="auto"/>
                <w:highlight w:val="none"/>
                <w:lang w:val="en-US" w:eastAsia="zh-CN"/>
              </w:rPr>
              <w:t>本项目收集了淄博市生态环境局河流水质状况发布系统中范阳河309桥断面（本项目东南侧2.8km处）监测数据可知，该断面2022年6月-2023年5月化学需氧量平均浓度为9.887mg/L，氨氮平均浓度为0.287mg/L。</w:t>
            </w:r>
            <w:r>
              <w:rPr>
                <w:color w:val="auto"/>
                <w:highlight w:val="none"/>
              </w:rPr>
              <w:t>距离本项目最近的地表水为</w:t>
            </w:r>
            <w:r>
              <w:rPr>
                <w:rFonts w:hint="eastAsia"/>
                <w:color w:val="auto"/>
                <w:highlight w:val="none"/>
                <w:lang w:val="en-US" w:eastAsia="zh-CN"/>
              </w:rPr>
              <w:t>南</w:t>
            </w:r>
            <w:r>
              <w:rPr>
                <w:color w:val="auto"/>
                <w:highlight w:val="none"/>
              </w:rPr>
              <w:t>侧</w:t>
            </w:r>
            <w:r>
              <w:rPr>
                <w:rFonts w:hint="eastAsia"/>
                <w:color w:val="auto"/>
                <w:highlight w:val="none"/>
                <w:lang w:val="en-US" w:eastAsia="zh-CN"/>
              </w:rPr>
              <w:t>1070</w:t>
            </w:r>
            <w:r>
              <w:rPr>
                <w:color w:val="auto"/>
                <w:highlight w:val="none"/>
              </w:rPr>
              <w:t>m处的</w:t>
            </w:r>
            <w:r>
              <w:rPr>
                <w:rFonts w:hint="eastAsia"/>
                <w:color w:val="auto"/>
                <w:highlight w:val="none"/>
                <w:lang w:val="en-US" w:eastAsia="zh-CN"/>
              </w:rPr>
              <w:t>孝妇河</w:t>
            </w:r>
            <w:r>
              <w:rPr>
                <w:color w:val="auto"/>
                <w:highlight w:val="none"/>
              </w:rPr>
              <w:t>，水质能够满足《地表水环境质量标准》（GB3838-2002）</w:t>
            </w:r>
            <w:r>
              <w:rPr>
                <w:rFonts w:hint="eastAsia"/>
                <w:color w:val="auto"/>
                <w:highlight w:val="none"/>
              </w:rPr>
              <w:t>Ⅴ</w:t>
            </w:r>
            <w:r>
              <w:rPr>
                <w:color w:val="auto"/>
                <w:highlight w:val="none"/>
              </w:rPr>
              <w:t>类标准。</w:t>
            </w:r>
          </w:p>
          <w:p>
            <w:pPr>
              <w:pStyle w:val="16"/>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3、声环境质量现状</w:t>
            </w:r>
          </w:p>
          <w:p>
            <w:pPr>
              <w:spacing w:line="360" w:lineRule="auto"/>
              <w:ind w:firstLine="420" w:firstLineChars="200"/>
              <w:rPr>
                <w:color w:val="auto"/>
                <w:highlight w:val="none"/>
              </w:rPr>
            </w:pPr>
            <w:r>
              <w:rPr>
                <w:color w:val="auto"/>
                <w:highlight w:val="none"/>
              </w:rPr>
              <w:t>淄博市张店区第二人民医院（淄博口腔医院）</w:t>
            </w:r>
            <w:r>
              <w:rPr>
                <w:rFonts w:hint="eastAsia"/>
                <w:color w:val="auto"/>
                <w:highlight w:val="none"/>
                <w:lang w:val="en-US" w:eastAsia="zh-CN"/>
              </w:rPr>
              <w:t>新院区东侧为鸿泰吉祥苑</w:t>
            </w:r>
            <w:r>
              <w:rPr>
                <w:color w:val="auto"/>
                <w:highlight w:val="none"/>
              </w:rPr>
              <w:t>，</w:t>
            </w:r>
            <w:r>
              <w:rPr>
                <w:rFonts w:hint="eastAsia"/>
                <w:color w:val="auto"/>
                <w:highlight w:val="none"/>
                <w:lang w:val="en-US" w:eastAsia="zh-CN"/>
              </w:rPr>
              <w:t>山东恒辉</w:t>
            </w:r>
            <w:r>
              <w:rPr>
                <w:color w:val="auto"/>
                <w:highlight w:val="none"/>
              </w:rPr>
              <w:t>环境检测有限公司于202</w:t>
            </w:r>
            <w:r>
              <w:rPr>
                <w:rFonts w:hint="eastAsia"/>
                <w:color w:val="auto"/>
                <w:highlight w:val="none"/>
                <w:lang w:val="en-US" w:eastAsia="zh-CN"/>
              </w:rPr>
              <w:t>3</w:t>
            </w:r>
            <w:r>
              <w:rPr>
                <w:color w:val="auto"/>
                <w:highlight w:val="none"/>
              </w:rPr>
              <w:t>年</w:t>
            </w:r>
            <w:r>
              <w:rPr>
                <w:rFonts w:hint="eastAsia"/>
                <w:color w:val="auto"/>
                <w:highlight w:val="none"/>
                <w:lang w:val="en-US" w:eastAsia="zh-CN"/>
              </w:rPr>
              <w:t>4</w:t>
            </w:r>
            <w:r>
              <w:rPr>
                <w:color w:val="auto"/>
                <w:highlight w:val="none"/>
              </w:rPr>
              <w:t>月</w:t>
            </w:r>
            <w:r>
              <w:rPr>
                <w:rFonts w:hint="eastAsia"/>
                <w:color w:val="auto"/>
                <w:highlight w:val="none"/>
                <w:lang w:val="en-US" w:eastAsia="zh-CN"/>
              </w:rPr>
              <w:t>25</w:t>
            </w:r>
            <w:r>
              <w:rPr>
                <w:color w:val="auto"/>
                <w:highlight w:val="none"/>
              </w:rPr>
              <w:t>日对</w:t>
            </w:r>
            <w:r>
              <w:rPr>
                <w:rFonts w:hint="eastAsia"/>
                <w:color w:val="auto"/>
                <w:highlight w:val="none"/>
                <w:lang w:val="en-US" w:eastAsia="zh-CN"/>
              </w:rPr>
              <w:t>该</w:t>
            </w:r>
            <w:r>
              <w:rPr>
                <w:color w:val="auto"/>
                <w:highlight w:val="none"/>
              </w:rPr>
              <w:t>居民区声环境现状进行了监测，监测结果详见下表：</w:t>
            </w:r>
          </w:p>
          <w:p>
            <w:pPr>
              <w:pStyle w:val="70"/>
              <w:rPr>
                <w:rFonts w:cs="Times New Roman"/>
                <w:color w:val="auto"/>
                <w:highlight w:val="none"/>
              </w:rPr>
            </w:pPr>
            <w:r>
              <w:rPr>
                <w:rFonts w:cs="Times New Roman"/>
                <w:color w:val="auto"/>
                <w:highlight w:val="none"/>
              </w:rPr>
              <w:t>表3-2  噪声现状监测结果一览表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1031"/>
              <w:gridCol w:w="768"/>
              <w:gridCol w:w="768"/>
              <w:gridCol w:w="829"/>
              <w:gridCol w:w="1033"/>
              <w:gridCol w:w="768"/>
              <w:gridCol w:w="768"/>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pct"/>
                  <w:vMerge w:val="restart"/>
                  <w:vAlign w:val="center"/>
                </w:tcPr>
                <w:p>
                  <w:pPr>
                    <w:adjustRightInd w:val="0"/>
                    <w:snapToGrid w:val="0"/>
                    <w:jc w:val="center"/>
                    <w:rPr>
                      <w:color w:val="auto"/>
                      <w:sz w:val="18"/>
                      <w:szCs w:val="18"/>
                      <w:highlight w:val="none"/>
                    </w:rPr>
                  </w:pPr>
                  <w:r>
                    <w:rPr>
                      <w:color w:val="auto"/>
                      <w:sz w:val="18"/>
                      <w:szCs w:val="18"/>
                      <w:highlight w:val="none"/>
                    </w:rPr>
                    <w:t>监测位置</w:t>
                  </w:r>
                </w:p>
              </w:tc>
              <w:tc>
                <w:tcPr>
                  <w:tcW w:w="2039" w:type="pct"/>
                  <w:gridSpan w:val="4"/>
                  <w:vAlign w:val="center"/>
                </w:tcPr>
                <w:p>
                  <w:pPr>
                    <w:adjustRightInd w:val="0"/>
                    <w:snapToGrid w:val="0"/>
                    <w:jc w:val="center"/>
                    <w:rPr>
                      <w:color w:val="auto"/>
                      <w:sz w:val="18"/>
                      <w:szCs w:val="18"/>
                      <w:highlight w:val="none"/>
                    </w:rPr>
                  </w:pPr>
                  <w:r>
                    <w:rPr>
                      <w:color w:val="auto"/>
                      <w:sz w:val="18"/>
                      <w:szCs w:val="18"/>
                      <w:highlight w:val="none"/>
                    </w:rPr>
                    <w:t>Ld （Leq dB(A)）</w:t>
                  </w:r>
                </w:p>
              </w:tc>
              <w:tc>
                <w:tcPr>
                  <w:tcW w:w="2003" w:type="pct"/>
                  <w:gridSpan w:val="4"/>
                  <w:vAlign w:val="center"/>
                </w:tcPr>
                <w:p>
                  <w:pPr>
                    <w:adjustRightInd w:val="0"/>
                    <w:snapToGrid w:val="0"/>
                    <w:jc w:val="center"/>
                    <w:rPr>
                      <w:color w:val="auto"/>
                      <w:sz w:val="18"/>
                      <w:szCs w:val="18"/>
                      <w:highlight w:val="none"/>
                    </w:rPr>
                  </w:pPr>
                  <w:r>
                    <w:rPr>
                      <w:color w:val="auto"/>
                      <w:sz w:val="18"/>
                      <w:szCs w:val="18"/>
                      <w:highlight w:val="none"/>
                    </w:rPr>
                    <w:t>Ln（Leq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pct"/>
                  <w:vMerge w:val="continue"/>
                  <w:vAlign w:val="center"/>
                </w:tcPr>
                <w:p>
                  <w:pPr>
                    <w:adjustRightInd w:val="0"/>
                    <w:snapToGrid w:val="0"/>
                    <w:jc w:val="center"/>
                    <w:rPr>
                      <w:color w:val="auto"/>
                      <w:sz w:val="18"/>
                      <w:szCs w:val="18"/>
                      <w:highlight w:val="none"/>
                    </w:rPr>
                  </w:pPr>
                </w:p>
              </w:tc>
              <w:tc>
                <w:tcPr>
                  <w:tcW w:w="619" w:type="pct"/>
                  <w:vAlign w:val="center"/>
                </w:tcPr>
                <w:p>
                  <w:pPr>
                    <w:adjustRightInd w:val="0"/>
                    <w:snapToGrid w:val="0"/>
                    <w:jc w:val="center"/>
                    <w:rPr>
                      <w:color w:val="auto"/>
                      <w:sz w:val="18"/>
                      <w:szCs w:val="18"/>
                      <w:highlight w:val="none"/>
                    </w:rPr>
                  </w:pPr>
                  <w:r>
                    <w:rPr>
                      <w:color w:val="auto"/>
                      <w:sz w:val="18"/>
                      <w:szCs w:val="18"/>
                      <w:highlight w:val="none"/>
                    </w:rPr>
                    <w:t>监测时间</w:t>
                  </w:r>
                </w:p>
              </w:tc>
              <w:tc>
                <w:tcPr>
                  <w:tcW w:w="461" w:type="pct"/>
                  <w:vAlign w:val="center"/>
                </w:tcPr>
                <w:p>
                  <w:pPr>
                    <w:adjustRightInd w:val="0"/>
                    <w:snapToGrid w:val="0"/>
                    <w:jc w:val="center"/>
                    <w:rPr>
                      <w:color w:val="auto"/>
                      <w:sz w:val="18"/>
                      <w:szCs w:val="18"/>
                      <w:highlight w:val="none"/>
                    </w:rPr>
                  </w:pPr>
                  <w:r>
                    <w:rPr>
                      <w:color w:val="auto"/>
                      <w:sz w:val="18"/>
                      <w:szCs w:val="18"/>
                      <w:highlight w:val="none"/>
                    </w:rPr>
                    <w:t>监测值</w:t>
                  </w:r>
                </w:p>
              </w:tc>
              <w:tc>
                <w:tcPr>
                  <w:tcW w:w="461" w:type="pct"/>
                  <w:vAlign w:val="center"/>
                </w:tcPr>
                <w:p>
                  <w:pPr>
                    <w:adjustRightInd w:val="0"/>
                    <w:snapToGrid w:val="0"/>
                    <w:jc w:val="center"/>
                    <w:rPr>
                      <w:color w:val="auto"/>
                      <w:sz w:val="18"/>
                      <w:szCs w:val="18"/>
                      <w:highlight w:val="none"/>
                    </w:rPr>
                  </w:pPr>
                  <w:r>
                    <w:rPr>
                      <w:color w:val="auto"/>
                      <w:sz w:val="18"/>
                      <w:szCs w:val="18"/>
                      <w:highlight w:val="none"/>
                    </w:rPr>
                    <w:t>标准值</w:t>
                  </w:r>
                </w:p>
              </w:tc>
              <w:tc>
                <w:tcPr>
                  <w:tcW w:w="497" w:type="pct"/>
                  <w:vAlign w:val="center"/>
                </w:tcPr>
                <w:p>
                  <w:pPr>
                    <w:adjustRightInd w:val="0"/>
                    <w:snapToGrid w:val="0"/>
                    <w:jc w:val="center"/>
                    <w:rPr>
                      <w:color w:val="auto"/>
                      <w:sz w:val="18"/>
                      <w:szCs w:val="18"/>
                      <w:highlight w:val="none"/>
                    </w:rPr>
                  </w:pPr>
                  <w:r>
                    <w:rPr>
                      <w:color w:val="auto"/>
                      <w:sz w:val="18"/>
                      <w:szCs w:val="18"/>
                      <w:highlight w:val="none"/>
                    </w:rPr>
                    <w:t>超标值</w:t>
                  </w:r>
                </w:p>
              </w:tc>
              <w:tc>
                <w:tcPr>
                  <w:tcW w:w="620" w:type="pct"/>
                  <w:vAlign w:val="center"/>
                </w:tcPr>
                <w:p>
                  <w:pPr>
                    <w:adjustRightInd w:val="0"/>
                    <w:snapToGrid w:val="0"/>
                    <w:jc w:val="center"/>
                    <w:rPr>
                      <w:color w:val="auto"/>
                      <w:sz w:val="18"/>
                      <w:szCs w:val="18"/>
                      <w:highlight w:val="none"/>
                    </w:rPr>
                  </w:pPr>
                  <w:r>
                    <w:rPr>
                      <w:color w:val="auto"/>
                      <w:sz w:val="18"/>
                      <w:szCs w:val="18"/>
                      <w:highlight w:val="none"/>
                    </w:rPr>
                    <w:t>监测时间</w:t>
                  </w:r>
                </w:p>
              </w:tc>
              <w:tc>
                <w:tcPr>
                  <w:tcW w:w="461" w:type="pct"/>
                  <w:vAlign w:val="center"/>
                </w:tcPr>
                <w:p>
                  <w:pPr>
                    <w:adjustRightInd w:val="0"/>
                    <w:snapToGrid w:val="0"/>
                    <w:jc w:val="center"/>
                    <w:rPr>
                      <w:color w:val="auto"/>
                      <w:sz w:val="18"/>
                      <w:szCs w:val="18"/>
                      <w:highlight w:val="none"/>
                    </w:rPr>
                  </w:pPr>
                  <w:r>
                    <w:rPr>
                      <w:color w:val="auto"/>
                      <w:sz w:val="18"/>
                      <w:szCs w:val="18"/>
                      <w:highlight w:val="none"/>
                    </w:rPr>
                    <w:t>监测值</w:t>
                  </w:r>
                </w:p>
              </w:tc>
              <w:tc>
                <w:tcPr>
                  <w:tcW w:w="461" w:type="pct"/>
                  <w:vAlign w:val="center"/>
                </w:tcPr>
                <w:p>
                  <w:pPr>
                    <w:adjustRightInd w:val="0"/>
                    <w:snapToGrid w:val="0"/>
                    <w:jc w:val="center"/>
                    <w:rPr>
                      <w:color w:val="auto"/>
                      <w:sz w:val="18"/>
                      <w:szCs w:val="18"/>
                      <w:highlight w:val="none"/>
                    </w:rPr>
                  </w:pPr>
                  <w:r>
                    <w:rPr>
                      <w:color w:val="auto"/>
                      <w:sz w:val="18"/>
                      <w:szCs w:val="18"/>
                      <w:highlight w:val="none"/>
                    </w:rPr>
                    <w:t>标准值</w:t>
                  </w:r>
                </w:p>
              </w:tc>
              <w:tc>
                <w:tcPr>
                  <w:tcW w:w="460" w:type="pct"/>
                  <w:vAlign w:val="center"/>
                </w:tcPr>
                <w:p>
                  <w:pPr>
                    <w:adjustRightInd w:val="0"/>
                    <w:snapToGrid w:val="0"/>
                    <w:jc w:val="center"/>
                    <w:rPr>
                      <w:color w:val="auto"/>
                      <w:sz w:val="18"/>
                      <w:szCs w:val="18"/>
                      <w:highlight w:val="none"/>
                    </w:rPr>
                  </w:pPr>
                  <w:r>
                    <w:rPr>
                      <w:color w:val="auto"/>
                      <w:sz w:val="18"/>
                      <w:szCs w:val="18"/>
                      <w:highlight w:val="none"/>
                    </w:rPr>
                    <w:t>超标值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7" w:type="pct"/>
                  <w:vAlign w:val="center"/>
                </w:tcPr>
                <w:p>
                  <w:pPr>
                    <w:adjustRightInd w:val="0"/>
                    <w:snapToGrid w:val="0"/>
                    <w:jc w:val="center"/>
                    <w:rPr>
                      <w:color w:val="auto"/>
                      <w:sz w:val="18"/>
                      <w:szCs w:val="18"/>
                      <w:highlight w:val="none"/>
                    </w:rPr>
                  </w:pPr>
                  <w:r>
                    <w:rPr>
                      <w:rFonts w:hint="eastAsia"/>
                      <w:color w:val="auto"/>
                      <w:sz w:val="18"/>
                      <w:szCs w:val="18"/>
                      <w:highlight w:val="none"/>
                      <w:lang w:val="en-US" w:eastAsia="zh-CN"/>
                    </w:rPr>
                    <w:t>鸿泰吉祥苑</w:t>
                  </w:r>
                </w:p>
              </w:tc>
              <w:tc>
                <w:tcPr>
                  <w:tcW w:w="619" w:type="pct"/>
                  <w:vAlign w:val="center"/>
                </w:tcPr>
                <w:p>
                  <w:pPr>
                    <w:adjustRightInd w:val="0"/>
                    <w:snapToGrid w:val="0"/>
                    <w:jc w:val="center"/>
                    <w:rPr>
                      <w:color w:val="auto"/>
                      <w:sz w:val="18"/>
                      <w:szCs w:val="18"/>
                      <w:highlight w:val="none"/>
                    </w:rPr>
                  </w:pPr>
                  <w:r>
                    <w:rPr>
                      <w:color w:val="auto"/>
                      <w:sz w:val="18"/>
                      <w:szCs w:val="18"/>
                      <w:highlight w:val="none"/>
                    </w:rPr>
                    <w:t>昼间</w:t>
                  </w:r>
                </w:p>
              </w:tc>
              <w:tc>
                <w:tcPr>
                  <w:tcW w:w="461" w:type="pct"/>
                  <w:vAlign w:val="center"/>
                </w:tcPr>
                <w:p>
                  <w:pPr>
                    <w:adjustRightInd w:val="0"/>
                    <w:snapToGrid w:val="0"/>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52.8</w:t>
                  </w:r>
                </w:p>
              </w:tc>
              <w:tc>
                <w:tcPr>
                  <w:tcW w:w="461" w:type="pct"/>
                  <w:vAlign w:val="center"/>
                </w:tcPr>
                <w:p>
                  <w:pPr>
                    <w:adjustRightInd w:val="0"/>
                    <w:snapToGrid w:val="0"/>
                    <w:jc w:val="center"/>
                    <w:rPr>
                      <w:color w:val="auto"/>
                      <w:sz w:val="18"/>
                      <w:szCs w:val="18"/>
                      <w:highlight w:val="none"/>
                    </w:rPr>
                  </w:pPr>
                  <w:r>
                    <w:rPr>
                      <w:color w:val="auto"/>
                      <w:sz w:val="18"/>
                      <w:szCs w:val="18"/>
                      <w:highlight w:val="none"/>
                    </w:rPr>
                    <w:t>55</w:t>
                  </w:r>
                </w:p>
              </w:tc>
              <w:tc>
                <w:tcPr>
                  <w:tcW w:w="497" w:type="pct"/>
                  <w:vAlign w:val="center"/>
                </w:tcPr>
                <w:p>
                  <w:pPr>
                    <w:adjustRightInd w:val="0"/>
                    <w:snapToGrid w:val="0"/>
                    <w:jc w:val="center"/>
                    <w:rPr>
                      <w:rFonts w:hint="default" w:eastAsia="宋体"/>
                      <w:color w:val="auto"/>
                      <w:sz w:val="18"/>
                      <w:szCs w:val="18"/>
                      <w:highlight w:val="none"/>
                      <w:lang w:val="en-US" w:eastAsia="zh-CN"/>
                    </w:rPr>
                  </w:pPr>
                  <w:r>
                    <w:rPr>
                      <w:color w:val="auto"/>
                      <w:sz w:val="18"/>
                      <w:szCs w:val="18"/>
                      <w:highlight w:val="none"/>
                    </w:rPr>
                    <w:t>-</w:t>
                  </w:r>
                  <w:r>
                    <w:rPr>
                      <w:rFonts w:hint="eastAsia"/>
                      <w:color w:val="auto"/>
                      <w:sz w:val="18"/>
                      <w:szCs w:val="18"/>
                      <w:highlight w:val="none"/>
                      <w:lang w:val="en-US" w:eastAsia="zh-CN"/>
                    </w:rPr>
                    <w:t>2.2</w:t>
                  </w:r>
                </w:p>
              </w:tc>
              <w:tc>
                <w:tcPr>
                  <w:tcW w:w="620" w:type="pct"/>
                  <w:vAlign w:val="center"/>
                </w:tcPr>
                <w:p>
                  <w:pPr>
                    <w:adjustRightInd w:val="0"/>
                    <w:snapToGrid w:val="0"/>
                    <w:jc w:val="center"/>
                    <w:rPr>
                      <w:color w:val="auto"/>
                      <w:sz w:val="18"/>
                      <w:szCs w:val="18"/>
                      <w:highlight w:val="none"/>
                    </w:rPr>
                  </w:pPr>
                  <w:r>
                    <w:rPr>
                      <w:color w:val="auto"/>
                      <w:sz w:val="18"/>
                      <w:szCs w:val="18"/>
                      <w:highlight w:val="none"/>
                    </w:rPr>
                    <w:t>夜间</w:t>
                  </w:r>
                </w:p>
              </w:tc>
              <w:tc>
                <w:tcPr>
                  <w:tcW w:w="461" w:type="pct"/>
                  <w:vAlign w:val="center"/>
                </w:tcPr>
                <w:p>
                  <w:pPr>
                    <w:adjustRightInd w:val="0"/>
                    <w:snapToGrid w:val="0"/>
                    <w:jc w:val="center"/>
                    <w:rPr>
                      <w:rFonts w:hint="eastAsia" w:eastAsia="宋体"/>
                      <w:color w:val="auto"/>
                      <w:sz w:val="18"/>
                      <w:szCs w:val="18"/>
                      <w:highlight w:val="none"/>
                      <w:lang w:eastAsia="zh-CN"/>
                    </w:rPr>
                  </w:pPr>
                  <w:r>
                    <w:rPr>
                      <w:color w:val="auto"/>
                      <w:sz w:val="18"/>
                      <w:szCs w:val="18"/>
                      <w:highlight w:val="none"/>
                    </w:rPr>
                    <w:t>41.</w:t>
                  </w:r>
                  <w:r>
                    <w:rPr>
                      <w:rFonts w:hint="eastAsia"/>
                      <w:color w:val="auto"/>
                      <w:sz w:val="18"/>
                      <w:szCs w:val="18"/>
                      <w:highlight w:val="none"/>
                      <w:lang w:val="en-US" w:eastAsia="zh-CN"/>
                    </w:rPr>
                    <w:t>5</w:t>
                  </w:r>
                </w:p>
              </w:tc>
              <w:tc>
                <w:tcPr>
                  <w:tcW w:w="461" w:type="pct"/>
                  <w:vAlign w:val="center"/>
                </w:tcPr>
                <w:p>
                  <w:pPr>
                    <w:adjustRightInd w:val="0"/>
                    <w:snapToGrid w:val="0"/>
                    <w:jc w:val="center"/>
                    <w:rPr>
                      <w:color w:val="auto"/>
                      <w:sz w:val="18"/>
                      <w:szCs w:val="18"/>
                      <w:highlight w:val="none"/>
                    </w:rPr>
                  </w:pPr>
                  <w:r>
                    <w:rPr>
                      <w:color w:val="auto"/>
                      <w:sz w:val="18"/>
                      <w:szCs w:val="18"/>
                      <w:highlight w:val="none"/>
                    </w:rPr>
                    <w:t>45</w:t>
                  </w:r>
                </w:p>
              </w:tc>
              <w:tc>
                <w:tcPr>
                  <w:tcW w:w="460" w:type="pct"/>
                  <w:vAlign w:val="center"/>
                </w:tcPr>
                <w:p>
                  <w:pPr>
                    <w:adjustRightInd w:val="0"/>
                    <w:snapToGrid w:val="0"/>
                    <w:jc w:val="center"/>
                    <w:rPr>
                      <w:rFonts w:hint="default" w:eastAsia="宋体"/>
                      <w:color w:val="auto"/>
                      <w:sz w:val="18"/>
                      <w:szCs w:val="18"/>
                      <w:highlight w:val="none"/>
                      <w:lang w:val="en-US" w:eastAsia="zh-CN"/>
                    </w:rPr>
                  </w:pPr>
                  <w:r>
                    <w:rPr>
                      <w:color w:val="auto"/>
                      <w:sz w:val="18"/>
                      <w:szCs w:val="18"/>
                      <w:highlight w:val="none"/>
                    </w:rPr>
                    <w:t>-</w:t>
                  </w:r>
                  <w:r>
                    <w:rPr>
                      <w:rFonts w:hint="eastAsia"/>
                      <w:color w:val="auto"/>
                      <w:sz w:val="18"/>
                      <w:szCs w:val="18"/>
                      <w:highlight w:val="none"/>
                      <w:lang w:val="en-US" w:eastAsia="zh-CN"/>
                    </w:rPr>
                    <w:t>3.5</w:t>
                  </w:r>
                </w:p>
              </w:tc>
            </w:tr>
          </w:tbl>
          <w:p>
            <w:pPr>
              <w:spacing w:line="360" w:lineRule="auto"/>
              <w:ind w:firstLine="420" w:firstLineChars="200"/>
              <w:rPr>
                <w:color w:val="auto"/>
                <w:highlight w:val="none"/>
              </w:rPr>
            </w:pPr>
            <w:r>
              <w:rPr>
                <w:color w:val="auto"/>
                <w:highlight w:val="none"/>
              </w:rPr>
              <w:t>根据监测结果，</w:t>
            </w:r>
            <w:r>
              <w:rPr>
                <w:rFonts w:hint="eastAsia"/>
                <w:color w:val="auto"/>
                <w:highlight w:val="none"/>
                <w:lang w:val="en-US" w:eastAsia="zh-CN"/>
              </w:rPr>
              <w:t>鸿泰吉祥苑</w:t>
            </w:r>
            <w:r>
              <w:rPr>
                <w:color w:val="auto"/>
                <w:highlight w:val="none"/>
              </w:rPr>
              <w:t>声环境质量均满足《声环境质量标准》（GB 3096-2008）中1类标准要求。</w:t>
            </w:r>
          </w:p>
          <w:p>
            <w:pPr>
              <w:snapToGrid w:val="0"/>
              <w:spacing w:line="360" w:lineRule="auto"/>
              <w:ind w:firstLine="422" w:firstLineChars="200"/>
              <w:rPr>
                <w:b/>
                <w:color w:val="auto"/>
                <w:szCs w:val="21"/>
                <w:highlight w:val="none"/>
              </w:rPr>
            </w:pPr>
            <w:r>
              <w:rPr>
                <w:b/>
                <w:color w:val="auto"/>
                <w:szCs w:val="21"/>
                <w:highlight w:val="none"/>
              </w:rPr>
              <w:t>4、土壤、地下水环境现状</w:t>
            </w:r>
          </w:p>
          <w:p>
            <w:pPr>
              <w:autoSpaceDE w:val="0"/>
              <w:autoSpaceDN w:val="0"/>
              <w:adjustRightInd w:val="0"/>
              <w:snapToGrid w:val="0"/>
              <w:spacing w:line="360" w:lineRule="auto"/>
              <w:ind w:firstLine="420" w:firstLineChars="200"/>
              <w:jc w:val="left"/>
              <w:rPr>
                <w:bCs/>
                <w:color w:val="auto"/>
                <w:szCs w:val="21"/>
                <w:highlight w:val="none"/>
              </w:rPr>
            </w:pPr>
            <w:r>
              <w:rPr>
                <w:bCs/>
                <w:color w:val="auto"/>
                <w:szCs w:val="21"/>
                <w:highlight w:val="none"/>
              </w:rPr>
              <w:t>项目污水经厂区污水处理站处理后进入市政污水管网排入光大水务（淄博）有限公司</w:t>
            </w:r>
            <w:r>
              <w:rPr>
                <w:rFonts w:hint="eastAsia"/>
                <w:bCs/>
                <w:color w:val="auto"/>
                <w:szCs w:val="21"/>
                <w:highlight w:val="none"/>
                <w:lang w:eastAsia="zh-CN"/>
              </w:rPr>
              <w:t>一分厂</w:t>
            </w:r>
            <w:r>
              <w:rPr>
                <w:rFonts w:hint="eastAsia"/>
                <w:color w:val="auto"/>
                <w:highlight w:val="none"/>
                <w:lang w:val="en-US" w:eastAsia="zh-CN"/>
              </w:rPr>
              <w:t>深度</w:t>
            </w:r>
            <w:r>
              <w:rPr>
                <w:bCs/>
                <w:color w:val="auto"/>
                <w:szCs w:val="21"/>
                <w:highlight w:val="none"/>
              </w:rPr>
              <w:t>处理；项目</w:t>
            </w:r>
            <w:r>
              <w:rPr>
                <w:rFonts w:hint="eastAsia"/>
                <w:bCs/>
                <w:color w:val="auto"/>
                <w:szCs w:val="21"/>
                <w:highlight w:val="none"/>
                <w:lang w:val="en-US" w:eastAsia="zh-CN"/>
              </w:rPr>
              <w:t>污水管线、危废暂存间等</w:t>
            </w:r>
            <w:r>
              <w:rPr>
                <w:bCs/>
                <w:color w:val="auto"/>
                <w:szCs w:val="21"/>
                <w:highlight w:val="none"/>
              </w:rPr>
              <w:t>重点区域地面均进行了防渗防腐。项目正常运营情况下，不存在污染土壤及地下水环境的途径，故不开展地下水、土壤环境质量现状调查。</w:t>
            </w:r>
          </w:p>
          <w:p>
            <w:pPr>
              <w:autoSpaceDE w:val="0"/>
              <w:autoSpaceDN w:val="0"/>
              <w:adjustRightInd w:val="0"/>
              <w:snapToGrid w:val="0"/>
              <w:spacing w:line="360" w:lineRule="auto"/>
              <w:ind w:firstLine="422" w:firstLineChars="200"/>
              <w:jc w:val="left"/>
              <w:rPr>
                <w:b/>
                <w:bCs/>
                <w:color w:val="auto"/>
                <w:highlight w:val="none"/>
              </w:rPr>
            </w:pPr>
            <w:r>
              <w:rPr>
                <w:b/>
                <w:bCs/>
                <w:color w:val="auto"/>
                <w:highlight w:val="none"/>
              </w:rPr>
              <w:t>5、生态环境</w:t>
            </w:r>
          </w:p>
          <w:p>
            <w:pPr>
              <w:autoSpaceDE w:val="0"/>
              <w:autoSpaceDN w:val="0"/>
              <w:adjustRightInd w:val="0"/>
              <w:snapToGrid w:val="0"/>
              <w:spacing w:line="360" w:lineRule="auto"/>
              <w:ind w:firstLine="420" w:firstLineChars="200"/>
              <w:jc w:val="left"/>
              <w:rPr>
                <w:color w:val="auto"/>
                <w:highlight w:val="none"/>
              </w:rPr>
            </w:pPr>
            <w:r>
              <w:rPr>
                <w:color w:val="auto"/>
                <w:highlight w:val="none"/>
              </w:rPr>
              <w:t>项目位于</w:t>
            </w:r>
            <w:r>
              <w:rPr>
                <w:rFonts w:hint="eastAsia"/>
                <w:color w:val="auto"/>
                <w:highlight w:val="none"/>
                <w:lang w:eastAsia="zh-CN"/>
              </w:rPr>
              <w:t>淄博市张店区共青团路与原山大道交接处以东路北</w:t>
            </w:r>
            <w:r>
              <w:rPr>
                <w:color w:val="auto"/>
                <w:highlight w:val="none"/>
              </w:rPr>
              <w:t>，属于城区，该区域的自然生态已为人工生态代替，属于典型的城市生态系统，该生态系统以人为主体，几乎全是人工生态系统，其能量和物质运转均在人的控制下进行，居民所处的生物和非生物环境都已经过人工改造，具有人口、能量和物质容量大，密度高，流量大，运转快等特点。</w:t>
            </w:r>
          </w:p>
          <w:p>
            <w:pPr>
              <w:snapToGrid w:val="0"/>
              <w:spacing w:line="360" w:lineRule="auto"/>
              <w:ind w:firstLine="422" w:firstLineChars="200"/>
              <w:rPr>
                <w:b/>
                <w:color w:val="auto"/>
                <w:szCs w:val="21"/>
                <w:highlight w:val="none"/>
              </w:rPr>
            </w:pPr>
            <w:r>
              <w:rPr>
                <w:b/>
                <w:color w:val="auto"/>
                <w:szCs w:val="21"/>
                <w:highlight w:val="none"/>
              </w:rPr>
              <w:t>6、电磁辐射</w:t>
            </w:r>
          </w:p>
          <w:p>
            <w:pPr>
              <w:pStyle w:val="26"/>
              <w:spacing w:after="0" w:line="360" w:lineRule="auto"/>
              <w:ind w:left="0" w:leftChars="0"/>
              <w:rPr>
                <w:color w:val="auto"/>
                <w:sz w:val="21"/>
                <w:szCs w:val="21"/>
                <w:highlight w:val="none"/>
              </w:rPr>
            </w:pPr>
            <w:r>
              <w:rPr>
                <w:color w:val="auto"/>
                <w:sz w:val="21"/>
                <w:szCs w:val="21"/>
                <w:highlight w:val="none"/>
              </w:rPr>
              <w:t>本项目涉及的辐射设备，需要由建设单位另行委托有资质的单位进行环境影响评价， 故本项目不再单独对电磁辐射进行评价。</w:t>
            </w:r>
          </w:p>
          <w:p>
            <w:pPr>
              <w:pStyle w:val="26"/>
              <w:spacing w:after="0" w:line="360" w:lineRule="auto"/>
              <w:ind w:left="0" w:leftChars="0"/>
              <w:rPr>
                <w:color w:val="auto"/>
                <w:sz w:val="21"/>
                <w:szCs w:val="21"/>
                <w:highlight w:val="none"/>
              </w:rPr>
            </w:pPr>
          </w:p>
          <w:p>
            <w:pPr>
              <w:pStyle w:val="26"/>
              <w:spacing w:after="0" w:line="360" w:lineRule="auto"/>
              <w:ind w:left="0" w:leftChars="0"/>
              <w:rPr>
                <w:color w:val="auto"/>
                <w:sz w:val="21"/>
                <w:szCs w:val="21"/>
                <w:highlight w:val="none"/>
              </w:rPr>
            </w:pPr>
          </w:p>
          <w:p>
            <w:pPr>
              <w:pStyle w:val="26"/>
              <w:spacing w:after="0" w:line="360" w:lineRule="auto"/>
              <w:ind w:left="0" w:leftChars="0"/>
              <w:rPr>
                <w:color w:val="auto"/>
                <w:sz w:val="21"/>
                <w:szCs w:val="21"/>
                <w:highlight w:val="none"/>
              </w:rPr>
            </w:pPr>
          </w:p>
          <w:p>
            <w:pPr>
              <w:pStyle w:val="26"/>
              <w:spacing w:after="0" w:line="360" w:lineRule="auto"/>
              <w:ind w:left="0" w:leftChars="0"/>
              <w:rPr>
                <w:color w:val="auto"/>
                <w:sz w:val="21"/>
                <w:szCs w:val="21"/>
                <w:highlight w:val="none"/>
              </w:rPr>
            </w:pPr>
          </w:p>
          <w:p>
            <w:pPr>
              <w:pStyle w:val="26"/>
              <w:spacing w:after="0" w:line="360" w:lineRule="auto"/>
              <w:ind w:left="0" w:leftChars="0"/>
              <w:rPr>
                <w:color w:val="auto"/>
                <w:sz w:val="21"/>
                <w:szCs w:val="21"/>
                <w:highlight w:val="none"/>
              </w:rPr>
            </w:pPr>
          </w:p>
          <w:p>
            <w:pPr>
              <w:pStyle w:val="26"/>
              <w:spacing w:after="0" w:line="360" w:lineRule="auto"/>
              <w:ind w:left="0" w:leftChars="0"/>
              <w:rPr>
                <w:color w:val="auto"/>
                <w:sz w:val="21"/>
                <w:szCs w:val="21"/>
                <w:highlight w:val="none"/>
              </w:rPr>
            </w:pPr>
          </w:p>
          <w:p>
            <w:pPr>
              <w:pStyle w:val="26"/>
              <w:spacing w:after="0" w:line="360" w:lineRule="auto"/>
              <w:ind w:left="0" w:leftChars="0"/>
              <w:rPr>
                <w:color w:val="auto"/>
                <w:sz w:val="21"/>
                <w:szCs w:val="21"/>
                <w:highlight w:val="none"/>
              </w:rPr>
            </w:pPr>
          </w:p>
          <w:p>
            <w:pPr>
              <w:pStyle w:val="26"/>
              <w:spacing w:after="0" w:line="360" w:lineRule="auto"/>
              <w:ind w:left="0" w:leftChars="0"/>
              <w:rPr>
                <w:color w:val="auto"/>
                <w:sz w:val="21"/>
                <w:szCs w:val="21"/>
                <w:highlight w:val="none"/>
              </w:rPr>
            </w:pPr>
          </w:p>
          <w:p>
            <w:pPr>
              <w:pStyle w:val="26"/>
              <w:spacing w:after="0" w:line="360" w:lineRule="auto"/>
              <w:ind w:left="0" w:leftChars="0"/>
              <w:rPr>
                <w:color w:val="auto"/>
                <w:sz w:val="21"/>
                <w:szCs w:val="21"/>
                <w:highlight w:val="none"/>
              </w:rPr>
            </w:pPr>
          </w:p>
          <w:p>
            <w:pPr>
              <w:pStyle w:val="26"/>
              <w:spacing w:after="0" w:line="360" w:lineRule="auto"/>
              <w:ind w:left="0" w:leftChars="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6" w:hRule="atLeast"/>
          <w:jc w:val="center"/>
        </w:trPr>
        <w:tc>
          <w:tcPr>
            <w:tcW w:w="438" w:type="dxa"/>
            <w:vAlign w:val="center"/>
          </w:tcPr>
          <w:p>
            <w:pPr>
              <w:adjustRightInd w:val="0"/>
              <w:snapToGrid w:val="0"/>
              <w:jc w:val="center"/>
              <w:rPr>
                <w:color w:val="auto"/>
                <w:kern w:val="0"/>
                <w:szCs w:val="21"/>
                <w:highlight w:val="none"/>
              </w:rPr>
            </w:pPr>
            <w:r>
              <w:rPr>
                <w:color w:val="auto"/>
                <w:kern w:val="0"/>
                <w:szCs w:val="21"/>
                <w:highlight w:val="none"/>
              </w:rPr>
              <w:t>环境</w:t>
            </w:r>
          </w:p>
          <w:p>
            <w:pPr>
              <w:adjustRightInd w:val="0"/>
              <w:snapToGrid w:val="0"/>
              <w:jc w:val="center"/>
              <w:rPr>
                <w:color w:val="auto"/>
                <w:kern w:val="0"/>
                <w:szCs w:val="21"/>
                <w:highlight w:val="none"/>
              </w:rPr>
            </w:pPr>
            <w:r>
              <w:rPr>
                <w:color w:val="auto"/>
                <w:kern w:val="0"/>
                <w:szCs w:val="21"/>
                <w:highlight w:val="none"/>
              </w:rPr>
              <w:t>保护</w:t>
            </w:r>
          </w:p>
          <w:p>
            <w:pPr>
              <w:adjustRightInd w:val="0"/>
              <w:snapToGrid w:val="0"/>
              <w:jc w:val="center"/>
              <w:rPr>
                <w:color w:val="auto"/>
                <w:kern w:val="0"/>
                <w:szCs w:val="21"/>
                <w:highlight w:val="none"/>
              </w:rPr>
            </w:pPr>
            <w:r>
              <w:rPr>
                <w:color w:val="auto"/>
                <w:kern w:val="0"/>
                <w:szCs w:val="21"/>
                <w:highlight w:val="none"/>
              </w:rPr>
              <w:t>目标</w:t>
            </w:r>
          </w:p>
        </w:tc>
        <w:tc>
          <w:tcPr>
            <w:tcW w:w="8552" w:type="dxa"/>
            <w:vAlign w:val="center"/>
          </w:tcPr>
          <w:p>
            <w:pPr>
              <w:pStyle w:val="26"/>
              <w:spacing w:after="0" w:line="360" w:lineRule="auto"/>
              <w:ind w:left="0" w:leftChars="0"/>
              <w:rPr>
                <w:color w:val="auto"/>
                <w:sz w:val="21"/>
                <w:szCs w:val="21"/>
                <w:highlight w:val="none"/>
              </w:rPr>
            </w:pPr>
            <w:r>
              <w:rPr>
                <w:color w:val="auto"/>
                <w:sz w:val="21"/>
                <w:szCs w:val="21"/>
                <w:highlight w:val="none"/>
              </w:rPr>
              <w:t>本项目环境保护目标见表3-3及附图3。</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表3-3  主要环境保护目标一览表</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9"/>
              <w:gridCol w:w="1531"/>
              <w:gridCol w:w="1214"/>
              <w:gridCol w:w="1214"/>
              <w:gridCol w:w="3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auto"/>
                      <w:sz w:val="18"/>
                      <w:szCs w:val="18"/>
                      <w:highlight w:val="none"/>
                    </w:rPr>
                  </w:pPr>
                  <w:r>
                    <w:rPr>
                      <w:color w:val="auto"/>
                      <w:sz w:val="18"/>
                      <w:szCs w:val="18"/>
                      <w:highlight w:val="none"/>
                    </w:rPr>
                    <w:t>影响要素</w:t>
                  </w:r>
                </w:p>
              </w:tc>
              <w:tc>
                <w:tcPr>
                  <w:tcW w:w="1531" w:type="dxa"/>
                  <w:vAlign w:val="center"/>
                </w:tcPr>
                <w:p>
                  <w:pPr>
                    <w:jc w:val="center"/>
                    <w:rPr>
                      <w:color w:val="auto"/>
                      <w:sz w:val="18"/>
                      <w:szCs w:val="18"/>
                      <w:highlight w:val="none"/>
                    </w:rPr>
                  </w:pPr>
                  <w:r>
                    <w:rPr>
                      <w:color w:val="auto"/>
                      <w:sz w:val="18"/>
                      <w:szCs w:val="18"/>
                      <w:highlight w:val="none"/>
                    </w:rPr>
                    <w:t>保护目标</w:t>
                  </w:r>
                </w:p>
              </w:tc>
              <w:tc>
                <w:tcPr>
                  <w:tcW w:w="1214" w:type="dxa"/>
                  <w:vAlign w:val="center"/>
                </w:tcPr>
                <w:p>
                  <w:pPr>
                    <w:jc w:val="center"/>
                    <w:rPr>
                      <w:color w:val="auto"/>
                      <w:sz w:val="18"/>
                      <w:szCs w:val="18"/>
                      <w:highlight w:val="none"/>
                    </w:rPr>
                  </w:pPr>
                  <w:r>
                    <w:rPr>
                      <w:color w:val="auto"/>
                      <w:sz w:val="18"/>
                      <w:szCs w:val="18"/>
                      <w:highlight w:val="none"/>
                    </w:rPr>
                    <w:t>距厂界方位</w:t>
                  </w:r>
                </w:p>
              </w:tc>
              <w:tc>
                <w:tcPr>
                  <w:tcW w:w="1214" w:type="dxa"/>
                  <w:vAlign w:val="center"/>
                </w:tcPr>
                <w:p>
                  <w:pPr>
                    <w:jc w:val="center"/>
                    <w:rPr>
                      <w:color w:val="auto"/>
                      <w:sz w:val="18"/>
                      <w:szCs w:val="18"/>
                      <w:highlight w:val="none"/>
                    </w:rPr>
                  </w:pPr>
                  <w:r>
                    <w:rPr>
                      <w:color w:val="auto"/>
                      <w:sz w:val="18"/>
                      <w:szCs w:val="18"/>
                      <w:highlight w:val="none"/>
                    </w:rPr>
                    <w:t>距离（m）</w:t>
                  </w:r>
                </w:p>
              </w:tc>
              <w:tc>
                <w:tcPr>
                  <w:tcW w:w="3055" w:type="dxa"/>
                  <w:vAlign w:val="center"/>
                </w:tcPr>
                <w:p>
                  <w:pPr>
                    <w:jc w:val="center"/>
                    <w:rPr>
                      <w:color w:val="auto"/>
                      <w:sz w:val="18"/>
                      <w:szCs w:val="18"/>
                      <w:highlight w:val="none"/>
                    </w:rPr>
                  </w:pPr>
                  <w:r>
                    <w:rPr>
                      <w:color w:val="auto"/>
                      <w:sz w:val="18"/>
                      <w:szCs w:val="18"/>
                      <w:highlight w:val="none"/>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restart"/>
                  <w:vAlign w:val="center"/>
                </w:tcPr>
                <w:p>
                  <w:pPr>
                    <w:jc w:val="center"/>
                    <w:rPr>
                      <w:color w:val="auto"/>
                      <w:sz w:val="18"/>
                      <w:szCs w:val="18"/>
                      <w:highlight w:val="none"/>
                    </w:rPr>
                  </w:pPr>
                  <w:r>
                    <w:rPr>
                      <w:color w:val="auto"/>
                      <w:sz w:val="18"/>
                      <w:szCs w:val="18"/>
                      <w:highlight w:val="none"/>
                    </w:rPr>
                    <w:t>大气</w:t>
                  </w:r>
                </w:p>
                <w:p>
                  <w:pPr>
                    <w:jc w:val="center"/>
                    <w:rPr>
                      <w:color w:val="auto"/>
                      <w:sz w:val="18"/>
                      <w:szCs w:val="18"/>
                      <w:highlight w:val="none"/>
                    </w:rPr>
                  </w:pPr>
                  <w:r>
                    <w:rPr>
                      <w:color w:val="auto"/>
                      <w:sz w:val="18"/>
                      <w:szCs w:val="18"/>
                      <w:highlight w:val="none"/>
                    </w:rPr>
                    <w:t>环境</w:t>
                  </w:r>
                </w:p>
              </w:tc>
              <w:tc>
                <w:tcPr>
                  <w:tcW w:w="1531"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鸿泰吉祥苑</w:t>
                  </w:r>
                </w:p>
              </w:tc>
              <w:tc>
                <w:tcPr>
                  <w:tcW w:w="1214" w:type="dxa"/>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E</w:t>
                  </w:r>
                </w:p>
              </w:tc>
              <w:tc>
                <w:tcPr>
                  <w:tcW w:w="1214" w:type="dxa"/>
                  <w:vAlign w:val="center"/>
                </w:tcPr>
                <w:p>
                  <w:pPr>
                    <w:jc w:val="center"/>
                    <w:rPr>
                      <w:color w:val="auto"/>
                      <w:sz w:val="18"/>
                      <w:szCs w:val="18"/>
                      <w:highlight w:val="none"/>
                    </w:rPr>
                  </w:pPr>
                  <w:r>
                    <w:rPr>
                      <w:color w:val="auto"/>
                      <w:sz w:val="18"/>
                      <w:szCs w:val="18"/>
                      <w:highlight w:val="none"/>
                    </w:rPr>
                    <w:t>紧邻</w:t>
                  </w:r>
                </w:p>
              </w:tc>
              <w:tc>
                <w:tcPr>
                  <w:tcW w:w="3055" w:type="dxa"/>
                  <w:vMerge w:val="restart"/>
                  <w:vAlign w:val="center"/>
                </w:tcPr>
                <w:p>
                  <w:pPr>
                    <w:jc w:val="center"/>
                    <w:rPr>
                      <w:color w:val="auto"/>
                      <w:sz w:val="18"/>
                      <w:szCs w:val="18"/>
                      <w:highlight w:val="none"/>
                    </w:rPr>
                  </w:pPr>
                  <w:r>
                    <w:rPr>
                      <w:color w:val="auto"/>
                      <w:sz w:val="18"/>
                      <w:szCs w:val="18"/>
                      <w:highlight w:val="none"/>
                    </w:rPr>
                    <w:t>《环境空气质量标准》（GB3095-2012）中二级标准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auto"/>
                      <w:sz w:val="18"/>
                      <w:szCs w:val="18"/>
                      <w:highlight w:val="none"/>
                    </w:rPr>
                  </w:pPr>
                </w:p>
              </w:tc>
              <w:tc>
                <w:tcPr>
                  <w:tcW w:w="1531"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大套村</w:t>
                  </w:r>
                </w:p>
              </w:tc>
              <w:tc>
                <w:tcPr>
                  <w:tcW w:w="1214" w:type="dxa"/>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S</w:t>
                  </w:r>
                </w:p>
              </w:tc>
              <w:tc>
                <w:tcPr>
                  <w:tcW w:w="1214"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110</w:t>
                  </w:r>
                </w:p>
              </w:tc>
              <w:tc>
                <w:tcPr>
                  <w:tcW w:w="3055" w:type="dxa"/>
                  <w:vMerge w:val="continue"/>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auto"/>
                      <w:sz w:val="18"/>
                      <w:szCs w:val="18"/>
                      <w:highlight w:val="none"/>
                    </w:rPr>
                  </w:pPr>
                </w:p>
              </w:tc>
              <w:tc>
                <w:tcPr>
                  <w:tcW w:w="1531"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台头村</w:t>
                  </w:r>
                </w:p>
              </w:tc>
              <w:tc>
                <w:tcPr>
                  <w:tcW w:w="1214"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SSE</w:t>
                  </w:r>
                </w:p>
              </w:tc>
              <w:tc>
                <w:tcPr>
                  <w:tcW w:w="1214"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210</w:t>
                  </w:r>
                </w:p>
              </w:tc>
              <w:tc>
                <w:tcPr>
                  <w:tcW w:w="3055" w:type="dxa"/>
                  <w:vMerge w:val="continue"/>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auto"/>
                      <w:sz w:val="18"/>
                      <w:szCs w:val="18"/>
                      <w:highlight w:val="none"/>
                    </w:rPr>
                  </w:pPr>
                </w:p>
              </w:tc>
              <w:tc>
                <w:tcPr>
                  <w:tcW w:w="1531" w:type="dxa"/>
                  <w:vAlign w:val="center"/>
                </w:tcPr>
                <w:p>
                  <w:pPr>
                    <w:jc w:val="center"/>
                    <w:rPr>
                      <w:rFonts w:hint="eastAsia" w:eastAsia="宋体"/>
                      <w:color w:val="auto"/>
                      <w:sz w:val="18"/>
                      <w:szCs w:val="18"/>
                      <w:highlight w:val="none"/>
                      <w:lang w:eastAsia="zh-CN"/>
                    </w:rPr>
                  </w:pPr>
                  <w:r>
                    <w:rPr>
                      <w:rFonts w:hint="eastAsia"/>
                      <w:color w:val="auto"/>
                      <w:sz w:val="18"/>
                      <w:szCs w:val="18"/>
                      <w:highlight w:val="none"/>
                      <w:lang w:val="en-US" w:eastAsia="zh-CN"/>
                    </w:rPr>
                    <w:t>高南村</w:t>
                  </w:r>
                </w:p>
              </w:tc>
              <w:tc>
                <w:tcPr>
                  <w:tcW w:w="1214" w:type="dxa"/>
                  <w:vAlign w:val="center"/>
                </w:tcPr>
                <w:p>
                  <w:pPr>
                    <w:jc w:val="center"/>
                    <w:rPr>
                      <w:color w:val="auto"/>
                      <w:sz w:val="18"/>
                      <w:szCs w:val="18"/>
                      <w:highlight w:val="none"/>
                    </w:rPr>
                  </w:pPr>
                  <w:r>
                    <w:rPr>
                      <w:color w:val="auto"/>
                      <w:sz w:val="18"/>
                      <w:szCs w:val="18"/>
                      <w:highlight w:val="none"/>
                    </w:rPr>
                    <w:t>NE</w:t>
                  </w:r>
                </w:p>
              </w:tc>
              <w:tc>
                <w:tcPr>
                  <w:tcW w:w="1214"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490</w:t>
                  </w:r>
                </w:p>
              </w:tc>
              <w:tc>
                <w:tcPr>
                  <w:tcW w:w="3055" w:type="dxa"/>
                  <w:vMerge w:val="continue"/>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Merge w:val="continue"/>
                  <w:vAlign w:val="center"/>
                </w:tcPr>
                <w:p>
                  <w:pPr>
                    <w:jc w:val="center"/>
                    <w:rPr>
                      <w:color w:val="auto"/>
                      <w:sz w:val="18"/>
                      <w:szCs w:val="18"/>
                      <w:highlight w:val="none"/>
                    </w:rPr>
                  </w:pPr>
                </w:p>
              </w:tc>
              <w:tc>
                <w:tcPr>
                  <w:tcW w:w="1531"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稷下实验学校（在建）</w:t>
                  </w:r>
                </w:p>
              </w:tc>
              <w:tc>
                <w:tcPr>
                  <w:tcW w:w="1214" w:type="dxa"/>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N</w:t>
                  </w:r>
                </w:p>
              </w:tc>
              <w:tc>
                <w:tcPr>
                  <w:tcW w:w="1214"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130</w:t>
                  </w:r>
                </w:p>
              </w:tc>
              <w:tc>
                <w:tcPr>
                  <w:tcW w:w="3055" w:type="dxa"/>
                  <w:vMerge w:val="continue"/>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auto"/>
                      <w:sz w:val="18"/>
                      <w:szCs w:val="18"/>
                      <w:highlight w:val="none"/>
                    </w:rPr>
                  </w:pPr>
                  <w:r>
                    <w:rPr>
                      <w:color w:val="auto"/>
                      <w:sz w:val="18"/>
                      <w:szCs w:val="18"/>
                      <w:highlight w:val="none"/>
                    </w:rPr>
                    <w:t>声环境</w:t>
                  </w:r>
                </w:p>
              </w:tc>
              <w:tc>
                <w:tcPr>
                  <w:tcW w:w="1531" w:type="dxa"/>
                  <w:vAlign w:val="center"/>
                </w:tcPr>
                <w:p>
                  <w:pPr>
                    <w:jc w:val="center"/>
                    <w:rPr>
                      <w:color w:val="auto"/>
                      <w:sz w:val="18"/>
                      <w:szCs w:val="18"/>
                      <w:highlight w:val="none"/>
                    </w:rPr>
                  </w:pPr>
                  <w:r>
                    <w:rPr>
                      <w:rFonts w:hint="eastAsia"/>
                      <w:color w:val="auto"/>
                      <w:sz w:val="18"/>
                      <w:szCs w:val="18"/>
                      <w:highlight w:val="none"/>
                      <w:lang w:val="en-US" w:eastAsia="zh-CN"/>
                    </w:rPr>
                    <w:t>鸿泰吉祥苑</w:t>
                  </w:r>
                </w:p>
              </w:tc>
              <w:tc>
                <w:tcPr>
                  <w:tcW w:w="1214" w:type="dxa"/>
                  <w:vAlign w:val="center"/>
                </w:tcPr>
                <w:p>
                  <w:pPr>
                    <w:jc w:val="center"/>
                    <w:rPr>
                      <w:color w:val="auto"/>
                      <w:sz w:val="18"/>
                      <w:szCs w:val="18"/>
                      <w:highlight w:val="none"/>
                    </w:rPr>
                  </w:pPr>
                  <w:r>
                    <w:rPr>
                      <w:rFonts w:hint="eastAsia"/>
                      <w:color w:val="auto"/>
                      <w:sz w:val="18"/>
                      <w:szCs w:val="18"/>
                      <w:highlight w:val="none"/>
                      <w:lang w:val="en-US" w:eastAsia="zh-CN"/>
                    </w:rPr>
                    <w:t>E</w:t>
                  </w:r>
                </w:p>
              </w:tc>
              <w:tc>
                <w:tcPr>
                  <w:tcW w:w="1214" w:type="dxa"/>
                  <w:vAlign w:val="center"/>
                </w:tcPr>
                <w:p>
                  <w:pPr>
                    <w:jc w:val="center"/>
                    <w:rPr>
                      <w:color w:val="auto"/>
                      <w:sz w:val="18"/>
                      <w:szCs w:val="18"/>
                      <w:highlight w:val="none"/>
                    </w:rPr>
                  </w:pPr>
                  <w:r>
                    <w:rPr>
                      <w:color w:val="auto"/>
                      <w:sz w:val="18"/>
                      <w:szCs w:val="18"/>
                      <w:highlight w:val="none"/>
                    </w:rPr>
                    <w:t>紧邻</w:t>
                  </w:r>
                </w:p>
              </w:tc>
              <w:tc>
                <w:tcPr>
                  <w:tcW w:w="3055" w:type="dxa"/>
                  <w:vAlign w:val="center"/>
                </w:tcPr>
                <w:p>
                  <w:pPr>
                    <w:jc w:val="center"/>
                    <w:rPr>
                      <w:color w:val="auto"/>
                      <w:sz w:val="18"/>
                      <w:szCs w:val="18"/>
                      <w:highlight w:val="none"/>
                    </w:rPr>
                  </w:pPr>
                  <w:r>
                    <w:rPr>
                      <w:color w:val="auto"/>
                      <w:sz w:val="18"/>
                      <w:szCs w:val="18"/>
                      <w:highlight w:val="none"/>
                    </w:rPr>
                    <w:t>《声环境质量标准》1类标准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auto"/>
                      <w:sz w:val="18"/>
                      <w:szCs w:val="18"/>
                      <w:highlight w:val="none"/>
                    </w:rPr>
                  </w:pPr>
                  <w:r>
                    <w:rPr>
                      <w:color w:val="auto"/>
                      <w:sz w:val="18"/>
                      <w:szCs w:val="18"/>
                      <w:highlight w:val="none"/>
                    </w:rPr>
                    <w:t>地表水</w:t>
                  </w:r>
                </w:p>
                <w:p>
                  <w:pPr>
                    <w:jc w:val="center"/>
                    <w:rPr>
                      <w:color w:val="auto"/>
                      <w:sz w:val="18"/>
                      <w:szCs w:val="18"/>
                      <w:highlight w:val="none"/>
                    </w:rPr>
                  </w:pPr>
                  <w:r>
                    <w:rPr>
                      <w:color w:val="auto"/>
                      <w:sz w:val="18"/>
                      <w:szCs w:val="18"/>
                      <w:highlight w:val="none"/>
                    </w:rPr>
                    <w:t>环境</w:t>
                  </w:r>
                </w:p>
              </w:tc>
              <w:tc>
                <w:tcPr>
                  <w:tcW w:w="1531"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孝妇河</w:t>
                  </w:r>
                </w:p>
              </w:tc>
              <w:tc>
                <w:tcPr>
                  <w:tcW w:w="1214" w:type="dxa"/>
                  <w:vAlign w:val="center"/>
                </w:tcPr>
                <w:p>
                  <w:pPr>
                    <w:jc w:val="center"/>
                    <w:rPr>
                      <w:rFonts w:hint="eastAsia" w:eastAsia="宋体"/>
                      <w:color w:val="auto"/>
                      <w:sz w:val="18"/>
                      <w:szCs w:val="18"/>
                      <w:highlight w:val="none"/>
                      <w:lang w:eastAsia="zh-CN"/>
                    </w:rPr>
                  </w:pPr>
                  <w:r>
                    <w:rPr>
                      <w:rFonts w:hint="eastAsia"/>
                      <w:color w:val="auto"/>
                      <w:sz w:val="18"/>
                      <w:szCs w:val="18"/>
                      <w:highlight w:val="none"/>
                      <w:lang w:val="en-US" w:eastAsia="zh-CN"/>
                    </w:rPr>
                    <w:t>S</w:t>
                  </w:r>
                </w:p>
              </w:tc>
              <w:tc>
                <w:tcPr>
                  <w:tcW w:w="1214"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1070</w:t>
                  </w:r>
                </w:p>
              </w:tc>
              <w:tc>
                <w:tcPr>
                  <w:tcW w:w="3055" w:type="dxa"/>
                  <w:vAlign w:val="center"/>
                </w:tcPr>
                <w:p>
                  <w:pPr>
                    <w:jc w:val="center"/>
                    <w:rPr>
                      <w:color w:val="auto"/>
                      <w:sz w:val="18"/>
                      <w:szCs w:val="18"/>
                      <w:highlight w:val="none"/>
                    </w:rPr>
                  </w:pPr>
                  <w:r>
                    <w:rPr>
                      <w:color w:val="auto"/>
                      <w:sz w:val="18"/>
                      <w:szCs w:val="18"/>
                      <w:highlight w:val="none"/>
                    </w:rPr>
                    <w:t>《地表水环境质量标准》（GB3838-2002）</w:t>
                  </w:r>
                  <w:r>
                    <w:rPr>
                      <w:rFonts w:hint="eastAsia"/>
                      <w:color w:val="auto"/>
                      <w:sz w:val="18"/>
                      <w:szCs w:val="18"/>
                      <w:highlight w:val="none"/>
                    </w:rPr>
                    <w:t>Ⅴ</w:t>
                  </w:r>
                  <w:r>
                    <w:rPr>
                      <w:color w:val="auto"/>
                      <w:sz w:val="18"/>
                      <w:szCs w:val="18"/>
                      <w:highlight w:val="none"/>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auto"/>
                      <w:sz w:val="18"/>
                      <w:szCs w:val="18"/>
                      <w:highlight w:val="none"/>
                    </w:rPr>
                  </w:pPr>
                  <w:r>
                    <w:rPr>
                      <w:color w:val="auto"/>
                      <w:sz w:val="18"/>
                      <w:szCs w:val="18"/>
                      <w:highlight w:val="none"/>
                    </w:rPr>
                    <w:t>地下水</w:t>
                  </w:r>
                </w:p>
                <w:p>
                  <w:pPr>
                    <w:jc w:val="center"/>
                    <w:rPr>
                      <w:color w:val="auto"/>
                      <w:sz w:val="18"/>
                      <w:szCs w:val="18"/>
                      <w:highlight w:val="none"/>
                    </w:rPr>
                  </w:pPr>
                  <w:r>
                    <w:rPr>
                      <w:color w:val="auto"/>
                      <w:sz w:val="18"/>
                      <w:szCs w:val="18"/>
                      <w:highlight w:val="none"/>
                    </w:rPr>
                    <w:t>环境</w:t>
                  </w:r>
                </w:p>
              </w:tc>
              <w:tc>
                <w:tcPr>
                  <w:tcW w:w="1531" w:type="dxa"/>
                  <w:vAlign w:val="center"/>
                </w:tcPr>
                <w:p>
                  <w:pPr>
                    <w:jc w:val="center"/>
                    <w:rPr>
                      <w:color w:val="auto"/>
                      <w:sz w:val="18"/>
                      <w:szCs w:val="18"/>
                      <w:highlight w:val="none"/>
                    </w:rPr>
                  </w:pPr>
                  <w:r>
                    <w:rPr>
                      <w:color w:val="auto"/>
                      <w:sz w:val="18"/>
                      <w:szCs w:val="18"/>
                      <w:highlight w:val="none"/>
                    </w:rPr>
                    <w:t>地下水</w:t>
                  </w:r>
                </w:p>
              </w:tc>
              <w:tc>
                <w:tcPr>
                  <w:tcW w:w="2428" w:type="dxa"/>
                  <w:gridSpan w:val="2"/>
                  <w:vAlign w:val="center"/>
                </w:tcPr>
                <w:p>
                  <w:pPr>
                    <w:jc w:val="center"/>
                    <w:rPr>
                      <w:color w:val="auto"/>
                      <w:sz w:val="18"/>
                      <w:szCs w:val="18"/>
                      <w:highlight w:val="none"/>
                    </w:rPr>
                  </w:pPr>
                  <w:r>
                    <w:rPr>
                      <w:color w:val="auto"/>
                      <w:sz w:val="18"/>
                      <w:szCs w:val="18"/>
                      <w:highlight w:val="none"/>
                    </w:rPr>
                    <w:t>项目500米内无特殊地下水资源</w:t>
                  </w:r>
                </w:p>
              </w:tc>
              <w:tc>
                <w:tcPr>
                  <w:tcW w:w="3055" w:type="dxa"/>
                  <w:vAlign w:val="center"/>
                </w:tcPr>
                <w:p>
                  <w:pPr>
                    <w:jc w:val="center"/>
                    <w:rPr>
                      <w:color w:val="auto"/>
                      <w:sz w:val="18"/>
                      <w:szCs w:val="18"/>
                      <w:highlight w:val="none"/>
                    </w:rPr>
                  </w:pPr>
                  <w:r>
                    <w:rPr>
                      <w:color w:val="auto"/>
                      <w:sz w:val="18"/>
                      <w:szCs w:val="18"/>
                      <w:highlight w:val="none"/>
                    </w:rPr>
                    <w:t>《地下水质量标准》（GB/T14848-2017）Ⅲ类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309" w:type="dxa"/>
                  <w:vAlign w:val="center"/>
                </w:tcPr>
                <w:p>
                  <w:pPr>
                    <w:jc w:val="center"/>
                    <w:rPr>
                      <w:color w:val="auto"/>
                      <w:sz w:val="18"/>
                      <w:szCs w:val="18"/>
                      <w:highlight w:val="none"/>
                    </w:rPr>
                  </w:pPr>
                  <w:r>
                    <w:rPr>
                      <w:color w:val="auto"/>
                      <w:sz w:val="18"/>
                      <w:szCs w:val="18"/>
                      <w:highlight w:val="none"/>
                    </w:rPr>
                    <w:t>生态环境</w:t>
                  </w:r>
                </w:p>
              </w:tc>
              <w:tc>
                <w:tcPr>
                  <w:tcW w:w="7014" w:type="dxa"/>
                  <w:gridSpan w:val="4"/>
                  <w:vAlign w:val="center"/>
                </w:tcPr>
                <w:p>
                  <w:pPr>
                    <w:jc w:val="center"/>
                    <w:rPr>
                      <w:color w:val="auto"/>
                      <w:sz w:val="18"/>
                      <w:szCs w:val="18"/>
                      <w:highlight w:val="none"/>
                    </w:rPr>
                  </w:pPr>
                  <w:r>
                    <w:rPr>
                      <w:color w:val="auto"/>
                      <w:sz w:val="18"/>
                      <w:szCs w:val="18"/>
                      <w:highlight w:val="none"/>
                    </w:rPr>
                    <w:t>项目不涉及</w:t>
                  </w:r>
                </w:p>
              </w:tc>
            </w:tr>
          </w:tbl>
          <w:p>
            <w:pPr>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438" w:type="dxa"/>
            <w:tcMar>
              <w:left w:w="28" w:type="dxa"/>
              <w:right w:w="28" w:type="dxa"/>
            </w:tcMar>
            <w:vAlign w:val="center"/>
          </w:tcPr>
          <w:p>
            <w:pPr>
              <w:adjustRightInd w:val="0"/>
              <w:snapToGrid w:val="0"/>
              <w:jc w:val="center"/>
              <w:rPr>
                <w:color w:val="auto"/>
                <w:kern w:val="0"/>
                <w:szCs w:val="21"/>
                <w:highlight w:val="none"/>
              </w:rPr>
            </w:pPr>
            <w:r>
              <w:rPr>
                <w:color w:val="auto"/>
                <w:kern w:val="0"/>
                <w:szCs w:val="21"/>
                <w:highlight w:val="none"/>
              </w:rPr>
              <w:t>污染</w:t>
            </w:r>
          </w:p>
          <w:p>
            <w:pPr>
              <w:adjustRightInd w:val="0"/>
              <w:snapToGrid w:val="0"/>
              <w:jc w:val="center"/>
              <w:rPr>
                <w:color w:val="auto"/>
                <w:kern w:val="0"/>
                <w:szCs w:val="21"/>
                <w:highlight w:val="none"/>
              </w:rPr>
            </w:pPr>
            <w:r>
              <w:rPr>
                <w:color w:val="auto"/>
                <w:kern w:val="0"/>
                <w:szCs w:val="21"/>
                <w:highlight w:val="none"/>
              </w:rPr>
              <w:t>物排</w:t>
            </w:r>
          </w:p>
          <w:p>
            <w:pPr>
              <w:adjustRightInd w:val="0"/>
              <w:snapToGrid w:val="0"/>
              <w:jc w:val="center"/>
              <w:rPr>
                <w:color w:val="auto"/>
                <w:kern w:val="0"/>
                <w:szCs w:val="21"/>
                <w:highlight w:val="none"/>
              </w:rPr>
            </w:pPr>
            <w:r>
              <w:rPr>
                <w:color w:val="auto"/>
                <w:kern w:val="0"/>
                <w:szCs w:val="21"/>
                <w:highlight w:val="none"/>
              </w:rPr>
              <w:t>放控</w:t>
            </w:r>
          </w:p>
          <w:p>
            <w:pPr>
              <w:adjustRightInd w:val="0"/>
              <w:snapToGrid w:val="0"/>
              <w:jc w:val="center"/>
              <w:rPr>
                <w:color w:val="auto"/>
                <w:kern w:val="0"/>
                <w:szCs w:val="21"/>
                <w:highlight w:val="none"/>
              </w:rPr>
            </w:pPr>
            <w:r>
              <w:rPr>
                <w:color w:val="auto"/>
                <w:kern w:val="0"/>
                <w:szCs w:val="21"/>
                <w:highlight w:val="none"/>
              </w:rPr>
              <w:t>制标</w:t>
            </w:r>
          </w:p>
          <w:p>
            <w:pPr>
              <w:adjustRightInd w:val="0"/>
              <w:snapToGrid w:val="0"/>
              <w:jc w:val="center"/>
              <w:rPr>
                <w:color w:val="auto"/>
                <w:kern w:val="0"/>
                <w:szCs w:val="21"/>
                <w:highlight w:val="none"/>
              </w:rPr>
            </w:pPr>
            <w:r>
              <w:rPr>
                <w:color w:val="auto"/>
                <w:kern w:val="0"/>
                <w:szCs w:val="21"/>
                <w:highlight w:val="none"/>
              </w:rPr>
              <w:t>准</w:t>
            </w:r>
          </w:p>
        </w:tc>
        <w:tc>
          <w:tcPr>
            <w:tcW w:w="8552" w:type="dxa"/>
            <w:vAlign w:val="center"/>
          </w:tcPr>
          <w:p>
            <w:pPr>
              <w:spacing w:line="360" w:lineRule="auto"/>
              <w:ind w:firstLine="420" w:firstLineChars="200"/>
              <w:rPr>
                <w:color w:val="auto"/>
                <w:highlight w:val="none"/>
              </w:rPr>
            </w:pPr>
            <w:r>
              <w:rPr>
                <w:color w:val="auto"/>
                <w:highlight w:val="none"/>
              </w:rPr>
              <w:t>1、废气</w:t>
            </w:r>
          </w:p>
          <w:p>
            <w:pPr>
              <w:spacing w:line="360" w:lineRule="auto"/>
              <w:ind w:firstLine="42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w:t>
            </w:r>
            <w:r>
              <w:rPr>
                <w:rFonts w:ascii="Times New Roman" w:hAnsi="Times New Roman" w:cs="Times New Roman"/>
                <w:color w:val="auto"/>
                <w:highlight w:val="none"/>
              </w:rPr>
              <w:t>施工期</w:t>
            </w:r>
          </w:p>
          <w:p>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无组织颗粒物排放执行《大气污染物综合排放标准》（GB16297-1996）表2中厂界监控点无组织排放浓度限值：颗粒物：1.0mg/m</w:t>
            </w:r>
            <w:r>
              <w:rPr>
                <w:rFonts w:ascii="Times New Roman" w:hAnsi="Times New Roman" w:cs="Times New Roman"/>
                <w:color w:val="auto"/>
                <w:highlight w:val="none"/>
                <w:vertAlign w:val="superscript"/>
              </w:rPr>
              <w:t>3</w:t>
            </w:r>
            <w:r>
              <w:rPr>
                <w:rFonts w:ascii="Times New Roman" w:hAnsi="Times New Roman" w:cs="Times New Roman"/>
                <w:color w:val="auto"/>
                <w:highlight w:val="none"/>
              </w:rPr>
              <w:t>。</w:t>
            </w:r>
          </w:p>
          <w:p>
            <w:pPr>
              <w:spacing w:line="360" w:lineRule="auto"/>
              <w:ind w:firstLine="420" w:firstLineChars="200"/>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营运期</w:t>
            </w:r>
          </w:p>
          <w:p>
            <w:pPr>
              <w:spacing w:line="360" w:lineRule="auto"/>
              <w:ind w:firstLine="420" w:firstLineChars="200"/>
              <w:rPr>
                <w:color w:val="auto"/>
                <w:highlight w:val="none"/>
              </w:rPr>
            </w:pPr>
            <w:r>
              <w:rPr>
                <w:color w:val="auto"/>
                <w:highlight w:val="none"/>
              </w:rPr>
              <w:t>污水处理站恶臭气体</w:t>
            </w:r>
            <w:r>
              <w:rPr>
                <w:rFonts w:hint="eastAsia"/>
                <w:color w:val="auto"/>
                <w:highlight w:val="none"/>
                <w:lang w:val="en-US" w:eastAsia="zh-CN"/>
              </w:rPr>
              <w:t>有</w:t>
            </w:r>
            <w:r>
              <w:rPr>
                <w:color w:val="auto"/>
                <w:highlight w:val="none"/>
              </w:rPr>
              <w:t>组织排放参照执行《恶臭污染物排放标准》（GB14554-93）表</w:t>
            </w:r>
            <w:r>
              <w:rPr>
                <w:rFonts w:hint="eastAsia"/>
                <w:color w:val="auto"/>
                <w:highlight w:val="none"/>
                <w:lang w:val="en-US" w:eastAsia="zh-CN"/>
              </w:rPr>
              <w:t>2排放速率</w:t>
            </w:r>
            <w:r>
              <w:rPr>
                <w:color w:val="auto"/>
                <w:highlight w:val="none"/>
              </w:rPr>
              <w:t>标准要求。恶臭气体无组织排放参照执行《山东省医疗机构污染物排放控制标准》（DB37/596-2020）表2中的标准。</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表3-4  恶臭气体排放标准</w:t>
            </w:r>
          </w:p>
          <w:tbl>
            <w:tblPr>
              <w:tblStyle w:val="27"/>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9"/>
              <w:gridCol w:w="1176"/>
              <w:gridCol w:w="993"/>
              <w:gridCol w:w="1068"/>
              <w:gridCol w:w="1476"/>
              <w:gridCol w:w="1476"/>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360" w:type="pct"/>
                  <w:vAlign w:val="center"/>
                </w:tcPr>
                <w:p>
                  <w:pPr>
                    <w:jc w:val="center"/>
                    <w:rPr>
                      <w:color w:val="auto"/>
                      <w:sz w:val="18"/>
                      <w:szCs w:val="18"/>
                      <w:highlight w:val="none"/>
                    </w:rPr>
                  </w:pPr>
                  <w:r>
                    <w:rPr>
                      <w:color w:val="auto"/>
                      <w:sz w:val="18"/>
                      <w:szCs w:val="18"/>
                      <w:highlight w:val="none"/>
                    </w:rPr>
                    <w:t>序号</w:t>
                  </w:r>
                </w:p>
              </w:tc>
              <w:tc>
                <w:tcPr>
                  <w:tcW w:w="712" w:type="pct"/>
                  <w:vAlign w:val="center"/>
                </w:tcPr>
                <w:p>
                  <w:pPr>
                    <w:jc w:val="center"/>
                    <w:rPr>
                      <w:color w:val="auto"/>
                      <w:sz w:val="18"/>
                      <w:szCs w:val="18"/>
                      <w:highlight w:val="none"/>
                    </w:rPr>
                  </w:pPr>
                  <w:r>
                    <w:rPr>
                      <w:color w:val="auto"/>
                      <w:sz w:val="18"/>
                      <w:szCs w:val="18"/>
                      <w:highlight w:val="none"/>
                    </w:rPr>
                    <w:t>污染物</w:t>
                  </w:r>
                </w:p>
              </w:tc>
              <w:tc>
                <w:tcPr>
                  <w:tcW w:w="602" w:type="pct"/>
                  <w:vAlign w:val="center"/>
                </w:tcPr>
                <w:p>
                  <w:pPr>
                    <w:jc w:val="center"/>
                    <w:rPr>
                      <w:color w:val="auto"/>
                      <w:sz w:val="18"/>
                      <w:szCs w:val="18"/>
                      <w:highlight w:val="none"/>
                    </w:rPr>
                  </w:pPr>
                  <w:r>
                    <w:rPr>
                      <w:color w:val="auto"/>
                      <w:sz w:val="18"/>
                      <w:szCs w:val="18"/>
                      <w:highlight w:val="none"/>
                    </w:rPr>
                    <w:t>排放形式</w:t>
                  </w:r>
                </w:p>
              </w:tc>
              <w:tc>
                <w:tcPr>
                  <w:tcW w:w="647" w:type="pct"/>
                  <w:vAlign w:val="center"/>
                </w:tcPr>
                <w:p>
                  <w:pPr>
                    <w:jc w:val="center"/>
                    <w:rPr>
                      <w:color w:val="auto"/>
                      <w:sz w:val="18"/>
                      <w:szCs w:val="18"/>
                      <w:highlight w:val="none"/>
                    </w:rPr>
                  </w:pPr>
                  <w:r>
                    <w:rPr>
                      <w:color w:val="auto"/>
                      <w:sz w:val="18"/>
                      <w:szCs w:val="18"/>
                      <w:highlight w:val="none"/>
                    </w:rPr>
                    <w:t>单位</w:t>
                  </w:r>
                </w:p>
              </w:tc>
              <w:tc>
                <w:tcPr>
                  <w:tcW w:w="892" w:type="pct"/>
                  <w:vAlign w:val="center"/>
                </w:tcPr>
                <w:p>
                  <w:pPr>
                    <w:jc w:val="center"/>
                    <w:rPr>
                      <w:color w:val="auto"/>
                      <w:sz w:val="18"/>
                      <w:szCs w:val="18"/>
                      <w:highlight w:val="none"/>
                    </w:rPr>
                  </w:pPr>
                  <w:r>
                    <w:rPr>
                      <w:color w:val="auto"/>
                      <w:sz w:val="18"/>
                      <w:szCs w:val="18"/>
                      <w:highlight w:val="none"/>
                    </w:rPr>
                    <w:t>排放浓度限值</w:t>
                  </w:r>
                </w:p>
              </w:tc>
              <w:tc>
                <w:tcPr>
                  <w:tcW w:w="892" w:type="pct"/>
                  <w:vAlign w:val="center"/>
                </w:tcPr>
                <w:p>
                  <w:pPr>
                    <w:jc w:val="center"/>
                    <w:rPr>
                      <w:color w:val="auto"/>
                      <w:sz w:val="18"/>
                      <w:szCs w:val="18"/>
                      <w:highlight w:val="none"/>
                    </w:rPr>
                  </w:pPr>
                  <w:r>
                    <w:rPr>
                      <w:color w:val="auto"/>
                      <w:sz w:val="18"/>
                      <w:szCs w:val="18"/>
                      <w:highlight w:val="none"/>
                    </w:rPr>
                    <w:t>排放</w:t>
                  </w:r>
                  <w:r>
                    <w:rPr>
                      <w:rFonts w:hint="eastAsia"/>
                      <w:color w:val="auto"/>
                      <w:sz w:val="18"/>
                      <w:szCs w:val="18"/>
                      <w:highlight w:val="none"/>
                      <w:lang w:val="en-US" w:eastAsia="zh-CN"/>
                    </w:rPr>
                    <w:t>速率</w:t>
                  </w:r>
                  <w:r>
                    <w:rPr>
                      <w:color w:val="auto"/>
                      <w:sz w:val="18"/>
                      <w:szCs w:val="18"/>
                      <w:highlight w:val="none"/>
                    </w:rPr>
                    <w:t>限值</w:t>
                  </w:r>
                </w:p>
              </w:tc>
              <w:tc>
                <w:tcPr>
                  <w:tcW w:w="892" w:type="pct"/>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排放标准标准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360" w:type="pct"/>
                  <w:vAlign w:val="center"/>
                </w:tcPr>
                <w:p>
                  <w:pPr>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1</w:t>
                  </w:r>
                </w:p>
              </w:tc>
              <w:tc>
                <w:tcPr>
                  <w:tcW w:w="712" w:type="pct"/>
                  <w:vAlign w:val="center"/>
                </w:tcPr>
                <w:p>
                  <w:pPr>
                    <w:contextualSpacing/>
                    <w:jc w:val="center"/>
                    <w:rPr>
                      <w:color w:val="auto"/>
                      <w:sz w:val="18"/>
                      <w:szCs w:val="18"/>
                      <w:highlight w:val="none"/>
                    </w:rPr>
                  </w:pPr>
                  <w:r>
                    <w:rPr>
                      <w:color w:val="auto"/>
                      <w:sz w:val="18"/>
                      <w:szCs w:val="18"/>
                      <w:highlight w:val="none"/>
                    </w:rPr>
                    <w:t>H</w:t>
                  </w:r>
                  <w:r>
                    <w:rPr>
                      <w:color w:val="auto"/>
                      <w:sz w:val="18"/>
                      <w:szCs w:val="18"/>
                      <w:highlight w:val="none"/>
                      <w:vertAlign w:val="subscript"/>
                    </w:rPr>
                    <w:t>2</w:t>
                  </w:r>
                  <w:r>
                    <w:rPr>
                      <w:color w:val="auto"/>
                      <w:sz w:val="18"/>
                      <w:szCs w:val="18"/>
                      <w:highlight w:val="none"/>
                    </w:rPr>
                    <w:t>S</w:t>
                  </w:r>
                </w:p>
              </w:tc>
              <w:tc>
                <w:tcPr>
                  <w:tcW w:w="602" w:type="pct"/>
                  <w:vAlign w:val="center"/>
                </w:tcPr>
                <w:p>
                  <w:pPr>
                    <w:contextualSpacing/>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有组织</w:t>
                  </w:r>
                </w:p>
              </w:tc>
              <w:tc>
                <w:tcPr>
                  <w:tcW w:w="647" w:type="pct"/>
                  <w:vAlign w:val="center"/>
                </w:tcPr>
                <w:p>
                  <w:pPr>
                    <w:contextualSpacing/>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kg/h</w:t>
                  </w:r>
                </w:p>
              </w:tc>
              <w:tc>
                <w:tcPr>
                  <w:tcW w:w="892" w:type="pct"/>
                  <w:vAlign w:val="center"/>
                </w:tcPr>
                <w:p>
                  <w:pPr>
                    <w:contextualSpacing/>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w:t>
                  </w:r>
                </w:p>
              </w:tc>
              <w:tc>
                <w:tcPr>
                  <w:tcW w:w="892" w:type="pct"/>
                  <w:vAlign w:val="center"/>
                </w:tcPr>
                <w:p>
                  <w:pPr>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0.33</w:t>
                  </w:r>
                </w:p>
              </w:tc>
              <w:tc>
                <w:tcPr>
                  <w:tcW w:w="892" w:type="pct"/>
                  <w:vMerge w:val="restart"/>
                  <w:vAlign w:val="center"/>
                </w:tcPr>
                <w:p>
                  <w:pPr>
                    <w:contextualSpacing/>
                    <w:jc w:val="center"/>
                    <w:rPr>
                      <w:rFonts w:hint="eastAsia"/>
                      <w:color w:val="auto"/>
                      <w:sz w:val="18"/>
                      <w:szCs w:val="18"/>
                      <w:highlight w:val="none"/>
                      <w:lang w:val="en-US" w:eastAsia="zh-CN"/>
                    </w:rPr>
                  </w:pPr>
                  <w:r>
                    <w:rPr>
                      <w:rFonts w:hint="eastAsia"/>
                      <w:color w:val="auto"/>
                      <w:sz w:val="18"/>
                      <w:szCs w:val="18"/>
                      <w:highlight w:val="none"/>
                      <w:lang w:val="en-US" w:eastAsia="zh-CN"/>
                    </w:rPr>
                    <w:t>《恶臭污染物排放标准》（GB14554-93）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360" w:type="pct"/>
                  <w:vAlign w:val="center"/>
                </w:tcPr>
                <w:p>
                  <w:pPr>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2</w:t>
                  </w:r>
                </w:p>
              </w:tc>
              <w:tc>
                <w:tcPr>
                  <w:tcW w:w="712" w:type="pct"/>
                  <w:vAlign w:val="center"/>
                </w:tcPr>
                <w:p>
                  <w:pPr>
                    <w:contextualSpacing/>
                    <w:jc w:val="center"/>
                    <w:rPr>
                      <w:color w:val="auto"/>
                      <w:sz w:val="18"/>
                      <w:szCs w:val="18"/>
                      <w:highlight w:val="none"/>
                    </w:rPr>
                  </w:pPr>
                  <w:r>
                    <w:rPr>
                      <w:color w:val="auto"/>
                      <w:sz w:val="18"/>
                      <w:szCs w:val="18"/>
                      <w:highlight w:val="none"/>
                    </w:rPr>
                    <w:t>NH</w:t>
                  </w:r>
                  <w:r>
                    <w:rPr>
                      <w:color w:val="auto"/>
                      <w:sz w:val="18"/>
                      <w:szCs w:val="18"/>
                      <w:highlight w:val="none"/>
                      <w:vertAlign w:val="subscript"/>
                    </w:rPr>
                    <w:t>3</w:t>
                  </w:r>
                </w:p>
              </w:tc>
              <w:tc>
                <w:tcPr>
                  <w:tcW w:w="602" w:type="pct"/>
                  <w:vAlign w:val="center"/>
                </w:tcPr>
                <w:p>
                  <w:pPr>
                    <w:contextualSpacing/>
                    <w:jc w:val="center"/>
                    <w:rPr>
                      <w:color w:val="auto"/>
                      <w:sz w:val="18"/>
                      <w:szCs w:val="18"/>
                      <w:highlight w:val="none"/>
                    </w:rPr>
                  </w:pPr>
                  <w:r>
                    <w:rPr>
                      <w:rFonts w:hint="eastAsia"/>
                      <w:color w:val="auto"/>
                      <w:sz w:val="18"/>
                      <w:szCs w:val="18"/>
                      <w:highlight w:val="none"/>
                      <w:lang w:val="en-US" w:eastAsia="zh-CN"/>
                    </w:rPr>
                    <w:t>有组织</w:t>
                  </w:r>
                </w:p>
              </w:tc>
              <w:tc>
                <w:tcPr>
                  <w:tcW w:w="647" w:type="pct"/>
                  <w:vAlign w:val="center"/>
                </w:tcPr>
                <w:p>
                  <w:pPr>
                    <w:contextualSpacing/>
                    <w:jc w:val="center"/>
                    <w:rPr>
                      <w:color w:val="auto"/>
                      <w:sz w:val="18"/>
                      <w:szCs w:val="18"/>
                      <w:highlight w:val="none"/>
                    </w:rPr>
                  </w:pPr>
                  <w:r>
                    <w:rPr>
                      <w:rFonts w:hint="eastAsia"/>
                      <w:color w:val="auto"/>
                      <w:sz w:val="18"/>
                      <w:szCs w:val="18"/>
                      <w:highlight w:val="none"/>
                      <w:lang w:val="en-US" w:eastAsia="zh-CN"/>
                    </w:rPr>
                    <w:t>kg/h</w:t>
                  </w:r>
                </w:p>
              </w:tc>
              <w:tc>
                <w:tcPr>
                  <w:tcW w:w="892" w:type="pct"/>
                  <w:vAlign w:val="center"/>
                </w:tcPr>
                <w:p>
                  <w:pPr>
                    <w:contextualSpacing/>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w:t>
                  </w:r>
                </w:p>
              </w:tc>
              <w:tc>
                <w:tcPr>
                  <w:tcW w:w="892" w:type="pct"/>
                  <w:vAlign w:val="center"/>
                </w:tcPr>
                <w:p>
                  <w:pPr>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4.9</w:t>
                  </w:r>
                </w:p>
              </w:tc>
              <w:tc>
                <w:tcPr>
                  <w:tcW w:w="892" w:type="pct"/>
                  <w:vMerge w:val="continue"/>
                  <w:vAlign w:val="center"/>
                </w:tcPr>
                <w:p>
                  <w:pPr>
                    <w:contextualSpacing/>
                    <w:jc w:val="center"/>
                    <w:rPr>
                      <w:rFonts w:hint="eastAsia"/>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360" w:type="pct"/>
                  <w:vAlign w:val="center"/>
                </w:tcPr>
                <w:p>
                  <w:pPr>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3</w:t>
                  </w:r>
                </w:p>
              </w:tc>
              <w:tc>
                <w:tcPr>
                  <w:tcW w:w="712" w:type="pct"/>
                  <w:vAlign w:val="center"/>
                </w:tcPr>
                <w:p>
                  <w:pPr>
                    <w:contextualSpacing/>
                    <w:jc w:val="center"/>
                    <w:rPr>
                      <w:color w:val="auto"/>
                      <w:sz w:val="18"/>
                      <w:szCs w:val="18"/>
                      <w:highlight w:val="none"/>
                    </w:rPr>
                  </w:pPr>
                  <w:r>
                    <w:rPr>
                      <w:color w:val="auto"/>
                      <w:sz w:val="18"/>
                      <w:szCs w:val="18"/>
                      <w:highlight w:val="none"/>
                    </w:rPr>
                    <w:t>臭气浓度</w:t>
                  </w:r>
                </w:p>
              </w:tc>
              <w:tc>
                <w:tcPr>
                  <w:tcW w:w="602" w:type="pct"/>
                  <w:vAlign w:val="center"/>
                </w:tcPr>
                <w:p>
                  <w:pPr>
                    <w:contextualSpacing/>
                    <w:jc w:val="center"/>
                    <w:rPr>
                      <w:color w:val="auto"/>
                      <w:sz w:val="18"/>
                      <w:szCs w:val="18"/>
                      <w:highlight w:val="none"/>
                    </w:rPr>
                  </w:pPr>
                  <w:r>
                    <w:rPr>
                      <w:rFonts w:hint="eastAsia"/>
                      <w:color w:val="auto"/>
                      <w:sz w:val="18"/>
                      <w:szCs w:val="18"/>
                      <w:highlight w:val="none"/>
                      <w:lang w:val="en-US" w:eastAsia="zh-CN"/>
                    </w:rPr>
                    <w:t>有组织</w:t>
                  </w:r>
                </w:p>
              </w:tc>
              <w:tc>
                <w:tcPr>
                  <w:tcW w:w="647" w:type="pct"/>
                  <w:vAlign w:val="center"/>
                </w:tcPr>
                <w:p>
                  <w:pPr>
                    <w:contextualSpacing/>
                    <w:jc w:val="center"/>
                    <w:rPr>
                      <w:color w:val="auto"/>
                      <w:sz w:val="18"/>
                      <w:szCs w:val="18"/>
                      <w:highlight w:val="none"/>
                    </w:rPr>
                  </w:pPr>
                  <w:r>
                    <w:rPr>
                      <w:color w:val="auto"/>
                      <w:sz w:val="18"/>
                      <w:szCs w:val="18"/>
                      <w:highlight w:val="none"/>
                    </w:rPr>
                    <w:t>无量纲</w:t>
                  </w:r>
                </w:p>
              </w:tc>
              <w:tc>
                <w:tcPr>
                  <w:tcW w:w="892" w:type="pct"/>
                  <w:vAlign w:val="center"/>
                </w:tcPr>
                <w:p>
                  <w:pPr>
                    <w:contextualSpacing/>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w:t>
                  </w:r>
                </w:p>
              </w:tc>
              <w:tc>
                <w:tcPr>
                  <w:tcW w:w="892" w:type="pct"/>
                  <w:vAlign w:val="center"/>
                </w:tcPr>
                <w:p>
                  <w:pPr>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2000</w:t>
                  </w:r>
                </w:p>
              </w:tc>
              <w:tc>
                <w:tcPr>
                  <w:tcW w:w="892" w:type="pct"/>
                  <w:vMerge w:val="continue"/>
                  <w:vAlign w:val="center"/>
                </w:tcPr>
                <w:p>
                  <w:pPr>
                    <w:contextualSpacing/>
                    <w:jc w:val="center"/>
                    <w:rPr>
                      <w:rFonts w:hint="eastAsia"/>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360" w:type="pct"/>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4</w:t>
                  </w:r>
                </w:p>
              </w:tc>
              <w:tc>
                <w:tcPr>
                  <w:tcW w:w="712" w:type="pct"/>
                  <w:vAlign w:val="center"/>
                </w:tcPr>
                <w:p>
                  <w:pPr>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油烟</w:t>
                  </w:r>
                </w:p>
              </w:tc>
              <w:tc>
                <w:tcPr>
                  <w:tcW w:w="602"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有组织</w:t>
                  </w:r>
                </w:p>
              </w:tc>
              <w:tc>
                <w:tcPr>
                  <w:tcW w:w="647"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mg/m</w:t>
                  </w:r>
                  <w:r>
                    <w:rPr>
                      <w:color w:val="auto"/>
                      <w:sz w:val="18"/>
                      <w:szCs w:val="18"/>
                      <w:highlight w:val="none"/>
                      <w:vertAlign w:val="superscript"/>
                    </w:rPr>
                    <w:t>3</w:t>
                  </w:r>
                </w:p>
              </w:tc>
              <w:tc>
                <w:tcPr>
                  <w:tcW w:w="892" w:type="pct"/>
                  <w:vAlign w:val="center"/>
                </w:tcPr>
                <w:p>
                  <w:pPr>
                    <w:contextualSpacing/>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1</w:t>
                  </w:r>
                </w:p>
              </w:tc>
              <w:tc>
                <w:tcPr>
                  <w:tcW w:w="892" w:type="pct"/>
                  <w:vAlign w:val="center"/>
                </w:tcPr>
                <w:p>
                  <w:pPr>
                    <w:contextualSpacing/>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w:t>
                  </w:r>
                </w:p>
              </w:tc>
              <w:tc>
                <w:tcPr>
                  <w:tcW w:w="892" w:type="pct"/>
                  <w:vMerge w:val="restart"/>
                  <w:vAlign w:val="center"/>
                </w:tcPr>
                <w:p>
                  <w:pPr>
                    <w:contextualSpacing/>
                    <w:jc w:val="center"/>
                    <w:rPr>
                      <w:rFonts w:hint="eastAsia"/>
                      <w:color w:val="auto"/>
                      <w:sz w:val="18"/>
                      <w:szCs w:val="18"/>
                      <w:highlight w:val="none"/>
                      <w:lang w:val="en-US" w:eastAsia="zh-CN"/>
                    </w:rPr>
                  </w:pPr>
                  <w:r>
                    <w:rPr>
                      <w:rFonts w:hint="eastAsia"/>
                      <w:color w:val="auto"/>
                      <w:sz w:val="18"/>
                      <w:szCs w:val="18"/>
                      <w:highlight w:val="none"/>
                      <w:lang w:val="en-US" w:eastAsia="zh-CN"/>
                    </w:rPr>
                    <w:t>《山东省医疗机构污染物排放控制标准》（DB37/596-2020）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360" w:type="pct"/>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5</w:t>
                  </w:r>
                </w:p>
              </w:tc>
              <w:tc>
                <w:tcPr>
                  <w:tcW w:w="712"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H</w:t>
                  </w:r>
                  <w:r>
                    <w:rPr>
                      <w:color w:val="auto"/>
                      <w:sz w:val="18"/>
                      <w:szCs w:val="18"/>
                      <w:highlight w:val="none"/>
                      <w:vertAlign w:val="subscript"/>
                    </w:rPr>
                    <w:t>2</w:t>
                  </w:r>
                  <w:r>
                    <w:rPr>
                      <w:color w:val="auto"/>
                      <w:sz w:val="18"/>
                      <w:szCs w:val="18"/>
                      <w:highlight w:val="none"/>
                    </w:rPr>
                    <w:t>S</w:t>
                  </w:r>
                </w:p>
              </w:tc>
              <w:tc>
                <w:tcPr>
                  <w:tcW w:w="602"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无组织</w:t>
                  </w:r>
                </w:p>
              </w:tc>
              <w:tc>
                <w:tcPr>
                  <w:tcW w:w="647"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mg/m</w:t>
                  </w:r>
                  <w:r>
                    <w:rPr>
                      <w:color w:val="auto"/>
                      <w:sz w:val="18"/>
                      <w:szCs w:val="18"/>
                      <w:highlight w:val="none"/>
                      <w:vertAlign w:val="superscript"/>
                    </w:rPr>
                    <w:t>3</w:t>
                  </w:r>
                </w:p>
              </w:tc>
              <w:tc>
                <w:tcPr>
                  <w:tcW w:w="892"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0.02</w:t>
                  </w:r>
                </w:p>
              </w:tc>
              <w:tc>
                <w:tcPr>
                  <w:tcW w:w="892" w:type="pct"/>
                  <w:vAlign w:val="center"/>
                </w:tcPr>
                <w:p>
                  <w:pPr>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w:t>
                  </w:r>
                </w:p>
              </w:tc>
              <w:tc>
                <w:tcPr>
                  <w:tcW w:w="892" w:type="pct"/>
                  <w:vMerge w:val="continue"/>
                  <w:vAlign w:val="center"/>
                </w:tcPr>
                <w:p>
                  <w:pPr>
                    <w:contextualSpacing/>
                    <w:jc w:val="center"/>
                    <w:rPr>
                      <w:rFonts w:hint="eastAsia"/>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360" w:type="pct"/>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6</w:t>
                  </w:r>
                </w:p>
              </w:tc>
              <w:tc>
                <w:tcPr>
                  <w:tcW w:w="712"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NH</w:t>
                  </w:r>
                  <w:r>
                    <w:rPr>
                      <w:color w:val="auto"/>
                      <w:sz w:val="18"/>
                      <w:szCs w:val="18"/>
                      <w:highlight w:val="none"/>
                      <w:vertAlign w:val="subscript"/>
                    </w:rPr>
                    <w:t>3</w:t>
                  </w:r>
                </w:p>
              </w:tc>
              <w:tc>
                <w:tcPr>
                  <w:tcW w:w="602"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无组织</w:t>
                  </w:r>
                </w:p>
              </w:tc>
              <w:tc>
                <w:tcPr>
                  <w:tcW w:w="647"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mg/m</w:t>
                  </w:r>
                  <w:r>
                    <w:rPr>
                      <w:color w:val="auto"/>
                      <w:sz w:val="18"/>
                      <w:szCs w:val="18"/>
                      <w:highlight w:val="none"/>
                      <w:vertAlign w:val="superscript"/>
                    </w:rPr>
                    <w:t>3</w:t>
                  </w:r>
                </w:p>
              </w:tc>
              <w:tc>
                <w:tcPr>
                  <w:tcW w:w="892"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0.2</w:t>
                  </w:r>
                </w:p>
              </w:tc>
              <w:tc>
                <w:tcPr>
                  <w:tcW w:w="892" w:type="pct"/>
                  <w:vAlign w:val="center"/>
                </w:tcPr>
                <w:p>
                  <w:pPr>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w:t>
                  </w:r>
                </w:p>
              </w:tc>
              <w:tc>
                <w:tcPr>
                  <w:tcW w:w="892" w:type="pct"/>
                  <w:vMerge w:val="continue"/>
                  <w:vAlign w:val="center"/>
                </w:tcPr>
                <w:p>
                  <w:pPr>
                    <w:contextualSpacing/>
                    <w:jc w:val="center"/>
                    <w:rPr>
                      <w:rFonts w:hint="eastAsia"/>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360" w:type="pct"/>
                  <w:vAlign w:val="center"/>
                </w:tcPr>
                <w:p>
                  <w:pPr>
                    <w:jc w:val="center"/>
                    <w:rPr>
                      <w:rFonts w:hint="default" w:ascii="Times New Roman" w:hAnsi="Times New Roman" w:eastAsia="宋体" w:cs="Times New Roman"/>
                      <w:color w:val="auto"/>
                      <w:kern w:val="2"/>
                      <w:sz w:val="18"/>
                      <w:szCs w:val="18"/>
                      <w:highlight w:val="none"/>
                      <w:lang w:val="en-US" w:eastAsia="zh-CN" w:bidi="ar-SA"/>
                    </w:rPr>
                  </w:pPr>
                  <w:r>
                    <w:rPr>
                      <w:rFonts w:hint="eastAsia" w:eastAsia="宋体" w:cs="Times New Roman"/>
                      <w:color w:val="auto"/>
                      <w:kern w:val="2"/>
                      <w:sz w:val="18"/>
                      <w:szCs w:val="18"/>
                      <w:highlight w:val="none"/>
                      <w:lang w:val="en-US" w:eastAsia="zh-CN" w:bidi="ar-SA"/>
                    </w:rPr>
                    <w:t>7</w:t>
                  </w:r>
                </w:p>
              </w:tc>
              <w:tc>
                <w:tcPr>
                  <w:tcW w:w="712" w:type="pct"/>
                  <w:vAlign w:val="center"/>
                </w:tcPr>
                <w:p>
                  <w:pPr>
                    <w:contextualSpacing/>
                    <w:jc w:val="center"/>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臭气浓度</w:t>
                  </w:r>
                </w:p>
              </w:tc>
              <w:tc>
                <w:tcPr>
                  <w:tcW w:w="602"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无组织</w:t>
                  </w:r>
                </w:p>
              </w:tc>
              <w:tc>
                <w:tcPr>
                  <w:tcW w:w="647"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无量纲</w:t>
                  </w:r>
                </w:p>
              </w:tc>
              <w:tc>
                <w:tcPr>
                  <w:tcW w:w="892"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10</w:t>
                  </w:r>
                </w:p>
              </w:tc>
              <w:tc>
                <w:tcPr>
                  <w:tcW w:w="892" w:type="pct"/>
                  <w:vAlign w:val="center"/>
                </w:tcPr>
                <w:p>
                  <w:pPr>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w:t>
                  </w:r>
                </w:p>
              </w:tc>
              <w:tc>
                <w:tcPr>
                  <w:tcW w:w="892" w:type="pct"/>
                  <w:vMerge w:val="continue"/>
                  <w:vAlign w:val="center"/>
                </w:tcPr>
                <w:p>
                  <w:pPr>
                    <w:contextualSpacing/>
                    <w:jc w:val="center"/>
                    <w:rPr>
                      <w:rFonts w:hint="eastAsia"/>
                      <w:color w:val="auto"/>
                      <w:sz w:val="18"/>
                      <w:szCs w:val="18"/>
                      <w:highlight w:val="none"/>
                      <w:lang w:val="en-US" w:eastAsia="zh-CN"/>
                    </w:rPr>
                  </w:pPr>
                </w:p>
              </w:tc>
            </w:tr>
          </w:tbl>
          <w:p>
            <w:pPr>
              <w:spacing w:line="360" w:lineRule="auto"/>
              <w:ind w:firstLine="420" w:firstLineChars="20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本项目食堂设置12个灶头，属于大型饮食业单位，</w:t>
            </w:r>
            <w:r>
              <w:rPr>
                <w:rFonts w:hint="eastAsia" w:ascii="Times New Roman" w:hAnsi="Times New Roman" w:eastAsia="宋体" w:cs="Times New Roman"/>
                <w:color w:val="auto"/>
                <w:highlight w:val="none"/>
                <w:lang w:val="en-US" w:eastAsia="zh-CN"/>
              </w:rPr>
              <w:t>食堂油烟执行《山东省饮食油烟排放标准》（DB37/597-2006）表4大型规模标准要求。</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表3-</w:t>
            </w:r>
            <w:r>
              <w:rPr>
                <w:rFonts w:hint="eastAsia"/>
                <w:b/>
                <w:bCs/>
                <w:color w:val="auto"/>
                <w:kern w:val="0"/>
                <w:szCs w:val="21"/>
                <w:highlight w:val="none"/>
                <w:lang w:val="en-US" w:eastAsia="zh-CN"/>
              </w:rPr>
              <w:t>5</w:t>
            </w:r>
            <w:r>
              <w:rPr>
                <w:b/>
                <w:bCs/>
                <w:color w:val="auto"/>
                <w:kern w:val="0"/>
                <w:szCs w:val="21"/>
                <w:highlight w:val="none"/>
              </w:rPr>
              <w:t xml:space="preserve">  </w:t>
            </w:r>
            <w:r>
              <w:rPr>
                <w:rFonts w:hint="eastAsia"/>
                <w:b/>
                <w:bCs/>
                <w:color w:val="auto"/>
                <w:kern w:val="0"/>
                <w:szCs w:val="21"/>
                <w:highlight w:val="none"/>
                <w:lang w:val="en-US" w:eastAsia="zh-CN"/>
              </w:rPr>
              <w:t>油烟</w:t>
            </w:r>
            <w:r>
              <w:rPr>
                <w:b/>
                <w:bCs/>
                <w:color w:val="auto"/>
                <w:kern w:val="0"/>
                <w:szCs w:val="21"/>
                <w:highlight w:val="none"/>
              </w:rPr>
              <w:t>排放标准</w:t>
            </w:r>
          </w:p>
          <w:tbl>
            <w:tblPr>
              <w:tblStyle w:val="27"/>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9"/>
              <w:gridCol w:w="1175"/>
              <w:gridCol w:w="992"/>
              <w:gridCol w:w="1067"/>
              <w:gridCol w:w="1113"/>
              <w:gridCol w:w="1173"/>
              <w:gridCol w:w="2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354" w:type="pct"/>
                  <w:vAlign w:val="center"/>
                </w:tcPr>
                <w:p>
                  <w:pPr>
                    <w:jc w:val="center"/>
                    <w:rPr>
                      <w:color w:val="auto"/>
                      <w:sz w:val="18"/>
                      <w:szCs w:val="18"/>
                      <w:highlight w:val="none"/>
                    </w:rPr>
                  </w:pPr>
                  <w:r>
                    <w:rPr>
                      <w:color w:val="auto"/>
                      <w:sz w:val="18"/>
                      <w:szCs w:val="18"/>
                      <w:highlight w:val="none"/>
                    </w:rPr>
                    <w:t>序号</w:t>
                  </w:r>
                </w:p>
              </w:tc>
              <w:tc>
                <w:tcPr>
                  <w:tcW w:w="706" w:type="pct"/>
                  <w:vAlign w:val="center"/>
                </w:tcPr>
                <w:p>
                  <w:pPr>
                    <w:jc w:val="center"/>
                    <w:rPr>
                      <w:color w:val="auto"/>
                      <w:sz w:val="18"/>
                      <w:szCs w:val="18"/>
                      <w:highlight w:val="none"/>
                    </w:rPr>
                  </w:pPr>
                  <w:r>
                    <w:rPr>
                      <w:color w:val="auto"/>
                      <w:sz w:val="18"/>
                      <w:szCs w:val="18"/>
                      <w:highlight w:val="none"/>
                    </w:rPr>
                    <w:t>污染物</w:t>
                  </w:r>
                </w:p>
              </w:tc>
              <w:tc>
                <w:tcPr>
                  <w:tcW w:w="596" w:type="pct"/>
                  <w:vAlign w:val="center"/>
                </w:tcPr>
                <w:p>
                  <w:pPr>
                    <w:jc w:val="center"/>
                    <w:rPr>
                      <w:color w:val="auto"/>
                      <w:sz w:val="18"/>
                      <w:szCs w:val="18"/>
                      <w:highlight w:val="none"/>
                    </w:rPr>
                  </w:pPr>
                  <w:r>
                    <w:rPr>
                      <w:color w:val="auto"/>
                      <w:sz w:val="18"/>
                      <w:szCs w:val="18"/>
                      <w:highlight w:val="none"/>
                    </w:rPr>
                    <w:t>排放形式</w:t>
                  </w:r>
                </w:p>
              </w:tc>
              <w:tc>
                <w:tcPr>
                  <w:tcW w:w="641" w:type="pct"/>
                  <w:vAlign w:val="center"/>
                </w:tcPr>
                <w:p>
                  <w:pPr>
                    <w:jc w:val="center"/>
                    <w:rPr>
                      <w:color w:val="auto"/>
                      <w:sz w:val="18"/>
                      <w:szCs w:val="18"/>
                      <w:highlight w:val="none"/>
                    </w:rPr>
                  </w:pPr>
                  <w:r>
                    <w:rPr>
                      <w:color w:val="auto"/>
                      <w:sz w:val="18"/>
                      <w:szCs w:val="18"/>
                      <w:highlight w:val="none"/>
                    </w:rPr>
                    <w:t>单位</w:t>
                  </w:r>
                </w:p>
              </w:tc>
              <w:tc>
                <w:tcPr>
                  <w:tcW w:w="669" w:type="pct"/>
                  <w:vAlign w:val="center"/>
                </w:tcPr>
                <w:p>
                  <w:pPr>
                    <w:jc w:val="center"/>
                    <w:rPr>
                      <w:color w:val="auto"/>
                      <w:sz w:val="18"/>
                      <w:szCs w:val="18"/>
                      <w:highlight w:val="none"/>
                    </w:rPr>
                  </w:pPr>
                  <w:r>
                    <w:rPr>
                      <w:color w:val="auto"/>
                      <w:sz w:val="18"/>
                      <w:szCs w:val="18"/>
                      <w:highlight w:val="none"/>
                    </w:rPr>
                    <w:t>排放浓度限值</w:t>
                  </w:r>
                </w:p>
              </w:tc>
              <w:tc>
                <w:tcPr>
                  <w:tcW w:w="705" w:type="pct"/>
                  <w:vAlign w:val="center"/>
                </w:tcPr>
                <w:p>
                  <w:pPr>
                    <w:jc w:val="center"/>
                    <w:rPr>
                      <w:color w:val="auto"/>
                      <w:sz w:val="18"/>
                      <w:szCs w:val="18"/>
                      <w:highlight w:val="none"/>
                    </w:rPr>
                  </w:pPr>
                  <w:r>
                    <w:rPr>
                      <w:color w:val="auto"/>
                      <w:sz w:val="18"/>
                      <w:szCs w:val="18"/>
                      <w:highlight w:val="none"/>
                    </w:rPr>
                    <w:t>排放</w:t>
                  </w:r>
                  <w:r>
                    <w:rPr>
                      <w:rFonts w:hint="eastAsia"/>
                      <w:color w:val="auto"/>
                      <w:sz w:val="18"/>
                      <w:szCs w:val="18"/>
                      <w:highlight w:val="none"/>
                      <w:lang w:val="en-US" w:eastAsia="zh-CN"/>
                    </w:rPr>
                    <w:t>速率</w:t>
                  </w:r>
                  <w:r>
                    <w:rPr>
                      <w:color w:val="auto"/>
                      <w:sz w:val="18"/>
                      <w:szCs w:val="18"/>
                      <w:highlight w:val="none"/>
                    </w:rPr>
                    <w:t>限值</w:t>
                  </w:r>
                </w:p>
              </w:tc>
              <w:tc>
                <w:tcPr>
                  <w:tcW w:w="1327" w:type="pct"/>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排放标准标准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354" w:type="pct"/>
                  <w:vAlign w:val="center"/>
                </w:tcPr>
                <w:p>
                  <w:pPr>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1</w:t>
                  </w:r>
                </w:p>
              </w:tc>
              <w:tc>
                <w:tcPr>
                  <w:tcW w:w="706" w:type="pct"/>
                  <w:vAlign w:val="center"/>
                </w:tcPr>
                <w:p>
                  <w:pPr>
                    <w:contextualSpacing/>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油烟</w:t>
                  </w:r>
                </w:p>
              </w:tc>
              <w:tc>
                <w:tcPr>
                  <w:tcW w:w="596"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有组织</w:t>
                  </w:r>
                </w:p>
              </w:tc>
              <w:tc>
                <w:tcPr>
                  <w:tcW w:w="641" w:type="pct"/>
                  <w:vAlign w:val="center"/>
                </w:tcPr>
                <w:p>
                  <w:pPr>
                    <w:contextualSpacing/>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mg/m</w:t>
                  </w:r>
                  <w:r>
                    <w:rPr>
                      <w:color w:val="auto"/>
                      <w:sz w:val="18"/>
                      <w:szCs w:val="18"/>
                      <w:highlight w:val="none"/>
                      <w:vertAlign w:val="superscript"/>
                    </w:rPr>
                    <w:t>3</w:t>
                  </w:r>
                </w:p>
              </w:tc>
              <w:tc>
                <w:tcPr>
                  <w:tcW w:w="669" w:type="pct"/>
                  <w:vAlign w:val="center"/>
                </w:tcPr>
                <w:p>
                  <w:pPr>
                    <w:contextualSpacing/>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1</w:t>
                  </w:r>
                </w:p>
              </w:tc>
              <w:tc>
                <w:tcPr>
                  <w:tcW w:w="705" w:type="pct"/>
                  <w:vAlign w:val="center"/>
                </w:tcPr>
                <w:p>
                  <w:pPr>
                    <w:contextualSpacing/>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w:t>
                  </w:r>
                </w:p>
              </w:tc>
              <w:tc>
                <w:tcPr>
                  <w:tcW w:w="1327" w:type="pct"/>
                  <w:vAlign w:val="center"/>
                </w:tcPr>
                <w:p>
                  <w:pPr>
                    <w:contextualSpacing/>
                    <w:jc w:val="center"/>
                    <w:rPr>
                      <w:rFonts w:hint="eastAsia"/>
                      <w:color w:val="auto"/>
                      <w:sz w:val="18"/>
                      <w:szCs w:val="18"/>
                      <w:highlight w:val="none"/>
                      <w:lang w:val="en-US" w:eastAsia="zh-CN"/>
                    </w:rPr>
                  </w:pPr>
                  <w:r>
                    <w:rPr>
                      <w:rFonts w:hint="eastAsia"/>
                      <w:color w:val="auto"/>
                      <w:sz w:val="18"/>
                      <w:szCs w:val="18"/>
                      <w:highlight w:val="none"/>
                      <w:lang w:val="en-US" w:eastAsia="zh-CN"/>
                    </w:rPr>
                    <w:t>《山东省饮食油烟排放标准》（DB37/597-2006）</w:t>
                  </w:r>
                </w:p>
              </w:tc>
            </w:tr>
          </w:tbl>
          <w:p>
            <w:pPr>
              <w:spacing w:line="360" w:lineRule="auto"/>
              <w:ind w:firstLine="420" w:firstLineChars="200"/>
              <w:rPr>
                <w:color w:val="auto"/>
                <w:highlight w:val="none"/>
              </w:rPr>
            </w:pPr>
            <w:r>
              <w:rPr>
                <w:color w:val="auto"/>
                <w:highlight w:val="none"/>
              </w:rPr>
              <w:t>2、废水：</w:t>
            </w:r>
          </w:p>
          <w:p>
            <w:pPr>
              <w:spacing w:line="360" w:lineRule="auto"/>
              <w:ind w:firstLine="420" w:firstLineChars="200"/>
              <w:rPr>
                <w:color w:val="auto"/>
                <w:highlight w:val="none"/>
              </w:rPr>
            </w:pPr>
            <w:r>
              <w:rPr>
                <w:color w:val="auto"/>
                <w:highlight w:val="none"/>
              </w:rPr>
              <w:t>营运期</w:t>
            </w:r>
            <w:r>
              <w:rPr>
                <w:rFonts w:hint="eastAsia"/>
                <w:color w:val="auto"/>
                <w:highlight w:val="none"/>
                <w:lang w:val="en-US" w:eastAsia="zh-CN"/>
              </w:rPr>
              <w:t>综合</w:t>
            </w:r>
            <w:r>
              <w:rPr>
                <w:color w:val="auto"/>
                <w:highlight w:val="none"/>
              </w:rPr>
              <w:t>废水排放标准执行《山东省医疗机构污染物排放控制标准》（DB37/596-2020）二级标准</w:t>
            </w:r>
            <w:r>
              <w:rPr>
                <w:rFonts w:hint="eastAsia"/>
                <w:color w:val="auto"/>
                <w:highlight w:val="none"/>
                <w:lang w:val="en-US" w:eastAsia="zh-CN"/>
              </w:rPr>
              <w:t>及《污水排入城镇下水道水质标准》（GB/T31962-2015）表1中B等级标准</w:t>
            </w:r>
            <w:r>
              <w:rPr>
                <w:color w:val="auto"/>
                <w:highlight w:val="none"/>
              </w:rPr>
              <w:t>要求。</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表3-</w:t>
            </w:r>
            <w:r>
              <w:rPr>
                <w:rFonts w:hint="eastAsia"/>
                <w:b/>
                <w:bCs/>
                <w:color w:val="auto"/>
                <w:kern w:val="0"/>
                <w:szCs w:val="21"/>
                <w:highlight w:val="none"/>
                <w:lang w:val="en-US" w:eastAsia="zh-CN"/>
              </w:rPr>
              <w:t>6</w:t>
            </w:r>
            <w:r>
              <w:rPr>
                <w:b/>
                <w:bCs/>
                <w:color w:val="auto"/>
                <w:kern w:val="0"/>
                <w:szCs w:val="21"/>
                <w:highlight w:val="none"/>
              </w:rPr>
              <w:t xml:space="preserve">  水污染物排放浓度限值</w:t>
            </w:r>
          </w:p>
          <w:tbl>
            <w:tblPr>
              <w:tblStyle w:val="2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1"/>
              <w:gridCol w:w="1875"/>
              <w:gridCol w:w="1354"/>
              <w:gridCol w:w="2201"/>
              <w:gridCol w:w="2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color w:val="auto"/>
                      <w:sz w:val="18"/>
                      <w:szCs w:val="18"/>
                      <w:highlight w:val="none"/>
                    </w:rPr>
                  </w:pPr>
                  <w:r>
                    <w:rPr>
                      <w:color w:val="auto"/>
                      <w:sz w:val="18"/>
                      <w:szCs w:val="18"/>
                      <w:highlight w:val="none"/>
                    </w:rPr>
                    <w:t>序号</w:t>
                  </w:r>
                </w:p>
              </w:tc>
              <w:tc>
                <w:tcPr>
                  <w:tcW w:w="1126" w:type="pct"/>
                  <w:vAlign w:val="center"/>
                </w:tcPr>
                <w:p>
                  <w:pPr>
                    <w:jc w:val="center"/>
                    <w:rPr>
                      <w:color w:val="auto"/>
                      <w:sz w:val="18"/>
                      <w:szCs w:val="18"/>
                      <w:highlight w:val="none"/>
                    </w:rPr>
                  </w:pPr>
                  <w:r>
                    <w:rPr>
                      <w:color w:val="auto"/>
                      <w:sz w:val="18"/>
                      <w:szCs w:val="18"/>
                      <w:highlight w:val="none"/>
                    </w:rPr>
                    <w:t>污染物</w:t>
                  </w:r>
                </w:p>
              </w:tc>
              <w:tc>
                <w:tcPr>
                  <w:tcW w:w="813" w:type="pct"/>
                  <w:vAlign w:val="center"/>
                </w:tcPr>
                <w:p>
                  <w:pPr>
                    <w:jc w:val="center"/>
                    <w:rPr>
                      <w:color w:val="auto"/>
                      <w:sz w:val="18"/>
                      <w:szCs w:val="18"/>
                      <w:highlight w:val="none"/>
                    </w:rPr>
                  </w:pPr>
                  <w:r>
                    <w:rPr>
                      <w:color w:val="auto"/>
                      <w:sz w:val="18"/>
                      <w:szCs w:val="18"/>
                      <w:highlight w:val="none"/>
                    </w:rPr>
                    <w:t>单位</w:t>
                  </w:r>
                </w:p>
              </w:tc>
              <w:tc>
                <w:tcPr>
                  <w:tcW w:w="1322" w:type="pct"/>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标准值</w:t>
                  </w:r>
                </w:p>
              </w:tc>
              <w:tc>
                <w:tcPr>
                  <w:tcW w:w="1322" w:type="pct"/>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标准来源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color w:val="auto"/>
                      <w:sz w:val="18"/>
                      <w:szCs w:val="18"/>
                      <w:highlight w:val="none"/>
                    </w:rPr>
                  </w:pPr>
                  <w:r>
                    <w:rPr>
                      <w:color w:val="auto"/>
                      <w:sz w:val="18"/>
                      <w:szCs w:val="18"/>
                      <w:highlight w:val="none"/>
                    </w:rPr>
                    <w:t>1</w:t>
                  </w:r>
                </w:p>
              </w:tc>
              <w:tc>
                <w:tcPr>
                  <w:tcW w:w="1126" w:type="pct"/>
                  <w:vAlign w:val="center"/>
                </w:tcPr>
                <w:p>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rPr>
                    <w:t>粪大肠菌群数</w:t>
                  </w:r>
                </w:p>
              </w:tc>
              <w:tc>
                <w:tcPr>
                  <w:tcW w:w="813" w:type="pct"/>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MPN/L</w:t>
                  </w:r>
                </w:p>
              </w:tc>
              <w:tc>
                <w:tcPr>
                  <w:tcW w:w="1322" w:type="pct"/>
                  <w:vAlign w:val="center"/>
                </w:tcPr>
                <w:p>
                  <w:pPr>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500</w:t>
                  </w:r>
                </w:p>
              </w:tc>
              <w:tc>
                <w:tcPr>
                  <w:tcW w:w="1322" w:type="pct"/>
                  <w:vMerge w:val="restar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《山东省医疗机构污染物排放控制标准》（DB37/596-2020）二级标准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15" w:type="pct"/>
                  <w:vAlign w:val="center"/>
                </w:tcPr>
                <w:p>
                  <w:pPr>
                    <w:jc w:val="center"/>
                    <w:rPr>
                      <w:color w:val="auto"/>
                      <w:sz w:val="18"/>
                      <w:szCs w:val="18"/>
                      <w:highlight w:val="none"/>
                    </w:rPr>
                  </w:pPr>
                  <w:r>
                    <w:rPr>
                      <w:color w:val="auto"/>
                      <w:sz w:val="18"/>
                      <w:szCs w:val="18"/>
                      <w:highlight w:val="none"/>
                    </w:rPr>
                    <w:t>2</w:t>
                  </w:r>
                </w:p>
              </w:tc>
              <w:tc>
                <w:tcPr>
                  <w:tcW w:w="1126" w:type="pct"/>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pH</w:t>
                  </w:r>
                </w:p>
              </w:tc>
              <w:tc>
                <w:tcPr>
                  <w:tcW w:w="813" w:type="pct"/>
                  <w:vAlign w:val="center"/>
                </w:tcPr>
                <w:p>
                  <w:pPr>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无量纲</w:t>
                  </w:r>
                </w:p>
              </w:tc>
              <w:tc>
                <w:tcPr>
                  <w:tcW w:w="1322" w:type="pct"/>
                  <w:vAlign w:val="center"/>
                </w:tcPr>
                <w:p>
                  <w:pPr>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6~9</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color w:val="auto"/>
                      <w:sz w:val="18"/>
                      <w:szCs w:val="18"/>
                      <w:highlight w:val="none"/>
                    </w:rPr>
                  </w:pPr>
                  <w:r>
                    <w:rPr>
                      <w:color w:val="auto"/>
                      <w:sz w:val="18"/>
                      <w:szCs w:val="18"/>
                      <w:highlight w:val="none"/>
                    </w:rPr>
                    <w:t>3</w:t>
                  </w:r>
                </w:p>
              </w:tc>
              <w:tc>
                <w:tcPr>
                  <w:tcW w:w="1126"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化学需氧量（CODCr）</w:t>
                  </w:r>
                </w:p>
              </w:tc>
              <w:tc>
                <w:tcPr>
                  <w:tcW w:w="813" w:type="pct"/>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120</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color w:val="auto"/>
                      <w:sz w:val="18"/>
                      <w:szCs w:val="18"/>
                      <w:highlight w:val="none"/>
                    </w:rPr>
                  </w:pPr>
                  <w:r>
                    <w:rPr>
                      <w:color w:val="auto"/>
                      <w:sz w:val="18"/>
                      <w:szCs w:val="18"/>
                      <w:highlight w:val="none"/>
                    </w:rPr>
                    <w:t>4</w:t>
                  </w:r>
                </w:p>
              </w:tc>
              <w:tc>
                <w:tcPr>
                  <w:tcW w:w="1126"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生化需氧量（BOD</w:t>
                  </w:r>
                  <w:r>
                    <w:rPr>
                      <w:rFonts w:hint="eastAsia" w:ascii="Times New Roman" w:hAnsi="Times New Roman" w:eastAsia="宋体" w:cs="Times New Roman"/>
                      <w:color w:val="auto"/>
                      <w:sz w:val="18"/>
                      <w:szCs w:val="18"/>
                      <w:highlight w:val="none"/>
                      <w:vertAlign w:val="subscript"/>
                      <w:lang w:val="en-US" w:eastAsia="zh-CN"/>
                    </w:rPr>
                    <w:t>5</w:t>
                  </w:r>
                  <w:r>
                    <w:rPr>
                      <w:rFonts w:hint="eastAsia" w:ascii="Times New Roman" w:hAnsi="Times New Roman" w:eastAsia="宋体" w:cs="Times New Roman"/>
                      <w:color w:val="auto"/>
                      <w:sz w:val="18"/>
                      <w:szCs w:val="18"/>
                      <w:highlight w:val="none"/>
                      <w:lang w:val="en-US" w:eastAsia="zh-CN"/>
                    </w:rPr>
                    <w:t>）</w:t>
                  </w:r>
                </w:p>
              </w:tc>
              <w:tc>
                <w:tcPr>
                  <w:tcW w:w="813" w:type="pct"/>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30</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color w:val="auto"/>
                      <w:sz w:val="18"/>
                      <w:szCs w:val="18"/>
                      <w:highlight w:val="none"/>
                    </w:rPr>
                  </w:pPr>
                  <w:r>
                    <w:rPr>
                      <w:color w:val="auto"/>
                      <w:sz w:val="18"/>
                      <w:szCs w:val="18"/>
                      <w:highlight w:val="none"/>
                    </w:rPr>
                    <w:t>5</w:t>
                  </w:r>
                </w:p>
              </w:tc>
              <w:tc>
                <w:tcPr>
                  <w:tcW w:w="1126"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悬浮物（SS）</w:t>
                  </w:r>
                </w:p>
              </w:tc>
              <w:tc>
                <w:tcPr>
                  <w:tcW w:w="813" w:type="pct"/>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60</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color w:val="auto"/>
                      <w:sz w:val="18"/>
                      <w:szCs w:val="18"/>
                      <w:highlight w:val="none"/>
                    </w:rPr>
                  </w:pPr>
                  <w:r>
                    <w:rPr>
                      <w:color w:val="auto"/>
                      <w:sz w:val="18"/>
                      <w:szCs w:val="18"/>
                      <w:highlight w:val="none"/>
                    </w:rPr>
                    <w:t>6</w:t>
                  </w:r>
                </w:p>
              </w:tc>
              <w:tc>
                <w:tcPr>
                  <w:tcW w:w="1126"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动植物油/</w:t>
                  </w:r>
                </w:p>
              </w:tc>
              <w:tc>
                <w:tcPr>
                  <w:tcW w:w="813" w:type="pct"/>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15</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color w:val="auto"/>
                      <w:sz w:val="18"/>
                      <w:szCs w:val="18"/>
                      <w:highlight w:val="none"/>
                    </w:rPr>
                  </w:pPr>
                  <w:r>
                    <w:rPr>
                      <w:color w:val="auto"/>
                      <w:sz w:val="18"/>
                      <w:szCs w:val="18"/>
                      <w:highlight w:val="none"/>
                    </w:rPr>
                    <w:t>7</w:t>
                  </w:r>
                </w:p>
              </w:tc>
              <w:tc>
                <w:tcPr>
                  <w:tcW w:w="1126"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石油类</w:t>
                  </w:r>
                </w:p>
              </w:tc>
              <w:tc>
                <w:tcPr>
                  <w:tcW w:w="813" w:type="pct"/>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10</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126" w:type="pct"/>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阴离子表面活性剂</w:t>
                  </w:r>
                </w:p>
              </w:tc>
              <w:tc>
                <w:tcPr>
                  <w:tcW w:w="813" w:type="pct"/>
                  <w:vAlign w:val="center"/>
                </w:tcPr>
                <w:p>
                  <w:pPr>
                    <w:jc w:val="center"/>
                    <w:rPr>
                      <w:rFonts w:hint="default" w:ascii="Times New Roman" w:hAnsi="Times New Roman" w:eastAsia="宋体" w:cs="Times New Roman"/>
                      <w:color w:val="auto"/>
                      <w:sz w:val="18"/>
                      <w:szCs w:val="18"/>
                      <w:highlight w:val="none"/>
                      <w:lang w:val="en-US" w:eastAsia="zh-CN"/>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10</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126"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挥发酚</w:t>
                  </w:r>
                </w:p>
              </w:tc>
              <w:tc>
                <w:tcPr>
                  <w:tcW w:w="813"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0.5</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126"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氨氮（NH</w:t>
                  </w:r>
                  <w:r>
                    <w:rPr>
                      <w:rFonts w:hint="eastAsia" w:ascii="Times New Roman" w:hAnsi="Times New Roman" w:eastAsia="宋体" w:cs="Times New Roman"/>
                      <w:color w:val="auto"/>
                      <w:sz w:val="18"/>
                      <w:szCs w:val="18"/>
                      <w:highlight w:val="none"/>
                      <w:vertAlign w:val="subscript"/>
                      <w:lang w:val="en-US" w:eastAsia="zh-CN"/>
                    </w:rPr>
                    <w:t>3</w:t>
                  </w:r>
                  <w:r>
                    <w:rPr>
                      <w:rFonts w:hint="eastAsia" w:ascii="Times New Roman" w:hAnsi="Times New Roman" w:eastAsia="宋体" w:cs="Times New Roman"/>
                      <w:color w:val="auto"/>
                      <w:sz w:val="18"/>
                      <w:szCs w:val="18"/>
                      <w:highlight w:val="none"/>
                      <w:lang w:val="en-US" w:eastAsia="zh-CN"/>
                    </w:rPr>
                    <w:t>-N）</w:t>
                  </w:r>
                </w:p>
              </w:tc>
              <w:tc>
                <w:tcPr>
                  <w:tcW w:w="813"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25</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126"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总余氯</w:t>
                  </w:r>
                </w:p>
              </w:tc>
              <w:tc>
                <w:tcPr>
                  <w:tcW w:w="813"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8</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126"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总磷（以P计）</w:t>
                  </w:r>
                </w:p>
              </w:tc>
              <w:tc>
                <w:tcPr>
                  <w:tcW w:w="813"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5</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13</w:t>
                  </w:r>
                </w:p>
              </w:tc>
              <w:tc>
                <w:tcPr>
                  <w:tcW w:w="1126"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氟化物（以F-计）</w:t>
                  </w:r>
                </w:p>
              </w:tc>
              <w:tc>
                <w:tcPr>
                  <w:tcW w:w="813"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20</w:t>
                  </w:r>
                </w:p>
              </w:tc>
              <w:tc>
                <w:tcPr>
                  <w:tcW w:w="1322" w:type="pct"/>
                  <w:vMerge w:val="continue"/>
                  <w:vAlign w:val="center"/>
                </w:tcPr>
                <w:p>
                  <w:pPr>
                    <w:jc w:val="center"/>
                    <w:rPr>
                      <w:rFonts w:hint="eastAsia" w:ascii="Times New Roman" w:hAnsi="Times New Roman" w:eastAsia="宋体" w:cs="Times New Roman"/>
                      <w:color w:val="auto"/>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15" w:type="pct"/>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14</w:t>
                  </w:r>
                </w:p>
              </w:tc>
              <w:tc>
                <w:tcPr>
                  <w:tcW w:w="1126" w:type="pct"/>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溶解性总固体</w:t>
                  </w:r>
                </w:p>
              </w:tc>
              <w:tc>
                <w:tcPr>
                  <w:tcW w:w="813" w:type="pct"/>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mg/L</w:t>
                  </w:r>
                </w:p>
              </w:tc>
              <w:tc>
                <w:tcPr>
                  <w:tcW w:w="1322" w:type="pct"/>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2000</w:t>
                  </w:r>
                </w:p>
              </w:tc>
              <w:tc>
                <w:tcPr>
                  <w:tcW w:w="1322" w:type="pct"/>
                  <w:vAlign w:val="center"/>
                </w:tcPr>
                <w:p>
                  <w:pPr>
                    <w:jc w:val="center"/>
                    <w:rPr>
                      <w:rFonts w:hint="eastAsia" w:cs="Times New Roman"/>
                      <w:color w:val="auto"/>
                      <w:sz w:val="18"/>
                      <w:szCs w:val="18"/>
                      <w:highlight w:val="none"/>
                      <w:lang w:val="en-US" w:eastAsia="zh-CN"/>
                    </w:rPr>
                  </w:pPr>
                  <w:r>
                    <w:rPr>
                      <w:rFonts w:hint="eastAsia" w:cs="Times New Roman"/>
                      <w:color w:val="auto"/>
                      <w:sz w:val="18"/>
                      <w:szCs w:val="18"/>
                      <w:highlight w:val="none"/>
                      <w:lang w:val="en-US" w:eastAsia="zh-CN"/>
                    </w:rPr>
                    <w:t>《污水排入城镇下水道水质标准》（GB/T31962-2015）表1中B等级标准</w:t>
                  </w:r>
                </w:p>
              </w:tc>
            </w:tr>
          </w:tbl>
          <w:p>
            <w:pPr>
              <w:spacing w:line="360" w:lineRule="auto"/>
              <w:ind w:firstLine="420" w:firstLineChars="200"/>
              <w:jc w:val="left"/>
              <w:rPr>
                <w:color w:val="auto"/>
                <w:highlight w:val="none"/>
              </w:rPr>
            </w:pPr>
            <w:r>
              <w:rPr>
                <w:color w:val="auto"/>
                <w:highlight w:val="none"/>
              </w:rPr>
              <w:t>3、噪声：</w:t>
            </w:r>
          </w:p>
          <w:p>
            <w:pPr>
              <w:spacing w:line="360" w:lineRule="auto"/>
              <w:ind w:firstLine="420" w:firstLineChars="200"/>
              <w:jc w:val="left"/>
              <w:rPr>
                <w:rFonts w:hint="eastAsia" w:ascii="Times New Roman" w:hAnsi="Times New Roman" w:cs="Times New Roman"/>
                <w:color w:val="auto"/>
                <w:highlight w:val="none"/>
              </w:rPr>
            </w:pPr>
            <w:r>
              <w:rPr>
                <w:rFonts w:hint="eastAsia" w:ascii="Times New Roman" w:hAnsi="Times New Roman" w:cs="Times New Roman"/>
                <w:color w:val="auto"/>
                <w:highlight w:val="none"/>
              </w:rPr>
              <w:t>(1)</w:t>
            </w:r>
            <w:r>
              <w:rPr>
                <w:rFonts w:ascii="Times New Roman" w:hAnsi="Times New Roman" w:cs="Times New Roman"/>
                <w:color w:val="auto"/>
                <w:highlight w:val="none"/>
              </w:rPr>
              <w:t>施工期</w:t>
            </w:r>
          </w:p>
          <w:p>
            <w:pPr>
              <w:spacing w:line="360" w:lineRule="auto"/>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执行《建筑施工场界环境噪声排放标准》（GB12523-2011）表1中排放标准要求。</w:t>
            </w:r>
          </w:p>
          <w:p>
            <w:pPr>
              <w:autoSpaceDE w:val="0"/>
              <w:autoSpaceDN w:val="0"/>
              <w:adjustRightInd w:val="0"/>
              <w:snapToGrid w:val="0"/>
              <w:jc w:val="center"/>
              <w:rPr>
                <w:rFonts w:ascii="Times New Roman" w:hAnsi="Times New Roman" w:cs="Times New Roman"/>
                <w:b/>
                <w:bCs/>
                <w:color w:val="auto"/>
                <w:kern w:val="0"/>
                <w:szCs w:val="21"/>
                <w:highlight w:val="none"/>
              </w:rPr>
            </w:pPr>
            <w:r>
              <w:rPr>
                <w:rFonts w:ascii="Times New Roman" w:hAnsi="Times New Roman" w:cs="Times New Roman"/>
                <w:b/>
                <w:bCs/>
                <w:color w:val="auto"/>
                <w:kern w:val="0"/>
                <w:szCs w:val="21"/>
                <w:highlight w:val="none"/>
              </w:rPr>
              <w:t>表</w:t>
            </w:r>
            <w:r>
              <w:rPr>
                <w:rFonts w:hint="eastAsia" w:ascii="Times New Roman" w:hAnsi="Times New Roman" w:cs="Times New Roman"/>
                <w:b/>
                <w:bCs/>
                <w:color w:val="auto"/>
                <w:kern w:val="0"/>
                <w:szCs w:val="21"/>
                <w:highlight w:val="none"/>
              </w:rPr>
              <w:t>3-</w:t>
            </w:r>
            <w:r>
              <w:rPr>
                <w:rFonts w:hint="eastAsia" w:ascii="Times New Roman" w:hAnsi="Times New Roman" w:cs="Times New Roman"/>
                <w:b/>
                <w:bCs/>
                <w:color w:val="auto"/>
                <w:kern w:val="0"/>
                <w:szCs w:val="21"/>
                <w:highlight w:val="none"/>
                <w:lang w:val="en-US" w:eastAsia="zh-CN"/>
              </w:rPr>
              <w:t>7</w:t>
            </w:r>
            <w:r>
              <w:rPr>
                <w:rFonts w:ascii="Times New Roman" w:hAnsi="Times New Roman" w:cs="Times New Roman"/>
                <w:b/>
                <w:bCs/>
                <w:color w:val="auto"/>
                <w:kern w:val="0"/>
                <w:szCs w:val="21"/>
                <w:highlight w:val="none"/>
              </w:rPr>
              <w:t xml:space="preserve">  建筑施工场界环境噪声排放标准    单位：dB（A）</w:t>
            </w:r>
          </w:p>
          <w:tbl>
            <w:tblPr>
              <w:tblStyle w:val="27"/>
              <w:tblW w:w="4999"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0" w:type="dxa"/>
                <w:bottom w:w="0" w:type="dxa"/>
                <w:right w:w="0" w:type="dxa"/>
              </w:tblCellMar>
            </w:tblPr>
            <w:tblGrid>
              <w:gridCol w:w="4601"/>
              <w:gridCol w:w="372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763" w:type="pct"/>
                  <w:noWrap w:val="0"/>
                  <w:vAlign w:val="center"/>
                </w:tcPr>
                <w:p>
                  <w:pPr>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昼间</w:t>
                  </w:r>
                </w:p>
              </w:tc>
              <w:tc>
                <w:tcPr>
                  <w:tcW w:w="2236" w:type="pct"/>
                  <w:noWrap w:val="0"/>
                  <w:vAlign w:val="center"/>
                </w:tcPr>
                <w:p>
                  <w:pPr>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夜间</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763" w:type="pct"/>
                  <w:noWrap w:val="0"/>
                  <w:vAlign w:val="center"/>
                </w:tcPr>
                <w:p>
                  <w:pPr>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70</w:t>
                  </w:r>
                </w:p>
              </w:tc>
              <w:tc>
                <w:tcPr>
                  <w:tcW w:w="2236" w:type="pct"/>
                  <w:noWrap w:val="0"/>
                  <w:vAlign w:val="center"/>
                </w:tcPr>
                <w:p>
                  <w:pPr>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55</w:t>
                  </w:r>
                </w:p>
              </w:tc>
            </w:tr>
          </w:tbl>
          <w:p>
            <w:pPr>
              <w:spacing w:line="360" w:lineRule="auto"/>
              <w:ind w:firstLine="420" w:firstLineChars="200"/>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营运期</w:t>
            </w:r>
          </w:p>
          <w:p>
            <w:pPr>
              <w:spacing w:line="360" w:lineRule="auto"/>
              <w:ind w:firstLine="420" w:firstLineChars="200"/>
              <w:jc w:val="left"/>
              <w:rPr>
                <w:color w:val="auto"/>
                <w:highlight w:val="none"/>
              </w:rPr>
            </w:pPr>
            <w:r>
              <w:rPr>
                <w:rFonts w:hint="eastAsia"/>
                <w:color w:val="auto"/>
                <w:highlight w:val="none"/>
                <w:lang w:val="en-US" w:eastAsia="zh-CN"/>
              </w:rPr>
              <w:t>院区北、南、东厂界</w:t>
            </w:r>
            <w:r>
              <w:rPr>
                <w:color w:val="auto"/>
                <w:highlight w:val="none"/>
              </w:rPr>
              <w:t>厂界噪声执行《工业企业厂界环境噪声排放标准》（GB 2348-2008）中1类标准（昼间≤55dB（A）、夜间≤45dB（A））</w:t>
            </w:r>
            <w:r>
              <w:rPr>
                <w:rFonts w:hint="eastAsia"/>
                <w:color w:val="auto"/>
                <w:highlight w:val="none"/>
                <w:lang w:eastAsia="zh-CN"/>
              </w:rPr>
              <w:t>，</w:t>
            </w:r>
            <w:r>
              <w:rPr>
                <w:rFonts w:hint="eastAsia"/>
                <w:color w:val="auto"/>
                <w:highlight w:val="none"/>
                <w:lang w:val="en-US" w:eastAsia="zh-CN"/>
              </w:rPr>
              <w:t>院区西厂界邻近原山大道执行4类标准</w:t>
            </w:r>
            <w:r>
              <w:rPr>
                <w:color w:val="auto"/>
                <w:highlight w:val="none"/>
              </w:rPr>
              <w:t>（昼间≤</w:t>
            </w:r>
            <w:r>
              <w:rPr>
                <w:rFonts w:hint="eastAsia"/>
                <w:color w:val="auto"/>
                <w:highlight w:val="none"/>
                <w:lang w:val="en-US" w:eastAsia="zh-CN"/>
              </w:rPr>
              <w:t>70</w:t>
            </w:r>
            <w:r>
              <w:rPr>
                <w:color w:val="auto"/>
                <w:highlight w:val="none"/>
              </w:rPr>
              <w:t>dB（A）、夜间≤</w:t>
            </w:r>
            <w:r>
              <w:rPr>
                <w:rFonts w:hint="eastAsia"/>
                <w:color w:val="auto"/>
                <w:highlight w:val="none"/>
                <w:lang w:val="en-US" w:eastAsia="zh-CN"/>
              </w:rPr>
              <w:t>55</w:t>
            </w:r>
            <w:r>
              <w:rPr>
                <w:color w:val="auto"/>
                <w:highlight w:val="none"/>
              </w:rPr>
              <w:t>dB（A））。</w:t>
            </w:r>
          </w:p>
          <w:p>
            <w:pPr>
              <w:spacing w:line="360" w:lineRule="auto"/>
              <w:ind w:firstLine="420" w:firstLineChars="200"/>
              <w:jc w:val="left"/>
              <w:rPr>
                <w:color w:val="auto"/>
                <w:highlight w:val="none"/>
              </w:rPr>
            </w:pPr>
            <w:r>
              <w:rPr>
                <w:color w:val="auto"/>
                <w:highlight w:val="none"/>
              </w:rPr>
              <w:t>4、固废：</w:t>
            </w:r>
          </w:p>
          <w:p>
            <w:pPr>
              <w:pStyle w:val="9"/>
              <w:spacing w:line="360" w:lineRule="auto"/>
              <w:ind w:firstLine="420" w:firstLineChars="200"/>
              <w:rPr>
                <w:color w:val="auto"/>
                <w:sz w:val="21"/>
                <w:szCs w:val="21"/>
                <w:highlight w:val="none"/>
              </w:rPr>
            </w:pPr>
            <w:r>
              <w:rPr>
                <w:color w:val="auto"/>
                <w:sz w:val="21"/>
                <w:szCs w:val="21"/>
                <w:highlight w:val="none"/>
              </w:rPr>
              <w:t>项目一般固废贮存执行《一般工业固体废物贮存和填埋污染控制标准》（GB18599-2020）标准要求；危险废物贮存执行《危险废物贮存污染控制标准》(GB18597-20</w:t>
            </w:r>
            <w:r>
              <w:rPr>
                <w:rFonts w:hint="eastAsia"/>
                <w:color w:val="auto"/>
                <w:sz w:val="21"/>
                <w:szCs w:val="21"/>
                <w:highlight w:val="none"/>
                <w:lang w:val="en-US" w:eastAsia="zh-CN"/>
              </w:rPr>
              <w:t>23</w:t>
            </w:r>
            <w:r>
              <w:rPr>
                <w:color w:val="auto"/>
                <w:sz w:val="21"/>
                <w:szCs w:val="21"/>
                <w:highlight w:val="none"/>
              </w:rPr>
              <w:t>)</w:t>
            </w:r>
            <w:r>
              <w:rPr>
                <w:rFonts w:hint="eastAsia"/>
                <w:color w:val="auto"/>
                <w:sz w:val="21"/>
                <w:szCs w:val="21"/>
                <w:highlight w:val="none"/>
                <w:lang w:val="en-US" w:eastAsia="zh-CN"/>
              </w:rPr>
              <w:t>及</w:t>
            </w:r>
            <w:r>
              <w:rPr>
                <w:color w:val="auto"/>
                <w:sz w:val="21"/>
                <w:szCs w:val="21"/>
                <w:highlight w:val="none"/>
              </w:rPr>
              <w:t>《山东省医疗机构污染物排放控制标准》（DB37/596-2020）中表3医疗机构污泥控制标准，见表3-6。</w:t>
            </w:r>
          </w:p>
          <w:p>
            <w:pPr>
              <w:autoSpaceDE w:val="0"/>
              <w:autoSpaceDN w:val="0"/>
              <w:adjustRightInd w:val="0"/>
              <w:snapToGrid w:val="0"/>
              <w:jc w:val="center"/>
              <w:rPr>
                <w:b/>
                <w:bCs/>
                <w:color w:val="auto"/>
                <w:kern w:val="0"/>
                <w:szCs w:val="21"/>
                <w:highlight w:val="none"/>
              </w:rPr>
            </w:pPr>
          </w:p>
          <w:p>
            <w:pPr>
              <w:autoSpaceDE w:val="0"/>
              <w:autoSpaceDN w:val="0"/>
              <w:adjustRightInd w:val="0"/>
              <w:snapToGrid w:val="0"/>
              <w:jc w:val="center"/>
              <w:rPr>
                <w:b/>
                <w:bCs/>
                <w:color w:val="auto"/>
                <w:kern w:val="0"/>
                <w:szCs w:val="21"/>
                <w:highlight w:val="none"/>
                <w:lang w:val="zh-CN"/>
              </w:rPr>
            </w:pPr>
            <w:r>
              <w:rPr>
                <w:b/>
                <w:bCs/>
                <w:color w:val="auto"/>
                <w:kern w:val="0"/>
                <w:szCs w:val="21"/>
                <w:highlight w:val="none"/>
              </w:rPr>
              <w:t>表3-</w:t>
            </w:r>
            <w:r>
              <w:rPr>
                <w:rFonts w:hint="eastAsia"/>
                <w:b/>
                <w:bCs/>
                <w:color w:val="auto"/>
                <w:kern w:val="0"/>
                <w:szCs w:val="21"/>
                <w:highlight w:val="none"/>
                <w:lang w:val="en-US" w:eastAsia="zh-CN"/>
              </w:rPr>
              <w:t>8</w:t>
            </w:r>
            <w:r>
              <w:rPr>
                <w:b/>
                <w:bCs/>
                <w:color w:val="auto"/>
                <w:kern w:val="0"/>
                <w:szCs w:val="21"/>
                <w:highlight w:val="none"/>
              </w:rPr>
              <w:t xml:space="preserve">  医疗机构污泥控制标准</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2444"/>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6" w:type="dxa"/>
                  <w:vAlign w:val="center"/>
                </w:tcPr>
                <w:p>
                  <w:pPr>
                    <w:jc w:val="center"/>
                    <w:rPr>
                      <w:color w:val="auto"/>
                      <w:sz w:val="18"/>
                      <w:szCs w:val="18"/>
                      <w:highlight w:val="none"/>
                    </w:rPr>
                  </w:pPr>
                  <w:r>
                    <w:rPr>
                      <w:color w:val="auto"/>
                      <w:sz w:val="18"/>
                      <w:szCs w:val="18"/>
                      <w:highlight w:val="none"/>
                    </w:rPr>
                    <w:t>医疗机构类别</w:t>
                  </w:r>
                </w:p>
              </w:tc>
              <w:tc>
                <w:tcPr>
                  <w:tcW w:w="1644" w:type="dxa"/>
                  <w:vAlign w:val="center"/>
                </w:tcPr>
                <w:p>
                  <w:pPr>
                    <w:jc w:val="center"/>
                    <w:rPr>
                      <w:color w:val="auto"/>
                      <w:sz w:val="18"/>
                      <w:szCs w:val="18"/>
                      <w:highlight w:val="none"/>
                    </w:rPr>
                  </w:pPr>
                  <w:r>
                    <w:rPr>
                      <w:color w:val="auto"/>
                      <w:sz w:val="18"/>
                      <w:szCs w:val="18"/>
                      <w:highlight w:val="none"/>
                    </w:rPr>
                    <w:t>粪大肠菌群数（MPN/g）</w:t>
                  </w:r>
                </w:p>
              </w:tc>
              <w:tc>
                <w:tcPr>
                  <w:tcW w:w="1950" w:type="dxa"/>
                  <w:vAlign w:val="center"/>
                </w:tcPr>
                <w:p>
                  <w:pPr>
                    <w:jc w:val="center"/>
                    <w:rPr>
                      <w:color w:val="auto"/>
                      <w:sz w:val="18"/>
                      <w:szCs w:val="18"/>
                      <w:highlight w:val="none"/>
                    </w:rPr>
                  </w:pPr>
                  <w:r>
                    <w:rPr>
                      <w:color w:val="auto"/>
                      <w:sz w:val="18"/>
                      <w:szCs w:val="18"/>
                      <w:highlight w:val="none"/>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06" w:type="dxa"/>
                  <w:vAlign w:val="center"/>
                </w:tcPr>
                <w:p>
                  <w:pPr>
                    <w:jc w:val="center"/>
                    <w:rPr>
                      <w:color w:val="auto"/>
                      <w:sz w:val="18"/>
                      <w:szCs w:val="18"/>
                      <w:highlight w:val="none"/>
                    </w:rPr>
                  </w:pPr>
                  <w:r>
                    <w:rPr>
                      <w:color w:val="auto"/>
                      <w:sz w:val="18"/>
                      <w:szCs w:val="18"/>
                      <w:highlight w:val="none"/>
                    </w:rPr>
                    <w:t>综合医疗机构和其他医疗机构</w:t>
                  </w:r>
                </w:p>
              </w:tc>
              <w:tc>
                <w:tcPr>
                  <w:tcW w:w="1644" w:type="dxa"/>
                  <w:vAlign w:val="center"/>
                </w:tcPr>
                <w:p>
                  <w:pPr>
                    <w:jc w:val="center"/>
                    <w:rPr>
                      <w:color w:val="auto"/>
                      <w:sz w:val="18"/>
                      <w:szCs w:val="18"/>
                      <w:highlight w:val="none"/>
                    </w:rPr>
                  </w:pPr>
                  <w:r>
                    <w:rPr>
                      <w:color w:val="auto"/>
                      <w:sz w:val="18"/>
                      <w:szCs w:val="18"/>
                      <w:highlight w:val="none"/>
                    </w:rPr>
                    <w:t>≤100</w:t>
                  </w:r>
                </w:p>
              </w:tc>
              <w:tc>
                <w:tcPr>
                  <w:tcW w:w="1950" w:type="dxa"/>
                  <w:vAlign w:val="center"/>
                </w:tcPr>
                <w:p>
                  <w:pPr>
                    <w:jc w:val="center"/>
                    <w:rPr>
                      <w:color w:val="auto"/>
                      <w:sz w:val="18"/>
                      <w:szCs w:val="18"/>
                      <w:highlight w:val="none"/>
                    </w:rPr>
                  </w:pPr>
                  <w:r>
                    <w:rPr>
                      <w:color w:val="auto"/>
                      <w:sz w:val="18"/>
                      <w:szCs w:val="18"/>
                      <w:highlight w:val="none"/>
                    </w:rPr>
                    <w:t>＞95</w:t>
                  </w:r>
                </w:p>
              </w:tc>
            </w:tr>
          </w:tbl>
          <w:p>
            <w:pPr>
              <w:autoSpaceDE w:val="0"/>
              <w:autoSpaceDN w:val="0"/>
              <w:adjustRightInd w:val="0"/>
              <w:snapToGrid w:val="0"/>
              <w:spacing w:line="360" w:lineRule="auto"/>
              <w:ind w:firstLine="420" w:firstLineChars="200"/>
              <w:jc w:val="left"/>
              <w:rPr>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38" w:type="dxa"/>
            <w:vAlign w:val="center"/>
          </w:tcPr>
          <w:p>
            <w:pPr>
              <w:adjustRightInd w:val="0"/>
              <w:snapToGrid w:val="0"/>
              <w:jc w:val="center"/>
              <w:rPr>
                <w:color w:val="auto"/>
                <w:kern w:val="0"/>
                <w:szCs w:val="21"/>
                <w:highlight w:val="none"/>
              </w:rPr>
            </w:pPr>
            <w:r>
              <w:rPr>
                <w:color w:val="auto"/>
                <w:kern w:val="0"/>
                <w:szCs w:val="21"/>
                <w:highlight w:val="none"/>
              </w:rPr>
              <w:t>总量</w:t>
            </w:r>
          </w:p>
          <w:p>
            <w:pPr>
              <w:adjustRightInd w:val="0"/>
              <w:snapToGrid w:val="0"/>
              <w:jc w:val="center"/>
              <w:rPr>
                <w:color w:val="auto"/>
                <w:kern w:val="0"/>
                <w:szCs w:val="21"/>
                <w:highlight w:val="none"/>
              </w:rPr>
            </w:pPr>
            <w:r>
              <w:rPr>
                <w:color w:val="auto"/>
                <w:kern w:val="0"/>
                <w:szCs w:val="21"/>
                <w:highlight w:val="none"/>
              </w:rPr>
              <w:t>控制</w:t>
            </w:r>
          </w:p>
          <w:p>
            <w:pPr>
              <w:adjustRightInd w:val="0"/>
              <w:snapToGrid w:val="0"/>
              <w:jc w:val="center"/>
              <w:rPr>
                <w:color w:val="auto"/>
                <w:kern w:val="0"/>
                <w:szCs w:val="21"/>
                <w:highlight w:val="none"/>
              </w:rPr>
            </w:pPr>
            <w:r>
              <w:rPr>
                <w:color w:val="auto"/>
                <w:kern w:val="0"/>
                <w:szCs w:val="21"/>
                <w:highlight w:val="none"/>
              </w:rPr>
              <w:t>指标</w:t>
            </w:r>
          </w:p>
        </w:tc>
        <w:tc>
          <w:tcPr>
            <w:tcW w:w="8552" w:type="dxa"/>
            <w:vAlign w:val="center"/>
          </w:tcPr>
          <w:p>
            <w:pPr>
              <w:spacing w:line="360" w:lineRule="auto"/>
              <w:ind w:firstLine="527" w:firstLineChars="250"/>
              <w:rPr>
                <w:b/>
                <w:bCs/>
                <w:color w:val="auto"/>
                <w:szCs w:val="21"/>
                <w:highlight w:val="none"/>
              </w:rPr>
            </w:pPr>
            <w:r>
              <w:rPr>
                <w:b/>
                <w:bCs/>
                <w:color w:val="auto"/>
                <w:szCs w:val="21"/>
                <w:highlight w:val="none"/>
              </w:rPr>
              <w:t>1、与排污许可制度的衔接</w:t>
            </w:r>
          </w:p>
          <w:p>
            <w:pPr>
              <w:spacing w:line="360" w:lineRule="auto"/>
              <w:ind w:firstLine="525" w:firstLineChars="25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根据《固定污染源排污许可分类管理名录》（</w:t>
            </w:r>
            <w:r>
              <w:rPr>
                <w:rFonts w:ascii="Times New Roman" w:hAnsi="Times New Roman" w:eastAsia="宋体" w:cs="Times New Roman"/>
                <w:color w:val="auto"/>
                <w:highlight w:val="none"/>
              </w:rPr>
              <w:t xml:space="preserve">2019 </w:t>
            </w:r>
            <w:r>
              <w:rPr>
                <w:rFonts w:hint="eastAsia" w:ascii="Times New Roman" w:hAnsi="Times New Roman" w:eastAsia="宋体" w:cs="Times New Roman"/>
                <w:color w:val="auto"/>
                <w:highlight w:val="none"/>
              </w:rPr>
              <w:t>年版），本项目</w:t>
            </w:r>
            <w:r>
              <w:rPr>
                <w:rFonts w:hint="eastAsia" w:ascii="Times New Roman" w:hAnsi="Times New Roman" w:eastAsia="宋体" w:cs="Times New Roman"/>
                <w:color w:val="auto"/>
                <w:highlight w:val="none"/>
                <w:lang w:val="en-US" w:eastAsia="zh-CN"/>
              </w:rPr>
              <w:t>建成后院区床位数为500张，</w:t>
            </w:r>
            <w:r>
              <w:rPr>
                <w:rFonts w:hint="eastAsia" w:ascii="Times New Roman" w:hAnsi="Times New Roman" w:eastAsia="宋体" w:cs="Times New Roman"/>
                <w:color w:val="auto"/>
                <w:highlight w:val="none"/>
              </w:rPr>
              <w:t xml:space="preserve">属于“四十九、卫生 84  </w:t>
            </w:r>
            <w:r>
              <w:rPr>
                <w:rFonts w:ascii="Times New Roman" w:hAnsi="Times New Roman" w:eastAsia="宋体" w:cs="Times New Roman"/>
                <w:color w:val="auto"/>
                <w:highlight w:val="none"/>
              </w:rPr>
              <w:t>10</w:t>
            </w:r>
            <w:r>
              <w:rPr>
                <w:rFonts w:hint="eastAsia" w:ascii="Times New Roman" w:hAnsi="Times New Roman" w:eastAsia="宋体" w:cs="Times New Roman"/>
                <w:color w:val="auto"/>
                <w:highlight w:val="none"/>
              </w:rPr>
              <w:t>7医院 841，专业公共卫生服务 843”中的“</w:t>
            </w:r>
            <w:r>
              <w:rPr>
                <w:rFonts w:hint="eastAsia" w:ascii="Times New Roman" w:hAnsi="Times New Roman" w:eastAsia="宋体" w:cs="Times New Roman"/>
                <w:color w:val="auto"/>
                <w:highlight w:val="none"/>
                <w:lang w:val="en-US" w:eastAsia="zh-CN"/>
              </w:rPr>
              <w:t>床位 100 张及以上的专科医院 8415</w:t>
            </w:r>
            <w:r>
              <w:rPr>
                <w:rFonts w:hint="eastAsia" w:ascii="Times New Roman" w:hAnsi="Times New Roman" w:eastAsia="宋体" w:cs="Times New Roman"/>
                <w:color w:val="auto"/>
                <w:highlight w:val="none"/>
              </w:rPr>
              <w:t>”，实行</w:t>
            </w:r>
            <w:r>
              <w:rPr>
                <w:rFonts w:hint="eastAsia" w:ascii="Times New Roman" w:hAnsi="Times New Roman" w:eastAsia="宋体" w:cs="Times New Roman"/>
                <w:color w:val="auto"/>
                <w:highlight w:val="none"/>
                <w:lang w:val="en-US" w:eastAsia="zh-CN"/>
              </w:rPr>
              <w:t>简化</w:t>
            </w:r>
            <w:r>
              <w:rPr>
                <w:rFonts w:hint="eastAsia" w:ascii="Times New Roman" w:hAnsi="Times New Roman" w:eastAsia="宋体" w:cs="Times New Roman"/>
                <w:color w:val="auto"/>
                <w:highlight w:val="none"/>
              </w:rPr>
              <w:t>管理。</w:t>
            </w:r>
          </w:p>
          <w:p>
            <w:pPr>
              <w:spacing w:line="360" w:lineRule="auto"/>
              <w:ind w:firstLine="527" w:firstLineChars="250"/>
              <w:rPr>
                <w:b/>
                <w:bCs/>
                <w:color w:val="auto"/>
                <w:szCs w:val="21"/>
                <w:highlight w:val="none"/>
              </w:rPr>
            </w:pPr>
            <w:r>
              <w:rPr>
                <w:b/>
                <w:bCs/>
                <w:color w:val="auto"/>
                <w:szCs w:val="21"/>
                <w:highlight w:val="none"/>
              </w:rPr>
              <w:t>2、总量控制对象</w:t>
            </w:r>
          </w:p>
          <w:p>
            <w:pPr>
              <w:spacing w:line="360" w:lineRule="auto"/>
              <w:ind w:firstLine="525" w:firstLineChars="250"/>
              <w:rPr>
                <w:color w:val="auto"/>
                <w:highlight w:val="none"/>
              </w:rPr>
            </w:pPr>
            <w:r>
              <w:rPr>
                <w:color w:val="auto"/>
                <w:highlight w:val="none"/>
              </w:rPr>
              <w:t>根据《中华人民共和国国民经济和社会发展第十四个五年规划和2035年远景目标纲要)及《山东省国民经济和社会发展第十四个五年规划和2035年远景目标纲要》。另外根据淄博市人民政府要求，淄博市将SO</w:t>
            </w:r>
            <w:r>
              <w:rPr>
                <w:color w:val="auto"/>
                <w:highlight w:val="none"/>
                <w:vertAlign w:val="subscript"/>
              </w:rPr>
              <w:t>2</w:t>
            </w:r>
            <w:r>
              <w:rPr>
                <w:color w:val="auto"/>
                <w:highlight w:val="none"/>
              </w:rPr>
              <w:t>、烟（粉）尘、NOx、COD、氨氮和VOCs均列为总量控制项目。</w:t>
            </w:r>
          </w:p>
          <w:p>
            <w:pPr>
              <w:spacing w:line="360" w:lineRule="auto"/>
              <w:ind w:firstLine="525" w:firstLineChars="250"/>
              <w:rPr>
                <w:color w:val="auto"/>
                <w:highlight w:val="none"/>
              </w:rPr>
            </w:pPr>
            <w:r>
              <w:rPr>
                <w:color w:val="auto"/>
                <w:highlight w:val="none"/>
              </w:rPr>
              <w:t>与本项目有关的总量控制项目为COD、氨氮。</w:t>
            </w:r>
          </w:p>
          <w:p>
            <w:pPr>
              <w:spacing w:line="360" w:lineRule="auto"/>
              <w:ind w:firstLine="527" w:firstLineChars="250"/>
              <w:rPr>
                <w:b/>
                <w:color w:val="auto"/>
                <w:szCs w:val="21"/>
                <w:highlight w:val="none"/>
              </w:rPr>
            </w:pPr>
            <w:r>
              <w:rPr>
                <w:b/>
                <w:color w:val="auto"/>
                <w:szCs w:val="21"/>
                <w:highlight w:val="none"/>
              </w:rPr>
              <w:t>3、总量指标申请</w:t>
            </w:r>
          </w:p>
          <w:p>
            <w:pPr>
              <w:pStyle w:val="9"/>
              <w:spacing w:line="360" w:lineRule="auto"/>
              <w:ind w:firstLine="420" w:firstLineChars="200"/>
              <w:rPr>
                <w:color w:val="auto"/>
                <w:sz w:val="21"/>
                <w:szCs w:val="21"/>
                <w:highlight w:val="none"/>
              </w:rPr>
            </w:pPr>
            <w:r>
              <w:rPr>
                <w:color w:val="auto"/>
                <w:sz w:val="21"/>
                <w:szCs w:val="21"/>
                <w:highlight w:val="none"/>
              </w:rPr>
              <w:t>本项目外排废水量为</w:t>
            </w:r>
            <w:r>
              <w:rPr>
                <w:rFonts w:hint="eastAsia"/>
                <w:color w:val="auto"/>
                <w:sz w:val="21"/>
                <w:szCs w:val="21"/>
                <w:highlight w:val="none"/>
                <w:lang w:eastAsia="zh-CN"/>
              </w:rPr>
              <w:t>58292.36</w:t>
            </w:r>
            <w:r>
              <w:rPr>
                <w:color w:val="auto"/>
                <w:sz w:val="21"/>
                <w:szCs w:val="21"/>
                <w:highlight w:val="none"/>
              </w:rPr>
              <w:t>m</w:t>
            </w:r>
            <w:r>
              <w:rPr>
                <w:color w:val="auto"/>
                <w:sz w:val="21"/>
                <w:szCs w:val="21"/>
                <w:highlight w:val="none"/>
                <w:vertAlign w:val="superscript"/>
              </w:rPr>
              <w:t>3</w:t>
            </w:r>
            <w:r>
              <w:rPr>
                <w:color w:val="auto"/>
                <w:sz w:val="21"/>
                <w:szCs w:val="21"/>
                <w:highlight w:val="none"/>
              </w:rPr>
              <w:t>/a，项目废水经厂区污水处理站处理后，经市政污水管网排入光大水务（淄博）有限公司</w:t>
            </w:r>
            <w:r>
              <w:rPr>
                <w:rFonts w:hint="eastAsia"/>
                <w:color w:val="auto"/>
                <w:sz w:val="21"/>
                <w:szCs w:val="21"/>
                <w:highlight w:val="none"/>
                <w:lang w:eastAsia="zh-CN"/>
              </w:rPr>
              <w:t>一分厂</w:t>
            </w:r>
            <w:r>
              <w:rPr>
                <w:color w:val="auto"/>
                <w:sz w:val="21"/>
                <w:szCs w:val="21"/>
                <w:highlight w:val="none"/>
              </w:rPr>
              <w:t>处理后达标排放，</w:t>
            </w:r>
            <w:r>
              <w:rPr>
                <w:rFonts w:hint="eastAsia"/>
                <w:color w:val="auto"/>
                <w:sz w:val="21"/>
                <w:szCs w:val="21"/>
                <w:highlight w:val="none"/>
                <w:lang w:val="en-US" w:eastAsia="zh-CN"/>
              </w:rPr>
              <w:t>排入下级污水处理厂的</w:t>
            </w:r>
            <w:r>
              <w:rPr>
                <w:color w:val="auto"/>
                <w:sz w:val="21"/>
                <w:szCs w:val="21"/>
                <w:highlight w:val="none"/>
              </w:rPr>
              <w:t>COD</w:t>
            </w:r>
            <w:r>
              <w:rPr>
                <w:rFonts w:hint="eastAsia"/>
                <w:color w:val="auto"/>
                <w:sz w:val="21"/>
                <w:szCs w:val="21"/>
                <w:highlight w:val="none"/>
                <w:lang w:eastAsia="zh-CN"/>
              </w:rPr>
              <w:t>（</w:t>
            </w:r>
            <w:r>
              <w:rPr>
                <w:rFonts w:hint="eastAsia"/>
                <w:color w:val="auto"/>
                <w:sz w:val="21"/>
                <w:szCs w:val="21"/>
                <w:highlight w:val="none"/>
                <w:lang w:val="en-US" w:eastAsia="zh-CN"/>
              </w:rPr>
              <w:t>内控</w:t>
            </w:r>
            <w:r>
              <w:rPr>
                <w:rFonts w:hint="eastAsia"/>
                <w:color w:val="auto"/>
                <w:sz w:val="21"/>
                <w:szCs w:val="21"/>
                <w:highlight w:val="none"/>
                <w:lang w:eastAsia="zh-CN"/>
              </w:rPr>
              <w:t>）</w:t>
            </w:r>
            <w:r>
              <w:rPr>
                <w:color w:val="auto"/>
                <w:sz w:val="21"/>
                <w:szCs w:val="21"/>
                <w:highlight w:val="none"/>
              </w:rPr>
              <w:t>、氨氮</w:t>
            </w:r>
            <w:r>
              <w:rPr>
                <w:rFonts w:hint="eastAsia"/>
                <w:color w:val="auto"/>
                <w:sz w:val="21"/>
                <w:szCs w:val="21"/>
                <w:highlight w:val="none"/>
                <w:lang w:eastAsia="zh-CN"/>
              </w:rPr>
              <w:t>（</w:t>
            </w:r>
            <w:r>
              <w:rPr>
                <w:rFonts w:hint="eastAsia"/>
                <w:color w:val="auto"/>
                <w:sz w:val="21"/>
                <w:szCs w:val="21"/>
                <w:highlight w:val="none"/>
                <w:lang w:val="en-US" w:eastAsia="zh-CN"/>
              </w:rPr>
              <w:t>内控</w:t>
            </w:r>
            <w:r>
              <w:rPr>
                <w:rFonts w:hint="eastAsia"/>
                <w:color w:val="auto"/>
                <w:sz w:val="21"/>
                <w:szCs w:val="21"/>
                <w:highlight w:val="none"/>
                <w:lang w:eastAsia="zh-CN"/>
              </w:rPr>
              <w:t>）</w:t>
            </w:r>
            <w:r>
              <w:rPr>
                <w:color w:val="auto"/>
                <w:sz w:val="21"/>
                <w:szCs w:val="21"/>
                <w:highlight w:val="none"/>
              </w:rPr>
              <w:t>量</w:t>
            </w:r>
            <w:r>
              <w:rPr>
                <w:rFonts w:hint="eastAsia"/>
                <w:color w:val="auto"/>
                <w:sz w:val="21"/>
                <w:szCs w:val="21"/>
                <w:highlight w:val="none"/>
                <w:lang w:val="en-US" w:eastAsia="zh-CN"/>
              </w:rPr>
              <w:t>分别为5.05</w:t>
            </w:r>
            <w:r>
              <w:rPr>
                <w:color w:val="auto"/>
                <w:sz w:val="21"/>
                <w:szCs w:val="21"/>
                <w:highlight w:val="none"/>
              </w:rPr>
              <w:t>t/a</w:t>
            </w:r>
            <w:r>
              <w:rPr>
                <w:rFonts w:hint="eastAsia"/>
                <w:color w:val="auto"/>
                <w:sz w:val="21"/>
                <w:szCs w:val="21"/>
                <w:highlight w:val="none"/>
                <w:lang w:eastAsia="zh-CN"/>
              </w:rPr>
              <w:t>，</w:t>
            </w:r>
            <w:r>
              <w:rPr>
                <w:rFonts w:hint="eastAsia"/>
                <w:color w:val="auto"/>
                <w:sz w:val="21"/>
                <w:szCs w:val="21"/>
                <w:highlight w:val="none"/>
                <w:lang w:val="en-US" w:eastAsia="zh-CN"/>
              </w:rPr>
              <w:t>0.88</w:t>
            </w:r>
            <w:r>
              <w:rPr>
                <w:color w:val="auto"/>
                <w:sz w:val="21"/>
                <w:szCs w:val="21"/>
                <w:highlight w:val="none"/>
              </w:rPr>
              <w:t>t/a</w:t>
            </w:r>
            <w:r>
              <w:rPr>
                <w:rFonts w:hint="eastAsia"/>
                <w:color w:val="auto"/>
                <w:sz w:val="21"/>
                <w:szCs w:val="21"/>
                <w:highlight w:val="none"/>
                <w:lang w:eastAsia="zh-CN"/>
              </w:rPr>
              <w:t>。</w:t>
            </w:r>
            <w:r>
              <w:rPr>
                <w:color w:val="auto"/>
                <w:sz w:val="21"/>
                <w:szCs w:val="21"/>
                <w:highlight w:val="none"/>
              </w:rPr>
              <w:t xml:space="preserve">最终外排环境的COD、氨氮量（外排COD、氨氮浓度分别以40mg/L、2mg/L计）分别为COD </w:t>
            </w:r>
            <w:r>
              <w:rPr>
                <w:rFonts w:hint="eastAsia"/>
                <w:color w:val="auto"/>
                <w:sz w:val="21"/>
                <w:szCs w:val="21"/>
                <w:highlight w:val="none"/>
                <w:lang w:val="en-US" w:eastAsia="zh-CN"/>
              </w:rPr>
              <w:t>2.253</w:t>
            </w:r>
            <w:r>
              <w:rPr>
                <w:color w:val="auto"/>
                <w:sz w:val="21"/>
                <w:szCs w:val="21"/>
                <w:highlight w:val="none"/>
              </w:rPr>
              <w:t>t/a、氨氮</w:t>
            </w:r>
            <w:r>
              <w:rPr>
                <w:rFonts w:hint="eastAsia"/>
                <w:color w:val="auto"/>
                <w:sz w:val="21"/>
                <w:szCs w:val="21"/>
                <w:highlight w:val="none"/>
                <w:lang w:val="en-US" w:eastAsia="zh-CN"/>
              </w:rPr>
              <w:t>0.113</w:t>
            </w:r>
            <w:r>
              <w:rPr>
                <w:color w:val="auto"/>
                <w:sz w:val="21"/>
                <w:szCs w:val="21"/>
                <w:highlight w:val="none"/>
              </w:rPr>
              <w:t>t/a，该部分总量占用光大水务（淄博）有限公司</w:t>
            </w:r>
            <w:r>
              <w:rPr>
                <w:rFonts w:hint="eastAsia"/>
                <w:color w:val="auto"/>
                <w:sz w:val="21"/>
                <w:szCs w:val="21"/>
                <w:highlight w:val="none"/>
                <w:lang w:eastAsia="zh-CN"/>
              </w:rPr>
              <w:t>一分厂</w:t>
            </w:r>
            <w:r>
              <w:rPr>
                <w:color w:val="auto"/>
                <w:sz w:val="21"/>
                <w:szCs w:val="21"/>
                <w:highlight w:val="none"/>
              </w:rPr>
              <w:t>内控指标，无需申请总量控制指标。</w:t>
            </w: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pStyle w:val="9"/>
              <w:spacing w:line="360" w:lineRule="auto"/>
              <w:ind w:firstLine="420" w:firstLineChars="200"/>
              <w:rPr>
                <w:color w:val="auto"/>
                <w:sz w:val="21"/>
                <w:szCs w:val="21"/>
                <w:highlight w:val="none"/>
              </w:rPr>
            </w:pPr>
          </w:p>
          <w:p>
            <w:pPr>
              <w:rPr>
                <w:color w:val="auto"/>
                <w:highlight w:val="none"/>
              </w:rPr>
            </w:pPr>
          </w:p>
        </w:tc>
      </w:tr>
    </w:tbl>
    <w:p>
      <w:pPr>
        <w:pStyle w:val="22"/>
        <w:numPr>
          <w:ilvl w:val="0"/>
          <w:numId w:val="2"/>
        </w:numPr>
        <w:jc w:val="center"/>
        <w:outlineLvl w:val="0"/>
        <w:rPr>
          <w:rFonts w:ascii="Times New Roman" w:hAnsi="Times New Roman" w:eastAsia="黑体"/>
          <w:snapToGrid w:val="0"/>
          <w:color w:val="auto"/>
          <w:sz w:val="30"/>
          <w:szCs w:val="30"/>
          <w:highlight w:val="none"/>
        </w:rPr>
        <w:sectPr>
          <w:pgSz w:w="11907" w:h="16840"/>
          <w:pgMar w:top="1701" w:right="1531" w:bottom="2127" w:left="1531" w:header="851" w:footer="851" w:gutter="0"/>
          <w:pgNumType w:fmt="numberInDash"/>
          <w:cols w:space="720" w:num="1"/>
          <w:docGrid w:linePitch="312" w:charSpace="0"/>
        </w:sectPr>
      </w:pPr>
    </w:p>
    <w:p>
      <w:pPr>
        <w:pStyle w:val="22"/>
        <w:numPr>
          <w:ilvl w:val="0"/>
          <w:numId w:val="2"/>
        </w:numPr>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主要环境影响和保护措施</w:t>
      </w:r>
    </w:p>
    <w:tbl>
      <w:tblPr>
        <w:tblStyle w:val="2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
        <w:gridCol w:w="8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Align w:val="center"/>
          </w:tcPr>
          <w:p>
            <w:pPr>
              <w:adjustRightInd w:val="0"/>
              <w:snapToGrid w:val="0"/>
              <w:jc w:val="center"/>
              <w:rPr>
                <w:bCs/>
                <w:color w:val="auto"/>
                <w:szCs w:val="21"/>
                <w:highlight w:val="none"/>
              </w:rPr>
            </w:pPr>
            <w:r>
              <w:rPr>
                <w:bCs/>
                <w:color w:val="auto"/>
                <w:szCs w:val="21"/>
                <w:highlight w:val="none"/>
              </w:rPr>
              <w:t>施工</w:t>
            </w:r>
          </w:p>
          <w:p>
            <w:pPr>
              <w:adjustRightInd w:val="0"/>
              <w:snapToGrid w:val="0"/>
              <w:jc w:val="center"/>
              <w:rPr>
                <w:bCs/>
                <w:color w:val="auto"/>
                <w:szCs w:val="21"/>
                <w:highlight w:val="none"/>
              </w:rPr>
            </w:pPr>
            <w:r>
              <w:rPr>
                <w:bCs/>
                <w:color w:val="auto"/>
                <w:szCs w:val="21"/>
                <w:highlight w:val="none"/>
              </w:rPr>
              <w:t>期环</w:t>
            </w:r>
          </w:p>
          <w:p>
            <w:pPr>
              <w:adjustRightInd w:val="0"/>
              <w:snapToGrid w:val="0"/>
              <w:jc w:val="center"/>
              <w:rPr>
                <w:bCs/>
                <w:color w:val="auto"/>
                <w:szCs w:val="21"/>
                <w:highlight w:val="none"/>
              </w:rPr>
            </w:pPr>
            <w:r>
              <w:rPr>
                <w:bCs/>
                <w:color w:val="auto"/>
                <w:szCs w:val="21"/>
                <w:highlight w:val="none"/>
              </w:rPr>
              <w:t>境保</w:t>
            </w:r>
          </w:p>
          <w:p>
            <w:pPr>
              <w:adjustRightInd w:val="0"/>
              <w:snapToGrid w:val="0"/>
              <w:jc w:val="center"/>
              <w:rPr>
                <w:bCs/>
                <w:color w:val="auto"/>
                <w:szCs w:val="21"/>
                <w:highlight w:val="none"/>
              </w:rPr>
            </w:pPr>
            <w:r>
              <w:rPr>
                <w:bCs/>
                <w:color w:val="auto"/>
                <w:szCs w:val="21"/>
                <w:highlight w:val="none"/>
              </w:rPr>
              <w:t>护措</w:t>
            </w:r>
          </w:p>
          <w:p>
            <w:pPr>
              <w:adjustRightInd w:val="0"/>
              <w:snapToGrid w:val="0"/>
              <w:jc w:val="center"/>
              <w:rPr>
                <w:snapToGrid w:val="0"/>
                <w:color w:val="auto"/>
                <w:szCs w:val="21"/>
                <w:highlight w:val="none"/>
              </w:rPr>
            </w:pPr>
            <w:r>
              <w:rPr>
                <w:bCs/>
                <w:color w:val="auto"/>
                <w:szCs w:val="21"/>
                <w:highlight w:val="none"/>
              </w:rPr>
              <w:t>施</w:t>
            </w:r>
          </w:p>
        </w:tc>
        <w:tc>
          <w:tcPr>
            <w:tcW w:w="8497" w:type="dxa"/>
            <w:vAlign w:val="center"/>
          </w:tcPr>
          <w:p>
            <w:pPr>
              <w:snapToGri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项目工程内容主要是建设一</w:t>
            </w:r>
            <w:r>
              <w:rPr>
                <w:rFonts w:hint="eastAsia" w:cs="Times New Roman"/>
                <w:color w:val="auto"/>
                <w:sz w:val="21"/>
                <w:szCs w:val="21"/>
                <w:highlight w:val="none"/>
                <w:lang w:val="en-US" w:eastAsia="zh-CN"/>
              </w:rPr>
              <w:t>座</w:t>
            </w:r>
            <w:r>
              <w:rPr>
                <w:rFonts w:hint="eastAsia" w:ascii="Times New Roman" w:hAnsi="Times New Roman" w:eastAsia="宋体" w:cs="Times New Roman"/>
                <w:color w:val="auto"/>
                <w:sz w:val="21"/>
                <w:szCs w:val="21"/>
                <w:highlight w:val="none"/>
                <w:lang w:val="en-US" w:eastAsia="zh-CN"/>
              </w:rPr>
              <w:t>综合楼</w:t>
            </w:r>
            <w:r>
              <w:rPr>
                <w:rFonts w:hint="default" w:ascii="Times New Roman" w:hAnsi="Times New Roman" w:eastAsia="宋体" w:cs="Times New Roman"/>
                <w:color w:val="auto"/>
                <w:sz w:val="21"/>
                <w:szCs w:val="21"/>
                <w:highlight w:val="none"/>
                <w:lang w:val="zh-CN"/>
              </w:rPr>
              <w:t>，并建设相关设备。施工期主要工作内容有：</w:t>
            </w:r>
            <w:r>
              <w:rPr>
                <w:rFonts w:hint="default" w:ascii="Times New Roman" w:hAnsi="Times New Roman" w:eastAsia="宋体" w:cs="Times New Roman"/>
                <w:color w:val="auto"/>
                <w:sz w:val="21"/>
                <w:szCs w:val="21"/>
                <w:highlight w:val="none"/>
                <w:lang w:val="zh-CN" w:eastAsia="zh-CN"/>
              </w:rPr>
              <w:t>各类水池</w:t>
            </w:r>
            <w:r>
              <w:rPr>
                <w:rFonts w:hint="default" w:ascii="Times New Roman" w:hAnsi="Times New Roman" w:eastAsia="宋体" w:cs="Times New Roman"/>
                <w:color w:val="auto"/>
                <w:sz w:val="21"/>
                <w:szCs w:val="21"/>
                <w:highlight w:val="none"/>
                <w:lang w:val="zh-CN"/>
              </w:rPr>
              <w:t>基础开挖、土方回填、建筑垃圾和土方清运等，主要污染因子有施工噪声、扬尘、建筑垃圾、施工废水以及施工人员的生活污水和生活垃圾，施工期间会不可避免地对工程建设区域内的环境、交通产生一定影响。</w:t>
            </w:r>
          </w:p>
          <w:p>
            <w:pPr>
              <w:snapToGri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（一）大气环境影响分析</w:t>
            </w:r>
          </w:p>
          <w:p>
            <w:pPr>
              <w:snapToGri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1、施工扬尘</w:t>
            </w:r>
          </w:p>
          <w:p>
            <w:pPr>
              <w:snapToGri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本项目在施工期产生的扬尘按起尘的原因可分为风力起尘和动力起尘，其中风力起尘主要是由于露天堆放的建材及裸露的施工区表层浮尘因天气干燥及大风，产生风尘扬尘；而动力起尘，主要是在建材的装卸中，由于外力而产生的尘粒再悬浮而造成，其中施工及装卸车辆造成的扬尘最为严重。据有关文献资料介绍，车辆行驶产生的扬尘占总扬尘的60%上。车辆行驶产生的扬尘，在完全干燥情况下，可按下列经验公式计算：</w:t>
            </w:r>
          </w:p>
          <w:p>
            <w:pPr>
              <w:pStyle w:val="8"/>
              <w:keepNext/>
              <w:widowControl/>
              <w:kinsoku w:val="0"/>
              <w:overflowPunct w:val="0"/>
              <w:autoSpaceDE w:val="0"/>
              <w:autoSpaceDN w:val="0"/>
              <w:spacing w:line="36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position w:val="-10"/>
                <w:sz w:val="21"/>
                <w:szCs w:val="21"/>
                <w:highlight w:val="none"/>
                <w:lang w:val="en-US" w:eastAsia="zh-CN"/>
              </w:rPr>
              <w:object>
                <v:shape id="_x0000_i1027" o:spt="75" type="#_x0000_t75" style="height:21.85pt;width:250.3pt;" o:ole="t" filled="f" stroked="f" coordsize="21600,21600">
                  <v:path/>
                  <v:fill on="f" focussize="0,0"/>
                  <v:stroke on="f"/>
                  <v:imagedata r:id="rId14" o:title=""/>
                  <o:lock v:ext="edit" grouping="f" rotation="f" text="f" aspectratio="t"/>
                  <w10:wrap type="none"/>
                  <w10:anchorlock/>
                </v:shape>
                <o:OLEObject Type="Embed" ProgID="Equation.3" ShapeID="_x0000_i1027" DrawAspect="Content" ObjectID="_1468075727" r:id="rId13">
                  <o:LockedField>false</o:LockedField>
                </o:OLEObject>
              </w:object>
            </w:r>
          </w:p>
          <w:p>
            <w:pPr>
              <w:pStyle w:val="8"/>
              <w:keepNext/>
              <w:widowControl/>
              <w:kinsoku w:val="0"/>
              <w:overflowPunct w:val="0"/>
              <w:autoSpaceDE w:val="0"/>
              <w:autoSpaceDN w:val="0"/>
              <w:spacing w:line="360" w:lineRule="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式中：Q——汽车行驶的扬尘，Kg/km·辆；</w:t>
            </w:r>
          </w:p>
          <w:p>
            <w:pPr>
              <w:pStyle w:val="8"/>
              <w:keepNext/>
              <w:widowControl/>
              <w:kinsoku w:val="0"/>
              <w:overflowPunct w:val="0"/>
              <w:autoSpaceDE w:val="0"/>
              <w:autoSpaceDN w:val="0"/>
              <w:spacing w:line="360" w:lineRule="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V——汽车速度，Km/hr；</w:t>
            </w:r>
          </w:p>
          <w:p>
            <w:pPr>
              <w:pStyle w:val="8"/>
              <w:keepNext/>
              <w:widowControl/>
              <w:kinsoku w:val="0"/>
              <w:overflowPunct w:val="0"/>
              <w:autoSpaceDE w:val="0"/>
              <w:autoSpaceDN w:val="0"/>
              <w:spacing w:line="360" w:lineRule="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W——汽车载重量，吨；</w:t>
            </w:r>
          </w:p>
          <w:p>
            <w:pPr>
              <w:pStyle w:val="8"/>
              <w:keepNext/>
              <w:widowControl/>
              <w:kinsoku w:val="0"/>
              <w:overflowPunct w:val="0"/>
              <w:autoSpaceDE w:val="0"/>
              <w:autoSpaceDN w:val="0"/>
              <w:spacing w:line="360" w:lineRule="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P——道路表面粉尘量，kg/m</w:t>
            </w:r>
            <w:r>
              <w:rPr>
                <w:rFonts w:hint="default" w:ascii="Times New Roman" w:hAnsi="Times New Roman" w:cs="Times New Roman"/>
                <w:color w:val="auto"/>
                <w:sz w:val="21"/>
                <w:szCs w:val="21"/>
                <w:highlight w:val="none"/>
                <w:vertAlign w:val="superscript"/>
                <w:lang w:val="en-US" w:eastAsia="zh-CN"/>
              </w:rPr>
              <w:t>2</w:t>
            </w:r>
            <w:r>
              <w:rPr>
                <w:rFonts w:hint="default" w:ascii="Times New Roman" w:hAnsi="Times New Roman" w:cs="Times New Roman"/>
                <w:color w:val="auto"/>
                <w:sz w:val="21"/>
                <w:szCs w:val="21"/>
                <w:highlight w:val="none"/>
                <w:lang w:val="en-US" w:eastAsia="zh-CN"/>
              </w:rPr>
              <w:t>。</w:t>
            </w:r>
          </w:p>
          <w:p>
            <w:pPr>
              <w:snapToGri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下表为一辆10吨卡车，通过一段长度为1km的路面时，不同路面清洁程度，不同行驶速度情况下的扬尘量。由此可见，在同样路面清洁程度条件下，车速越快，扬尘量越大；而在同样车速情况下，路面越脏，则扬尘量越大。因此限速行驶及保持路面的清洁是减少汽车扬尘的有效手段。</w:t>
            </w:r>
          </w:p>
          <w:p>
            <w:pPr>
              <w:autoSpaceDE w:val="0"/>
              <w:autoSpaceDN w:val="0"/>
              <w:adjustRightInd w:val="0"/>
              <w:snapToGrid w:val="0"/>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表4-1  在不同车速和地面清洁程度的汽车扬尘（单位：kg/辆·km）</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52"/>
              <w:gridCol w:w="1179"/>
              <w:gridCol w:w="1185"/>
              <w:gridCol w:w="1167"/>
              <w:gridCol w:w="116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4" w:type="dxa"/>
                  <w:noWrap w:val="0"/>
                  <w:vAlign w:val="center"/>
                </w:tcPr>
                <w:p>
                  <w:pPr>
                    <w:pStyle w:val="8"/>
                    <w:keepNext/>
                    <w:widowControl/>
                    <w:kinsoku w:val="0"/>
                    <w:overflowPunct w:val="0"/>
                    <w:autoSpaceDE w:val="0"/>
                    <w:autoSpaceDN w:val="0"/>
                    <w:spacing w:line="240" w:lineRule="exact"/>
                    <w:ind w:right="210" w:firstLine="0" w:firstLineChars="0"/>
                    <w:jc w:val="right"/>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-6350</wp:posOffset>
                            </wp:positionV>
                            <wp:extent cx="803275" cy="295275"/>
                            <wp:effectExtent l="1905" t="4445" r="13970" b="5080"/>
                            <wp:wrapNone/>
                            <wp:docPr id="2" name="直线 652"/>
                            <wp:cNvGraphicFramePr/>
                            <a:graphic xmlns:a="http://schemas.openxmlformats.org/drawingml/2006/main">
                              <a:graphicData uri="http://schemas.microsoft.com/office/word/2010/wordprocessingShape">
                                <wps:wsp>
                                  <wps:cNvCnPr/>
                                  <wps:spPr>
                                    <a:xfrm flipH="1" flipV="1">
                                      <a:off x="0" y="0"/>
                                      <a:ext cx="803275" cy="295275"/>
                                    </a:xfrm>
                                    <a:prstGeom prst="line">
                                      <a:avLst/>
                                    </a:prstGeom>
                                    <a:ln w="3175" cap="flat" cmpd="sng">
                                      <a:solidFill>
                                        <a:srgbClr val="000000"/>
                                      </a:solidFill>
                                      <a:prstDash val="solid"/>
                                      <a:headEnd type="none" w="med" len="med"/>
                                      <a:tailEnd type="none" w="lg" len="lg"/>
                                    </a:ln>
                                  </wps:spPr>
                                  <wps:bodyPr upright="1"/>
                                </wps:wsp>
                              </a:graphicData>
                            </a:graphic>
                          </wp:anchor>
                        </w:drawing>
                      </mc:Choice>
                      <mc:Fallback>
                        <w:pict>
                          <v:line id="直线 652" o:spid="_x0000_s1026" o:spt="20" style="position:absolute;left:0pt;flip:x y;margin-left:-4.75pt;margin-top:-0.5pt;height:23.25pt;width:63.25pt;z-index:251662336;mso-width-relative:page;mso-height-relative:page;" filled="f" stroked="t" coordsize="21600,21600" o:gfxdata="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HBfhNgAAAAIAQAADwAAAAAAAAABACAAAAAiAAAAZHJzL2Rvd25yZXYu&#10;eG1sUEsBAhQAFAAAAAgAh07iQF3AEdn7AQAA8wMAAA4AAAAAAAAAAQAgAAAAJwEAAGRycy9lMm9E&#10;b2MueG1sUEsFBgAAAAAGAAYAWQEAAJQFAAAAAA==&#10;">
                            <v:fill on="f" focussize="0,0"/>
                            <v:stroke weight="0.25pt" color="#000000" joinstyle="round" endarrowwidth="wide" endarrowlength="long"/>
                            <v:imagedata o:title=""/>
                            <o:lock v:ext="edit" aspectratio="f"/>
                          </v:line>
                        </w:pict>
                      </mc:Fallback>
                    </mc:AlternateContent>
                  </w:r>
                  <w:r>
                    <w:rPr>
                      <w:rFonts w:hint="default" w:ascii="Times New Roman" w:hAnsi="Times New Roman" w:cs="Times New Roman"/>
                      <w:color w:val="auto"/>
                      <w:sz w:val="18"/>
                      <w:szCs w:val="18"/>
                      <w:highlight w:val="none"/>
                      <w:lang w:val="en-US" w:eastAsia="zh-CN"/>
                    </w:rPr>
                    <w:t>P</w:t>
                  </w:r>
                </w:p>
                <w:p>
                  <w:pPr>
                    <w:pStyle w:val="8"/>
                    <w:keepNext/>
                    <w:widowControl/>
                    <w:kinsoku w:val="0"/>
                    <w:overflowPunct w:val="0"/>
                    <w:autoSpaceDE w:val="0"/>
                    <w:autoSpaceDN w:val="0"/>
                    <w:spacing w:line="240" w:lineRule="exact"/>
                    <w:ind w:firstLine="0" w:firstLineChars="0"/>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车速</w:t>
                  </w:r>
                </w:p>
              </w:tc>
              <w:tc>
                <w:tcPr>
                  <w:tcW w:w="1428" w:type="dxa"/>
                  <w:noWrap w:val="0"/>
                  <w:vAlign w:val="center"/>
                </w:tcPr>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0.1</w:t>
                  </w:r>
                </w:p>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(kg/m</w:t>
                  </w:r>
                  <w:r>
                    <w:rPr>
                      <w:rFonts w:hint="default" w:ascii="Times New Roman" w:hAnsi="Times New Roman" w:cs="Times New Roman"/>
                      <w:color w:val="auto"/>
                      <w:sz w:val="18"/>
                      <w:szCs w:val="18"/>
                      <w:highlight w:val="none"/>
                      <w:vertAlign w:val="superscript"/>
                      <w:lang w:val="en-US" w:eastAsia="zh-CN"/>
                    </w:rPr>
                    <w:t>2</w:t>
                  </w:r>
                  <w:r>
                    <w:rPr>
                      <w:rFonts w:hint="default" w:ascii="Times New Roman" w:hAnsi="Times New Roman" w:cs="Times New Roman"/>
                      <w:color w:val="auto"/>
                      <w:sz w:val="18"/>
                      <w:szCs w:val="18"/>
                      <w:highlight w:val="none"/>
                      <w:lang w:val="en-US" w:eastAsia="zh-CN"/>
                    </w:rPr>
                    <w:t>)</w:t>
                  </w:r>
                </w:p>
              </w:tc>
              <w:tc>
                <w:tcPr>
                  <w:tcW w:w="1320" w:type="dxa"/>
                  <w:noWrap w:val="0"/>
                  <w:vAlign w:val="center"/>
                </w:tcPr>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0.2</w:t>
                  </w:r>
                </w:p>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(kg/m</w:t>
                  </w:r>
                  <w:r>
                    <w:rPr>
                      <w:rFonts w:hint="default" w:ascii="Times New Roman" w:hAnsi="Times New Roman" w:cs="Times New Roman"/>
                      <w:color w:val="auto"/>
                      <w:sz w:val="18"/>
                      <w:szCs w:val="18"/>
                      <w:highlight w:val="none"/>
                      <w:vertAlign w:val="superscript"/>
                      <w:lang w:val="en-US" w:eastAsia="zh-CN"/>
                    </w:rPr>
                    <w:t>2</w:t>
                  </w:r>
                  <w:r>
                    <w:rPr>
                      <w:rFonts w:hint="default" w:ascii="Times New Roman" w:hAnsi="Times New Roman" w:cs="Times New Roman"/>
                      <w:color w:val="auto"/>
                      <w:sz w:val="18"/>
                      <w:szCs w:val="18"/>
                      <w:highlight w:val="none"/>
                      <w:lang w:val="en-US" w:eastAsia="zh-CN"/>
                    </w:rPr>
                    <w:t>)</w:t>
                  </w:r>
                </w:p>
              </w:tc>
              <w:tc>
                <w:tcPr>
                  <w:tcW w:w="1329" w:type="dxa"/>
                  <w:noWrap w:val="0"/>
                  <w:vAlign w:val="center"/>
                </w:tcPr>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0.3</w:t>
                  </w:r>
                </w:p>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(kg/m</w:t>
                  </w:r>
                  <w:r>
                    <w:rPr>
                      <w:rFonts w:hint="default" w:ascii="Times New Roman" w:hAnsi="Times New Roman" w:cs="Times New Roman"/>
                      <w:color w:val="auto"/>
                      <w:sz w:val="18"/>
                      <w:szCs w:val="18"/>
                      <w:highlight w:val="none"/>
                      <w:vertAlign w:val="superscript"/>
                      <w:lang w:val="en-US" w:eastAsia="zh-CN"/>
                    </w:rPr>
                    <w:t>2</w:t>
                  </w:r>
                  <w:r>
                    <w:rPr>
                      <w:rFonts w:hint="default" w:ascii="Times New Roman" w:hAnsi="Times New Roman" w:cs="Times New Roman"/>
                      <w:color w:val="auto"/>
                      <w:sz w:val="18"/>
                      <w:szCs w:val="18"/>
                      <w:highlight w:val="none"/>
                      <w:lang w:val="en-US" w:eastAsia="zh-CN"/>
                    </w:rPr>
                    <w:t>)</w:t>
                  </w:r>
                </w:p>
              </w:tc>
              <w:tc>
                <w:tcPr>
                  <w:tcW w:w="1302" w:type="dxa"/>
                  <w:noWrap w:val="0"/>
                  <w:vAlign w:val="center"/>
                </w:tcPr>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0.4</w:t>
                  </w:r>
                </w:p>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(kg/m</w:t>
                  </w:r>
                  <w:r>
                    <w:rPr>
                      <w:rFonts w:hint="default" w:ascii="Times New Roman" w:hAnsi="Times New Roman" w:cs="Times New Roman"/>
                      <w:color w:val="auto"/>
                      <w:sz w:val="18"/>
                      <w:szCs w:val="18"/>
                      <w:highlight w:val="none"/>
                      <w:vertAlign w:val="superscript"/>
                      <w:lang w:val="en-US" w:eastAsia="zh-CN"/>
                    </w:rPr>
                    <w:t>2</w:t>
                  </w:r>
                  <w:r>
                    <w:rPr>
                      <w:rFonts w:hint="default" w:ascii="Times New Roman" w:hAnsi="Times New Roman" w:cs="Times New Roman"/>
                      <w:color w:val="auto"/>
                      <w:sz w:val="18"/>
                      <w:szCs w:val="18"/>
                      <w:highlight w:val="none"/>
                      <w:lang w:val="en-US" w:eastAsia="zh-CN"/>
                    </w:rPr>
                    <w:t>)</w:t>
                  </w:r>
                </w:p>
              </w:tc>
              <w:tc>
                <w:tcPr>
                  <w:tcW w:w="1302" w:type="dxa"/>
                  <w:noWrap w:val="0"/>
                  <w:vAlign w:val="center"/>
                </w:tcPr>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0.5</w:t>
                  </w:r>
                </w:p>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(kg/m</w:t>
                  </w:r>
                  <w:r>
                    <w:rPr>
                      <w:rFonts w:hint="default" w:ascii="Times New Roman" w:hAnsi="Times New Roman" w:cs="Times New Roman"/>
                      <w:color w:val="auto"/>
                      <w:sz w:val="18"/>
                      <w:szCs w:val="18"/>
                      <w:highlight w:val="none"/>
                      <w:vertAlign w:val="superscript"/>
                      <w:lang w:val="en-US" w:eastAsia="zh-CN"/>
                    </w:rPr>
                    <w:t>2</w:t>
                  </w:r>
                  <w:r>
                    <w:rPr>
                      <w:rFonts w:hint="default" w:ascii="Times New Roman" w:hAnsi="Times New Roman" w:cs="Times New Roman"/>
                      <w:color w:val="auto"/>
                      <w:sz w:val="18"/>
                      <w:szCs w:val="18"/>
                      <w:highlight w:val="none"/>
                      <w:lang w:val="en-US" w:eastAsia="zh-CN"/>
                    </w:rPr>
                    <w:t>)</w:t>
                  </w:r>
                </w:p>
              </w:tc>
              <w:tc>
                <w:tcPr>
                  <w:tcW w:w="1302" w:type="dxa"/>
                  <w:noWrap w:val="0"/>
                  <w:vAlign w:val="center"/>
                </w:tcPr>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1.0</w:t>
                  </w:r>
                </w:p>
                <w:p>
                  <w:pPr>
                    <w:pStyle w:val="8"/>
                    <w:keepNext/>
                    <w:widowControl/>
                    <w:kinsoku w:val="0"/>
                    <w:overflowPunct w:val="0"/>
                    <w:autoSpaceDE w:val="0"/>
                    <w:autoSpaceDN w:val="0"/>
                    <w:spacing w:line="24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(kg/m</w:t>
                  </w:r>
                  <w:r>
                    <w:rPr>
                      <w:rFonts w:hint="default" w:ascii="Times New Roman" w:hAnsi="Times New Roman" w:cs="Times New Roman"/>
                      <w:color w:val="auto"/>
                      <w:sz w:val="18"/>
                      <w:szCs w:val="18"/>
                      <w:highlight w:val="none"/>
                      <w:vertAlign w:val="superscript"/>
                      <w:lang w:val="en-US" w:eastAsia="zh-CN"/>
                    </w:rPr>
                    <w:t>2</w:t>
                  </w:r>
                  <w:r>
                    <w:rPr>
                      <w:rFonts w:hint="default" w:ascii="Times New Roman" w:hAnsi="Times New Roman" w:cs="Times New Roman"/>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64"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5(km/hr)</w:t>
                  </w:r>
                </w:p>
              </w:tc>
              <w:tc>
                <w:tcPr>
                  <w:tcW w:w="1428"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0.051056</w:t>
                  </w:r>
                </w:p>
              </w:tc>
              <w:tc>
                <w:tcPr>
                  <w:tcW w:w="1320"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0.08565</w:t>
                  </w:r>
                </w:p>
              </w:tc>
              <w:tc>
                <w:tcPr>
                  <w:tcW w:w="132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w:t>
                  </w:r>
                  <w:r>
                    <w:rPr>
                      <w:rFonts w:hint="default" w:ascii="Times New Roman" w:hAnsi="Times New Roman" w:cs="Times New Roman"/>
                      <w:color w:val="auto"/>
                      <w:sz w:val="18"/>
                      <w:szCs w:val="18"/>
                      <w:highlight w:val="none"/>
                    </w:rPr>
                    <w:cr/>
                  </w:r>
                  <w:r>
                    <w:rPr>
                      <w:rFonts w:hint="default" w:ascii="Times New Roman" w:hAnsi="Times New Roman" w:cs="Times New Roman"/>
                      <w:color w:val="auto"/>
                      <w:sz w:val="18"/>
                      <w:szCs w:val="18"/>
                      <w:highlight w:val="none"/>
                    </w:rPr>
                    <w:t>6382</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0.144408</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0.170715</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0.287108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64"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10(km/hr)</w:t>
                  </w:r>
                </w:p>
              </w:tc>
              <w:tc>
                <w:tcPr>
                  <w:tcW w:w="1428"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0.102112</w:t>
                  </w:r>
                </w:p>
              </w:tc>
              <w:tc>
                <w:tcPr>
                  <w:tcW w:w="1320"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0.171731</w:t>
                  </w:r>
                </w:p>
              </w:tc>
              <w:tc>
                <w:tcPr>
                  <w:tcW w:w="132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0.232764</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0.288815</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0.341431</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0.574216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64"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15(km/hr)</w:t>
                  </w:r>
                </w:p>
              </w:tc>
              <w:tc>
                <w:tcPr>
                  <w:tcW w:w="1428"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0.153167</w:t>
                  </w:r>
                </w:p>
              </w:tc>
              <w:tc>
                <w:tcPr>
                  <w:tcW w:w="1320"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w:t>
                  </w:r>
                  <w:r>
                    <w:rPr>
                      <w:rFonts w:hint="default" w:ascii="Times New Roman" w:hAnsi="Times New Roman" w:cs="Times New Roman"/>
                      <w:color w:val="auto"/>
                      <w:sz w:val="18"/>
                      <w:szCs w:val="18"/>
                      <w:highlight w:val="none"/>
                    </w:rPr>
                    <w:cr/>
                  </w:r>
                  <w:r>
                    <w:rPr>
                      <w:rFonts w:hint="default" w:ascii="Times New Roman" w:hAnsi="Times New Roman" w:cs="Times New Roman"/>
                      <w:color w:val="auto"/>
                      <w:sz w:val="18"/>
                      <w:szCs w:val="18"/>
                      <w:highlight w:val="none"/>
                    </w:rPr>
                    <w:t>7</w:t>
                  </w:r>
                  <w:r>
                    <w:rPr>
                      <w:rFonts w:hint="default" w:ascii="Times New Roman" w:hAnsi="Times New Roman" w:cs="Times New Roman"/>
                      <w:color w:val="auto"/>
                      <w:sz w:val="18"/>
                      <w:szCs w:val="18"/>
                      <w:highlight w:val="none"/>
                    </w:rPr>
                    <w:cr/>
                  </w:r>
                  <w:r>
                    <w:rPr>
                      <w:rFonts w:hint="default" w:ascii="Times New Roman" w:hAnsi="Times New Roman" w:cs="Times New Roman"/>
                      <w:color w:val="auto"/>
                      <w:sz w:val="18"/>
                      <w:szCs w:val="18"/>
                      <w:highlight w:val="none"/>
                    </w:rPr>
                    <w:t>96</w:t>
                  </w:r>
                </w:p>
              </w:tc>
              <w:tc>
                <w:tcPr>
                  <w:tcW w:w="132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0.35423</w:t>
                  </w:r>
                  <w:r>
                    <w:rPr>
                      <w:rFonts w:hint="default" w:ascii="Times New Roman" w:hAnsi="Times New Roman" w:cs="Times New Roman"/>
                      <w:color w:val="auto"/>
                      <w:sz w:val="18"/>
                      <w:szCs w:val="18"/>
                      <w:highlight w:val="none"/>
                    </w:rPr>
                    <w:cr/>
                  </w:r>
                  <w:r>
                    <w:rPr>
                      <w:rFonts w:hint="default" w:ascii="Times New Roman" w:hAnsi="Times New Roman" w:cs="Times New Roman"/>
                      <w:color w:val="auto"/>
                      <w:sz w:val="18"/>
                      <w:szCs w:val="18"/>
                      <w:highlight w:val="none"/>
                    </w:rPr>
                    <w:t>3</w:t>
                  </w:r>
                  <w:r>
                    <w:rPr>
                      <w:rFonts w:hint="default" w:ascii="Times New Roman" w:hAnsi="Times New Roman" w:cs="Times New Roman"/>
                      <w:color w:val="auto"/>
                      <w:sz w:val="18"/>
                      <w:szCs w:val="18"/>
                      <w:highlight w:val="none"/>
                    </w:rPr>
                    <w:cr/>
                  </w:r>
                  <w:r>
                    <w:rPr>
                      <w:rFonts w:hint="default" w:ascii="Times New Roman" w:hAnsi="Times New Roman" w:cs="Times New Roman"/>
                      <w:color w:val="auto"/>
                      <w:sz w:val="18"/>
                      <w:szCs w:val="18"/>
                      <w:highlight w:val="none"/>
                    </w:rPr>
                    <w:t>9146</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0.433223</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0.512146</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0.861323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464"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25(km/hr)</w:t>
                  </w:r>
                </w:p>
              </w:tc>
              <w:tc>
                <w:tcPr>
                  <w:tcW w:w="1428"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0.255279</w:t>
                  </w:r>
                </w:p>
              </w:tc>
              <w:tc>
                <w:tcPr>
                  <w:tcW w:w="1320"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0.429326</w:t>
                  </w:r>
                </w:p>
              </w:tc>
              <w:tc>
                <w:tcPr>
                  <w:tcW w:w="132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0.58191</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0.722038</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0.853577</w:t>
                  </w:r>
                </w:p>
              </w:tc>
              <w:tc>
                <w:tcPr>
                  <w:tcW w:w="1302"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1.435539</w:t>
                  </w:r>
                </w:p>
              </w:tc>
            </w:tr>
          </w:tbl>
          <w:p>
            <w:pPr>
              <w:snapToGrid w:val="0"/>
              <w:spacing w:line="360" w:lineRule="auto"/>
              <w:ind w:firstLine="420" w:firstLineChars="200"/>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施工期扬尘的另一个主要原因是露天堆场和裸露场地的风力扬尘。一些建材需露天堆放；一些施工点表层土壤需开挖、堆放，在气候干燥又有风的情况下，会产生扬尘，其扬尘可按堆场起尘的经验公式计算：</w:t>
            </w:r>
          </w:p>
          <w:p>
            <w:pPr>
              <w:pStyle w:val="8"/>
              <w:keepNext/>
              <w:widowControl/>
              <w:kinsoku w:val="0"/>
              <w:overflowPunct w:val="0"/>
              <w:autoSpaceDE w:val="0"/>
              <w:autoSpaceDN w:val="0"/>
              <w:spacing w:line="360" w:lineRule="auto"/>
              <w:ind w:firstLine="52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position w:val="-12"/>
                <w:sz w:val="24"/>
                <w:szCs w:val="24"/>
                <w:highlight w:val="none"/>
                <w:lang w:val="en-US" w:eastAsia="zh-CN"/>
              </w:rPr>
              <w:object>
                <v:shape id="_x0000_i1028" o:spt="75" type="#_x0000_t75" style="height:22.2pt;width:144pt;" o:ole="t" filled="f" stroked="f" coordsize="21600,21600">
                  <v:path/>
                  <v:fill on="f" focussize="0,0"/>
                  <v:stroke on="f"/>
                  <v:imagedata r:id="rId16" o:title=""/>
                  <o:lock v:ext="edit" grouping="f" rotation="f" text="f" aspectratio="t"/>
                  <w10:wrap type="none"/>
                  <w10:anchorlock/>
                </v:shape>
                <o:OLEObject Type="Embed" ProgID="Equation.3" ShapeID="_x0000_i1028" DrawAspect="Content" ObjectID="_1468075728" r:id="rId15">
                  <o:LockedField>false</o:LockedField>
                </o:OLEObject>
              </w:object>
            </w:r>
          </w:p>
          <w:p>
            <w:pPr>
              <w:pStyle w:val="8"/>
              <w:keepNext/>
              <w:widowControl/>
              <w:kinsoku w:val="0"/>
              <w:overflowPunct w:val="0"/>
              <w:autoSpaceDE w:val="0"/>
              <w:autoSpaceDN w:val="0"/>
              <w:spacing w:line="360" w:lineRule="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式中：Q——起尘量，kg/吨·年；</w:t>
            </w:r>
          </w:p>
          <w:p>
            <w:pPr>
              <w:pStyle w:val="8"/>
              <w:keepNext/>
              <w:widowControl/>
              <w:kinsoku w:val="0"/>
              <w:overflowPunct w:val="0"/>
              <w:autoSpaceDE w:val="0"/>
              <w:autoSpaceDN w:val="0"/>
              <w:spacing w:line="360" w:lineRule="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V</w:t>
            </w:r>
            <w:r>
              <w:rPr>
                <w:rFonts w:hint="default" w:ascii="Times New Roman" w:hAnsi="Times New Roman" w:cs="Times New Roman"/>
                <w:color w:val="auto"/>
                <w:sz w:val="21"/>
                <w:szCs w:val="21"/>
                <w:highlight w:val="none"/>
                <w:vertAlign w:val="subscript"/>
                <w:lang w:val="en-US" w:eastAsia="zh-CN"/>
              </w:rPr>
              <w:t>50</w:t>
            </w:r>
            <w:r>
              <w:rPr>
                <w:rFonts w:hint="default" w:ascii="Times New Roman" w:hAnsi="Times New Roman" w:cs="Times New Roman"/>
                <w:color w:val="auto"/>
                <w:sz w:val="21"/>
                <w:szCs w:val="21"/>
                <w:highlight w:val="none"/>
                <w:lang w:val="en-US" w:eastAsia="zh-CN"/>
              </w:rPr>
              <w:t>——距地面50m处风速，m/s；</w:t>
            </w:r>
          </w:p>
          <w:p>
            <w:pPr>
              <w:pStyle w:val="8"/>
              <w:keepNext/>
              <w:widowControl/>
              <w:kinsoku w:val="0"/>
              <w:overflowPunct w:val="0"/>
              <w:autoSpaceDE w:val="0"/>
              <w:autoSpaceDN w:val="0"/>
              <w:spacing w:line="360" w:lineRule="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V</w:t>
            </w:r>
            <w:r>
              <w:rPr>
                <w:rFonts w:hint="default" w:ascii="Times New Roman" w:hAnsi="Times New Roman" w:cs="Times New Roman"/>
                <w:color w:val="auto"/>
                <w:sz w:val="21"/>
                <w:szCs w:val="21"/>
                <w:highlight w:val="none"/>
                <w:vertAlign w:val="subscript"/>
                <w:lang w:val="en-US" w:eastAsia="zh-CN"/>
              </w:rPr>
              <w:t>0</w:t>
            </w:r>
            <w:r>
              <w:rPr>
                <w:rFonts w:hint="default" w:ascii="Times New Roman" w:hAnsi="Times New Roman" w:cs="Times New Roman"/>
                <w:color w:val="auto"/>
                <w:sz w:val="21"/>
                <w:szCs w:val="21"/>
                <w:highlight w:val="none"/>
                <w:lang w:val="en-US" w:eastAsia="zh-CN"/>
              </w:rPr>
              <w:t>——起尘风速，m/s；</w:t>
            </w:r>
          </w:p>
          <w:p>
            <w:pPr>
              <w:pStyle w:val="8"/>
              <w:keepNext/>
              <w:widowControl/>
              <w:kinsoku w:val="0"/>
              <w:overflowPunct w:val="0"/>
              <w:autoSpaceDE w:val="0"/>
              <w:autoSpaceDN w:val="0"/>
              <w:spacing w:line="360" w:lineRule="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W——尘粒的含水率，%。</w:t>
            </w:r>
          </w:p>
          <w:p>
            <w:pPr>
              <w:snapToGrid w:val="0"/>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cs="Times New Roman"/>
                <w:color w:val="auto"/>
                <w:sz w:val="21"/>
                <w:szCs w:val="21"/>
                <w:highlight w:val="none"/>
                <w:lang w:val="zh-CN"/>
              </w:rPr>
              <w:t>V</w:t>
            </w:r>
            <w:r>
              <w:rPr>
                <w:rFonts w:hint="default" w:ascii="Times New Roman" w:hAnsi="Times New Roman" w:cs="Times New Roman"/>
                <w:color w:val="auto"/>
                <w:sz w:val="21"/>
                <w:szCs w:val="21"/>
                <w:highlight w:val="none"/>
                <w:vertAlign w:val="subscript"/>
                <w:lang w:val="zh-CN"/>
              </w:rPr>
              <w:t>0</w:t>
            </w:r>
            <w:r>
              <w:rPr>
                <w:rFonts w:hint="default" w:ascii="Times New Roman" w:hAnsi="Times New Roman" w:eastAsia="宋体" w:cs="Times New Roman"/>
                <w:color w:val="auto"/>
                <w:kern w:val="0"/>
                <w:sz w:val="21"/>
                <w:szCs w:val="21"/>
                <w:highlight w:val="none"/>
                <w:lang w:val="zh-CN" w:eastAsia="zh-CN"/>
              </w:rPr>
              <w:t>与粒径和含水率有关，因此，</w:t>
            </w:r>
            <w:r>
              <w:rPr>
                <w:rFonts w:hint="default" w:ascii="Times New Roman" w:hAnsi="Times New Roman" w:eastAsia="宋体" w:cs="Times New Roman"/>
                <w:color w:val="auto"/>
                <w:kern w:val="0"/>
                <w:highlight w:val="none"/>
                <w:lang w:val="zh-CN" w:eastAsia="zh-CN"/>
              </w:rPr>
              <w:t>减少露天堆放和保证一定的含水率及减少裸露地面是减少风力起尘的有效手段。</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尘粒在空气中的传播扩散情况与风速等气象条件有关，也与尘粒本身的沉降速度有关。以沙尘为例，不同粒径的尘粒的沉降速度见下表。由表可知，尘粒的沉降速度随粒径的增大而迅速增大。当粒径为250μm时，沉降速度为1.005m/s，因此可以认为当尘粒大于250μm时，主要影响范围在扬尘点下风向近距离范围内，而真正对外环境产生影响的是一些微小尘粒。根据现场的气候情况不同，其影响范围也有所不同。</w:t>
            </w:r>
          </w:p>
          <w:p>
            <w:pPr>
              <w:autoSpaceDE w:val="0"/>
              <w:autoSpaceDN w:val="0"/>
              <w:adjustRightInd w:val="0"/>
              <w:snapToGrid w:val="0"/>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表4-2   不同粒径尘粒的沉降速度</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958"/>
              <w:gridCol w:w="959"/>
              <w:gridCol w:w="959"/>
              <w:gridCol w:w="959"/>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shd w:val="clear" w:color="auto" w:fill="FFFFFF"/>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粒径，μm</w:t>
                  </w:r>
                </w:p>
              </w:tc>
              <w:tc>
                <w:tcPr>
                  <w:tcW w:w="1059" w:type="dxa"/>
                  <w:shd w:val="clear" w:color="auto" w:fill="FFFFFF"/>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10</w:t>
                  </w:r>
                </w:p>
              </w:tc>
              <w:tc>
                <w:tcPr>
                  <w:tcW w:w="1059" w:type="dxa"/>
                  <w:shd w:val="clear" w:color="auto" w:fill="FFFFFF"/>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20</w:t>
                  </w:r>
                </w:p>
              </w:tc>
              <w:tc>
                <w:tcPr>
                  <w:tcW w:w="1059" w:type="dxa"/>
                  <w:shd w:val="clear" w:color="auto" w:fill="FFFFFF"/>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30</w:t>
                  </w:r>
                </w:p>
              </w:tc>
              <w:tc>
                <w:tcPr>
                  <w:tcW w:w="1059" w:type="dxa"/>
                  <w:shd w:val="clear" w:color="auto" w:fill="FFFFFF"/>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40</w:t>
                  </w:r>
                </w:p>
              </w:tc>
              <w:tc>
                <w:tcPr>
                  <w:tcW w:w="1059" w:type="dxa"/>
                  <w:shd w:val="clear" w:color="auto" w:fill="FFFFFF"/>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50</w:t>
                  </w:r>
                </w:p>
              </w:tc>
              <w:tc>
                <w:tcPr>
                  <w:tcW w:w="1059" w:type="dxa"/>
                  <w:shd w:val="clear" w:color="auto" w:fill="FFFFFF"/>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60</w:t>
                  </w:r>
                </w:p>
              </w:tc>
              <w:tc>
                <w:tcPr>
                  <w:tcW w:w="1059" w:type="dxa"/>
                  <w:shd w:val="clear" w:color="auto" w:fill="FFFFFF"/>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沉降速度，m/s</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0.003</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0.012</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0.027</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0.048</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0.075</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0.108</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粒径，μm</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80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90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100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150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200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250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沉降速度，m/s</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0.158</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0.170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0.182</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0.239</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0.804</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1.005</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粒径，μm</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450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550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650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750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850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950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4"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沉降速度，m/s</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2.211</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2.614</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3.016</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3.418</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3.820</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4.222</w:t>
                  </w:r>
                </w:p>
              </w:tc>
              <w:tc>
                <w:tcPr>
                  <w:tcW w:w="1059" w:type="dxa"/>
                  <w:noWrap w:val="0"/>
                  <w:vAlign w:val="center"/>
                </w:tcPr>
                <w:p>
                  <w:pPr>
                    <w:pStyle w:val="8"/>
                    <w:keepNext/>
                    <w:widowControl/>
                    <w:kinsoku w:val="0"/>
                    <w:overflowPunct w:val="0"/>
                    <w:autoSpaceDE w:val="0"/>
                    <w:autoSpaceDN w:val="0"/>
                    <w:spacing w:line="320" w:lineRule="exact"/>
                    <w:ind w:firstLine="0" w:firstLineChars="0"/>
                    <w:jc w:val="center"/>
                    <w:rPr>
                      <w:rFonts w:hint="default" w:ascii="Times New Roman" w:hAnsi="Times New Roman"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4.624</w:t>
                  </w:r>
                </w:p>
              </w:tc>
            </w:tr>
          </w:tbl>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因施工场地距离居民区较远，为降低扬尘产生量，保护大气环境，降低对环境的影响，本次环评要求施工单位严格落实《防治城市扬尘污染技术规范》（HJ/T393-2007）、《山东省扬尘污染防治管理办法》（山东省人民政府第248号令）、《关于印发淄博市建设领域扬尘污染专项治理实施方案的通知》（淄建发〔2019〕85号）的相关要求，确保不对周边的环境敏感保护目标造成扬尘污染。</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项目建设单位采取如下措施防尘：</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（1）施工期间，施工单位应根据《建筑工程施工现场管理规定》的规定设置现场平面布置图、工程概况牌、安全生产牌等，应设专职人员负责扬尘控制措施的实施和监督。</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（2）施工期间，施工工地内主要运输道路进行硬化，并使用草帘覆盖，防止扬尘。所有临时道路均需清洁、湿润，并加强管理，使运输车辆尽可能减缓行驶速度。</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3）在施工场地安排员工定期对施工场地洒水以减少扬尘量，洒水次数根据天气状况而定，一般每天洒水1～2次，若遇到干燥天气可适当增加洒水次数，若遇四级或四级以上大风天气，应停止土石方作业。施工场地洒水与否对扬尘的影响较大，场地洒水后，扬尘量将减低28%～75%，大大减少了其对环境的影响。有关环境监测部门曾对施工现场进行过类比监测，类比结果见下表：</w:t>
            </w:r>
          </w:p>
          <w:p>
            <w:pPr>
              <w:autoSpaceDE w:val="0"/>
              <w:autoSpaceDN w:val="0"/>
              <w:adjustRightInd w:val="0"/>
              <w:snapToGrid w:val="0"/>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表4-3  洒水降尘测试效果</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948"/>
              <w:gridCol w:w="1021"/>
              <w:gridCol w:w="916"/>
              <w:gridCol w:w="1021"/>
              <w:gridCol w:w="1021"/>
              <w:gridCol w:w="1021"/>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692" w:type="dxa"/>
                  <w:gridSpan w:val="2"/>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距离</w:t>
                  </w:r>
                  <w:r>
                    <w:rPr>
                      <w:rFonts w:hint="default" w:ascii="Times New Roman" w:hAnsi="Times New Roman" w:cs="Times New Roman"/>
                      <w:color w:val="auto"/>
                      <w:sz w:val="18"/>
                      <w:szCs w:val="18"/>
                      <w:highlight w:val="none"/>
                    </w:rPr>
                    <w:cr/>
                  </w:r>
                  <w:r>
                    <w:rPr>
                      <w:rFonts w:hint="default" w:ascii="Times New Roman" w:hAnsi="Times New Roman" w:cs="Times New Roman"/>
                      <w:color w:val="auto"/>
                      <w:sz w:val="18"/>
                      <w:szCs w:val="18"/>
                      <w:highlight w:val="none"/>
                    </w:rPr>
                    <w:t>（m）</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w:t>
                  </w:r>
                </w:p>
              </w:tc>
              <w:tc>
                <w:tcPr>
                  <w:tcW w:w="1011"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20</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40</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50</w:t>
                  </w:r>
                </w:p>
              </w:tc>
              <w:tc>
                <w:tcPr>
                  <w:tcW w:w="1148"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67" w:type="dxa"/>
                  <w:vMerge w:val="restart"/>
                  <w:noWrap w:val="0"/>
                  <w:vAlign w:val="center"/>
                </w:tcPr>
                <w:p>
                  <w:pPr>
                    <w:keepNext/>
                    <w:widowControl/>
                    <w:kinsoku w:val="0"/>
                    <w:overflowPunct w:val="0"/>
                    <w:autoSpaceDE w:val="0"/>
                    <w:autoSpaceDN w:val="0"/>
                    <w:spacing w:line="46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TSP（mg/m</w:t>
                  </w:r>
                  <w:r>
                    <w:rPr>
                      <w:rFonts w:hint="default" w:ascii="Times New Roman" w:hAnsi="Times New Roman" w:cs="Times New Roman"/>
                      <w:color w:val="auto"/>
                      <w:sz w:val="18"/>
                      <w:szCs w:val="18"/>
                      <w:highlight w:val="none"/>
                      <w:vertAlign w:val="superscript"/>
                    </w:rPr>
                    <w:t>3</w:t>
                  </w:r>
                  <w:r>
                    <w:rPr>
                      <w:rFonts w:hint="default" w:ascii="Times New Roman" w:hAnsi="Times New Roman" w:cs="Times New Roman"/>
                      <w:color w:val="auto"/>
                      <w:sz w:val="18"/>
                      <w:szCs w:val="18"/>
                      <w:highlight w:val="none"/>
                    </w:rPr>
                    <w:t>）</w:t>
                  </w:r>
                </w:p>
              </w:tc>
              <w:tc>
                <w:tcPr>
                  <w:tcW w:w="1125"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不洒水</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1.75</w:t>
                  </w:r>
                </w:p>
              </w:tc>
              <w:tc>
                <w:tcPr>
                  <w:tcW w:w="1011"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1.30</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0.780</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0.365</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0.345</w:t>
                  </w:r>
                </w:p>
              </w:tc>
              <w:tc>
                <w:tcPr>
                  <w:tcW w:w="1148"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67" w:type="dxa"/>
                  <w:vMerge w:val="continue"/>
                  <w:noWrap w:val="0"/>
                  <w:vAlign w:val="center"/>
                </w:tcPr>
                <w:p>
                  <w:pPr>
                    <w:keepNext/>
                    <w:widowControl/>
                    <w:kinsoku w:val="0"/>
                    <w:overflowPunct w:val="0"/>
                    <w:autoSpaceDE w:val="0"/>
                    <w:autoSpaceDN w:val="0"/>
                    <w:spacing w:line="460" w:lineRule="exact"/>
                    <w:jc w:val="center"/>
                    <w:rPr>
                      <w:rFonts w:hint="default" w:ascii="Times New Roman" w:hAnsi="Times New Roman" w:cs="Times New Roman"/>
                      <w:color w:val="auto"/>
                      <w:sz w:val="18"/>
                      <w:szCs w:val="18"/>
                      <w:highlight w:val="none"/>
                    </w:rPr>
                  </w:pPr>
                </w:p>
              </w:tc>
              <w:tc>
                <w:tcPr>
                  <w:tcW w:w="1125"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洒水</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0.437</w:t>
                  </w:r>
                </w:p>
              </w:tc>
              <w:tc>
                <w:tcPr>
                  <w:tcW w:w="1011"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0.350</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0.310</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0.265</w:t>
                  </w:r>
                </w:p>
              </w:tc>
              <w:tc>
                <w:tcPr>
                  <w:tcW w:w="1149"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0.250</w:t>
                  </w:r>
                </w:p>
              </w:tc>
              <w:tc>
                <w:tcPr>
                  <w:tcW w:w="1148" w:type="dxa"/>
                  <w:noWrap w:val="0"/>
                  <w:vAlign w:val="center"/>
                </w:tcPr>
                <w:p>
                  <w:pPr>
                    <w:keepNext/>
                    <w:widowControl/>
                    <w:kinsoku w:val="0"/>
                    <w:overflowPunct w:val="0"/>
                    <w:autoSpaceDE w:val="0"/>
                    <w:autoSpaceDN w:val="0"/>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0.238</w:t>
                  </w:r>
                </w:p>
              </w:tc>
            </w:tr>
          </w:tbl>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4）运土卡车及建筑材料运输车应按规定配置防洒装备等，装载不宜过满，保证密闭运输；并规划号运输车辆的运行路线与时间，尽量避免在繁华区、交通集中区和居民住宅等敏感区行驶以减少粉尘对环境的影响。</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（5）运输车辆尽量采用远离附近居民、学校等敏感目标的运输路线，最大程度上减小对敏感目标的影响。</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（6）施工期间场地设置建设2.5m高的围挡，减轻扬尘的扩散。</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（7）制定严格的施工现场环境管理规定，文明作业，制定并落实严格的工地运输防尘制度，及时处置弃土，定期清扫路面、洒水保洁，汽车运输过程加盖防尘布，保持一定湿度等。</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（8）对运输过程中洒落在路面上的泥土要及时清扫，以减少运行过程中的扬尘。</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（9）施工过程中严禁将废弃的建筑材料作为燃料燃烧。</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（10）根据主导风向及居民区和工地的相对位置，对施工现场合理布局，应使用预搅拌混凝土。提高开挖速度，项目施工过程应避开大风天气，加快施工进度，缩短工期。</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（11）对原材料露天堆放场予以覆盖，避免起尘，尽量少用干性水泥等原料。</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12）竣工后立即恢复地貌，并进行地面硬化，栽种植被，有效防止水土流失，还可以减少由于刮风引起的浮土扬尘。对于工地内裸露地面，晴朗天气时视情况每周等时间间隔洒水2~7次，扬尘严重事应加大洒水频率。</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（13）降低施工机械操作过程中的落差，不得凌空抛洒。</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（14）对建筑垃圾及弃土应及时处理清运，以减少占地，防止扬尘污染。</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（15）施工期间应在工地建筑结构脚手架设置有效抑尘的防尘网或防尘布。</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（16）施工期间，在施工场地出口放置防尘垫，应规划建设出入车辆自动冲洗平台等冲洗设备，确保出入车辆不带泥上路。</w:t>
            </w:r>
          </w:p>
          <w:p>
            <w:pPr>
              <w:spacing w:line="360" w:lineRule="auto"/>
              <w:ind w:firstLine="420" w:firstLineChars="200"/>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zh-CN" w:eastAsia="zh-CN"/>
              </w:rPr>
              <w:t>（</w:t>
            </w:r>
            <w:r>
              <w:rPr>
                <w:rFonts w:hint="eastAsia" w:cs="Times New Roman"/>
                <w:color w:val="auto"/>
                <w:kern w:val="0"/>
                <w:highlight w:val="none"/>
                <w:lang w:val="en-US" w:eastAsia="zh-CN"/>
              </w:rPr>
              <w:t>17</w:t>
            </w:r>
            <w:r>
              <w:rPr>
                <w:rFonts w:hint="eastAsia" w:cs="Times New Roman"/>
                <w:color w:val="auto"/>
                <w:kern w:val="0"/>
                <w:highlight w:val="none"/>
                <w:lang w:val="zh-CN" w:eastAsia="zh-CN"/>
              </w:rPr>
              <w:t>）</w:t>
            </w:r>
            <w:r>
              <w:rPr>
                <w:rFonts w:hint="eastAsia" w:cs="Times New Roman"/>
                <w:color w:val="auto"/>
                <w:kern w:val="0"/>
                <w:highlight w:val="none"/>
                <w:lang w:val="en-US" w:eastAsia="zh-CN"/>
              </w:rPr>
              <w:t>施工期间，扬尘环节设置移动式雾炮，通过喷洒水雾降低粉尘逸散。</w:t>
            </w:r>
          </w:p>
          <w:p>
            <w:pPr>
              <w:spacing w:line="360" w:lineRule="auto"/>
              <w:ind w:firstLine="420" w:firstLineChars="200"/>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en-US" w:eastAsia="zh-CN"/>
              </w:rPr>
              <w:t>因项目东侧紧邻居民区，项目施工时采用增高东侧围挡高度，合理布设临时堆土区，增加居民区侧洒水频次等措施降低扬尘对居民区的污染。</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施工期扬尘对施工场地及周围大气环境质量的不利影响事偶然的、短暂的和局部的，也是施工中不可避免的，其将随着施工的结束而消失，在严格落实以上扬尘控制措施，确保施工现场围挡率、进出道路硬化率、工地物料蓬盖率、场地洒水清扫率、密闭运输率、出入车辆清洗率达到100%的前提下，预计本项目施工期扬尘对周边居民区等环境敏感目标的影响很小。</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2、机械设备尾气</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由于施工场地车辆和各种燃油机械比较集中，因此，尾气排放源强相对较大，对周围大气环境有一定的影响，污染物以NOx、CO和烃类为主，为非连续间歇式排放。施工期通过选用先进的施工机械，减少油耗和燃油废气污染；使用电气化设备，少使用燃油设备；做好设备的维修和养护工作，使机械设备处于良好的工作状态，减少油耗，同时降低污染；合理安排材料运输时段，减少交通拥挤和堵塞几率，降低汽车尾气对环境产生的污染等措施后，对环境空气的影响不大。</w:t>
            </w:r>
          </w:p>
          <w:p>
            <w:pPr>
              <w:spacing w:line="360" w:lineRule="auto"/>
              <w:ind w:firstLine="420" w:firstLineChars="200"/>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zh-CN" w:eastAsia="zh-CN"/>
              </w:rPr>
              <w:t>（</w:t>
            </w:r>
            <w:r>
              <w:rPr>
                <w:rFonts w:hint="eastAsia" w:cs="Times New Roman"/>
                <w:color w:val="auto"/>
                <w:kern w:val="0"/>
                <w:highlight w:val="none"/>
                <w:lang w:val="en-US" w:eastAsia="zh-CN"/>
              </w:rPr>
              <w:t>3</w:t>
            </w:r>
            <w:r>
              <w:rPr>
                <w:rFonts w:hint="eastAsia" w:cs="Times New Roman"/>
                <w:color w:val="auto"/>
                <w:kern w:val="0"/>
                <w:highlight w:val="none"/>
                <w:lang w:val="zh-CN" w:eastAsia="zh-CN"/>
              </w:rPr>
              <w:t>）</w:t>
            </w:r>
            <w:r>
              <w:rPr>
                <w:rFonts w:hint="eastAsia" w:cs="Times New Roman"/>
                <w:color w:val="auto"/>
                <w:kern w:val="0"/>
                <w:highlight w:val="none"/>
                <w:lang w:val="en-US" w:eastAsia="zh-CN"/>
              </w:rPr>
              <w:t>装修废气</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en-US" w:eastAsia="zh-CN"/>
              </w:rPr>
              <w:t xml:space="preserve">项目主体结构建成后，需要对建筑物地面、墙体进行装修。在此过程中，废气主要来自各种涂料、油漆等排出的甲醛、二甲苯等有机废气以及少量的粉尘，属于无组织面源。废气中含有的甲醛、二甲苯等污染物质释放入环境中会对周围环境产生一定不利影响。项目拟采取以下防治措施减轻装修废气对环境的影响： </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en-US" w:eastAsia="zh-CN"/>
              </w:rPr>
              <w:t xml:space="preserve">①采用优质的建筑材料，材料标准达到《天然石材产品放射性防护分类控制标准》； </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en-US" w:eastAsia="zh-CN"/>
              </w:rPr>
              <w:t xml:space="preserve">②装修工程提倡绿色装修，采用符合国家标准的室内装饰和装修材料，从根本上降低装修废气对周围大气的污染； </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en-US" w:eastAsia="zh-CN"/>
              </w:rPr>
              <w:t xml:space="preserve">③油漆和涂料喷涂产生的废气，对近距离接触的人体有一定危害，施工期的污染对象主要是施工人员，应采取必要的安全防护措施，如防护面具或口罩等。 </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en-US" w:eastAsia="zh-CN"/>
              </w:rPr>
              <w:t xml:space="preserve">通过采取上述措施，可以减低工程装修阶段的废气对周围大气环境的影响。 </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在项目施工期采取了上述防治措施后，其施工期产生的废气可得到有效控制，能够实现达标排放。</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（二）水环境影响分析</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施工期废水主要是施工现场工人生活区产生的生活污水、施工活动中产生的施工废水等。</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1、地表水环境影响分析</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（1）施工人员生活用水</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生活污水主要污染物是SS、CODcr、BOD</w:t>
            </w:r>
            <w:r>
              <w:rPr>
                <w:rFonts w:hint="default" w:ascii="Times New Roman" w:hAnsi="Times New Roman" w:eastAsia="宋体" w:cs="Times New Roman"/>
                <w:color w:val="auto"/>
                <w:kern w:val="0"/>
                <w:highlight w:val="none"/>
                <w:vertAlign w:val="subscript"/>
                <w:lang w:val="zh-CN" w:eastAsia="zh-CN"/>
              </w:rPr>
              <w:t>5</w:t>
            </w:r>
            <w:r>
              <w:rPr>
                <w:rFonts w:hint="default" w:ascii="Times New Roman" w:hAnsi="Times New Roman" w:eastAsia="宋体" w:cs="Times New Roman"/>
                <w:color w:val="auto"/>
                <w:kern w:val="0"/>
                <w:highlight w:val="none"/>
                <w:lang w:val="zh-CN" w:eastAsia="zh-CN"/>
              </w:rPr>
              <w:t>、氨氮等；本项目施工人员为</w:t>
            </w:r>
            <w:r>
              <w:rPr>
                <w:rFonts w:hint="eastAsia" w:ascii="Times New Roman" w:hAnsi="Times New Roman" w:eastAsia="宋体" w:cs="Times New Roman"/>
                <w:color w:val="auto"/>
                <w:kern w:val="0"/>
                <w:highlight w:val="none"/>
                <w:lang w:val="en-US" w:eastAsia="zh-CN"/>
              </w:rPr>
              <w:t>50</w:t>
            </w:r>
            <w:r>
              <w:rPr>
                <w:rFonts w:hint="default" w:ascii="Times New Roman" w:hAnsi="Times New Roman" w:eastAsia="宋体" w:cs="Times New Roman"/>
                <w:color w:val="auto"/>
                <w:kern w:val="0"/>
                <w:highlight w:val="none"/>
                <w:lang w:val="zh-CN" w:eastAsia="zh-CN"/>
              </w:rPr>
              <w:t>人，施工人员生活用水量按30L/人·d计，消耗新鲜水</w:t>
            </w:r>
            <w:r>
              <w:rPr>
                <w:rFonts w:hint="eastAsia" w:ascii="Times New Roman" w:hAnsi="Times New Roman" w:eastAsia="宋体" w:cs="Times New Roman"/>
                <w:color w:val="auto"/>
                <w:kern w:val="0"/>
                <w:highlight w:val="none"/>
                <w:lang w:val="en-US" w:eastAsia="zh-CN"/>
              </w:rPr>
              <w:t>1.5</w:t>
            </w:r>
            <w:r>
              <w:rPr>
                <w:rFonts w:hint="default" w:ascii="Times New Roman" w:hAnsi="Times New Roman" w:eastAsia="宋体" w:cs="Times New Roman"/>
                <w:color w:val="auto"/>
                <w:kern w:val="0"/>
                <w:highlight w:val="none"/>
                <w:lang w:val="zh-CN" w:eastAsia="zh-CN"/>
              </w:rPr>
              <w:t>m</w:t>
            </w:r>
            <w:r>
              <w:rPr>
                <w:rFonts w:hint="default" w:ascii="Times New Roman" w:hAnsi="Times New Roman" w:eastAsia="宋体" w:cs="Times New Roman"/>
                <w:color w:val="auto"/>
                <w:kern w:val="0"/>
                <w:highlight w:val="none"/>
                <w:vertAlign w:val="superscript"/>
                <w:lang w:val="zh-CN" w:eastAsia="zh-CN"/>
              </w:rPr>
              <w:t>3</w:t>
            </w:r>
            <w:r>
              <w:rPr>
                <w:rFonts w:hint="default" w:ascii="Times New Roman" w:hAnsi="Times New Roman" w:eastAsia="宋体" w:cs="Times New Roman"/>
                <w:color w:val="auto"/>
                <w:kern w:val="0"/>
                <w:highlight w:val="none"/>
                <w:lang w:val="zh-CN" w:eastAsia="zh-CN"/>
              </w:rPr>
              <w:t>/d，施工期约</w:t>
            </w:r>
            <w:r>
              <w:rPr>
                <w:rFonts w:hint="eastAsia" w:ascii="Times New Roman" w:hAnsi="Times New Roman" w:eastAsia="宋体" w:cs="Times New Roman"/>
                <w:color w:val="auto"/>
                <w:kern w:val="0"/>
                <w:highlight w:val="none"/>
                <w:lang w:val="en-US" w:eastAsia="zh-CN"/>
              </w:rPr>
              <w:t>2</w:t>
            </w:r>
            <w:r>
              <w:rPr>
                <w:rFonts w:hint="default" w:ascii="Times New Roman" w:hAnsi="Times New Roman" w:eastAsia="宋体" w:cs="Times New Roman"/>
                <w:color w:val="auto"/>
                <w:kern w:val="0"/>
                <w:highlight w:val="none"/>
                <w:lang w:val="zh-CN" w:eastAsia="zh-CN"/>
              </w:rPr>
              <w:t>年，产污系数按0.8计，则施工场地产生的生活污水为</w:t>
            </w:r>
            <w:r>
              <w:rPr>
                <w:rFonts w:hint="eastAsia" w:ascii="Times New Roman" w:hAnsi="Times New Roman" w:eastAsia="宋体" w:cs="Times New Roman"/>
                <w:color w:val="auto"/>
                <w:kern w:val="0"/>
                <w:highlight w:val="none"/>
                <w:lang w:val="en-US" w:eastAsia="zh-CN"/>
              </w:rPr>
              <w:t>720</w:t>
            </w:r>
            <w:r>
              <w:rPr>
                <w:rFonts w:hint="default" w:ascii="Times New Roman" w:hAnsi="Times New Roman" w:eastAsia="宋体" w:cs="Times New Roman"/>
                <w:color w:val="auto"/>
                <w:kern w:val="0"/>
                <w:highlight w:val="none"/>
                <w:lang w:val="zh-CN" w:eastAsia="zh-CN"/>
              </w:rPr>
              <w:t>m</w:t>
            </w:r>
            <w:r>
              <w:rPr>
                <w:rFonts w:hint="default" w:ascii="Times New Roman" w:hAnsi="Times New Roman" w:eastAsia="宋体" w:cs="Times New Roman"/>
                <w:color w:val="auto"/>
                <w:kern w:val="0"/>
                <w:highlight w:val="none"/>
                <w:vertAlign w:val="superscript"/>
                <w:lang w:val="zh-CN" w:eastAsia="zh-CN"/>
              </w:rPr>
              <w:t>3</w:t>
            </w:r>
            <w:r>
              <w:rPr>
                <w:rFonts w:hint="default" w:ascii="Times New Roman" w:hAnsi="Times New Roman" w:eastAsia="宋体" w:cs="Times New Roman"/>
                <w:color w:val="auto"/>
                <w:kern w:val="0"/>
                <w:highlight w:val="none"/>
                <w:lang w:val="zh-CN" w:eastAsia="zh-CN"/>
              </w:rPr>
              <w:t>/a。施工人员产生的生活污水经临时旱厕暂存后定期清运农肥，不会对区域地表水环境造成明显不利影响。</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（2）</w:t>
            </w:r>
            <w:r>
              <w:rPr>
                <w:rFonts w:hint="eastAsia" w:ascii="Times New Roman" w:hAnsi="Times New Roman" w:eastAsia="宋体" w:cs="Times New Roman"/>
                <w:color w:val="auto"/>
                <w:kern w:val="0"/>
                <w:highlight w:val="none"/>
                <w:lang w:val="en-US" w:eastAsia="zh-CN"/>
              </w:rPr>
              <w:t>施工废水</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施工废水主要为设备清洗废水、车辆冲洗废水等，根据企业提供的资料，设备冲洗及车辆冲用水量约100m</w:t>
            </w:r>
            <w:r>
              <w:rPr>
                <w:rFonts w:hint="default" w:ascii="Times New Roman" w:hAnsi="Times New Roman" w:eastAsia="宋体" w:cs="Times New Roman"/>
                <w:color w:val="auto"/>
                <w:kern w:val="0"/>
                <w:highlight w:val="none"/>
                <w:vertAlign w:val="superscript"/>
                <w:lang w:val="zh-CN" w:eastAsia="zh-CN"/>
              </w:rPr>
              <w:t>3</w:t>
            </w:r>
            <w:r>
              <w:rPr>
                <w:rFonts w:hint="default" w:ascii="Times New Roman" w:hAnsi="Times New Roman" w:eastAsia="宋体" w:cs="Times New Roman"/>
                <w:color w:val="auto"/>
                <w:kern w:val="0"/>
                <w:highlight w:val="none"/>
                <w:lang w:val="zh-CN" w:eastAsia="zh-CN"/>
              </w:rPr>
              <w:t>/a，成分相对比较简单，污染物浓度低，水量较少。新建临时沉淀池各一座，施工期产生的施工废水沉淀后用于厂区洒水降尘，不外排；</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（三）噪声环境影响分析</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 xml:space="preserve">（1）噪声源强 </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施工噪声主要由施工机械和运输车辆产生，项目在不同施工阶段、不同场地、不同作业类型所产生的噪声强度有所不同。施工期参与施工的机械类型较多，由于施工阶段一般为露天作业，无隔声消减措施，故传播较远。施工期各类大型施工机械声级强度见下表。</w:t>
            </w:r>
          </w:p>
          <w:p>
            <w:pPr>
              <w:autoSpaceDE w:val="0"/>
              <w:autoSpaceDN w:val="0"/>
              <w:adjustRightInd w:val="0"/>
              <w:snapToGrid w:val="0"/>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表4-4  主要噪声设备声级强度表</w:t>
            </w: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631"/>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序号</w:t>
                  </w:r>
                </w:p>
              </w:tc>
              <w:tc>
                <w:tcPr>
                  <w:tcW w:w="2158"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设备名称</w:t>
                  </w:r>
                </w:p>
              </w:tc>
              <w:tc>
                <w:tcPr>
                  <w:tcW w:w="215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eastAsia="Calibri" w:cs="Times New Roman"/>
                      <w:b/>
                      <w:color w:val="auto"/>
                      <w:sz w:val="18"/>
                      <w:szCs w:val="18"/>
                      <w:highlight w:val="none"/>
                    </w:rPr>
                  </w:pPr>
                  <w:r>
                    <w:rPr>
                      <w:rFonts w:hint="default" w:ascii="Times New Roman" w:hAnsi="Times New Roman" w:cs="Times New Roman"/>
                      <w:b/>
                      <w:color w:val="auto"/>
                      <w:sz w:val="18"/>
                      <w:szCs w:val="18"/>
                      <w:highlight w:val="none"/>
                    </w:rPr>
                    <w:t>噪声强度dB（A）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1</w:t>
                  </w:r>
                </w:p>
              </w:tc>
              <w:tc>
                <w:tcPr>
                  <w:tcW w:w="2158"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装载机</w:t>
                  </w:r>
                </w:p>
              </w:tc>
              <w:tc>
                <w:tcPr>
                  <w:tcW w:w="215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681"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2</w:t>
                  </w:r>
                </w:p>
              </w:tc>
              <w:tc>
                <w:tcPr>
                  <w:tcW w:w="2158"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推土机</w:t>
                  </w:r>
                </w:p>
              </w:tc>
              <w:tc>
                <w:tcPr>
                  <w:tcW w:w="215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81"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3</w:t>
                  </w:r>
                </w:p>
              </w:tc>
              <w:tc>
                <w:tcPr>
                  <w:tcW w:w="2158"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挖掘机</w:t>
                  </w:r>
                </w:p>
              </w:tc>
              <w:tc>
                <w:tcPr>
                  <w:tcW w:w="215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681"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4</w:t>
                  </w:r>
                </w:p>
              </w:tc>
              <w:tc>
                <w:tcPr>
                  <w:tcW w:w="2158"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搅拌机</w:t>
                  </w:r>
                </w:p>
              </w:tc>
              <w:tc>
                <w:tcPr>
                  <w:tcW w:w="215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90</w:t>
                  </w:r>
                </w:p>
              </w:tc>
            </w:tr>
          </w:tbl>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由上表可知，这些设备运行及生产活动产生的噪声级都比较高，噪声声级一般90dB（A）～100dB（A）之间，在多台机械设备同时作业时，它们的噪声将产生叠加。根据类比调查，叠加后的噪声增值约3～8dB（A）。</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（2）声环境影响预测</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fldChar w:fldCharType="begin"/>
            </w:r>
            <w:r>
              <w:rPr>
                <w:rFonts w:hint="default" w:ascii="Times New Roman" w:hAnsi="Times New Roman" w:eastAsia="宋体" w:cs="Times New Roman"/>
                <w:color w:val="auto"/>
                <w:kern w:val="0"/>
                <w:highlight w:val="none"/>
                <w:lang w:val="zh-CN" w:eastAsia="zh-CN"/>
              </w:rPr>
              <w:instrText xml:space="preserve"> = 1 \* GB3 \* MERGEFORMAT </w:instrText>
            </w:r>
            <w:r>
              <w:rPr>
                <w:rFonts w:hint="default" w:ascii="Times New Roman" w:hAnsi="Times New Roman" w:eastAsia="宋体" w:cs="Times New Roman"/>
                <w:color w:val="auto"/>
                <w:kern w:val="0"/>
                <w:highlight w:val="none"/>
                <w:lang w:val="zh-CN" w:eastAsia="zh-CN"/>
              </w:rPr>
              <w:fldChar w:fldCharType="separate"/>
            </w:r>
            <w:r>
              <w:rPr>
                <w:rFonts w:hint="default" w:ascii="Times New Roman" w:hAnsi="Times New Roman" w:eastAsia="宋体" w:cs="Times New Roman"/>
                <w:color w:val="auto"/>
                <w:kern w:val="0"/>
                <w:highlight w:val="none"/>
                <w:lang w:val="zh-CN" w:eastAsia="zh-CN"/>
              </w:rPr>
              <w:t>①</w:t>
            </w:r>
            <w:r>
              <w:rPr>
                <w:rFonts w:hint="default" w:ascii="Times New Roman" w:hAnsi="Times New Roman" w:eastAsia="宋体" w:cs="Times New Roman"/>
                <w:color w:val="auto"/>
                <w:kern w:val="0"/>
                <w:highlight w:val="none"/>
                <w:lang w:val="zh-CN" w:eastAsia="zh-CN"/>
              </w:rPr>
              <w:fldChar w:fldCharType="end"/>
            </w:r>
            <w:r>
              <w:rPr>
                <w:rFonts w:hint="default" w:ascii="Times New Roman" w:hAnsi="Times New Roman" w:eastAsia="宋体" w:cs="Times New Roman"/>
                <w:color w:val="auto"/>
                <w:kern w:val="0"/>
                <w:highlight w:val="none"/>
                <w:lang w:val="zh-CN" w:eastAsia="zh-CN"/>
              </w:rPr>
              <w:t>预测模式</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各种施工机械声源场主要是在地面产生，可近似作为点声源处理，根据点声源噪声传播衰减模式，可估算施工期间离噪声声源不同距离处的噪声值，从而可就施工机械噪声对评价范围的影响做出分析评价，预测模式如下：</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LP®=LP(r0)-20lg（r/r0）</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式中：LP®——距声源r米处的声压级，dB（A）；</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 xml:space="preserve">      LP(r0)——距声源参考距离r0米处的参考声压级，dB（A）；</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 xml:space="preserve">      r——测点与声源的距离，单位：m。</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fldChar w:fldCharType="begin"/>
            </w:r>
            <w:r>
              <w:rPr>
                <w:rFonts w:hint="default" w:ascii="Times New Roman" w:hAnsi="Times New Roman" w:eastAsia="宋体" w:cs="Times New Roman"/>
                <w:color w:val="auto"/>
                <w:kern w:val="0"/>
                <w:highlight w:val="none"/>
                <w:lang w:val="zh-CN" w:eastAsia="zh-CN"/>
              </w:rPr>
              <w:instrText xml:space="preserve"> = 2 \* GB3 \* MERGEFORMAT </w:instrText>
            </w:r>
            <w:r>
              <w:rPr>
                <w:rFonts w:hint="default" w:ascii="Times New Roman" w:hAnsi="Times New Roman" w:eastAsia="宋体" w:cs="Times New Roman"/>
                <w:color w:val="auto"/>
                <w:kern w:val="0"/>
                <w:highlight w:val="none"/>
                <w:lang w:val="zh-CN" w:eastAsia="zh-CN"/>
              </w:rPr>
              <w:fldChar w:fldCharType="separate"/>
            </w:r>
            <w:r>
              <w:rPr>
                <w:rFonts w:hint="default" w:ascii="Times New Roman" w:hAnsi="Times New Roman" w:eastAsia="宋体" w:cs="Times New Roman"/>
                <w:color w:val="auto"/>
                <w:kern w:val="0"/>
                <w:highlight w:val="none"/>
                <w:lang w:val="zh-CN" w:eastAsia="zh-CN"/>
              </w:rPr>
              <w:t>②</w:t>
            </w:r>
            <w:r>
              <w:rPr>
                <w:rFonts w:hint="default" w:ascii="Times New Roman" w:hAnsi="Times New Roman" w:eastAsia="宋体" w:cs="Times New Roman"/>
                <w:color w:val="auto"/>
                <w:kern w:val="0"/>
                <w:highlight w:val="none"/>
                <w:lang w:val="zh-CN" w:eastAsia="zh-CN"/>
              </w:rPr>
              <w:fldChar w:fldCharType="end"/>
            </w:r>
            <w:r>
              <w:rPr>
                <w:rFonts w:hint="default" w:ascii="Times New Roman" w:hAnsi="Times New Roman" w:eastAsia="宋体" w:cs="Times New Roman"/>
                <w:color w:val="auto"/>
                <w:kern w:val="0"/>
                <w:highlight w:val="none"/>
                <w:lang w:val="zh-CN" w:eastAsia="zh-CN"/>
              </w:rPr>
              <w:t>预测结果</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采用如上模式计算施工期距施工机械不同距离处的噪声值和各种施工机械的达标距离，见下表。</w:t>
            </w:r>
          </w:p>
          <w:p>
            <w:pPr>
              <w:autoSpaceDE w:val="0"/>
              <w:autoSpaceDN w:val="0"/>
              <w:adjustRightInd w:val="0"/>
              <w:snapToGrid w:val="0"/>
              <w:jc w:val="center"/>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eastAsia="宋体" w:cs="Times New Roman"/>
                <w:b/>
                <w:bCs/>
                <w:color w:val="auto"/>
                <w:kern w:val="0"/>
                <w:szCs w:val="21"/>
                <w:highlight w:val="none"/>
                <w:lang w:val="en-US" w:eastAsia="zh-CN"/>
              </w:rPr>
              <w:t>表4-5  距施工机械不同距离处的噪声值  dB(A)</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303"/>
              <w:gridCol w:w="650"/>
              <w:gridCol w:w="721"/>
              <w:gridCol w:w="722"/>
              <w:gridCol w:w="722"/>
              <w:gridCol w:w="722"/>
              <w:gridCol w:w="722"/>
              <w:gridCol w:w="722"/>
              <w:gridCol w:w="722"/>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88" w:type="pct"/>
                  <w:vMerge w:val="restar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序号</w:t>
                  </w:r>
                </w:p>
              </w:tc>
              <w:tc>
                <w:tcPr>
                  <w:tcW w:w="775" w:type="pct"/>
                  <w:vMerge w:val="restar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机械名称</w:t>
                  </w:r>
                </w:p>
              </w:tc>
              <w:tc>
                <w:tcPr>
                  <w:tcW w:w="387" w:type="pct"/>
                  <w:vMerge w:val="restar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源强</w:t>
                  </w:r>
                </w:p>
              </w:tc>
              <w:tc>
                <w:tcPr>
                  <w:tcW w:w="3449" w:type="pct"/>
                  <w:gridSpan w:val="8"/>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不同距离处的噪声预测值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88" w:type="pct"/>
                  <w:vMerge w:val="continue"/>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p>
              </w:tc>
              <w:tc>
                <w:tcPr>
                  <w:tcW w:w="775" w:type="pct"/>
                  <w:vMerge w:val="continue"/>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p>
              </w:tc>
              <w:tc>
                <w:tcPr>
                  <w:tcW w:w="387" w:type="pct"/>
                  <w:vMerge w:val="continue"/>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p>
              </w:tc>
              <w:tc>
                <w:tcPr>
                  <w:tcW w:w="429" w:type="pct"/>
                  <w:noWrap w:val="0"/>
                  <w:vAlign w:val="center"/>
                </w:tcPr>
                <w:p>
                  <w:pPr>
                    <w:keepNext/>
                    <w:widowControl/>
                    <w:kinsoku w:val="0"/>
                    <w:overflowPunct w:val="0"/>
                    <w:autoSpaceDE w:val="0"/>
                    <w:autoSpaceDN w:val="0"/>
                    <w:jc w:val="center"/>
                    <w:rPr>
                      <w:rFonts w:hint="eastAsia" w:ascii="Times New Roman" w:hAnsi="Times New Roman" w:eastAsia="宋体" w:cs="Times New Roman"/>
                      <w:bCs/>
                      <w:color w:val="auto"/>
                      <w:sz w:val="18"/>
                      <w:szCs w:val="18"/>
                      <w:highlight w:val="none"/>
                      <w:lang w:val="en-US" w:eastAsia="zh-CN"/>
                    </w:rPr>
                  </w:pPr>
                  <w:r>
                    <w:rPr>
                      <w:rFonts w:hint="default" w:ascii="Times New Roman" w:hAnsi="Times New Roman" w:cs="Times New Roman"/>
                      <w:bCs/>
                      <w:color w:val="auto"/>
                      <w:sz w:val="18"/>
                      <w:szCs w:val="18"/>
                      <w:highlight w:val="none"/>
                    </w:rPr>
                    <w:t>5</w:t>
                  </w:r>
                  <w:r>
                    <w:rPr>
                      <w:rFonts w:hint="eastAsia" w:cs="Times New Roman"/>
                      <w:bCs/>
                      <w:color w:val="auto"/>
                      <w:sz w:val="18"/>
                      <w:szCs w:val="18"/>
                      <w:highlight w:val="none"/>
                      <w:lang w:val="en-US" w:eastAsia="zh-CN"/>
                    </w:rPr>
                    <w:t>m</w:t>
                  </w:r>
                </w:p>
              </w:tc>
              <w:tc>
                <w:tcPr>
                  <w:tcW w:w="429"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15</w:t>
                  </w:r>
                  <w:r>
                    <w:rPr>
                      <w:rFonts w:hint="eastAsia" w:cs="Times New Roman"/>
                      <w:bCs/>
                      <w:color w:val="auto"/>
                      <w:sz w:val="18"/>
                      <w:szCs w:val="18"/>
                      <w:highlight w:val="none"/>
                      <w:lang w:val="en-US" w:eastAsia="zh-CN"/>
                    </w:rPr>
                    <w:t>m</w:t>
                  </w:r>
                </w:p>
              </w:tc>
              <w:tc>
                <w:tcPr>
                  <w:tcW w:w="429"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20</w:t>
                  </w:r>
                  <w:r>
                    <w:rPr>
                      <w:rFonts w:hint="eastAsia" w:cs="Times New Roman"/>
                      <w:bCs/>
                      <w:color w:val="auto"/>
                      <w:sz w:val="18"/>
                      <w:szCs w:val="18"/>
                      <w:highlight w:val="none"/>
                      <w:lang w:val="en-US" w:eastAsia="zh-CN"/>
                    </w:rPr>
                    <w:t>m</w:t>
                  </w:r>
                </w:p>
              </w:tc>
              <w:tc>
                <w:tcPr>
                  <w:tcW w:w="429"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30</w:t>
                  </w:r>
                  <w:r>
                    <w:rPr>
                      <w:rFonts w:hint="eastAsia" w:cs="Times New Roman"/>
                      <w:bCs/>
                      <w:color w:val="auto"/>
                      <w:sz w:val="18"/>
                      <w:szCs w:val="18"/>
                      <w:highlight w:val="none"/>
                      <w:lang w:val="en-US" w:eastAsia="zh-CN"/>
                    </w:rPr>
                    <w:t>m</w:t>
                  </w:r>
                </w:p>
              </w:tc>
              <w:tc>
                <w:tcPr>
                  <w:tcW w:w="429"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40</w:t>
                  </w:r>
                  <w:r>
                    <w:rPr>
                      <w:rFonts w:hint="eastAsia" w:cs="Times New Roman"/>
                      <w:bCs/>
                      <w:color w:val="auto"/>
                      <w:sz w:val="18"/>
                      <w:szCs w:val="18"/>
                      <w:highlight w:val="none"/>
                      <w:lang w:val="en-US" w:eastAsia="zh-CN"/>
                    </w:rPr>
                    <w:t>m</w:t>
                  </w:r>
                </w:p>
              </w:tc>
              <w:tc>
                <w:tcPr>
                  <w:tcW w:w="429"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50</w:t>
                  </w:r>
                  <w:r>
                    <w:rPr>
                      <w:rFonts w:hint="eastAsia" w:cs="Times New Roman"/>
                      <w:bCs/>
                      <w:color w:val="auto"/>
                      <w:sz w:val="18"/>
                      <w:szCs w:val="18"/>
                      <w:highlight w:val="none"/>
                      <w:lang w:val="en-US" w:eastAsia="zh-CN"/>
                    </w:rPr>
                    <w:t>m</w:t>
                  </w:r>
                </w:p>
              </w:tc>
              <w:tc>
                <w:tcPr>
                  <w:tcW w:w="429"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100</w:t>
                  </w:r>
                  <w:r>
                    <w:rPr>
                      <w:rFonts w:hint="eastAsia" w:cs="Times New Roman"/>
                      <w:bCs/>
                      <w:color w:val="auto"/>
                      <w:sz w:val="18"/>
                      <w:szCs w:val="18"/>
                      <w:highlight w:val="none"/>
                      <w:lang w:val="en-US" w:eastAsia="zh-CN"/>
                    </w:rPr>
                    <w:t>m</w:t>
                  </w:r>
                </w:p>
              </w:tc>
              <w:tc>
                <w:tcPr>
                  <w:tcW w:w="443"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150</w:t>
                  </w:r>
                  <w:r>
                    <w:rPr>
                      <w:rFonts w:hint="eastAsia" w:cs="Times New Roman"/>
                      <w:bCs/>
                      <w:color w:val="auto"/>
                      <w:sz w:val="18"/>
                      <w:szCs w:val="18"/>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88"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1</w:t>
                  </w:r>
                </w:p>
              </w:tc>
              <w:tc>
                <w:tcPr>
                  <w:tcW w:w="775"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装载机</w:t>
                  </w:r>
                </w:p>
              </w:tc>
              <w:tc>
                <w:tcPr>
                  <w:tcW w:w="387"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100</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74</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68</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64</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62</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60</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54</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50</w:t>
                  </w:r>
                </w:p>
              </w:tc>
              <w:tc>
                <w:tcPr>
                  <w:tcW w:w="443"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88"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2</w:t>
                  </w:r>
                </w:p>
              </w:tc>
              <w:tc>
                <w:tcPr>
                  <w:tcW w:w="775"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推土机</w:t>
                  </w:r>
                </w:p>
              </w:tc>
              <w:tc>
                <w:tcPr>
                  <w:tcW w:w="650" w:type="dxa"/>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90</w:t>
                  </w:r>
                </w:p>
              </w:tc>
              <w:tc>
                <w:tcPr>
                  <w:tcW w:w="721" w:type="dxa"/>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64</w:t>
                  </w:r>
                </w:p>
              </w:tc>
              <w:tc>
                <w:tcPr>
                  <w:tcW w:w="722" w:type="dxa"/>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58</w:t>
                  </w:r>
                </w:p>
              </w:tc>
              <w:tc>
                <w:tcPr>
                  <w:tcW w:w="722" w:type="dxa"/>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54</w:t>
                  </w:r>
                </w:p>
              </w:tc>
              <w:tc>
                <w:tcPr>
                  <w:tcW w:w="722" w:type="dxa"/>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52</w:t>
                  </w:r>
                </w:p>
              </w:tc>
              <w:tc>
                <w:tcPr>
                  <w:tcW w:w="722" w:type="dxa"/>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50</w:t>
                  </w:r>
                </w:p>
              </w:tc>
              <w:tc>
                <w:tcPr>
                  <w:tcW w:w="722" w:type="dxa"/>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44</w:t>
                  </w:r>
                </w:p>
              </w:tc>
              <w:tc>
                <w:tcPr>
                  <w:tcW w:w="722" w:type="dxa"/>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40</w:t>
                  </w:r>
                </w:p>
              </w:tc>
              <w:tc>
                <w:tcPr>
                  <w:tcW w:w="750" w:type="dxa"/>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jc w:val="center"/>
              </w:trPr>
              <w:tc>
                <w:tcPr>
                  <w:tcW w:w="388"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3</w:t>
                  </w:r>
                </w:p>
              </w:tc>
              <w:tc>
                <w:tcPr>
                  <w:tcW w:w="775"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挖掘机</w:t>
                  </w:r>
                </w:p>
              </w:tc>
              <w:tc>
                <w:tcPr>
                  <w:tcW w:w="387"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90</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64</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58</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54</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52</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50</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44</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40</w:t>
                  </w:r>
                </w:p>
              </w:tc>
              <w:tc>
                <w:tcPr>
                  <w:tcW w:w="443"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88"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4</w:t>
                  </w:r>
                </w:p>
              </w:tc>
              <w:tc>
                <w:tcPr>
                  <w:tcW w:w="775" w:type="pct"/>
                  <w:noWrap w:val="0"/>
                  <w:vAlign w:val="center"/>
                </w:tcPr>
                <w:p>
                  <w:pPr>
                    <w:keepNext/>
                    <w:widowControl/>
                    <w:kinsoku w:val="0"/>
                    <w:overflowPunct w:val="0"/>
                    <w:autoSpaceDE w:val="0"/>
                    <w:autoSpaceDN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搅拌机</w:t>
                  </w:r>
                </w:p>
              </w:tc>
              <w:tc>
                <w:tcPr>
                  <w:tcW w:w="387"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90</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64</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58</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54</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52</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50</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44</w:t>
                  </w:r>
                </w:p>
              </w:tc>
              <w:tc>
                <w:tcPr>
                  <w:tcW w:w="429"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40</w:t>
                  </w:r>
                </w:p>
              </w:tc>
              <w:tc>
                <w:tcPr>
                  <w:tcW w:w="443" w:type="pct"/>
                  <w:noWrap w:val="0"/>
                  <w:vAlign w:val="center"/>
                </w:tcPr>
                <w:p>
                  <w:pPr>
                    <w:keepNext/>
                    <w:widowControl/>
                    <w:kinsoku w:val="0"/>
                    <w:overflowPunct w:val="0"/>
                    <w:autoSpaceDE w:val="0"/>
                    <w:autoSpaceDN w:val="0"/>
                    <w:adjustRightInd w:val="0"/>
                    <w:snapToGrid w:val="0"/>
                    <w:jc w:val="center"/>
                    <w:rPr>
                      <w:rFonts w:hint="default" w:ascii="Times New Roman" w:hAnsi="Times New Roman" w:cs="Times New Roman"/>
                      <w:bCs/>
                      <w:color w:val="auto"/>
                      <w:sz w:val="18"/>
                      <w:szCs w:val="18"/>
                      <w:highlight w:val="none"/>
                    </w:rPr>
                  </w:pPr>
                  <w:r>
                    <w:rPr>
                      <w:rFonts w:hint="default" w:ascii="Times New Roman" w:hAnsi="Times New Roman" w:cs="Times New Roman"/>
                      <w:bCs/>
                      <w:color w:val="auto"/>
                      <w:sz w:val="18"/>
                      <w:szCs w:val="18"/>
                      <w:highlight w:val="none"/>
                    </w:rPr>
                    <w:t>38</w:t>
                  </w:r>
                </w:p>
              </w:tc>
            </w:tr>
          </w:tbl>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（3）防治措施</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为最大限度避免和减轻施工对施工场地的影响，本评价对施工噪声的控制提出以下要求和建议：</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fldChar w:fldCharType="begin"/>
            </w:r>
            <w:r>
              <w:rPr>
                <w:rFonts w:hint="default" w:ascii="Times New Roman" w:hAnsi="Times New Roman" w:eastAsia="宋体" w:cs="Times New Roman"/>
                <w:color w:val="auto"/>
                <w:kern w:val="0"/>
                <w:highlight w:val="none"/>
                <w:lang w:val="zh-CN" w:eastAsia="zh-CN"/>
              </w:rPr>
              <w:instrText xml:space="preserve"> = 1 \* GB3 \* MERGEFORMAT </w:instrText>
            </w:r>
            <w:r>
              <w:rPr>
                <w:rFonts w:hint="default" w:ascii="Times New Roman" w:hAnsi="Times New Roman" w:eastAsia="宋体" w:cs="Times New Roman"/>
                <w:color w:val="auto"/>
                <w:kern w:val="0"/>
                <w:highlight w:val="none"/>
                <w:lang w:val="zh-CN" w:eastAsia="zh-CN"/>
              </w:rPr>
              <w:fldChar w:fldCharType="separate"/>
            </w:r>
            <w:r>
              <w:rPr>
                <w:rFonts w:hint="default" w:ascii="Times New Roman" w:hAnsi="Times New Roman" w:eastAsia="宋体" w:cs="Times New Roman"/>
                <w:color w:val="auto"/>
                <w:kern w:val="0"/>
                <w:highlight w:val="none"/>
                <w:lang w:val="zh-CN" w:eastAsia="zh-CN"/>
              </w:rPr>
              <w:t>①</w:t>
            </w:r>
            <w:r>
              <w:rPr>
                <w:rFonts w:hint="default" w:ascii="Times New Roman" w:hAnsi="Times New Roman" w:eastAsia="宋体" w:cs="Times New Roman"/>
                <w:color w:val="auto"/>
                <w:kern w:val="0"/>
                <w:highlight w:val="none"/>
                <w:lang w:val="zh-CN" w:eastAsia="zh-CN"/>
              </w:rPr>
              <w:fldChar w:fldCharType="end"/>
            </w:r>
            <w:r>
              <w:rPr>
                <w:rFonts w:hint="default" w:ascii="Times New Roman" w:hAnsi="Times New Roman" w:eastAsia="宋体" w:cs="Times New Roman"/>
                <w:color w:val="auto"/>
                <w:kern w:val="0"/>
                <w:highlight w:val="none"/>
                <w:lang w:val="zh-CN" w:eastAsia="zh-CN"/>
              </w:rPr>
              <w:t>施工单位所使用的主要施工机械应选用低噪声机械设备，如选液压机械取代燃油机械等，并及时维修保养，严格按操作规程使用各类机械。</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fldChar w:fldCharType="begin"/>
            </w:r>
            <w:r>
              <w:rPr>
                <w:rFonts w:hint="default" w:ascii="Times New Roman" w:hAnsi="Times New Roman" w:eastAsia="宋体" w:cs="Times New Roman"/>
                <w:color w:val="auto"/>
                <w:kern w:val="0"/>
                <w:highlight w:val="none"/>
                <w:lang w:val="zh-CN" w:eastAsia="zh-CN"/>
              </w:rPr>
              <w:instrText xml:space="preserve"> = 2 \* GB3 \* MERGEFORMAT </w:instrText>
            </w:r>
            <w:r>
              <w:rPr>
                <w:rFonts w:hint="default" w:ascii="Times New Roman" w:hAnsi="Times New Roman" w:eastAsia="宋体" w:cs="Times New Roman"/>
                <w:color w:val="auto"/>
                <w:kern w:val="0"/>
                <w:highlight w:val="none"/>
                <w:lang w:val="zh-CN" w:eastAsia="zh-CN"/>
              </w:rPr>
              <w:fldChar w:fldCharType="separate"/>
            </w:r>
            <w:r>
              <w:rPr>
                <w:rFonts w:hint="default" w:ascii="Times New Roman" w:hAnsi="Times New Roman" w:eastAsia="宋体" w:cs="Times New Roman"/>
                <w:color w:val="auto"/>
                <w:kern w:val="0"/>
                <w:highlight w:val="none"/>
                <w:lang w:val="zh-CN" w:eastAsia="zh-CN"/>
              </w:rPr>
              <w:t>②</w:t>
            </w:r>
            <w:r>
              <w:rPr>
                <w:rFonts w:hint="default" w:ascii="Times New Roman" w:hAnsi="Times New Roman" w:eastAsia="宋体" w:cs="Times New Roman"/>
                <w:color w:val="auto"/>
                <w:kern w:val="0"/>
                <w:highlight w:val="none"/>
                <w:lang w:val="zh-CN" w:eastAsia="zh-CN"/>
              </w:rPr>
              <w:fldChar w:fldCharType="end"/>
            </w:r>
            <w:r>
              <w:rPr>
                <w:rFonts w:hint="default" w:ascii="Times New Roman" w:hAnsi="Times New Roman" w:eastAsia="宋体" w:cs="Times New Roman"/>
                <w:color w:val="auto"/>
                <w:kern w:val="0"/>
                <w:highlight w:val="none"/>
                <w:lang w:val="zh-CN" w:eastAsia="zh-CN"/>
              </w:rPr>
              <w:t>对建筑物外部采用围档，减轻施工噪声对外环境的影响。推土机、挖掘机等设备运行噪声不可避免，因此基础开挖等作业必须在短期内完成，环评要求利用噪声衰减措施，在不影响施工的条件下，将强噪声设备分散安排，高噪声作业必须在昼间进行，并在施工场界周围设置维护设施，高噪声设备设置隔音、减噪措施。</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fldChar w:fldCharType="begin"/>
            </w:r>
            <w:r>
              <w:rPr>
                <w:rFonts w:hint="default" w:ascii="Times New Roman" w:hAnsi="Times New Roman" w:eastAsia="宋体" w:cs="Times New Roman"/>
                <w:color w:val="auto"/>
                <w:kern w:val="0"/>
                <w:highlight w:val="none"/>
                <w:lang w:val="zh-CN" w:eastAsia="zh-CN"/>
              </w:rPr>
              <w:instrText xml:space="preserve"> = 3 \* GB3 \* MERGEFORMAT </w:instrText>
            </w:r>
            <w:r>
              <w:rPr>
                <w:rFonts w:hint="default" w:ascii="Times New Roman" w:hAnsi="Times New Roman" w:eastAsia="宋体" w:cs="Times New Roman"/>
                <w:color w:val="auto"/>
                <w:kern w:val="0"/>
                <w:highlight w:val="none"/>
                <w:lang w:val="zh-CN" w:eastAsia="zh-CN"/>
              </w:rPr>
              <w:fldChar w:fldCharType="separate"/>
            </w:r>
            <w:r>
              <w:rPr>
                <w:rFonts w:hint="default" w:ascii="Times New Roman" w:hAnsi="Times New Roman" w:eastAsia="宋体" w:cs="Times New Roman"/>
                <w:color w:val="auto"/>
                <w:kern w:val="0"/>
                <w:highlight w:val="none"/>
                <w:lang w:val="zh-CN" w:eastAsia="zh-CN"/>
              </w:rPr>
              <w:t>③</w:t>
            </w:r>
            <w:r>
              <w:rPr>
                <w:rFonts w:hint="default" w:ascii="Times New Roman" w:hAnsi="Times New Roman" w:eastAsia="宋体" w:cs="Times New Roman"/>
                <w:color w:val="auto"/>
                <w:kern w:val="0"/>
                <w:highlight w:val="none"/>
                <w:lang w:val="zh-CN" w:eastAsia="zh-CN"/>
              </w:rPr>
              <w:fldChar w:fldCharType="end"/>
            </w:r>
            <w:r>
              <w:rPr>
                <w:rFonts w:hint="default" w:ascii="Times New Roman" w:hAnsi="Times New Roman" w:eastAsia="宋体" w:cs="Times New Roman"/>
                <w:color w:val="auto"/>
                <w:kern w:val="0"/>
                <w:highlight w:val="none"/>
                <w:lang w:val="zh-CN" w:eastAsia="zh-CN"/>
              </w:rPr>
              <w:t>合理安排施工时间：要求施工单位严格遵守环保部门规定，合理安排施工时间，除工程必须外，严禁在12：00～14：00和夜间施工。</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④将有固定工作地点的施工机械尽量设置在距居民区较远的位置，并采取适当的封闭和隔声措施。</w:t>
            </w:r>
          </w:p>
          <w:p>
            <w:pPr>
              <w:spacing w:line="360" w:lineRule="auto"/>
              <w:ind w:firstLine="420" w:firstLineChars="200"/>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en-US" w:eastAsia="zh-CN"/>
              </w:rPr>
              <w:t>因项目东侧紧邻居民区，项目施工时采用增加东侧围挡，严禁夜晚施工，单独设置隔音挡板等措施降低噪声对居民区的影响。</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eastAsia" w:cs="Times New Roman"/>
                <w:color w:val="auto"/>
                <w:kern w:val="0"/>
                <w:highlight w:val="none"/>
                <w:lang w:val="en-US" w:eastAsia="zh-CN"/>
              </w:rPr>
              <w:t>采用以上措施后施工期噪声</w:t>
            </w:r>
            <w:r>
              <w:rPr>
                <w:rFonts w:hint="default" w:ascii="Times New Roman" w:hAnsi="Times New Roman" w:eastAsia="宋体" w:cs="Times New Roman"/>
                <w:color w:val="auto"/>
                <w:kern w:val="0"/>
                <w:highlight w:val="none"/>
                <w:lang w:val="zh-CN" w:eastAsia="zh-CN"/>
              </w:rPr>
              <w:t>声级</w:t>
            </w:r>
            <w:r>
              <w:rPr>
                <w:rFonts w:hint="eastAsia" w:cs="Times New Roman"/>
                <w:color w:val="auto"/>
                <w:kern w:val="0"/>
                <w:highlight w:val="none"/>
                <w:lang w:val="en-US" w:eastAsia="zh-CN"/>
              </w:rPr>
              <w:t>可</w:t>
            </w:r>
            <w:r>
              <w:rPr>
                <w:rFonts w:hint="default" w:ascii="Times New Roman" w:hAnsi="Times New Roman" w:eastAsia="宋体" w:cs="Times New Roman"/>
                <w:color w:val="auto"/>
                <w:kern w:val="0"/>
                <w:highlight w:val="none"/>
                <w:lang w:val="zh-CN" w:eastAsia="zh-CN"/>
              </w:rPr>
              <w:t>满足《建筑施工场界环境噪声排放标准》（GB12523-2011）（昼间70</w:t>
            </w:r>
            <w:r>
              <w:rPr>
                <w:rFonts w:hint="default" w:ascii="Times New Roman" w:hAnsi="Times New Roman" w:eastAsia="宋体" w:cs="Times New Roman"/>
                <w:color w:val="auto"/>
                <w:kern w:val="0"/>
                <w:highlight w:val="none"/>
                <w:lang w:val="en-US" w:eastAsia="zh-CN"/>
              </w:rPr>
              <w:t xml:space="preserve"> </w:t>
            </w:r>
            <w:r>
              <w:rPr>
                <w:rFonts w:hint="default" w:ascii="Times New Roman" w:hAnsi="Times New Roman" w:eastAsia="宋体" w:cs="Times New Roman"/>
                <w:color w:val="auto"/>
                <w:kern w:val="0"/>
                <w:highlight w:val="none"/>
                <w:lang w:val="zh-CN" w:eastAsia="zh-CN"/>
              </w:rPr>
              <w:t>dB（A），夜间</w:t>
            </w:r>
            <w:r>
              <w:rPr>
                <w:rFonts w:hint="default" w:ascii="Times New Roman" w:hAnsi="Times New Roman" w:eastAsia="宋体" w:cs="Times New Roman"/>
                <w:color w:val="auto"/>
                <w:kern w:val="0"/>
                <w:highlight w:val="none"/>
                <w:lang w:val="en-US" w:eastAsia="zh-CN"/>
              </w:rPr>
              <w:t>5</w:t>
            </w:r>
            <w:r>
              <w:rPr>
                <w:rFonts w:hint="eastAsia" w:cs="Times New Roman"/>
                <w:color w:val="auto"/>
                <w:kern w:val="0"/>
                <w:highlight w:val="none"/>
                <w:lang w:val="en-US" w:eastAsia="zh-CN"/>
              </w:rPr>
              <w:t>5</w:t>
            </w:r>
            <w:r>
              <w:rPr>
                <w:rFonts w:hint="default" w:ascii="Times New Roman" w:hAnsi="Times New Roman" w:eastAsia="宋体" w:cs="Times New Roman"/>
                <w:color w:val="auto"/>
                <w:kern w:val="0"/>
                <w:highlight w:val="none"/>
                <w:lang w:val="en-US" w:eastAsia="zh-CN"/>
              </w:rPr>
              <w:t xml:space="preserve"> dB（A）</w:t>
            </w:r>
            <w:r>
              <w:rPr>
                <w:rFonts w:hint="default" w:ascii="Times New Roman" w:hAnsi="Times New Roman" w:eastAsia="宋体" w:cs="Times New Roman"/>
                <w:color w:val="auto"/>
                <w:kern w:val="0"/>
                <w:highlight w:val="none"/>
                <w:lang w:val="zh-CN" w:eastAsia="zh-CN"/>
              </w:rPr>
              <w:t>）标准。</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（四）固废环境影响分析</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固体废物主要包括施工中产生的</w:t>
            </w:r>
            <w:r>
              <w:rPr>
                <w:rFonts w:hint="eastAsia" w:ascii="Times New Roman" w:hAnsi="Times New Roman" w:eastAsia="宋体" w:cs="Times New Roman"/>
                <w:color w:val="auto"/>
                <w:kern w:val="0"/>
                <w:highlight w:val="none"/>
                <w:lang w:val="en-US" w:eastAsia="zh-CN"/>
              </w:rPr>
              <w:t>废弃土方</w:t>
            </w:r>
            <w:r>
              <w:rPr>
                <w:rFonts w:hint="eastAsia" w:ascii="Times New Roman" w:hAnsi="Times New Roman" w:eastAsia="宋体" w:cs="Times New Roman"/>
                <w:color w:val="auto"/>
                <w:kern w:val="0"/>
                <w:highlight w:val="none"/>
                <w:lang w:val="zh-CN" w:eastAsia="zh-CN"/>
              </w:rPr>
              <w:t>、</w:t>
            </w:r>
            <w:r>
              <w:rPr>
                <w:rFonts w:hint="default" w:ascii="Times New Roman" w:hAnsi="Times New Roman" w:eastAsia="宋体" w:cs="Times New Roman"/>
                <w:color w:val="auto"/>
                <w:kern w:val="0"/>
                <w:highlight w:val="none"/>
                <w:lang w:val="zh-CN" w:eastAsia="zh-CN"/>
              </w:rPr>
              <w:t>建筑垃圾和施工人员产生的生活垃圾。</w:t>
            </w:r>
          </w:p>
          <w:p>
            <w:pPr>
              <w:numPr>
                <w:ilvl w:val="0"/>
                <w:numId w:val="3"/>
              </w:numPr>
              <w:spacing w:line="360" w:lineRule="auto"/>
              <w:ind w:firstLine="420" w:firstLineChars="200"/>
              <w:rPr>
                <w:rFonts w:hint="eastAsia"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渣土、碎石</w:t>
            </w:r>
          </w:p>
          <w:p>
            <w:pPr>
              <w:numPr>
                <w:ilvl w:val="0"/>
                <w:numId w:val="0"/>
              </w:num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本项目建设过程中</w:t>
            </w:r>
            <w:r>
              <w:rPr>
                <w:rFonts w:hint="eastAsia" w:ascii="Times New Roman" w:hAnsi="Times New Roman" w:eastAsia="宋体" w:cs="Times New Roman"/>
                <w:color w:val="auto"/>
                <w:kern w:val="0"/>
                <w:highlight w:val="none"/>
                <w:lang w:val="en-US" w:eastAsia="zh-CN"/>
              </w:rPr>
              <w:t>池体</w:t>
            </w:r>
            <w:r>
              <w:rPr>
                <w:rFonts w:hint="default" w:ascii="Times New Roman" w:hAnsi="Times New Roman" w:eastAsia="宋体" w:cs="Times New Roman"/>
                <w:color w:val="auto"/>
                <w:kern w:val="0"/>
                <w:highlight w:val="none"/>
                <w:lang w:val="zh-CN" w:eastAsia="zh-CN"/>
              </w:rPr>
              <w:t>主要采用</w:t>
            </w:r>
            <w:r>
              <w:rPr>
                <w:rFonts w:hint="eastAsia" w:ascii="Times New Roman" w:hAnsi="Times New Roman" w:eastAsia="宋体" w:cs="Times New Roman"/>
                <w:color w:val="auto"/>
                <w:kern w:val="0"/>
                <w:highlight w:val="none"/>
                <w:lang w:val="en-US" w:eastAsia="zh-CN"/>
              </w:rPr>
              <w:t>整体开挖</w:t>
            </w:r>
            <w:r>
              <w:rPr>
                <w:rFonts w:hint="default" w:ascii="Times New Roman" w:hAnsi="Times New Roman" w:eastAsia="宋体" w:cs="Times New Roman"/>
                <w:color w:val="auto"/>
                <w:kern w:val="0"/>
                <w:highlight w:val="none"/>
                <w:lang w:val="zh-CN" w:eastAsia="zh-CN"/>
              </w:rPr>
              <w:t>的方式，产生的土方</w:t>
            </w:r>
            <w:r>
              <w:rPr>
                <w:rFonts w:hint="eastAsia" w:ascii="Times New Roman" w:hAnsi="Times New Roman" w:eastAsia="宋体" w:cs="Times New Roman"/>
                <w:color w:val="auto"/>
                <w:kern w:val="0"/>
                <w:highlight w:val="none"/>
                <w:lang w:val="en-US" w:eastAsia="zh-CN"/>
              </w:rPr>
              <w:t>少</w:t>
            </w:r>
            <w:r>
              <w:rPr>
                <w:rFonts w:hint="default" w:ascii="Times New Roman" w:hAnsi="Times New Roman" w:eastAsia="宋体" w:cs="Times New Roman"/>
                <w:color w:val="auto"/>
                <w:kern w:val="0"/>
                <w:highlight w:val="none"/>
                <w:lang w:val="zh-CN" w:eastAsia="zh-CN"/>
              </w:rPr>
              <w:t>部分用于回填</w:t>
            </w:r>
            <w:r>
              <w:rPr>
                <w:rFonts w:hint="eastAsia" w:ascii="Times New Roman" w:hAnsi="Times New Roman" w:eastAsia="宋体" w:cs="Times New Roman"/>
                <w:color w:val="auto"/>
                <w:kern w:val="0"/>
                <w:highlight w:val="none"/>
                <w:lang w:val="en-US" w:eastAsia="zh-CN"/>
              </w:rPr>
              <w:t>及周边的土层垫高</w:t>
            </w:r>
            <w:r>
              <w:rPr>
                <w:rFonts w:hint="default" w:ascii="Times New Roman" w:hAnsi="Times New Roman" w:eastAsia="宋体" w:cs="Times New Roman"/>
                <w:color w:val="auto"/>
                <w:kern w:val="0"/>
                <w:highlight w:val="none"/>
                <w:lang w:val="zh-CN" w:eastAsia="zh-CN"/>
              </w:rPr>
              <w:t>，剩余无法消化部分，及时清运至政府指定处理场处置。环评要求施工单位在开挖地基时尽可能在短时间内完成开挖、回填工作，尽量减少水土流失和扬尘对区域环境的污染影响。同时要求施工单位对用于回填等的土方覆盖塑料布，并修建挡土墙、排水沟，有效防止土方被雨水冲刷造成水土流失。</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2、施工生活垃圾</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本工程施工期生活垃圾以每人每天产生1.0kg计算，施工人员为</w:t>
            </w:r>
            <w:r>
              <w:rPr>
                <w:rFonts w:hint="default" w:ascii="Times New Roman" w:hAnsi="Times New Roman" w:eastAsia="宋体" w:cs="Times New Roman"/>
                <w:color w:val="auto"/>
                <w:kern w:val="0"/>
                <w:highlight w:val="none"/>
                <w:lang w:val="en-US" w:eastAsia="zh-CN"/>
              </w:rPr>
              <w:t>5</w:t>
            </w:r>
            <w:r>
              <w:rPr>
                <w:rFonts w:hint="default" w:ascii="Times New Roman" w:hAnsi="Times New Roman" w:eastAsia="宋体" w:cs="Times New Roman"/>
                <w:color w:val="auto"/>
                <w:kern w:val="0"/>
                <w:highlight w:val="none"/>
                <w:lang w:val="zh-CN" w:eastAsia="zh-CN"/>
              </w:rPr>
              <w:t>0人，则施工期间生活垃圾产生量为0.0</w:t>
            </w:r>
            <w:r>
              <w:rPr>
                <w:rFonts w:hint="default" w:ascii="Times New Roman" w:hAnsi="Times New Roman" w:eastAsia="宋体" w:cs="Times New Roman"/>
                <w:color w:val="auto"/>
                <w:kern w:val="0"/>
                <w:highlight w:val="none"/>
                <w:lang w:val="en-US" w:eastAsia="zh-CN"/>
              </w:rPr>
              <w:t>5</w:t>
            </w:r>
            <w:r>
              <w:rPr>
                <w:rFonts w:hint="default" w:ascii="Times New Roman" w:hAnsi="Times New Roman" w:eastAsia="宋体" w:cs="Times New Roman"/>
                <w:color w:val="auto"/>
                <w:kern w:val="0"/>
                <w:highlight w:val="none"/>
                <w:lang w:val="zh-CN" w:eastAsia="zh-CN"/>
              </w:rPr>
              <w:t>t/d。</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施工区和生活区均设置垃圾桶，并设专人定时进行卫生清理工作，对生活垃圾统一收集，收集后就近运往城镇垃圾处理场集中处置。因此，只要采取适当的防治措施，工程产生的固体废物对环境影响较小。</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eastAsia" w:ascii="Times New Roman" w:hAnsi="Times New Roman" w:eastAsia="宋体" w:cs="Times New Roman"/>
                <w:color w:val="auto"/>
                <w:kern w:val="0"/>
                <w:highlight w:val="none"/>
                <w:lang w:val="en-US" w:eastAsia="zh-CN"/>
              </w:rPr>
              <w:t>3、</w:t>
            </w:r>
            <w:r>
              <w:rPr>
                <w:rFonts w:hint="default" w:ascii="Times New Roman" w:hAnsi="Times New Roman" w:eastAsia="宋体" w:cs="Times New Roman"/>
                <w:color w:val="auto"/>
                <w:kern w:val="0"/>
                <w:highlight w:val="none"/>
                <w:lang w:val="zh-CN" w:eastAsia="zh-CN"/>
              </w:rPr>
              <w:t>建筑垃圾</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项目建设过程中将产生少量建筑垃圾，包括建筑施工废弃的水泥凝结废渣、破损砖石、破碎预制砼构件等。</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治理措施：根据《中华人民共和国固体废物污染环境防治法》相关规定，本项目施工过程中产生的建筑垃圾，在施工现场应设置临时建筑废物堆放场并进行防渗漏、密闭处理。建筑垃圾除部分用于回收，剩余部分堆放达一定量时应及时清运到建筑垃圾场处理，运输车辆应按规定时间和线路运输建筑垃圾。为确保建筑垃圾处置措施落实，建设单位或施工总承包运输至政府规定地点处理。</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（五）施工期建议</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（1）施工场地要注意土方的合理堆置，距下水道保持一定距离，避免阻塞下水道。</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（2）雨天禁止施工；挖方及时填埋、清运。</w:t>
            </w:r>
          </w:p>
          <w:p>
            <w:pPr>
              <w:spacing w:line="360" w:lineRule="auto"/>
              <w:ind w:firstLine="420" w:firstLineChars="200"/>
              <w:rPr>
                <w:rFonts w:hint="default" w:ascii="Times New Roman" w:hAnsi="Times New Roman" w:eastAsia="宋体" w:cs="Times New Roman"/>
                <w:color w:val="auto"/>
                <w:kern w:val="0"/>
                <w:highlight w:val="none"/>
                <w:lang w:val="en-US" w:eastAsia="zh-CN"/>
              </w:rPr>
            </w:pPr>
            <w:r>
              <w:rPr>
                <w:rFonts w:hint="default" w:ascii="Times New Roman" w:hAnsi="Times New Roman" w:eastAsia="宋体" w:cs="Times New Roman"/>
                <w:color w:val="auto"/>
                <w:kern w:val="0"/>
                <w:highlight w:val="none"/>
                <w:lang w:val="zh-CN" w:eastAsia="zh-CN"/>
              </w:rPr>
              <w:t>（3）加强施工管理，落实各项环保措施，减少对周围环境影响。</w:t>
            </w:r>
          </w:p>
          <w:p>
            <w:pPr>
              <w:spacing w:line="360" w:lineRule="auto"/>
              <w:ind w:firstLine="420" w:firstLineChars="200"/>
              <w:rPr>
                <w:rFonts w:hint="default" w:ascii="Times New Roman" w:hAnsi="Times New Roman" w:eastAsia="宋体" w:cs="Times New Roman"/>
                <w:color w:val="auto"/>
                <w:kern w:val="0"/>
                <w:highlight w:val="none"/>
                <w:lang w:val="zh-CN" w:eastAsia="zh-CN"/>
              </w:rPr>
            </w:pPr>
            <w:r>
              <w:rPr>
                <w:rFonts w:hint="default" w:ascii="Times New Roman" w:hAnsi="Times New Roman" w:eastAsia="宋体" w:cs="Times New Roman"/>
                <w:color w:val="auto"/>
                <w:kern w:val="0"/>
                <w:highlight w:val="none"/>
                <w:lang w:val="zh-CN" w:eastAsia="zh-CN"/>
              </w:rPr>
              <w:t>（四）</w:t>
            </w:r>
            <w:r>
              <w:rPr>
                <w:rFonts w:hint="default" w:ascii="Times New Roman" w:hAnsi="Times New Roman" w:eastAsia="宋体" w:cs="Times New Roman"/>
                <w:color w:val="auto"/>
                <w:kern w:val="0"/>
                <w:highlight w:val="none"/>
                <w:lang w:val="en-US" w:eastAsia="zh-CN"/>
              </w:rPr>
              <w:t>生态影响及其防治措施分析</w:t>
            </w:r>
          </w:p>
          <w:p>
            <w:pPr>
              <w:numPr>
                <w:ilvl w:val="0"/>
                <w:numId w:val="0"/>
              </w:numPr>
              <w:tabs>
                <w:tab w:val="left" w:pos="540"/>
              </w:tabs>
              <w:adjustRightInd w:val="0"/>
              <w:spacing w:line="360" w:lineRule="auto"/>
              <w:ind w:leftChars="0" w:firstLine="420" w:firstLineChars="200"/>
              <w:jc w:val="both"/>
              <w:outlineLvl w:val="3"/>
              <w:rPr>
                <w:rFonts w:eastAsia="宋体"/>
                <w:color w:val="auto"/>
                <w:kern w:val="0"/>
                <w:highlight w:val="none"/>
              </w:rPr>
            </w:pPr>
            <w:r>
              <w:rPr>
                <w:rFonts w:hint="default" w:eastAsia="宋体"/>
                <w:color w:val="auto"/>
                <w:kern w:val="0"/>
                <w:highlight w:val="none"/>
                <w:lang w:val="en-US" w:eastAsia="zh-CN"/>
              </w:rPr>
              <w:t>1</w:t>
            </w:r>
            <w:r>
              <w:rPr>
                <w:rFonts w:eastAsia="宋体"/>
                <w:color w:val="auto"/>
                <w:kern w:val="0"/>
                <w:highlight w:val="none"/>
                <w:lang w:val="en-US" w:eastAsia="zh-CN"/>
              </w:rPr>
              <w:t xml:space="preserve">、生态影响 </w:t>
            </w:r>
          </w:p>
          <w:p>
            <w:pPr>
              <w:spacing w:line="360" w:lineRule="auto"/>
              <w:ind w:firstLine="420" w:firstLineChars="200"/>
              <w:rPr>
                <w:rFonts w:eastAsia="宋体"/>
                <w:color w:val="auto"/>
                <w:kern w:val="0"/>
                <w:highlight w:val="none"/>
              </w:rPr>
            </w:pPr>
            <w:r>
              <w:rPr>
                <w:rFonts w:hint="default" w:eastAsia="宋体"/>
                <w:color w:val="auto"/>
                <w:kern w:val="0"/>
                <w:highlight w:val="none"/>
                <w:lang w:val="en-US" w:eastAsia="zh-CN"/>
              </w:rPr>
              <w:t xml:space="preserve">项目区域内部植被主要为杂草、杨树、灌木丛等当地常见物种，施工期生态环境影响因素主要是对土地利用状况和绿地率及绿化格局的改变上。 </w:t>
            </w:r>
          </w:p>
          <w:p>
            <w:pPr>
              <w:spacing w:line="360" w:lineRule="auto"/>
              <w:ind w:firstLine="420" w:firstLineChars="200"/>
              <w:rPr>
                <w:rFonts w:eastAsia="宋体"/>
                <w:color w:val="auto"/>
                <w:kern w:val="0"/>
                <w:highlight w:val="none"/>
              </w:rPr>
            </w:pPr>
            <w:r>
              <w:rPr>
                <w:rFonts w:hint="default" w:eastAsia="宋体"/>
                <w:color w:val="auto"/>
                <w:kern w:val="0"/>
                <w:highlight w:val="none"/>
                <w:lang w:val="en-US" w:eastAsia="zh-CN"/>
              </w:rPr>
              <w:t xml:space="preserve">项目区域内无珍稀野生动物，但也有一些人们喜爱的动物，如喜鹊、燕子等鸟类。项目的建设，改变了区域功能，在一定程度上造成了区域生物迁徙，改变了区域生态环境状况。 </w:t>
            </w:r>
          </w:p>
          <w:p>
            <w:pPr>
              <w:spacing w:line="360" w:lineRule="auto"/>
              <w:ind w:firstLine="420" w:firstLineChars="200"/>
              <w:rPr>
                <w:rFonts w:eastAsia="宋体"/>
                <w:color w:val="auto"/>
                <w:kern w:val="0"/>
                <w:highlight w:val="none"/>
              </w:rPr>
            </w:pPr>
            <w:r>
              <w:rPr>
                <w:rFonts w:hint="default" w:eastAsia="宋体"/>
                <w:color w:val="auto"/>
                <w:kern w:val="0"/>
                <w:highlight w:val="none"/>
                <w:lang w:val="en-US" w:eastAsia="zh-CN"/>
              </w:rPr>
              <w:t xml:space="preserve">2、生态保护措施 </w:t>
            </w:r>
          </w:p>
          <w:p>
            <w:pPr>
              <w:spacing w:line="360" w:lineRule="auto"/>
              <w:ind w:firstLine="420" w:firstLineChars="200"/>
              <w:rPr>
                <w:rFonts w:eastAsia="宋体"/>
                <w:color w:val="auto"/>
                <w:kern w:val="0"/>
                <w:highlight w:val="none"/>
              </w:rPr>
            </w:pPr>
            <w:r>
              <w:rPr>
                <w:rFonts w:hint="default" w:eastAsia="宋体"/>
                <w:color w:val="auto"/>
                <w:kern w:val="0"/>
                <w:highlight w:val="none"/>
                <w:lang w:val="en-US" w:eastAsia="zh-CN"/>
              </w:rPr>
              <w:t xml:space="preserve">（1）对地形地貌的保护利用项目规划和建设将尊重原始的自然地形地貌，避免进行大的挖、填改造，减少对地表土壤层的破坏。在各项建设的空地力争保持原有的土壤基质。在建设过程中加强对环境的水土保持。充分利用项目周围自然地貌和自然条件，保留动植物迁徙的通廊。避免造成环境质量的退化。 </w:t>
            </w:r>
          </w:p>
          <w:p>
            <w:pPr>
              <w:spacing w:line="360" w:lineRule="auto"/>
              <w:ind w:firstLine="420" w:firstLineChars="200"/>
              <w:rPr>
                <w:rFonts w:eastAsia="宋体"/>
                <w:color w:val="auto"/>
                <w:kern w:val="0"/>
                <w:highlight w:val="none"/>
              </w:rPr>
            </w:pPr>
            <w:r>
              <w:rPr>
                <w:rFonts w:hint="default" w:eastAsia="宋体"/>
                <w:color w:val="auto"/>
                <w:kern w:val="0"/>
                <w:highlight w:val="none"/>
                <w:lang w:val="en-US" w:eastAsia="zh-CN"/>
              </w:rPr>
              <w:t xml:space="preserve">（2）雨水的利用 </w:t>
            </w:r>
          </w:p>
          <w:p>
            <w:pPr>
              <w:spacing w:line="360" w:lineRule="auto"/>
              <w:ind w:firstLine="420" w:firstLineChars="200"/>
              <w:rPr>
                <w:rFonts w:eastAsia="宋体"/>
                <w:color w:val="auto"/>
                <w:kern w:val="0"/>
                <w:highlight w:val="none"/>
              </w:rPr>
            </w:pPr>
            <w:r>
              <w:rPr>
                <w:rFonts w:hint="default" w:eastAsia="宋体"/>
                <w:color w:val="auto"/>
                <w:kern w:val="0"/>
                <w:highlight w:val="none"/>
                <w:lang w:val="en-US" w:eastAsia="zh-CN"/>
              </w:rPr>
              <w:t>本项目的地面不可避免的要进行硬化，硬化地面对城市环境的主要危害有三方面：①阻止雨水直接渗透入地下。当降雨量过大时，排水不畅会引起多种不便；不下雨时，地面会极为干燥、尘土飞扬；②硬化地面会大量反射、保留然后释放太阳的辐射热，能极大地增加城市热岛效应，使城市环境舒适度大大减少；③硬化地面阻断了雨水直接补充地下水的途径，会使城市地下水位难以回升，从而直接影响城市植被的健康，也会进一步加重城市的干旱、缺水问题。</w:t>
            </w:r>
          </w:p>
          <w:p>
            <w:pPr>
              <w:spacing w:line="360" w:lineRule="auto"/>
              <w:ind w:firstLine="420" w:firstLineChars="200"/>
              <w:rPr>
                <w:rFonts w:eastAsia="宋体"/>
                <w:color w:val="auto"/>
                <w:kern w:val="0"/>
                <w:highlight w:val="none"/>
              </w:rPr>
            </w:pPr>
            <w:r>
              <w:rPr>
                <w:rFonts w:eastAsia="宋体"/>
                <w:color w:val="auto"/>
                <w:kern w:val="0"/>
                <w:highlight w:val="none"/>
                <w:lang w:val="en-US" w:eastAsia="zh-CN"/>
              </w:rPr>
              <w:t>针对地面硬化带来的问题，对建设区域内的雨水需要统一的考虑，建立比较完善的</w:t>
            </w:r>
            <w:r>
              <w:rPr>
                <w:rFonts w:hint="default" w:eastAsia="宋体"/>
                <w:color w:val="auto"/>
                <w:kern w:val="0"/>
                <w:highlight w:val="none"/>
                <w:lang w:val="en-US" w:eastAsia="zh-CN"/>
              </w:rPr>
              <w:t xml:space="preserve">雨水收集、导排系统。 </w:t>
            </w:r>
          </w:p>
          <w:p>
            <w:pPr>
              <w:spacing w:line="360" w:lineRule="auto"/>
              <w:ind w:firstLine="420" w:firstLineChars="200"/>
              <w:rPr>
                <w:rFonts w:eastAsia="宋体"/>
                <w:color w:val="auto"/>
                <w:kern w:val="0"/>
                <w:highlight w:val="none"/>
              </w:rPr>
            </w:pPr>
            <w:r>
              <w:rPr>
                <w:rFonts w:hint="default" w:eastAsia="宋体"/>
                <w:color w:val="auto"/>
                <w:kern w:val="0"/>
                <w:highlight w:val="none"/>
                <w:lang w:val="en-US" w:eastAsia="zh-CN"/>
              </w:rPr>
              <w:t xml:space="preserve">首先，多铺透水地面，使降雨能够直接渗透入地下，补给地下水。其次，水泥化的墙面、屋顶可以进行改造，利用植物来覆盖水泥化表面。再次，在建设区域内推广雨水利用技术，以便充分利用水资源。城市雨水利用方式有三种：一是屋面雨水集蓄系统，集下来的雨水主要用于景观水；二是雨水截污与渗透系统，道路雨水通过下水道排入沿途大型蓄水池或通过渗透补充地下水；三是区域雨水利用系统。区域沿着排水道建有渗透浅沟，表面植有草皮，供雨水径流流过时下渗。超过渗透能力的雨水则进入独立的排水管线，排放至市政雨水管网。 </w:t>
            </w:r>
          </w:p>
          <w:p>
            <w:pPr>
              <w:spacing w:line="360" w:lineRule="auto"/>
              <w:ind w:firstLine="420" w:firstLineChars="200"/>
              <w:rPr>
                <w:rFonts w:eastAsia="宋体"/>
                <w:color w:val="auto"/>
                <w:kern w:val="0"/>
                <w:highlight w:val="none"/>
              </w:rPr>
            </w:pPr>
            <w:r>
              <w:rPr>
                <w:rFonts w:hint="default" w:eastAsia="宋体"/>
                <w:color w:val="auto"/>
                <w:kern w:val="0"/>
                <w:highlight w:val="none"/>
                <w:lang w:val="en-US" w:eastAsia="zh-CN"/>
              </w:rPr>
              <w:t xml:space="preserve">（3）其他保护措施 </w:t>
            </w:r>
          </w:p>
          <w:p>
            <w:pPr>
              <w:spacing w:line="360" w:lineRule="auto"/>
              <w:ind w:firstLine="420" w:firstLineChars="200"/>
              <w:rPr>
                <w:rFonts w:eastAsia="宋体"/>
                <w:color w:val="auto"/>
                <w:kern w:val="0"/>
                <w:highlight w:val="none"/>
              </w:rPr>
            </w:pPr>
            <w:r>
              <w:rPr>
                <w:rFonts w:hint="default" w:eastAsia="宋体"/>
                <w:color w:val="auto"/>
                <w:kern w:val="0"/>
                <w:highlight w:val="none"/>
                <w:lang w:val="en-US" w:eastAsia="zh-CN"/>
              </w:rPr>
              <w:t xml:space="preserve">①项目施工阶段严格要求、文明施工。可通过制定并执行严格的规章制度避免对规划用地以外植被的破坏。如有破坏，则追究责任人并由责任人赔偿。 </w:t>
            </w:r>
          </w:p>
          <w:p>
            <w:pPr>
              <w:spacing w:line="360" w:lineRule="auto"/>
              <w:ind w:firstLine="420" w:firstLineChars="200"/>
              <w:rPr>
                <w:color w:val="auto"/>
                <w:highlight w:val="none"/>
              </w:rPr>
            </w:pPr>
            <w:r>
              <w:rPr>
                <w:rFonts w:hint="default" w:eastAsia="宋体"/>
                <w:color w:val="auto"/>
                <w:kern w:val="0"/>
                <w:highlight w:val="none"/>
                <w:lang w:val="en-US" w:eastAsia="zh-CN"/>
              </w:rPr>
              <w:t xml:space="preserve">②由于植被恢复需要一定时间，项目区采用边建设边绿化，避免绿化跟不上所造成的地面裸露情况。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11" w:type="dxa"/>
            <w:tcMar>
              <w:left w:w="28" w:type="dxa"/>
              <w:right w:w="28" w:type="dxa"/>
            </w:tcMar>
            <w:vAlign w:val="center"/>
          </w:tcPr>
          <w:p>
            <w:pPr>
              <w:adjustRightInd w:val="0"/>
              <w:snapToGrid w:val="0"/>
              <w:jc w:val="center"/>
              <w:rPr>
                <w:bCs/>
                <w:color w:val="auto"/>
                <w:szCs w:val="21"/>
                <w:highlight w:val="none"/>
              </w:rPr>
            </w:pPr>
            <w:r>
              <w:rPr>
                <w:bCs/>
                <w:color w:val="auto"/>
                <w:szCs w:val="21"/>
                <w:highlight w:val="none"/>
              </w:rPr>
              <w:t>运</w:t>
            </w:r>
          </w:p>
          <w:p>
            <w:pPr>
              <w:adjustRightInd w:val="0"/>
              <w:snapToGrid w:val="0"/>
              <w:jc w:val="center"/>
              <w:rPr>
                <w:bCs/>
                <w:color w:val="auto"/>
                <w:szCs w:val="21"/>
                <w:highlight w:val="none"/>
              </w:rPr>
            </w:pPr>
            <w:r>
              <w:rPr>
                <w:bCs/>
                <w:color w:val="auto"/>
                <w:szCs w:val="21"/>
                <w:highlight w:val="none"/>
              </w:rPr>
              <w:t>营</w:t>
            </w:r>
          </w:p>
          <w:p>
            <w:pPr>
              <w:adjustRightInd w:val="0"/>
              <w:snapToGrid w:val="0"/>
              <w:jc w:val="center"/>
              <w:rPr>
                <w:bCs/>
                <w:color w:val="auto"/>
                <w:szCs w:val="21"/>
                <w:highlight w:val="none"/>
              </w:rPr>
            </w:pPr>
            <w:r>
              <w:rPr>
                <w:bCs/>
                <w:color w:val="auto"/>
                <w:szCs w:val="21"/>
                <w:highlight w:val="none"/>
              </w:rPr>
              <w:t>期</w:t>
            </w:r>
          </w:p>
          <w:p>
            <w:pPr>
              <w:adjustRightInd w:val="0"/>
              <w:snapToGrid w:val="0"/>
              <w:jc w:val="center"/>
              <w:rPr>
                <w:bCs/>
                <w:color w:val="auto"/>
                <w:szCs w:val="21"/>
                <w:highlight w:val="none"/>
              </w:rPr>
            </w:pPr>
            <w:r>
              <w:rPr>
                <w:bCs/>
                <w:color w:val="auto"/>
                <w:szCs w:val="21"/>
                <w:highlight w:val="none"/>
              </w:rPr>
              <w:t>环</w:t>
            </w:r>
          </w:p>
          <w:p>
            <w:pPr>
              <w:adjustRightInd w:val="0"/>
              <w:snapToGrid w:val="0"/>
              <w:jc w:val="center"/>
              <w:rPr>
                <w:bCs/>
                <w:color w:val="auto"/>
                <w:szCs w:val="21"/>
                <w:highlight w:val="none"/>
              </w:rPr>
            </w:pPr>
            <w:r>
              <w:rPr>
                <w:bCs/>
                <w:color w:val="auto"/>
                <w:szCs w:val="21"/>
                <w:highlight w:val="none"/>
              </w:rPr>
              <w:t>境</w:t>
            </w:r>
          </w:p>
          <w:p>
            <w:pPr>
              <w:adjustRightInd w:val="0"/>
              <w:snapToGrid w:val="0"/>
              <w:jc w:val="center"/>
              <w:rPr>
                <w:bCs/>
                <w:color w:val="auto"/>
                <w:szCs w:val="21"/>
                <w:highlight w:val="none"/>
              </w:rPr>
            </w:pPr>
            <w:r>
              <w:rPr>
                <w:bCs/>
                <w:color w:val="auto"/>
                <w:szCs w:val="21"/>
                <w:highlight w:val="none"/>
              </w:rPr>
              <w:t>影</w:t>
            </w:r>
          </w:p>
          <w:p>
            <w:pPr>
              <w:adjustRightInd w:val="0"/>
              <w:snapToGrid w:val="0"/>
              <w:jc w:val="center"/>
              <w:rPr>
                <w:bCs/>
                <w:color w:val="auto"/>
                <w:szCs w:val="21"/>
                <w:highlight w:val="none"/>
              </w:rPr>
            </w:pPr>
            <w:r>
              <w:rPr>
                <w:bCs/>
                <w:color w:val="auto"/>
                <w:szCs w:val="21"/>
                <w:highlight w:val="none"/>
              </w:rPr>
              <w:t>响</w:t>
            </w:r>
          </w:p>
          <w:p>
            <w:pPr>
              <w:adjustRightInd w:val="0"/>
              <w:snapToGrid w:val="0"/>
              <w:jc w:val="center"/>
              <w:rPr>
                <w:bCs/>
                <w:color w:val="auto"/>
                <w:szCs w:val="21"/>
                <w:highlight w:val="none"/>
              </w:rPr>
            </w:pPr>
            <w:r>
              <w:rPr>
                <w:bCs/>
                <w:color w:val="auto"/>
                <w:szCs w:val="21"/>
                <w:highlight w:val="none"/>
              </w:rPr>
              <w:t>和</w:t>
            </w:r>
          </w:p>
          <w:p>
            <w:pPr>
              <w:adjustRightInd w:val="0"/>
              <w:snapToGrid w:val="0"/>
              <w:jc w:val="center"/>
              <w:rPr>
                <w:bCs/>
                <w:color w:val="auto"/>
                <w:szCs w:val="21"/>
                <w:highlight w:val="none"/>
              </w:rPr>
            </w:pPr>
            <w:r>
              <w:rPr>
                <w:bCs/>
                <w:color w:val="auto"/>
                <w:szCs w:val="21"/>
                <w:highlight w:val="none"/>
              </w:rPr>
              <w:t>保</w:t>
            </w:r>
          </w:p>
          <w:p>
            <w:pPr>
              <w:adjustRightInd w:val="0"/>
              <w:snapToGrid w:val="0"/>
              <w:jc w:val="center"/>
              <w:rPr>
                <w:bCs/>
                <w:color w:val="auto"/>
                <w:szCs w:val="21"/>
                <w:highlight w:val="none"/>
              </w:rPr>
            </w:pPr>
            <w:r>
              <w:rPr>
                <w:bCs/>
                <w:color w:val="auto"/>
                <w:szCs w:val="21"/>
                <w:highlight w:val="none"/>
              </w:rPr>
              <w:t>护</w:t>
            </w:r>
          </w:p>
          <w:p>
            <w:pPr>
              <w:pStyle w:val="22"/>
              <w:adjustRightInd w:val="0"/>
              <w:snapToGrid w:val="0"/>
              <w:spacing w:before="0" w:beforeAutospacing="0" w:after="0" w:afterAutospacing="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措</w:t>
            </w:r>
          </w:p>
          <w:p>
            <w:pPr>
              <w:pStyle w:val="22"/>
              <w:adjustRightInd w:val="0"/>
              <w:snapToGrid w:val="0"/>
              <w:spacing w:before="0" w:beforeAutospacing="0" w:after="0" w:afterAutospacing="0"/>
              <w:jc w:val="center"/>
              <w:rPr>
                <w:rFonts w:ascii="Times New Roman" w:hAnsi="Times New Roman"/>
                <w:bCs/>
                <w:color w:val="auto"/>
                <w:kern w:val="2"/>
                <w:sz w:val="21"/>
                <w:szCs w:val="21"/>
                <w:highlight w:val="none"/>
              </w:rPr>
            </w:pPr>
            <w:r>
              <w:rPr>
                <w:rFonts w:ascii="Times New Roman" w:hAnsi="Times New Roman"/>
                <w:bCs/>
                <w:color w:val="auto"/>
                <w:sz w:val="21"/>
                <w:szCs w:val="21"/>
                <w:highlight w:val="none"/>
              </w:rPr>
              <w:t>施</w:t>
            </w:r>
          </w:p>
        </w:tc>
        <w:tc>
          <w:tcPr>
            <w:tcW w:w="8497" w:type="dxa"/>
            <w:vAlign w:val="center"/>
          </w:tcPr>
          <w:p>
            <w:pPr>
              <w:widowControl/>
              <w:spacing w:line="360" w:lineRule="auto"/>
              <w:ind w:firstLine="422" w:firstLineChars="200"/>
              <w:jc w:val="left"/>
              <w:rPr>
                <w:b/>
                <w:color w:val="auto"/>
                <w:highlight w:val="none"/>
              </w:rPr>
            </w:pPr>
            <w:r>
              <w:rPr>
                <w:b/>
                <w:color w:val="auto"/>
                <w:highlight w:val="none"/>
              </w:rPr>
              <w:t>一、废水</w:t>
            </w:r>
          </w:p>
          <w:p>
            <w:pPr>
              <w:pStyle w:val="26"/>
              <w:spacing w:after="0" w:line="360" w:lineRule="auto"/>
              <w:ind w:firstLine="0" w:firstLineChars="0"/>
              <w:rPr>
                <w:b/>
                <w:bCs/>
                <w:color w:val="auto"/>
                <w:sz w:val="21"/>
                <w:szCs w:val="21"/>
                <w:highlight w:val="none"/>
              </w:rPr>
            </w:pPr>
            <w:r>
              <w:rPr>
                <w:b/>
                <w:bCs/>
                <w:color w:val="auto"/>
                <w:sz w:val="21"/>
                <w:szCs w:val="21"/>
                <w:highlight w:val="none"/>
              </w:rPr>
              <w:t>1.1污染物产生情况</w:t>
            </w:r>
          </w:p>
          <w:p>
            <w:pPr>
              <w:autoSpaceDE w:val="0"/>
              <w:autoSpaceDN w:val="0"/>
              <w:adjustRightInd w:val="0"/>
              <w:snapToGrid w:val="0"/>
              <w:spacing w:line="360" w:lineRule="auto"/>
              <w:ind w:firstLine="420" w:firstLineChars="200"/>
              <w:jc w:val="left"/>
              <w:rPr>
                <w:color w:val="auto"/>
                <w:kern w:val="0"/>
                <w:szCs w:val="21"/>
                <w:highlight w:val="none"/>
              </w:rPr>
            </w:pPr>
            <w:r>
              <w:rPr>
                <w:rFonts w:hint="eastAsia"/>
                <w:color w:val="auto"/>
                <w:kern w:val="0"/>
                <w:szCs w:val="21"/>
                <w:highlight w:val="none"/>
              </w:rPr>
              <w:t>本项目放射科室不涉及辐射性废水产生，项目废水主要为医务人员废水、病房废水、门诊废水、牙椅诊疗废水、洗衣房废水</w:t>
            </w:r>
            <w:r>
              <w:rPr>
                <w:rFonts w:hint="eastAsia"/>
                <w:color w:val="auto"/>
                <w:kern w:val="0"/>
                <w:szCs w:val="21"/>
                <w:highlight w:val="none"/>
                <w:lang w:eastAsia="zh-CN"/>
              </w:rPr>
              <w:t>、</w:t>
            </w:r>
            <w:r>
              <w:rPr>
                <w:rFonts w:hint="eastAsia"/>
                <w:color w:val="auto"/>
                <w:kern w:val="0"/>
                <w:szCs w:val="21"/>
                <w:highlight w:val="none"/>
                <w:lang w:val="en-US" w:eastAsia="zh-CN"/>
              </w:rPr>
              <w:t>食堂废水</w:t>
            </w:r>
            <w:r>
              <w:rPr>
                <w:rFonts w:hint="eastAsia"/>
                <w:color w:val="auto"/>
                <w:kern w:val="0"/>
                <w:szCs w:val="21"/>
                <w:highlight w:val="none"/>
              </w:rPr>
              <w:t>，根据现状监测数据情况，本项目筛选</w:t>
            </w:r>
            <w:r>
              <w:rPr>
                <w:rFonts w:hint="eastAsia"/>
                <w:color w:val="auto"/>
                <w:kern w:val="0"/>
                <w:szCs w:val="21"/>
                <w:highlight w:val="none"/>
                <w:lang w:val="en-US" w:eastAsia="zh-CN"/>
              </w:rPr>
              <w:t>pH、</w:t>
            </w:r>
            <w:r>
              <w:rPr>
                <w:color w:val="auto"/>
                <w:highlight w:val="none"/>
              </w:rPr>
              <w:t>CODcr、BOD</w:t>
            </w:r>
            <w:r>
              <w:rPr>
                <w:color w:val="auto"/>
                <w:highlight w:val="none"/>
                <w:vertAlign w:val="subscript"/>
              </w:rPr>
              <w:t>5</w:t>
            </w:r>
            <w:r>
              <w:rPr>
                <w:color w:val="auto"/>
                <w:highlight w:val="none"/>
              </w:rPr>
              <w:t xml:space="preserve"> 、氨氮、SS</w:t>
            </w:r>
            <w:r>
              <w:rPr>
                <w:rFonts w:hint="eastAsia"/>
                <w:color w:val="auto"/>
                <w:highlight w:val="none"/>
              </w:rPr>
              <w:t>、</w:t>
            </w:r>
            <w:r>
              <w:rPr>
                <w:rFonts w:hint="eastAsia"/>
                <w:color w:val="auto"/>
                <w:szCs w:val="21"/>
                <w:highlight w:val="none"/>
              </w:rPr>
              <w:t>粪</w:t>
            </w:r>
            <w:r>
              <w:rPr>
                <w:color w:val="auto"/>
                <w:szCs w:val="21"/>
                <w:highlight w:val="none"/>
              </w:rPr>
              <w:t>大肠菌群</w:t>
            </w:r>
            <w:r>
              <w:rPr>
                <w:rFonts w:hint="eastAsia"/>
                <w:color w:val="auto"/>
                <w:szCs w:val="21"/>
                <w:highlight w:val="none"/>
              </w:rPr>
              <w:t>、</w:t>
            </w:r>
            <w:r>
              <w:rPr>
                <w:rFonts w:hint="eastAsia"/>
                <w:color w:val="auto"/>
                <w:szCs w:val="21"/>
                <w:highlight w:val="none"/>
                <w:lang w:val="en-US" w:eastAsia="zh-CN"/>
              </w:rPr>
              <w:t>动植物油、</w:t>
            </w:r>
            <w:r>
              <w:rPr>
                <w:rFonts w:hint="eastAsia"/>
                <w:color w:val="auto"/>
                <w:szCs w:val="21"/>
                <w:highlight w:val="none"/>
              </w:rPr>
              <w:t>氟化物作为污染物因子进行核算，</w:t>
            </w:r>
            <w:r>
              <w:rPr>
                <w:rFonts w:hint="eastAsia"/>
                <w:color w:val="auto"/>
                <w:kern w:val="0"/>
                <w:szCs w:val="21"/>
                <w:highlight w:val="none"/>
              </w:rPr>
              <w:t>具体如下：</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1、医务人员废水</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医院内医务人员总数约</w:t>
            </w:r>
            <w:r>
              <w:rPr>
                <w:rFonts w:hint="eastAsia"/>
                <w:color w:val="auto"/>
                <w:kern w:val="0"/>
                <w:szCs w:val="21"/>
                <w:highlight w:val="none"/>
                <w:lang w:val="en-US" w:eastAsia="zh-CN"/>
              </w:rPr>
              <w:t>147</w:t>
            </w:r>
            <w:r>
              <w:rPr>
                <w:color w:val="auto"/>
                <w:kern w:val="0"/>
                <w:szCs w:val="21"/>
                <w:highlight w:val="none"/>
              </w:rPr>
              <w:t>人</w:t>
            </w:r>
            <w:r>
              <w:rPr>
                <w:rFonts w:hint="eastAsia"/>
                <w:color w:val="auto"/>
                <w:kern w:val="0"/>
                <w:szCs w:val="21"/>
                <w:highlight w:val="none"/>
              </w:rPr>
              <w:t>，</w:t>
            </w:r>
            <w:r>
              <w:rPr>
                <w:color w:val="auto"/>
                <w:kern w:val="0"/>
                <w:szCs w:val="21"/>
                <w:highlight w:val="none"/>
              </w:rPr>
              <w:t>参考《建筑给水排水设计标准》（GB50015-2019），住院部医务人员生活用水定额按照</w:t>
            </w:r>
            <w:r>
              <w:rPr>
                <w:rFonts w:hint="eastAsia"/>
                <w:color w:val="auto"/>
                <w:kern w:val="0"/>
                <w:szCs w:val="21"/>
                <w:highlight w:val="none"/>
              </w:rPr>
              <w:t>200</w:t>
            </w:r>
            <w:r>
              <w:rPr>
                <w:color w:val="auto"/>
                <w:kern w:val="0"/>
                <w:szCs w:val="21"/>
                <w:highlight w:val="none"/>
              </w:rPr>
              <w:t>L/人•d计算，则用水量</w:t>
            </w:r>
            <w:r>
              <w:rPr>
                <w:rFonts w:hint="eastAsia"/>
                <w:color w:val="auto"/>
                <w:kern w:val="0"/>
                <w:szCs w:val="21"/>
                <w:highlight w:val="none"/>
                <w:lang w:val="en-US" w:eastAsia="zh-CN"/>
              </w:rPr>
              <w:t>10731</w:t>
            </w:r>
            <w:r>
              <w:rPr>
                <w:color w:val="auto"/>
                <w:kern w:val="0"/>
                <w:szCs w:val="21"/>
                <w:highlight w:val="none"/>
              </w:rPr>
              <w:t>m</w:t>
            </w:r>
            <w:r>
              <w:rPr>
                <w:color w:val="auto"/>
                <w:kern w:val="0"/>
                <w:szCs w:val="21"/>
                <w:highlight w:val="none"/>
                <w:vertAlign w:val="superscript"/>
              </w:rPr>
              <w:t>3</w:t>
            </w:r>
            <w:r>
              <w:rPr>
                <w:color w:val="auto"/>
                <w:kern w:val="0"/>
                <w:szCs w:val="21"/>
                <w:highlight w:val="none"/>
              </w:rPr>
              <w:t>/a；废水产生量按80%计，产生量为</w:t>
            </w:r>
            <w:r>
              <w:rPr>
                <w:rFonts w:hint="eastAsia"/>
                <w:color w:val="auto"/>
                <w:kern w:val="0"/>
                <w:szCs w:val="21"/>
                <w:highlight w:val="none"/>
                <w:lang w:val="en-US" w:eastAsia="zh-CN"/>
              </w:rPr>
              <w:t>8584.8</w:t>
            </w:r>
            <w:r>
              <w:rPr>
                <w:color w:val="auto"/>
                <w:kern w:val="0"/>
                <w:szCs w:val="21"/>
                <w:highlight w:val="none"/>
              </w:rPr>
              <w:t>m</w:t>
            </w:r>
            <w:r>
              <w:rPr>
                <w:color w:val="auto"/>
                <w:kern w:val="0"/>
                <w:szCs w:val="21"/>
                <w:highlight w:val="none"/>
                <w:vertAlign w:val="superscript"/>
              </w:rPr>
              <w:t>3</w:t>
            </w:r>
            <w:r>
              <w:rPr>
                <w:color w:val="auto"/>
                <w:kern w:val="0"/>
                <w:szCs w:val="21"/>
                <w:highlight w:val="none"/>
              </w:rPr>
              <w:t>/a，</w:t>
            </w:r>
            <w:r>
              <w:rPr>
                <w:color w:val="auto"/>
                <w:highlight w:val="none"/>
              </w:rPr>
              <w:t>废水水质参照一般城市生活废水，污染物产生情况为CODcr 350mg/L、BOD</w:t>
            </w:r>
            <w:r>
              <w:rPr>
                <w:color w:val="auto"/>
                <w:highlight w:val="none"/>
                <w:vertAlign w:val="subscript"/>
              </w:rPr>
              <w:t>5</w:t>
            </w:r>
            <w:r>
              <w:rPr>
                <w:color w:val="auto"/>
                <w:highlight w:val="none"/>
              </w:rPr>
              <w:t xml:space="preserve"> 150mg/L、氨氮35mg/L、SS 300mg/L</w:t>
            </w:r>
            <w:r>
              <w:rPr>
                <w:rFonts w:hint="eastAsia"/>
                <w:color w:val="auto"/>
                <w:highlight w:val="none"/>
                <w:lang w:eastAsia="zh-CN"/>
              </w:rPr>
              <w:t>、</w:t>
            </w:r>
            <w:r>
              <w:rPr>
                <w:rFonts w:hint="eastAsia"/>
                <w:color w:val="auto"/>
                <w:highlight w:val="none"/>
                <w:lang w:val="en-US" w:eastAsia="zh-CN"/>
              </w:rPr>
              <w:t>pH6-9</w:t>
            </w:r>
            <w:r>
              <w:rPr>
                <w:color w:val="auto"/>
                <w:highlight w:val="none"/>
              </w:rPr>
              <w:t>。</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2、</w:t>
            </w:r>
            <w:r>
              <w:rPr>
                <w:rFonts w:hint="eastAsia"/>
                <w:color w:val="auto"/>
                <w:kern w:val="0"/>
                <w:szCs w:val="21"/>
                <w:highlight w:val="none"/>
              </w:rPr>
              <w:t>医疗废水</w:t>
            </w:r>
          </w:p>
          <w:p>
            <w:pPr>
              <w:autoSpaceDE w:val="0"/>
              <w:autoSpaceDN w:val="0"/>
              <w:adjustRightInd w:val="0"/>
              <w:snapToGrid w:val="0"/>
              <w:spacing w:line="360" w:lineRule="auto"/>
              <w:ind w:firstLine="420" w:firstLineChars="200"/>
              <w:jc w:val="left"/>
              <w:rPr>
                <w:color w:val="auto"/>
                <w:kern w:val="0"/>
                <w:szCs w:val="21"/>
                <w:highlight w:val="none"/>
              </w:rPr>
            </w:pPr>
            <w:r>
              <w:rPr>
                <w:rFonts w:hint="eastAsia"/>
                <w:color w:val="auto"/>
                <w:kern w:val="0"/>
                <w:szCs w:val="21"/>
                <w:highlight w:val="none"/>
              </w:rPr>
              <w:t>（1）</w:t>
            </w:r>
            <w:r>
              <w:rPr>
                <w:color w:val="auto"/>
                <w:kern w:val="0"/>
                <w:szCs w:val="21"/>
                <w:highlight w:val="none"/>
              </w:rPr>
              <w:t>病房废水</w:t>
            </w:r>
          </w:p>
          <w:p>
            <w:pPr>
              <w:pStyle w:val="21"/>
              <w:spacing w:after="0" w:line="360" w:lineRule="auto"/>
              <w:ind w:left="0" w:leftChars="0" w:firstLine="420" w:firstLineChars="200"/>
              <w:rPr>
                <w:color w:val="auto"/>
                <w:sz w:val="21"/>
                <w:szCs w:val="21"/>
                <w:highlight w:val="none"/>
              </w:rPr>
            </w:pPr>
            <w:r>
              <w:rPr>
                <w:color w:val="auto"/>
                <w:sz w:val="21"/>
                <w:szCs w:val="21"/>
                <w:highlight w:val="none"/>
              </w:rPr>
              <w:t>项目病床数量约</w:t>
            </w:r>
            <w:r>
              <w:rPr>
                <w:rFonts w:hint="eastAsia"/>
                <w:color w:val="auto"/>
                <w:sz w:val="21"/>
                <w:szCs w:val="21"/>
                <w:highlight w:val="none"/>
                <w:lang w:val="en-US" w:eastAsia="zh-CN"/>
              </w:rPr>
              <w:t>490</w:t>
            </w:r>
            <w:r>
              <w:rPr>
                <w:color w:val="auto"/>
                <w:sz w:val="21"/>
                <w:szCs w:val="21"/>
                <w:highlight w:val="none"/>
              </w:rPr>
              <w:t>床，根据《综合医院建筑设计规范》（GB51039-2014），病房用水量为250L-400L/床·d</w:t>
            </w:r>
            <w:r>
              <w:rPr>
                <w:rFonts w:hint="eastAsia"/>
                <w:color w:val="auto"/>
                <w:sz w:val="21"/>
                <w:szCs w:val="21"/>
                <w:highlight w:val="none"/>
                <w:lang w:eastAsia="zh-CN"/>
              </w:rPr>
              <w:t>，</w:t>
            </w:r>
            <w:r>
              <w:rPr>
                <w:color w:val="auto"/>
                <w:sz w:val="21"/>
                <w:szCs w:val="21"/>
                <w:highlight w:val="none"/>
              </w:rPr>
              <w:t>本项目</w:t>
            </w:r>
            <w:r>
              <w:rPr>
                <w:rFonts w:hint="eastAsia"/>
                <w:color w:val="auto"/>
                <w:sz w:val="21"/>
                <w:szCs w:val="21"/>
                <w:highlight w:val="none"/>
                <w:lang w:val="en-US" w:eastAsia="zh-CN"/>
              </w:rPr>
              <w:t>为口腔专科医院</w:t>
            </w:r>
            <w:r>
              <w:rPr>
                <w:rFonts w:hint="eastAsia"/>
                <w:color w:val="auto"/>
                <w:sz w:val="21"/>
                <w:szCs w:val="21"/>
                <w:highlight w:val="none"/>
              </w:rPr>
              <w:t>，</w:t>
            </w:r>
            <w:r>
              <w:rPr>
                <w:rFonts w:hint="eastAsia"/>
                <w:color w:val="auto"/>
                <w:sz w:val="21"/>
                <w:szCs w:val="21"/>
                <w:highlight w:val="none"/>
                <w:lang w:val="en-US" w:eastAsia="zh-CN"/>
              </w:rPr>
              <w:t>病房用水量较少，综上所述，本次病房用水定额按250L/床·d，计算</w:t>
            </w:r>
            <w:r>
              <w:rPr>
                <w:rFonts w:hint="eastAsia"/>
                <w:color w:val="auto"/>
                <w:sz w:val="21"/>
                <w:szCs w:val="21"/>
                <w:highlight w:val="none"/>
              </w:rPr>
              <w:t>病房用水量</w:t>
            </w:r>
            <w:r>
              <w:rPr>
                <w:rFonts w:hint="eastAsia"/>
                <w:color w:val="auto"/>
                <w:sz w:val="21"/>
                <w:szCs w:val="21"/>
                <w:highlight w:val="none"/>
                <w:lang w:val="en-US" w:eastAsia="zh-CN"/>
              </w:rPr>
              <w:t>为44712.2</w:t>
            </w:r>
            <w:r>
              <w:rPr>
                <w:color w:val="auto"/>
                <w:sz w:val="21"/>
                <w:szCs w:val="21"/>
                <w:highlight w:val="none"/>
              </w:rPr>
              <w:t>m</w:t>
            </w:r>
            <w:r>
              <w:rPr>
                <w:color w:val="auto"/>
                <w:sz w:val="21"/>
                <w:szCs w:val="21"/>
                <w:highlight w:val="none"/>
                <w:vertAlign w:val="superscript"/>
              </w:rPr>
              <w:t>3</w:t>
            </w:r>
            <w:r>
              <w:rPr>
                <w:color w:val="auto"/>
                <w:sz w:val="21"/>
                <w:szCs w:val="21"/>
                <w:highlight w:val="none"/>
              </w:rPr>
              <w:t>/a；废水产生量按80%计，产生量为</w:t>
            </w:r>
            <w:r>
              <w:rPr>
                <w:rFonts w:hint="eastAsia"/>
                <w:color w:val="auto"/>
                <w:sz w:val="21"/>
                <w:szCs w:val="21"/>
                <w:highlight w:val="none"/>
                <w:lang w:val="en-US" w:eastAsia="zh-CN"/>
              </w:rPr>
              <w:t>35769.76</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r>
              <w:rPr>
                <w:rFonts w:hint="eastAsia"/>
                <w:color w:val="auto"/>
                <w:sz w:val="21"/>
                <w:szCs w:val="21"/>
                <w:highlight w:val="none"/>
              </w:rPr>
              <w:t>。</w:t>
            </w:r>
          </w:p>
          <w:p>
            <w:pPr>
              <w:pStyle w:val="21"/>
              <w:spacing w:after="0" w:line="360" w:lineRule="auto"/>
              <w:ind w:left="0" w:leftChars="0" w:firstLine="420" w:firstLineChars="200"/>
              <w:rPr>
                <w:color w:val="auto"/>
                <w:sz w:val="21"/>
                <w:szCs w:val="21"/>
                <w:highlight w:val="none"/>
              </w:rPr>
            </w:pPr>
            <w:r>
              <w:rPr>
                <w:rFonts w:hint="eastAsia"/>
                <w:color w:val="auto"/>
                <w:sz w:val="21"/>
                <w:szCs w:val="21"/>
                <w:highlight w:val="none"/>
              </w:rPr>
              <w:t>（2）</w:t>
            </w:r>
            <w:r>
              <w:rPr>
                <w:color w:val="auto"/>
                <w:sz w:val="21"/>
                <w:szCs w:val="21"/>
                <w:highlight w:val="none"/>
              </w:rPr>
              <w:t>门诊废水</w:t>
            </w:r>
          </w:p>
          <w:p>
            <w:pPr>
              <w:pStyle w:val="59"/>
              <w:spacing w:line="360" w:lineRule="auto"/>
              <w:ind w:firstLine="420" w:firstLineChars="200"/>
              <w:jc w:val="both"/>
              <w:rPr>
                <w:rFonts w:ascii="Times New Roman" w:cs="Times New Roman"/>
                <w:color w:val="auto"/>
                <w:sz w:val="21"/>
                <w:szCs w:val="21"/>
                <w:highlight w:val="none"/>
              </w:rPr>
            </w:pPr>
            <w:r>
              <w:rPr>
                <w:rFonts w:ascii="Times New Roman" w:cs="Times New Roman"/>
                <w:color w:val="auto"/>
                <w:sz w:val="21"/>
                <w:szCs w:val="21"/>
                <w:highlight w:val="none"/>
              </w:rPr>
              <w:t>门诊病人的就诊量约</w:t>
            </w:r>
            <w:r>
              <w:rPr>
                <w:rFonts w:hint="eastAsia" w:ascii="Times New Roman" w:cs="Times New Roman"/>
                <w:color w:val="auto"/>
                <w:sz w:val="21"/>
                <w:szCs w:val="21"/>
                <w:highlight w:val="none"/>
                <w:lang w:val="en-US" w:eastAsia="zh-CN"/>
              </w:rPr>
              <w:t>12</w:t>
            </w:r>
            <w:r>
              <w:rPr>
                <w:rFonts w:ascii="Times New Roman" w:cs="Times New Roman"/>
                <w:color w:val="auto"/>
                <w:sz w:val="21"/>
                <w:szCs w:val="21"/>
                <w:highlight w:val="none"/>
              </w:rPr>
              <w:t>00人次/d，参考《综合医院建筑设计规范》（GB51039-2014）</w:t>
            </w:r>
            <w:r>
              <w:rPr>
                <w:rFonts w:ascii="Times New Roman" w:cs="Times New Roman"/>
                <w:bCs/>
                <w:color w:val="auto"/>
                <w:sz w:val="21"/>
                <w:szCs w:val="21"/>
                <w:highlight w:val="none"/>
              </w:rPr>
              <w:t>，</w:t>
            </w:r>
            <w:r>
              <w:rPr>
                <w:rFonts w:ascii="Times New Roman" w:cs="Times New Roman"/>
                <w:color w:val="auto"/>
                <w:sz w:val="21"/>
                <w:szCs w:val="21"/>
                <w:highlight w:val="none"/>
              </w:rPr>
              <w:t>门诊病人用水定额按照每人10L/人次计算，用水量为</w:t>
            </w:r>
            <w:r>
              <w:rPr>
                <w:rFonts w:hint="eastAsia" w:ascii="Times New Roman" w:cs="Times New Roman"/>
                <w:color w:val="auto"/>
                <w:sz w:val="21"/>
                <w:szCs w:val="21"/>
                <w:highlight w:val="none"/>
                <w:lang w:val="en-US" w:eastAsia="zh-CN"/>
              </w:rPr>
              <w:t>4380</w:t>
            </w:r>
            <w:r>
              <w:rPr>
                <w:rFonts w:ascii="Times New Roman" w:cs="Times New Roman"/>
                <w:color w:val="auto"/>
                <w:sz w:val="21"/>
                <w:szCs w:val="21"/>
                <w:highlight w:val="none"/>
              </w:rPr>
              <w:t>m</w:t>
            </w:r>
            <w:r>
              <w:rPr>
                <w:rFonts w:ascii="Times New Roman" w:cs="Times New Roman"/>
                <w:color w:val="auto"/>
                <w:sz w:val="21"/>
                <w:szCs w:val="21"/>
                <w:highlight w:val="none"/>
                <w:vertAlign w:val="superscript"/>
              </w:rPr>
              <w:t>3</w:t>
            </w:r>
            <w:r>
              <w:rPr>
                <w:rFonts w:ascii="Times New Roman" w:cs="Times New Roman"/>
                <w:color w:val="auto"/>
                <w:sz w:val="21"/>
                <w:szCs w:val="21"/>
                <w:highlight w:val="none"/>
              </w:rPr>
              <w:t>/a；废水产生量按80%计，产生量为</w:t>
            </w:r>
            <w:r>
              <w:rPr>
                <w:rFonts w:hint="eastAsia" w:ascii="Times New Roman" w:cs="Times New Roman"/>
                <w:color w:val="auto"/>
                <w:sz w:val="21"/>
                <w:szCs w:val="21"/>
                <w:highlight w:val="none"/>
                <w:lang w:val="en-US" w:eastAsia="zh-CN"/>
              </w:rPr>
              <w:t>3504</w:t>
            </w:r>
            <w:r>
              <w:rPr>
                <w:rFonts w:ascii="Times New Roman" w:cs="Times New Roman"/>
                <w:color w:val="auto"/>
                <w:sz w:val="21"/>
                <w:szCs w:val="21"/>
                <w:highlight w:val="none"/>
              </w:rPr>
              <w:t>m</w:t>
            </w:r>
            <w:r>
              <w:rPr>
                <w:rFonts w:ascii="Times New Roman" w:cs="Times New Roman"/>
                <w:color w:val="auto"/>
                <w:sz w:val="21"/>
                <w:szCs w:val="21"/>
                <w:highlight w:val="none"/>
                <w:vertAlign w:val="superscript"/>
              </w:rPr>
              <w:t>3</w:t>
            </w:r>
            <w:r>
              <w:rPr>
                <w:rFonts w:ascii="Times New Roman" w:cs="Times New Roman"/>
                <w:color w:val="auto"/>
                <w:sz w:val="21"/>
                <w:szCs w:val="21"/>
                <w:highlight w:val="none"/>
              </w:rPr>
              <w:t>/a</w:t>
            </w:r>
            <w:r>
              <w:rPr>
                <w:rFonts w:hint="eastAsia" w:ascii="Times New Roman" w:cs="Times New Roman"/>
                <w:color w:val="auto"/>
                <w:sz w:val="21"/>
                <w:szCs w:val="21"/>
                <w:highlight w:val="none"/>
              </w:rPr>
              <w:t>。</w:t>
            </w:r>
          </w:p>
          <w:p>
            <w:pPr>
              <w:autoSpaceDE w:val="0"/>
              <w:autoSpaceDN w:val="0"/>
              <w:adjustRightInd w:val="0"/>
              <w:snapToGrid w:val="0"/>
              <w:spacing w:line="360" w:lineRule="auto"/>
              <w:ind w:firstLine="420" w:firstLineChars="200"/>
              <w:jc w:val="left"/>
              <w:rPr>
                <w:color w:val="auto"/>
                <w:kern w:val="0"/>
                <w:szCs w:val="21"/>
                <w:highlight w:val="none"/>
              </w:rPr>
            </w:pPr>
            <w:r>
              <w:rPr>
                <w:rFonts w:hint="eastAsia"/>
                <w:color w:val="auto"/>
                <w:kern w:val="0"/>
                <w:szCs w:val="21"/>
                <w:highlight w:val="none"/>
              </w:rPr>
              <w:t>（3）</w:t>
            </w:r>
            <w:r>
              <w:rPr>
                <w:color w:val="auto"/>
                <w:kern w:val="0"/>
                <w:szCs w:val="21"/>
                <w:highlight w:val="none"/>
              </w:rPr>
              <w:t>牙椅诊疗废水</w:t>
            </w:r>
          </w:p>
          <w:p>
            <w:pPr>
              <w:pStyle w:val="21"/>
              <w:spacing w:after="0" w:line="360" w:lineRule="auto"/>
              <w:ind w:left="0" w:leftChars="0" w:firstLine="420" w:firstLineChars="200"/>
              <w:rPr>
                <w:color w:val="auto"/>
                <w:sz w:val="21"/>
                <w:szCs w:val="21"/>
                <w:highlight w:val="none"/>
              </w:rPr>
            </w:pPr>
            <w:r>
              <w:rPr>
                <w:color w:val="auto"/>
                <w:sz w:val="21"/>
                <w:szCs w:val="21"/>
                <w:highlight w:val="none"/>
              </w:rPr>
              <w:t>牙椅数量</w:t>
            </w:r>
            <w:r>
              <w:rPr>
                <w:rFonts w:hint="eastAsia"/>
                <w:color w:val="auto"/>
                <w:sz w:val="21"/>
                <w:szCs w:val="21"/>
                <w:highlight w:val="none"/>
                <w:lang w:val="en-US" w:eastAsia="zh-CN"/>
              </w:rPr>
              <w:t>200</w:t>
            </w:r>
            <w:r>
              <w:rPr>
                <w:color w:val="auto"/>
                <w:sz w:val="21"/>
                <w:szCs w:val="21"/>
                <w:highlight w:val="none"/>
              </w:rPr>
              <w:t>把，牙椅诊疗用水量按100L/把•d计算，即</w:t>
            </w:r>
            <w:r>
              <w:rPr>
                <w:rFonts w:hint="eastAsia"/>
                <w:color w:val="auto"/>
                <w:sz w:val="21"/>
                <w:szCs w:val="21"/>
                <w:highlight w:val="none"/>
                <w:lang w:val="en-US" w:eastAsia="zh-CN"/>
              </w:rPr>
              <w:t>7300</w:t>
            </w:r>
            <w:r>
              <w:rPr>
                <w:color w:val="auto"/>
                <w:sz w:val="21"/>
                <w:szCs w:val="21"/>
                <w:highlight w:val="none"/>
              </w:rPr>
              <w:t>m</w:t>
            </w:r>
            <w:r>
              <w:rPr>
                <w:color w:val="auto"/>
                <w:sz w:val="21"/>
                <w:szCs w:val="21"/>
                <w:highlight w:val="none"/>
                <w:vertAlign w:val="superscript"/>
              </w:rPr>
              <w:t>3</w:t>
            </w:r>
            <w:r>
              <w:rPr>
                <w:color w:val="auto"/>
                <w:sz w:val="21"/>
                <w:szCs w:val="21"/>
                <w:highlight w:val="none"/>
              </w:rPr>
              <w:t>/a，废水产生量按80%计，产生量为</w:t>
            </w:r>
            <w:r>
              <w:rPr>
                <w:rFonts w:hint="eastAsia"/>
                <w:color w:val="auto"/>
                <w:sz w:val="21"/>
                <w:szCs w:val="21"/>
                <w:highlight w:val="none"/>
                <w:lang w:val="en-US" w:eastAsia="zh-CN"/>
              </w:rPr>
              <w:t>5840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p>
            <w:pPr>
              <w:pStyle w:val="21"/>
              <w:spacing w:after="0" w:line="360" w:lineRule="auto"/>
              <w:ind w:left="0" w:leftChars="0" w:firstLine="420" w:firstLineChars="20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lang w:val="en-US" w:eastAsia="zh-CN"/>
              </w:rPr>
              <w:t>手术废水</w:t>
            </w:r>
          </w:p>
          <w:p>
            <w:pPr>
              <w:pStyle w:val="21"/>
              <w:spacing w:after="0" w:line="360" w:lineRule="auto"/>
              <w:ind w:left="0" w:leftChars="0" w:firstLine="420" w:firstLineChars="200"/>
              <w:rPr>
                <w:color w:val="auto"/>
                <w:sz w:val="21"/>
                <w:szCs w:val="21"/>
                <w:highlight w:val="none"/>
              </w:rPr>
            </w:pPr>
            <w:r>
              <w:rPr>
                <w:rFonts w:hint="eastAsia" w:ascii="Times New Roman" w:cs="Times New Roman"/>
                <w:color w:val="auto"/>
                <w:sz w:val="21"/>
                <w:szCs w:val="21"/>
                <w:highlight w:val="none"/>
                <w:lang w:val="en-US" w:eastAsia="zh-CN"/>
              </w:rPr>
              <w:t>项目手术室主要进行口腔种植、口腔正畸、口腔修复等口腔类专科手术，用水量较少，手术用水量约为3m</w:t>
            </w:r>
            <w:r>
              <w:rPr>
                <w:rFonts w:hint="eastAsia" w:ascii="Times New Roman" w:cs="Times New Roman"/>
                <w:color w:val="auto"/>
                <w:sz w:val="21"/>
                <w:szCs w:val="21"/>
                <w:highlight w:val="none"/>
                <w:vertAlign w:val="superscript"/>
                <w:lang w:val="en-US" w:eastAsia="zh-CN"/>
              </w:rPr>
              <w:t>3</w:t>
            </w:r>
            <w:r>
              <w:rPr>
                <w:rFonts w:hint="eastAsia" w:ascii="Times New Roman" w:cs="Times New Roman"/>
                <w:color w:val="auto"/>
                <w:sz w:val="21"/>
                <w:szCs w:val="21"/>
                <w:highlight w:val="none"/>
                <w:lang w:val="en-US" w:eastAsia="zh-CN"/>
              </w:rPr>
              <w:t>/d</w:t>
            </w:r>
            <w:r>
              <w:rPr>
                <w:rFonts w:ascii="Times New Roman" w:cs="Times New Roman"/>
                <w:color w:val="auto"/>
                <w:sz w:val="21"/>
                <w:szCs w:val="21"/>
                <w:highlight w:val="none"/>
              </w:rPr>
              <w:t>，用水量为</w:t>
            </w:r>
            <w:r>
              <w:rPr>
                <w:rFonts w:hint="eastAsia" w:ascii="Times New Roman" w:cs="Times New Roman"/>
                <w:color w:val="auto"/>
                <w:sz w:val="21"/>
                <w:szCs w:val="21"/>
                <w:highlight w:val="none"/>
                <w:lang w:val="en-US" w:eastAsia="zh-CN"/>
              </w:rPr>
              <w:t>1095</w:t>
            </w:r>
            <w:r>
              <w:rPr>
                <w:rFonts w:ascii="Times New Roman" w:cs="Times New Roman"/>
                <w:color w:val="auto"/>
                <w:sz w:val="21"/>
                <w:szCs w:val="21"/>
                <w:highlight w:val="none"/>
              </w:rPr>
              <w:t>m</w:t>
            </w:r>
            <w:r>
              <w:rPr>
                <w:rFonts w:ascii="Times New Roman" w:cs="Times New Roman"/>
                <w:color w:val="auto"/>
                <w:sz w:val="21"/>
                <w:szCs w:val="21"/>
                <w:highlight w:val="none"/>
                <w:vertAlign w:val="superscript"/>
              </w:rPr>
              <w:t>3</w:t>
            </w:r>
            <w:r>
              <w:rPr>
                <w:rFonts w:ascii="Times New Roman" w:cs="Times New Roman"/>
                <w:color w:val="auto"/>
                <w:sz w:val="21"/>
                <w:szCs w:val="21"/>
                <w:highlight w:val="none"/>
              </w:rPr>
              <w:t>/a；</w:t>
            </w:r>
            <w:r>
              <w:rPr>
                <w:color w:val="auto"/>
                <w:sz w:val="21"/>
                <w:szCs w:val="21"/>
                <w:highlight w:val="none"/>
              </w:rPr>
              <w:t>废水产生量按80%计，产生量为</w:t>
            </w:r>
            <w:r>
              <w:rPr>
                <w:rFonts w:hint="eastAsia"/>
                <w:color w:val="auto"/>
                <w:sz w:val="21"/>
                <w:szCs w:val="21"/>
                <w:highlight w:val="none"/>
                <w:lang w:val="en-US" w:eastAsia="zh-CN"/>
              </w:rPr>
              <w:t>876</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p>
            <w:pPr>
              <w:pStyle w:val="21"/>
              <w:spacing w:after="0" w:line="360" w:lineRule="auto"/>
              <w:ind w:left="0" w:leftChars="0" w:firstLine="420" w:firstLineChars="200"/>
              <w:rPr>
                <w:color w:val="auto"/>
                <w:sz w:val="21"/>
                <w:szCs w:val="21"/>
                <w:highlight w:val="none"/>
              </w:rPr>
            </w:pPr>
            <w:r>
              <w:rPr>
                <w:rFonts w:hint="eastAsia"/>
                <w:color w:val="auto"/>
                <w:sz w:val="21"/>
                <w:szCs w:val="21"/>
                <w:highlight w:val="none"/>
              </w:rPr>
              <w:t>项目产生的病房废水、门诊废水、</w:t>
            </w:r>
            <w:r>
              <w:rPr>
                <w:rFonts w:hint="eastAsia"/>
                <w:color w:val="auto"/>
                <w:sz w:val="21"/>
                <w:szCs w:val="21"/>
                <w:highlight w:val="none"/>
                <w:lang w:val="en-US" w:eastAsia="zh-CN"/>
              </w:rPr>
              <w:t>手术废水、</w:t>
            </w:r>
            <w:r>
              <w:rPr>
                <w:rFonts w:hint="eastAsia"/>
                <w:color w:val="auto"/>
                <w:sz w:val="21"/>
                <w:szCs w:val="21"/>
                <w:highlight w:val="none"/>
              </w:rPr>
              <w:t>牙椅诊疗废水均属于医疗废水，</w:t>
            </w:r>
            <w:r>
              <w:rPr>
                <w:rFonts w:hint="eastAsia"/>
                <w:color w:val="auto"/>
                <w:sz w:val="21"/>
                <w:szCs w:val="21"/>
                <w:highlight w:val="none"/>
                <w:lang w:val="en-US" w:eastAsia="zh-CN"/>
              </w:rPr>
              <w:t>废水量合计为45989.76</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r>
              <w:rPr>
                <w:rFonts w:hint="eastAsia"/>
                <w:color w:val="auto"/>
                <w:sz w:val="21"/>
                <w:szCs w:val="21"/>
                <w:highlight w:val="none"/>
              </w:rPr>
              <w:t>该部分医疗废水水质</w:t>
            </w:r>
            <w:r>
              <w:rPr>
                <w:color w:val="auto"/>
                <w:sz w:val="21"/>
                <w:szCs w:val="21"/>
                <w:highlight w:val="none"/>
              </w:rPr>
              <w:t>根据《医院污水处理工程技术规范》（HJ2029-2013）其水质指标</w:t>
            </w:r>
            <w:r>
              <w:rPr>
                <w:rFonts w:hint="eastAsia"/>
                <w:color w:val="auto"/>
                <w:sz w:val="21"/>
                <w:szCs w:val="21"/>
                <w:highlight w:val="none"/>
              </w:rPr>
              <w:t>可知</w:t>
            </w:r>
            <w:r>
              <w:rPr>
                <w:color w:val="auto"/>
                <w:sz w:val="21"/>
                <w:szCs w:val="21"/>
                <w:highlight w:val="none"/>
              </w:rPr>
              <w:t>，污水污染物产生情况为CODcr 250mg/L、BOD</w:t>
            </w:r>
            <w:r>
              <w:rPr>
                <w:color w:val="auto"/>
                <w:sz w:val="21"/>
                <w:szCs w:val="21"/>
                <w:highlight w:val="none"/>
                <w:vertAlign w:val="subscript"/>
              </w:rPr>
              <w:t xml:space="preserve">5 </w:t>
            </w:r>
            <w:r>
              <w:rPr>
                <w:color w:val="auto"/>
                <w:sz w:val="21"/>
                <w:szCs w:val="21"/>
                <w:highlight w:val="none"/>
              </w:rPr>
              <w:t>100mg/L、氨氮30mg/L、SS 80mg/L、类大肠菌群1.6×10</w:t>
            </w:r>
            <w:r>
              <w:rPr>
                <w:color w:val="auto"/>
                <w:sz w:val="21"/>
                <w:szCs w:val="21"/>
                <w:highlight w:val="none"/>
                <w:vertAlign w:val="superscript"/>
              </w:rPr>
              <w:t>8</w:t>
            </w:r>
            <w:r>
              <w:rPr>
                <w:color w:val="auto"/>
                <w:sz w:val="21"/>
                <w:szCs w:val="21"/>
                <w:highlight w:val="none"/>
              </w:rPr>
              <w:t>个/L</w:t>
            </w:r>
            <w:r>
              <w:rPr>
                <w:rFonts w:hint="eastAsia"/>
                <w:color w:val="auto"/>
                <w:sz w:val="21"/>
                <w:szCs w:val="21"/>
                <w:highlight w:val="none"/>
              </w:rPr>
              <w:t>，氟化物产生量取20</w:t>
            </w:r>
            <w:r>
              <w:rPr>
                <w:color w:val="auto"/>
                <w:sz w:val="21"/>
                <w:szCs w:val="21"/>
                <w:highlight w:val="none"/>
              </w:rPr>
              <w:t>mg/L。</w:t>
            </w:r>
          </w:p>
          <w:p>
            <w:pPr>
              <w:autoSpaceDE w:val="0"/>
              <w:autoSpaceDN w:val="0"/>
              <w:adjustRightInd w:val="0"/>
              <w:snapToGrid w:val="0"/>
              <w:spacing w:line="360" w:lineRule="auto"/>
              <w:ind w:firstLine="420" w:firstLineChars="200"/>
              <w:jc w:val="left"/>
              <w:rPr>
                <w:color w:val="auto"/>
                <w:kern w:val="0"/>
                <w:szCs w:val="21"/>
                <w:highlight w:val="none"/>
              </w:rPr>
            </w:pPr>
            <w:r>
              <w:rPr>
                <w:rFonts w:hint="eastAsia"/>
                <w:color w:val="auto"/>
                <w:kern w:val="0"/>
                <w:szCs w:val="21"/>
                <w:highlight w:val="none"/>
              </w:rPr>
              <w:t>3</w:t>
            </w:r>
            <w:r>
              <w:rPr>
                <w:color w:val="auto"/>
                <w:kern w:val="0"/>
                <w:szCs w:val="21"/>
                <w:highlight w:val="none"/>
              </w:rPr>
              <w:t>、洗衣房废水</w:t>
            </w:r>
          </w:p>
          <w:p>
            <w:pPr>
              <w:autoSpaceDE w:val="0"/>
              <w:autoSpaceDN w:val="0"/>
              <w:adjustRightInd w:val="0"/>
              <w:snapToGrid w:val="0"/>
              <w:spacing w:line="360" w:lineRule="auto"/>
              <w:ind w:firstLine="420" w:firstLineChars="200"/>
              <w:jc w:val="left"/>
              <w:rPr>
                <w:color w:val="auto"/>
                <w:kern w:val="0"/>
                <w:szCs w:val="21"/>
                <w:highlight w:val="none"/>
              </w:rPr>
            </w:pPr>
            <w:r>
              <w:rPr>
                <w:color w:val="auto"/>
                <w:kern w:val="0"/>
                <w:szCs w:val="21"/>
                <w:highlight w:val="none"/>
              </w:rPr>
              <w:t>医院定期更换的床单、被罩、病号服、医务人员无尘服等均外委清洗，不在本项目洗衣房内清洗；医院洗衣房设有</w:t>
            </w:r>
            <w:r>
              <w:rPr>
                <w:rFonts w:hint="eastAsia"/>
                <w:color w:val="auto"/>
                <w:kern w:val="0"/>
                <w:szCs w:val="21"/>
                <w:highlight w:val="none"/>
                <w:lang w:val="en-US" w:eastAsia="zh-CN"/>
              </w:rPr>
              <w:t>2</w:t>
            </w:r>
            <w:r>
              <w:rPr>
                <w:color w:val="auto"/>
                <w:kern w:val="0"/>
                <w:szCs w:val="21"/>
                <w:highlight w:val="none"/>
              </w:rPr>
              <w:t>台洗衣机，清洗能力较小，只为方便值班医护人员的日常衣物换洗，每日清洗量约为</w:t>
            </w:r>
            <w:r>
              <w:rPr>
                <w:rFonts w:hint="eastAsia"/>
                <w:color w:val="auto"/>
                <w:kern w:val="0"/>
                <w:szCs w:val="21"/>
                <w:highlight w:val="none"/>
                <w:lang w:val="en-US" w:eastAsia="zh-CN"/>
              </w:rPr>
              <w:t>20</w:t>
            </w:r>
            <w:r>
              <w:rPr>
                <w:color w:val="auto"/>
                <w:kern w:val="0"/>
                <w:szCs w:val="21"/>
                <w:highlight w:val="none"/>
              </w:rPr>
              <w:t>kg干衣物，参考《建筑给水排水设计标准》（GB50015-2019），洗衣房用水量取80L/kg干衣，则项目洗衣房用水量为</w:t>
            </w:r>
            <w:r>
              <w:rPr>
                <w:rFonts w:hint="eastAsia"/>
                <w:color w:val="auto"/>
                <w:kern w:val="0"/>
                <w:szCs w:val="21"/>
                <w:highlight w:val="none"/>
                <w:lang w:val="en-US" w:eastAsia="zh-CN"/>
              </w:rPr>
              <w:t>1.6</w:t>
            </w:r>
            <w:r>
              <w:rPr>
                <w:color w:val="auto"/>
                <w:szCs w:val="21"/>
                <w:highlight w:val="none"/>
              </w:rPr>
              <w:t xml:space="preserve"> m</w:t>
            </w:r>
            <w:r>
              <w:rPr>
                <w:color w:val="auto"/>
                <w:szCs w:val="21"/>
                <w:highlight w:val="none"/>
                <w:vertAlign w:val="superscript"/>
              </w:rPr>
              <w:t>3</w:t>
            </w:r>
            <w:r>
              <w:rPr>
                <w:color w:val="auto"/>
                <w:szCs w:val="21"/>
                <w:highlight w:val="none"/>
              </w:rPr>
              <w:t>/d，即</w:t>
            </w:r>
            <w:r>
              <w:rPr>
                <w:rFonts w:hint="eastAsia"/>
                <w:color w:val="auto"/>
                <w:szCs w:val="21"/>
                <w:highlight w:val="none"/>
                <w:lang w:val="en-US" w:eastAsia="zh-CN"/>
              </w:rPr>
              <w:t>584</w:t>
            </w:r>
            <w:r>
              <w:rPr>
                <w:color w:val="auto"/>
                <w:szCs w:val="21"/>
                <w:highlight w:val="none"/>
              </w:rPr>
              <w:t>m</w:t>
            </w:r>
            <w:r>
              <w:rPr>
                <w:color w:val="auto"/>
                <w:szCs w:val="21"/>
                <w:highlight w:val="none"/>
                <w:vertAlign w:val="superscript"/>
              </w:rPr>
              <w:t>3</w:t>
            </w:r>
            <w:r>
              <w:rPr>
                <w:color w:val="auto"/>
                <w:szCs w:val="21"/>
                <w:highlight w:val="none"/>
              </w:rPr>
              <w:t>/a</w:t>
            </w:r>
            <w:r>
              <w:rPr>
                <w:color w:val="auto"/>
                <w:kern w:val="0"/>
                <w:szCs w:val="21"/>
                <w:highlight w:val="none"/>
              </w:rPr>
              <w:t>；废水产生量按80%计，产生量为</w:t>
            </w:r>
            <w:r>
              <w:rPr>
                <w:rFonts w:hint="eastAsia"/>
                <w:color w:val="auto"/>
                <w:kern w:val="0"/>
                <w:szCs w:val="21"/>
                <w:highlight w:val="none"/>
                <w:lang w:val="en-US" w:eastAsia="zh-CN"/>
              </w:rPr>
              <w:t>467.2</w:t>
            </w:r>
            <w:r>
              <w:rPr>
                <w:color w:val="auto"/>
                <w:kern w:val="0"/>
                <w:szCs w:val="21"/>
                <w:highlight w:val="none"/>
              </w:rPr>
              <w:t>m</w:t>
            </w:r>
            <w:r>
              <w:rPr>
                <w:color w:val="auto"/>
                <w:kern w:val="0"/>
                <w:szCs w:val="21"/>
                <w:highlight w:val="none"/>
                <w:vertAlign w:val="superscript"/>
              </w:rPr>
              <w:t>3</w:t>
            </w:r>
            <w:r>
              <w:rPr>
                <w:color w:val="auto"/>
                <w:kern w:val="0"/>
                <w:szCs w:val="21"/>
                <w:highlight w:val="none"/>
              </w:rPr>
              <w:t>/a，本项目洗衣房只针对值班医护人员的日常衣物，参考日常洗衣废水水质情况，洗衣房废水污染物产生情况为CODcr 600mg/L、BOD</w:t>
            </w:r>
            <w:r>
              <w:rPr>
                <w:color w:val="auto"/>
                <w:kern w:val="0"/>
                <w:szCs w:val="21"/>
                <w:highlight w:val="none"/>
                <w:vertAlign w:val="subscript"/>
              </w:rPr>
              <w:t xml:space="preserve">5 </w:t>
            </w:r>
            <w:r>
              <w:rPr>
                <w:color w:val="auto"/>
                <w:kern w:val="0"/>
                <w:szCs w:val="21"/>
                <w:highlight w:val="none"/>
              </w:rPr>
              <w:t>300mg/L、SS 400mg/</w:t>
            </w:r>
            <w:r>
              <w:rPr>
                <w:rFonts w:hint="eastAsia"/>
                <w:color w:val="auto"/>
                <w:kern w:val="0"/>
                <w:szCs w:val="21"/>
                <w:highlight w:val="none"/>
                <w:lang w:val="en-US" w:eastAsia="zh-CN"/>
              </w:rPr>
              <w:t>L、</w:t>
            </w:r>
            <w:r>
              <w:rPr>
                <w:rFonts w:hint="eastAsia"/>
                <w:color w:val="auto"/>
                <w:highlight w:val="none"/>
                <w:lang w:val="en-US" w:eastAsia="zh-CN"/>
              </w:rPr>
              <w:t>pH6-9</w:t>
            </w:r>
            <w:r>
              <w:rPr>
                <w:color w:val="auto"/>
                <w:kern w:val="0"/>
                <w:szCs w:val="21"/>
                <w:highlight w:val="none"/>
              </w:rPr>
              <w:t>。</w:t>
            </w:r>
          </w:p>
          <w:p>
            <w:pPr>
              <w:autoSpaceDE w:val="0"/>
              <w:autoSpaceDN w:val="0"/>
              <w:adjustRightInd w:val="0"/>
              <w:snapToGrid w:val="0"/>
              <w:spacing w:line="360" w:lineRule="auto"/>
              <w:ind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4、食堂废水</w:t>
            </w:r>
          </w:p>
          <w:p>
            <w:pPr>
              <w:autoSpaceDE w:val="0"/>
              <w:autoSpaceDN w:val="0"/>
              <w:adjustRightInd w:val="0"/>
              <w:snapToGrid w:val="0"/>
              <w:spacing w:line="360" w:lineRule="auto"/>
              <w:ind w:firstLine="420" w:firstLineChars="200"/>
              <w:jc w:val="left"/>
              <w:rPr>
                <w:color w:val="auto"/>
                <w:highlight w:val="none"/>
              </w:rPr>
            </w:pPr>
            <w:r>
              <w:rPr>
                <w:rFonts w:hint="eastAsia"/>
                <w:color w:val="auto"/>
                <w:highlight w:val="none"/>
              </w:rPr>
              <w:t>本</w:t>
            </w:r>
            <w:r>
              <w:rPr>
                <w:color w:val="auto"/>
                <w:highlight w:val="none"/>
              </w:rPr>
              <w:t>项目设置</w:t>
            </w:r>
            <w:r>
              <w:rPr>
                <w:rFonts w:hint="eastAsia"/>
                <w:color w:val="auto"/>
                <w:highlight w:val="none"/>
              </w:rPr>
              <w:t>食堂</w:t>
            </w:r>
            <w:r>
              <w:rPr>
                <w:color w:val="auto"/>
                <w:highlight w:val="none"/>
              </w:rPr>
              <w:t>，根据《综合医院建筑设计规范》（GB51039-2014），食堂用水量为20L-25L/人·次</w:t>
            </w:r>
            <w:r>
              <w:rPr>
                <w:rFonts w:hint="eastAsia"/>
                <w:color w:val="auto"/>
                <w:highlight w:val="none"/>
              </w:rPr>
              <w:t>。</w:t>
            </w:r>
            <w:r>
              <w:rPr>
                <w:color w:val="auto"/>
                <w:highlight w:val="none"/>
              </w:rPr>
              <w:t>本项目食堂规模为就餐人数</w:t>
            </w:r>
            <w:r>
              <w:rPr>
                <w:rFonts w:hint="eastAsia"/>
                <w:color w:val="auto"/>
                <w:highlight w:val="none"/>
                <w:lang w:val="en-US" w:eastAsia="zh-CN"/>
              </w:rPr>
              <w:t>220</w:t>
            </w:r>
            <w:r>
              <w:rPr>
                <w:color w:val="auto"/>
                <w:highlight w:val="none"/>
              </w:rPr>
              <w:t>人/次，用水指标按照20L/人•次，则食堂日用水量</w:t>
            </w:r>
            <w:r>
              <w:rPr>
                <w:rFonts w:hint="eastAsia"/>
                <w:color w:val="auto"/>
                <w:highlight w:val="none"/>
                <w:lang w:val="en-US" w:eastAsia="zh-CN"/>
              </w:rPr>
              <w:t>4.4</w:t>
            </w:r>
            <w:r>
              <w:rPr>
                <w:color w:val="auto"/>
                <w:highlight w:val="none"/>
              </w:rPr>
              <w:t>m</w:t>
            </w:r>
            <w:r>
              <w:rPr>
                <w:color w:val="auto"/>
                <w:highlight w:val="none"/>
                <w:vertAlign w:val="superscript"/>
              </w:rPr>
              <w:t>3</w:t>
            </w:r>
            <w:r>
              <w:rPr>
                <w:color w:val="auto"/>
                <w:highlight w:val="none"/>
              </w:rPr>
              <w:t>/d，即为</w:t>
            </w:r>
            <w:r>
              <w:rPr>
                <w:rFonts w:hint="eastAsia"/>
                <w:color w:val="auto"/>
                <w:highlight w:val="none"/>
                <w:lang w:val="en-US" w:eastAsia="zh-CN"/>
              </w:rPr>
              <w:t>1606</w:t>
            </w:r>
            <w:r>
              <w:rPr>
                <w:color w:val="auto"/>
                <w:highlight w:val="none"/>
              </w:rPr>
              <w:t>m</w:t>
            </w:r>
            <w:r>
              <w:rPr>
                <w:color w:val="auto"/>
                <w:highlight w:val="none"/>
                <w:vertAlign w:val="superscript"/>
              </w:rPr>
              <w:t>3</w:t>
            </w:r>
            <w:r>
              <w:rPr>
                <w:color w:val="auto"/>
                <w:highlight w:val="none"/>
              </w:rPr>
              <w:t>/a</w:t>
            </w:r>
            <w:r>
              <w:rPr>
                <w:rFonts w:hint="eastAsia"/>
                <w:color w:val="auto"/>
                <w:highlight w:val="none"/>
                <w:lang w:eastAsia="zh-CN"/>
              </w:rPr>
              <w:t>；</w:t>
            </w:r>
            <w:r>
              <w:rPr>
                <w:color w:val="auto"/>
                <w:sz w:val="21"/>
                <w:szCs w:val="21"/>
                <w:highlight w:val="none"/>
              </w:rPr>
              <w:t>废水产生量按80%计，产生量为</w:t>
            </w:r>
            <w:r>
              <w:rPr>
                <w:rFonts w:hint="eastAsia"/>
                <w:color w:val="auto"/>
                <w:sz w:val="21"/>
                <w:szCs w:val="21"/>
                <w:highlight w:val="none"/>
                <w:lang w:val="en-US" w:eastAsia="zh-CN"/>
              </w:rPr>
              <w:t>1284.8</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r>
              <w:rPr>
                <w:rFonts w:hint="eastAsia"/>
                <w:color w:val="auto"/>
                <w:sz w:val="21"/>
                <w:szCs w:val="21"/>
                <w:highlight w:val="none"/>
                <w:lang w:val="en-US" w:eastAsia="zh-CN"/>
              </w:rPr>
              <w:t>该部分废水先经隔油池隔油后再进入污水处理厂处理，进入污水站水质</w:t>
            </w:r>
            <w:r>
              <w:rPr>
                <w:color w:val="auto"/>
                <w:highlight w:val="none"/>
              </w:rPr>
              <w:t>污为CODcr 350mg/L、BOD</w:t>
            </w:r>
            <w:r>
              <w:rPr>
                <w:color w:val="auto"/>
                <w:highlight w:val="none"/>
                <w:vertAlign w:val="subscript"/>
              </w:rPr>
              <w:t>5</w:t>
            </w:r>
            <w:r>
              <w:rPr>
                <w:color w:val="auto"/>
                <w:highlight w:val="none"/>
              </w:rPr>
              <w:t xml:space="preserve"> 150mg/L、氨氮35mg/L、SS 300mg/L</w:t>
            </w:r>
            <w:r>
              <w:rPr>
                <w:rFonts w:hint="eastAsia"/>
                <w:color w:val="auto"/>
                <w:highlight w:val="none"/>
                <w:lang w:eastAsia="zh-CN"/>
              </w:rPr>
              <w:t>、</w:t>
            </w:r>
            <w:r>
              <w:rPr>
                <w:rFonts w:hint="eastAsia"/>
                <w:color w:val="auto"/>
                <w:highlight w:val="none"/>
                <w:lang w:val="en-US" w:eastAsia="zh-CN"/>
              </w:rPr>
              <w:t>动植物油80</w:t>
            </w:r>
            <w:r>
              <w:rPr>
                <w:color w:val="auto"/>
                <w:highlight w:val="none"/>
              </w:rPr>
              <w:t>mg/L</w:t>
            </w:r>
            <w:r>
              <w:rPr>
                <w:rFonts w:hint="eastAsia"/>
                <w:color w:val="auto"/>
                <w:highlight w:val="none"/>
                <w:lang w:eastAsia="zh-CN"/>
              </w:rPr>
              <w:t>、</w:t>
            </w:r>
            <w:r>
              <w:rPr>
                <w:rFonts w:hint="eastAsia"/>
                <w:color w:val="auto"/>
                <w:highlight w:val="none"/>
                <w:lang w:val="en-US" w:eastAsia="zh-CN"/>
              </w:rPr>
              <w:t>pH6-9</w:t>
            </w:r>
            <w:r>
              <w:rPr>
                <w:color w:val="auto"/>
                <w:highlight w:val="none"/>
              </w:rPr>
              <w:t>。</w:t>
            </w:r>
          </w:p>
          <w:p>
            <w:pPr>
              <w:autoSpaceDE w:val="0"/>
              <w:autoSpaceDN w:val="0"/>
              <w:adjustRightInd w:val="0"/>
              <w:snapToGrid w:val="0"/>
              <w:spacing w:line="360" w:lineRule="auto"/>
              <w:ind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5、纯水制备废水</w:t>
            </w:r>
          </w:p>
          <w:p>
            <w:pPr>
              <w:autoSpaceDE w:val="0"/>
              <w:autoSpaceDN w:val="0"/>
              <w:adjustRightInd w:val="0"/>
              <w:snapToGrid w:val="0"/>
              <w:spacing w:line="360" w:lineRule="auto"/>
              <w:ind w:firstLine="420" w:firstLineChars="200"/>
              <w:jc w:val="left"/>
              <w:rPr>
                <w:color w:val="auto"/>
                <w:highlight w:val="none"/>
              </w:rPr>
            </w:pPr>
            <w:r>
              <w:rPr>
                <w:rFonts w:hint="eastAsia"/>
                <w:color w:val="auto"/>
                <w:highlight w:val="none"/>
                <w:lang w:val="en-US" w:eastAsia="zh-CN"/>
              </w:rPr>
              <w:t>本项目使用纯水机制备纯水，制备效率为80%，</w:t>
            </w:r>
            <w:r>
              <w:rPr>
                <w:rFonts w:hint="eastAsia"/>
                <w:color w:val="auto"/>
                <w:kern w:val="0"/>
                <w:szCs w:val="21"/>
                <w:highlight w:val="none"/>
                <w:lang w:val="en-US" w:eastAsia="zh-CN"/>
              </w:rPr>
              <w:t>根据前文水平衡可知，使用新鲜水9125m</w:t>
            </w:r>
            <w:r>
              <w:rPr>
                <w:rFonts w:hint="eastAsia"/>
                <w:color w:val="auto"/>
                <w:kern w:val="0"/>
                <w:szCs w:val="21"/>
                <w:highlight w:val="none"/>
                <w:vertAlign w:val="superscript"/>
                <w:lang w:val="en-US" w:eastAsia="zh-CN"/>
              </w:rPr>
              <w:t>3</w:t>
            </w:r>
            <w:r>
              <w:rPr>
                <w:rFonts w:hint="eastAsia"/>
                <w:color w:val="auto"/>
                <w:kern w:val="0"/>
                <w:szCs w:val="21"/>
                <w:highlight w:val="none"/>
                <w:lang w:val="en-US" w:eastAsia="zh-CN"/>
              </w:rPr>
              <w:t>/a，则纯水制备废水产生量为1825m</w:t>
            </w:r>
            <w:r>
              <w:rPr>
                <w:rFonts w:hint="eastAsia"/>
                <w:color w:val="auto"/>
                <w:kern w:val="0"/>
                <w:szCs w:val="21"/>
                <w:highlight w:val="none"/>
                <w:vertAlign w:val="superscript"/>
                <w:lang w:val="en-US" w:eastAsia="zh-CN"/>
              </w:rPr>
              <w:t>3</w:t>
            </w:r>
            <w:r>
              <w:rPr>
                <w:rFonts w:hint="eastAsia"/>
                <w:color w:val="auto"/>
                <w:kern w:val="0"/>
                <w:szCs w:val="21"/>
                <w:highlight w:val="none"/>
                <w:lang w:val="en-US" w:eastAsia="zh-CN"/>
              </w:rPr>
              <w:t>/a</w:t>
            </w:r>
            <w:r>
              <w:rPr>
                <w:color w:val="auto"/>
                <w:sz w:val="21"/>
                <w:szCs w:val="21"/>
                <w:highlight w:val="none"/>
              </w:rPr>
              <w:t>。</w:t>
            </w:r>
            <w:r>
              <w:rPr>
                <w:rFonts w:hint="eastAsia"/>
                <w:color w:val="auto"/>
                <w:sz w:val="21"/>
                <w:szCs w:val="21"/>
                <w:highlight w:val="none"/>
                <w:lang w:val="en-US" w:eastAsia="zh-CN"/>
              </w:rPr>
              <w:t>该部分废水水质较好，盐量含量较高，进入污水站水质</w:t>
            </w:r>
            <w:r>
              <w:rPr>
                <w:color w:val="auto"/>
                <w:highlight w:val="none"/>
              </w:rPr>
              <w:t>污为</w:t>
            </w:r>
            <w:r>
              <w:rPr>
                <w:rFonts w:hint="eastAsia"/>
                <w:color w:val="auto"/>
                <w:highlight w:val="none"/>
                <w:lang w:val="en-US" w:eastAsia="zh-CN"/>
              </w:rPr>
              <w:t>溶解性总固体4000</w:t>
            </w:r>
            <w:r>
              <w:rPr>
                <w:color w:val="auto"/>
                <w:kern w:val="0"/>
                <w:szCs w:val="21"/>
                <w:highlight w:val="none"/>
              </w:rPr>
              <w:t>mg/L</w:t>
            </w:r>
            <w:r>
              <w:rPr>
                <w:color w:val="auto"/>
                <w:highlight w:val="none"/>
              </w:rPr>
              <w:t>。</w:t>
            </w:r>
          </w:p>
          <w:p>
            <w:pPr>
              <w:autoSpaceDE w:val="0"/>
              <w:autoSpaceDN w:val="0"/>
              <w:adjustRightInd w:val="0"/>
              <w:snapToGrid w:val="0"/>
              <w:spacing w:line="360" w:lineRule="auto"/>
              <w:ind w:firstLine="420" w:firstLineChars="200"/>
              <w:jc w:val="left"/>
              <w:rPr>
                <w:rFonts w:hint="default" w:eastAsia="宋体"/>
                <w:color w:val="auto"/>
                <w:kern w:val="0"/>
                <w:szCs w:val="21"/>
                <w:highlight w:val="none"/>
                <w:lang w:val="en-US" w:eastAsia="zh-CN"/>
              </w:rPr>
            </w:pPr>
            <w:r>
              <w:rPr>
                <w:rFonts w:hint="eastAsia"/>
                <w:color w:val="auto"/>
                <w:kern w:val="0"/>
                <w:szCs w:val="21"/>
                <w:highlight w:val="none"/>
                <w:lang w:val="en-US" w:eastAsia="zh-CN"/>
              </w:rPr>
              <w:t>6、消毒废水</w:t>
            </w:r>
          </w:p>
          <w:p>
            <w:pPr>
              <w:autoSpaceDE w:val="0"/>
              <w:autoSpaceDN w:val="0"/>
              <w:adjustRightInd w:val="0"/>
              <w:snapToGrid w:val="0"/>
              <w:spacing w:line="360" w:lineRule="auto"/>
              <w:ind w:firstLine="420" w:firstLineChars="200"/>
              <w:jc w:val="left"/>
              <w:rPr>
                <w:color w:val="auto"/>
                <w:kern w:val="0"/>
                <w:szCs w:val="21"/>
                <w:highlight w:val="none"/>
              </w:rPr>
            </w:pPr>
            <w:r>
              <w:rPr>
                <w:rFonts w:hint="eastAsia"/>
                <w:color w:val="auto"/>
                <w:kern w:val="0"/>
                <w:szCs w:val="21"/>
                <w:highlight w:val="none"/>
              </w:rPr>
              <w:t>项目定期对病房及主要通道进行清洁并使用84消毒液进行消毒</w:t>
            </w:r>
            <w:r>
              <w:rPr>
                <w:color w:val="auto"/>
                <w:kern w:val="0"/>
                <w:szCs w:val="21"/>
                <w:highlight w:val="none"/>
              </w:rPr>
              <w:t>，</w:t>
            </w:r>
            <w:r>
              <w:rPr>
                <w:rFonts w:hint="eastAsia"/>
                <w:color w:val="auto"/>
                <w:kern w:val="0"/>
                <w:szCs w:val="21"/>
                <w:highlight w:val="none"/>
              </w:rPr>
              <w:t>清洁消毒总用水量为</w:t>
            </w:r>
            <w:r>
              <w:rPr>
                <w:rFonts w:hint="eastAsia"/>
                <w:color w:val="auto"/>
                <w:kern w:val="0"/>
                <w:szCs w:val="21"/>
                <w:highlight w:val="none"/>
                <w:lang w:val="en-US" w:eastAsia="zh-CN"/>
              </w:rPr>
              <w:t>179</w:t>
            </w:r>
            <w:r>
              <w:rPr>
                <w:rFonts w:hint="eastAsia"/>
                <w:color w:val="auto"/>
                <w:kern w:val="0"/>
                <w:szCs w:val="21"/>
                <w:highlight w:val="none"/>
              </w:rPr>
              <w:t>m</w:t>
            </w:r>
            <w:r>
              <w:rPr>
                <w:rFonts w:hint="eastAsia"/>
                <w:color w:val="auto"/>
                <w:kern w:val="0"/>
                <w:szCs w:val="21"/>
                <w:highlight w:val="none"/>
                <w:vertAlign w:val="superscript"/>
              </w:rPr>
              <w:t>3</w:t>
            </w:r>
            <w:r>
              <w:rPr>
                <w:rFonts w:hint="eastAsia"/>
                <w:color w:val="auto"/>
                <w:kern w:val="0"/>
                <w:szCs w:val="21"/>
                <w:highlight w:val="none"/>
              </w:rPr>
              <w:t>/a</w:t>
            </w:r>
            <w:r>
              <w:rPr>
                <w:color w:val="auto"/>
                <w:kern w:val="0"/>
                <w:szCs w:val="21"/>
                <w:highlight w:val="none"/>
              </w:rPr>
              <w:t>；废水产生量按80%计，产生量为</w:t>
            </w:r>
            <w:r>
              <w:rPr>
                <w:rFonts w:hint="eastAsia"/>
                <w:color w:val="auto"/>
                <w:kern w:val="0"/>
                <w:szCs w:val="21"/>
                <w:highlight w:val="none"/>
                <w:lang w:val="en-US" w:eastAsia="zh-CN"/>
              </w:rPr>
              <w:t>143.2</w:t>
            </w:r>
            <w:r>
              <w:rPr>
                <w:color w:val="auto"/>
                <w:kern w:val="0"/>
                <w:szCs w:val="21"/>
                <w:highlight w:val="none"/>
              </w:rPr>
              <w:t>m</w:t>
            </w:r>
            <w:r>
              <w:rPr>
                <w:color w:val="auto"/>
                <w:kern w:val="0"/>
                <w:szCs w:val="21"/>
                <w:highlight w:val="none"/>
                <w:vertAlign w:val="superscript"/>
              </w:rPr>
              <w:t>3</w:t>
            </w:r>
            <w:r>
              <w:rPr>
                <w:color w:val="auto"/>
                <w:kern w:val="0"/>
                <w:szCs w:val="21"/>
                <w:highlight w:val="none"/>
              </w:rPr>
              <w:t>/a，参考日常</w:t>
            </w:r>
            <w:r>
              <w:rPr>
                <w:rFonts w:hint="eastAsia"/>
                <w:color w:val="auto"/>
                <w:kern w:val="0"/>
                <w:szCs w:val="21"/>
                <w:highlight w:val="none"/>
              </w:rPr>
              <w:t>清洁</w:t>
            </w:r>
            <w:r>
              <w:rPr>
                <w:color w:val="auto"/>
                <w:kern w:val="0"/>
                <w:szCs w:val="21"/>
                <w:highlight w:val="none"/>
              </w:rPr>
              <w:t>废水水质情况，</w:t>
            </w:r>
            <w:r>
              <w:rPr>
                <w:rFonts w:hint="eastAsia"/>
                <w:color w:val="auto"/>
                <w:kern w:val="0"/>
                <w:szCs w:val="21"/>
                <w:highlight w:val="none"/>
              </w:rPr>
              <w:t>清洁消毒</w:t>
            </w:r>
            <w:r>
              <w:rPr>
                <w:color w:val="auto"/>
                <w:kern w:val="0"/>
                <w:szCs w:val="21"/>
                <w:highlight w:val="none"/>
              </w:rPr>
              <w:t xml:space="preserve">废水污染物产生情况为CODcr </w:t>
            </w:r>
            <w:r>
              <w:rPr>
                <w:rFonts w:hint="eastAsia"/>
                <w:color w:val="auto"/>
                <w:kern w:val="0"/>
                <w:szCs w:val="21"/>
                <w:highlight w:val="none"/>
              </w:rPr>
              <w:t>5</w:t>
            </w:r>
            <w:r>
              <w:rPr>
                <w:color w:val="auto"/>
                <w:kern w:val="0"/>
                <w:szCs w:val="21"/>
                <w:highlight w:val="none"/>
              </w:rPr>
              <w:t>00mg/L、BOD</w:t>
            </w:r>
            <w:r>
              <w:rPr>
                <w:color w:val="auto"/>
                <w:kern w:val="0"/>
                <w:szCs w:val="21"/>
                <w:highlight w:val="none"/>
                <w:vertAlign w:val="subscript"/>
              </w:rPr>
              <w:t xml:space="preserve">5 </w:t>
            </w:r>
            <w:r>
              <w:rPr>
                <w:color w:val="auto"/>
                <w:kern w:val="0"/>
                <w:szCs w:val="21"/>
                <w:highlight w:val="none"/>
              </w:rPr>
              <w:t xml:space="preserve">300mg/L、SS </w:t>
            </w:r>
            <w:r>
              <w:rPr>
                <w:rFonts w:hint="eastAsia"/>
                <w:color w:val="auto"/>
                <w:kern w:val="0"/>
                <w:szCs w:val="21"/>
                <w:highlight w:val="none"/>
              </w:rPr>
              <w:t>4</w:t>
            </w:r>
            <w:r>
              <w:rPr>
                <w:color w:val="auto"/>
                <w:kern w:val="0"/>
                <w:szCs w:val="21"/>
                <w:highlight w:val="none"/>
              </w:rPr>
              <w:t>00mg/L。</w:t>
            </w:r>
          </w:p>
          <w:p>
            <w:pPr>
              <w:pStyle w:val="26"/>
              <w:spacing w:after="0" w:line="360" w:lineRule="auto"/>
              <w:ind w:firstLine="0" w:firstLineChars="0"/>
              <w:rPr>
                <w:b/>
                <w:bCs/>
                <w:color w:val="auto"/>
                <w:sz w:val="21"/>
                <w:szCs w:val="21"/>
                <w:highlight w:val="none"/>
              </w:rPr>
            </w:pPr>
            <w:r>
              <w:rPr>
                <w:b/>
                <w:bCs/>
                <w:color w:val="auto"/>
                <w:sz w:val="21"/>
                <w:szCs w:val="21"/>
                <w:highlight w:val="none"/>
              </w:rPr>
              <w:t>1.2废水治理措施</w:t>
            </w:r>
          </w:p>
          <w:p>
            <w:pPr>
              <w:autoSpaceDE w:val="0"/>
              <w:autoSpaceDN w:val="0"/>
              <w:adjustRightInd w:val="0"/>
              <w:snapToGrid w:val="0"/>
              <w:spacing w:line="360" w:lineRule="auto"/>
              <w:ind w:firstLine="422" w:firstLineChars="200"/>
              <w:jc w:val="left"/>
              <w:rPr>
                <w:b/>
                <w:color w:val="auto"/>
                <w:kern w:val="0"/>
                <w:szCs w:val="21"/>
                <w:highlight w:val="none"/>
                <w:lang w:val="zh-CN"/>
              </w:rPr>
            </w:pPr>
            <w:r>
              <w:rPr>
                <w:b/>
                <w:color w:val="auto"/>
                <w:kern w:val="0"/>
                <w:szCs w:val="21"/>
                <w:highlight w:val="none"/>
                <w:lang w:val="zh-CN"/>
              </w:rPr>
              <w:t>1、污水处理站简介</w:t>
            </w:r>
          </w:p>
          <w:p>
            <w:pPr>
              <w:autoSpaceDE w:val="0"/>
              <w:autoSpaceDN w:val="0"/>
              <w:adjustRightInd w:val="0"/>
              <w:snapToGrid w:val="0"/>
              <w:spacing w:line="360" w:lineRule="auto"/>
              <w:ind w:firstLine="420" w:firstLineChars="200"/>
              <w:jc w:val="left"/>
              <w:rPr>
                <w:color w:val="auto"/>
                <w:kern w:val="0"/>
                <w:szCs w:val="21"/>
                <w:highlight w:val="none"/>
                <w:lang w:val="zh-CN"/>
              </w:rPr>
            </w:pPr>
            <w:r>
              <w:rPr>
                <w:rFonts w:hint="eastAsia"/>
                <w:color w:val="auto"/>
                <w:kern w:val="0"/>
                <w:szCs w:val="21"/>
                <w:highlight w:val="none"/>
                <w:lang w:val="zh-CN"/>
              </w:rPr>
              <w:t>院区</w:t>
            </w:r>
            <w:r>
              <w:rPr>
                <w:color w:val="auto"/>
                <w:kern w:val="0"/>
                <w:szCs w:val="21"/>
                <w:highlight w:val="none"/>
                <w:lang w:val="zh-CN"/>
              </w:rPr>
              <w:t>内</w:t>
            </w:r>
            <w:r>
              <w:rPr>
                <w:rFonts w:hint="eastAsia"/>
                <w:color w:val="auto"/>
                <w:kern w:val="0"/>
                <w:szCs w:val="21"/>
                <w:highlight w:val="none"/>
                <w:lang w:val="en-US" w:eastAsia="zh-CN"/>
              </w:rPr>
              <w:t>拟建</w:t>
            </w:r>
            <w:r>
              <w:rPr>
                <w:color w:val="auto"/>
                <w:kern w:val="0"/>
                <w:szCs w:val="21"/>
                <w:highlight w:val="none"/>
                <w:lang w:val="zh-CN"/>
              </w:rPr>
              <w:t>污水处理站一座，设计处理能力</w:t>
            </w:r>
            <w:r>
              <w:rPr>
                <w:rFonts w:hint="eastAsia"/>
                <w:color w:val="auto"/>
                <w:kern w:val="0"/>
                <w:szCs w:val="21"/>
                <w:highlight w:val="none"/>
                <w:lang w:val="en-US" w:eastAsia="zh-CN"/>
              </w:rPr>
              <w:t>200</w:t>
            </w:r>
            <w:r>
              <w:rPr>
                <w:color w:val="auto"/>
                <w:kern w:val="0"/>
                <w:szCs w:val="21"/>
                <w:highlight w:val="none"/>
                <w:lang w:val="zh-CN"/>
              </w:rPr>
              <w:t>m</w:t>
            </w:r>
            <w:r>
              <w:rPr>
                <w:color w:val="auto"/>
                <w:kern w:val="0"/>
                <w:szCs w:val="21"/>
                <w:highlight w:val="none"/>
                <w:vertAlign w:val="superscript"/>
                <w:lang w:val="zh-CN"/>
              </w:rPr>
              <w:t>3</w:t>
            </w:r>
            <w:r>
              <w:rPr>
                <w:color w:val="auto"/>
                <w:kern w:val="0"/>
                <w:szCs w:val="21"/>
                <w:highlight w:val="none"/>
                <w:lang w:val="zh-CN"/>
              </w:rPr>
              <w:t>/d，废水处理工艺采用</w:t>
            </w:r>
            <w:r>
              <w:rPr>
                <w:rFonts w:hint="eastAsia"/>
                <w:color w:val="auto"/>
                <w:kern w:val="0"/>
                <w:szCs w:val="21"/>
                <w:highlight w:val="none"/>
                <w:lang w:val="zh-CN"/>
              </w:rPr>
              <w:t>“格栅+调节池+缺氧池+好氧池+二沉池+絮凝池+消毒池”</w:t>
            </w:r>
            <w:r>
              <w:rPr>
                <w:color w:val="auto"/>
                <w:kern w:val="0"/>
                <w:szCs w:val="21"/>
                <w:highlight w:val="none"/>
                <w:lang w:val="zh-CN"/>
              </w:rPr>
              <w:t>，院区内废水经污水处理站处理后经市政污水管网排入光大水务（淄博）有限公司</w:t>
            </w:r>
            <w:r>
              <w:rPr>
                <w:rFonts w:hint="eastAsia"/>
                <w:color w:val="auto"/>
                <w:kern w:val="0"/>
                <w:szCs w:val="21"/>
                <w:highlight w:val="none"/>
                <w:lang w:val="zh-CN"/>
              </w:rPr>
              <w:t>一分厂</w:t>
            </w:r>
            <w:r>
              <w:rPr>
                <w:color w:val="auto"/>
                <w:kern w:val="0"/>
                <w:szCs w:val="21"/>
                <w:highlight w:val="none"/>
                <w:lang w:val="zh-CN"/>
              </w:rPr>
              <w:t>进一步深度处理后达标排放。</w:t>
            </w:r>
          </w:p>
          <w:p>
            <w:pPr>
              <w:autoSpaceDE w:val="0"/>
              <w:autoSpaceDN w:val="0"/>
              <w:adjustRightInd w:val="0"/>
              <w:snapToGrid w:val="0"/>
              <w:spacing w:line="360" w:lineRule="auto"/>
              <w:ind w:firstLine="420" w:firstLineChars="200"/>
              <w:jc w:val="left"/>
              <w:rPr>
                <w:color w:val="auto"/>
                <w:kern w:val="0"/>
                <w:szCs w:val="21"/>
                <w:highlight w:val="none"/>
                <w:lang w:val="zh-CN"/>
              </w:rPr>
            </w:pPr>
            <w:r>
              <w:rPr>
                <w:color w:val="auto"/>
                <w:kern w:val="0"/>
                <w:szCs w:val="21"/>
                <w:highlight w:val="none"/>
                <w:lang w:val="zh-CN"/>
              </w:rPr>
              <w:t>根据企业污水处理站设计资料，污水处理站进出水水质要求见下表：</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表4-</w:t>
            </w:r>
            <w:r>
              <w:rPr>
                <w:rFonts w:hint="eastAsia"/>
                <w:b/>
                <w:bCs/>
                <w:color w:val="auto"/>
                <w:kern w:val="0"/>
                <w:szCs w:val="21"/>
                <w:highlight w:val="none"/>
                <w:lang w:val="en-US" w:eastAsia="zh-CN"/>
              </w:rPr>
              <w:t>3</w:t>
            </w:r>
            <w:r>
              <w:rPr>
                <w:b/>
                <w:bCs/>
                <w:color w:val="auto"/>
                <w:kern w:val="0"/>
                <w:szCs w:val="21"/>
                <w:highlight w:val="none"/>
              </w:rPr>
              <w:t xml:space="preserve">  院区污水处理站设计</w:t>
            </w:r>
            <w:r>
              <w:rPr>
                <w:rFonts w:hint="eastAsia"/>
                <w:b/>
                <w:bCs/>
                <w:color w:val="auto"/>
                <w:kern w:val="0"/>
                <w:szCs w:val="21"/>
                <w:highlight w:val="none"/>
                <w:lang w:val="en-US" w:eastAsia="zh-CN"/>
              </w:rPr>
              <w:t>进</w:t>
            </w:r>
            <w:r>
              <w:rPr>
                <w:b/>
                <w:bCs/>
                <w:color w:val="auto"/>
                <w:kern w:val="0"/>
                <w:szCs w:val="21"/>
                <w:highlight w:val="none"/>
              </w:rPr>
              <w:t>出水水质一览表</w:t>
            </w:r>
          </w:p>
          <w:tbl>
            <w:tblPr>
              <w:tblStyle w:val="2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4"/>
              <w:gridCol w:w="787"/>
              <w:gridCol w:w="710"/>
              <w:gridCol w:w="711"/>
              <w:gridCol w:w="711"/>
              <w:gridCol w:w="711"/>
              <w:gridCol w:w="940"/>
              <w:gridCol w:w="721"/>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pct"/>
                  <w:vAlign w:val="center"/>
                </w:tcPr>
                <w:p>
                  <w:pPr>
                    <w:jc w:val="center"/>
                    <w:rPr>
                      <w:color w:val="auto"/>
                      <w:sz w:val="18"/>
                      <w:szCs w:val="18"/>
                      <w:highlight w:val="none"/>
                    </w:rPr>
                  </w:pPr>
                  <w:r>
                    <w:rPr>
                      <w:color w:val="auto"/>
                      <w:sz w:val="18"/>
                      <w:szCs w:val="18"/>
                      <w:highlight w:val="none"/>
                    </w:rPr>
                    <w:t>项目</w:t>
                  </w:r>
                </w:p>
              </w:tc>
              <w:tc>
                <w:tcPr>
                  <w:tcW w:w="468" w:type="pct"/>
                  <w:vAlign w:val="center"/>
                </w:tcPr>
                <w:p>
                  <w:pPr>
                    <w:jc w:val="center"/>
                    <w:rPr>
                      <w:color w:val="auto"/>
                      <w:sz w:val="18"/>
                      <w:szCs w:val="18"/>
                      <w:highlight w:val="none"/>
                    </w:rPr>
                  </w:pPr>
                  <w:r>
                    <w:rPr>
                      <w:color w:val="auto"/>
                      <w:sz w:val="18"/>
                      <w:szCs w:val="18"/>
                      <w:highlight w:val="none"/>
                    </w:rPr>
                    <w:t>单位</w:t>
                  </w:r>
                </w:p>
              </w:tc>
              <w:tc>
                <w:tcPr>
                  <w:tcW w:w="422" w:type="pct"/>
                  <w:vAlign w:val="center"/>
                </w:tcPr>
                <w:p>
                  <w:pPr>
                    <w:pStyle w:val="64"/>
                    <w:jc w:val="center"/>
                    <w:rPr>
                      <w:rFonts w:ascii="Times New Roman" w:hAnsi="Times New Roman"/>
                      <w:color w:val="auto"/>
                      <w:sz w:val="18"/>
                      <w:szCs w:val="18"/>
                      <w:highlight w:val="none"/>
                    </w:rPr>
                  </w:pPr>
                  <w:r>
                    <w:rPr>
                      <w:rFonts w:ascii="Times New Roman" w:hAnsi="Times New Roman"/>
                      <w:color w:val="auto"/>
                      <w:sz w:val="18"/>
                      <w:szCs w:val="18"/>
                      <w:highlight w:val="none"/>
                    </w:rPr>
                    <w:t>CODcr</w:t>
                  </w:r>
                </w:p>
              </w:tc>
              <w:tc>
                <w:tcPr>
                  <w:tcW w:w="422" w:type="pct"/>
                  <w:vAlign w:val="center"/>
                </w:tcPr>
                <w:p>
                  <w:pPr>
                    <w:pStyle w:val="64"/>
                    <w:jc w:val="center"/>
                    <w:rPr>
                      <w:rFonts w:ascii="Times New Roman" w:hAnsi="Times New Roman"/>
                      <w:color w:val="auto"/>
                      <w:sz w:val="18"/>
                      <w:szCs w:val="18"/>
                      <w:highlight w:val="none"/>
                    </w:rPr>
                  </w:pPr>
                  <w:r>
                    <w:rPr>
                      <w:rFonts w:ascii="Times New Roman" w:hAnsi="Times New Roman"/>
                      <w:color w:val="auto"/>
                      <w:sz w:val="18"/>
                      <w:szCs w:val="18"/>
                      <w:highlight w:val="none"/>
                    </w:rPr>
                    <w:t>BOD</w:t>
                  </w:r>
                  <w:r>
                    <w:rPr>
                      <w:rFonts w:ascii="Times New Roman" w:hAnsi="Times New Roman"/>
                      <w:color w:val="auto"/>
                      <w:sz w:val="18"/>
                      <w:szCs w:val="18"/>
                      <w:highlight w:val="none"/>
                      <w:vertAlign w:val="subscript"/>
                    </w:rPr>
                    <w:t>5</w:t>
                  </w:r>
                  <w:r>
                    <w:rPr>
                      <w:rFonts w:ascii="Times New Roman" w:hAnsi="Times New Roman"/>
                      <w:color w:val="auto"/>
                      <w:sz w:val="18"/>
                      <w:szCs w:val="18"/>
                      <w:highlight w:val="none"/>
                    </w:rPr>
                    <w:t xml:space="preserve"> </w:t>
                  </w:r>
                </w:p>
              </w:tc>
              <w:tc>
                <w:tcPr>
                  <w:tcW w:w="422" w:type="pct"/>
                  <w:vAlign w:val="center"/>
                </w:tcPr>
                <w:p>
                  <w:pPr>
                    <w:pStyle w:val="64"/>
                    <w:jc w:val="center"/>
                    <w:rPr>
                      <w:rFonts w:ascii="Times New Roman" w:hAnsi="Times New Roman"/>
                      <w:color w:val="auto"/>
                      <w:sz w:val="18"/>
                      <w:szCs w:val="18"/>
                      <w:highlight w:val="none"/>
                    </w:rPr>
                  </w:pPr>
                  <w:r>
                    <w:rPr>
                      <w:rFonts w:ascii="Times New Roman" w:hAnsi="Times New Roman"/>
                      <w:color w:val="auto"/>
                      <w:sz w:val="18"/>
                      <w:szCs w:val="18"/>
                      <w:highlight w:val="none"/>
                    </w:rPr>
                    <w:t>氨氮</w:t>
                  </w:r>
                </w:p>
              </w:tc>
              <w:tc>
                <w:tcPr>
                  <w:tcW w:w="422" w:type="pct"/>
                  <w:vAlign w:val="center"/>
                </w:tcPr>
                <w:p>
                  <w:pPr>
                    <w:pStyle w:val="64"/>
                    <w:jc w:val="center"/>
                    <w:rPr>
                      <w:rFonts w:ascii="Times New Roman" w:hAnsi="Times New Roman"/>
                      <w:color w:val="auto"/>
                      <w:sz w:val="18"/>
                      <w:szCs w:val="18"/>
                      <w:highlight w:val="none"/>
                    </w:rPr>
                  </w:pPr>
                  <w:r>
                    <w:rPr>
                      <w:rFonts w:ascii="Times New Roman" w:hAnsi="Times New Roman"/>
                      <w:color w:val="auto"/>
                      <w:sz w:val="18"/>
                      <w:szCs w:val="18"/>
                      <w:highlight w:val="none"/>
                    </w:rPr>
                    <w:t>SS</w:t>
                  </w:r>
                </w:p>
              </w:tc>
              <w:tc>
                <w:tcPr>
                  <w:tcW w:w="558" w:type="pct"/>
                  <w:vAlign w:val="center"/>
                </w:tcPr>
                <w:p>
                  <w:pPr>
                    <w:pStyle w:val="64"/>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粪</w:t>
                  </w:r>
                  <w:r>
                    <w:rPr>
                      <w:rFonts w:ascii="Times New Roman" w:hAnsi="Times New Roman"/>
                      <w:color w:val="auto"/>
                      <w:sz w:val="18"/>
                      <w:szCs w:val="18"/>
                      <w:highlight w:val="none"/>
                    </w:rPr>
                    <w:t>大肠菌群</w:t>
                  </w:r>
                  <w:r>
                    <w:rPr>
                      <w:rFonts w:hint="eastAsia" w:ascii="Times New Roman" w:hAnsi="Times New Roman"/>
                      <w:color w:val="auto"/>
                      <w:sz w:val="18"/>
                      <w:szCs w:val="18"/>
                      <w:highlight w:val="none"/>
                    </w:rPr>
                    <w:t>（MPN/L）</w:t>
                  </w:r>
                </w:p>
              </w:tc>
              <w:tc>
                <w:tcPr>
                  <w:tcW w:w="428" w:type="pct"/>
                  <w:vAlign w:val="center"/>
                </w:tcPr>
                <w:p>
                  <w:pPr>
                    <w:pStyle w:val="64"/>
                    <w:jc w:val="center"/>
                    <w:rPr>
                      <w:rFonts w:ascii="Times New Roman" w:hAnsi="Times New Roman"/>
                      <w:color w:val="auto"/>
                      <w:sz w:val="18"/>
                      <w:szCs w:val="18"/>
                      <w:highlight w:val="none"/>
                    </w:rPr>
                  </w:pPr>
                  <w:r>
                    <w:rPr>
                      <w:rFonts w:hint="eastAsia" w:ascii="Times New Roman" w:hAnsi="Times New Roman"/>
                      <w:color w:val="auto"/>
                      <w:sz w:val="18"/>
                      <w:szCs w:val="18"/>
                      <w:highlight w:val="none"/>
                    </w:rPr>
                    <w:t>氟化物</w:t>
                  </w:r>
                </w:p>
              </w:tc>
              <w:tc>
                <w:tcPr>
                  <w:tcW w:w="428" w:type="pct"/>
                  <w:vAlign w:val="center"/>
                </w:tcPr>
                <w:p>
                  <w:pPr>
                    <w:pStyle w:val="64"/>
                    <w:jc w:val="center"/>
                    <w:rPr>
                      <w:rFonts w:hint="eastAsia"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动植物油</w:t>
                  </w:r>
                </w:p>
              </w:tc>
              <w:tc>
                <w:tcPr>
                  <w:tcW w:w="428" w:type="pct"/>
                  <w:vAlign w:val="center"/>
                </w:tcPr>
                <w:p>
                  <w:pPr>
                    <w:pStyle w:val="64"/>
                    <w:jc w:val="center"/>
                    <w:rPr>
                      <w:rFonts w:hint="default" w:ascii="Times New Roman" w:hAnsi="Times New Roman"/>
                      <w:color w:val="auto"/>
                      <w:sz w:val="18"/>
                      <w:szCs w:val="18"/>
                      <w:highlight w:val="none"/>
                      <w:lang w:val="en-US" w:eastAsia="zh-CN"/>
                    </w:rPr>
                  </w:pPr>
                  <w:r>
                    <w:rPr>
                      <w:rFonts w:hint="eastAsia" w:ascii="Times New Roman" w:hAnsi="Times New Roman"/>
                      <w:color w:val="auto"/>
                      <w:sz w:val="18"/>
                      <w:szCs w:val="18"/>
                      <w:highlight w:val="none"/>
                      <w:lang w:val="en-US" w:eastAsia="zh-CN"/>
                    </w:rPr>
                    <w:t>pH</w:t>
                  </w:r>
                </w:p>
              </w:tc>
              <w:tc>
                <w:tcPr>
                  <w:tcW w:w="428" w:type="pct"/>
                  <w:vAlign w:val="center"/>
                </w:tcPr>
                <w:p>
                  <w:pPr>
                    <w:pStyle w:val="64"/>
                    <w:jc w:val="center"/>
                    <w:rPr>
                      <w:rFonts w:hint="default" w:ascii="Times New Roman" w:hAnsi="Times New Roman"/>
                      <w:color w:val="auto"/>
                      <w:sz w:val="18"/>
                      <w:szCs w:val="18"/>
                      <w:highlight w:val="none"/>
                      <w:lang w:val="en-US" w:eastAsia="zh-CN"/>
                    </w:rPr>
                  </w:pPr>
                  <w:r>
                    <w:rPr>
                      <w:rFonts w:hint="eastAsia" w:ascii="Times New Roman" w:hAnsi="Times New Roman"/>
                      <w:color w:val="auto"/>
                      <w:sz w:val="18"/>
                      <w:szCs w:val="18"/>
                      <w:highlight w:val="none"/>
                      <w:lang w:val="en-US" w:eastAsia="zh-CN"/>
                    </w:rPr>
                    <w:t>溶解性总固体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pct"/>
                  <w:vAlign w:val="center"/>
                </w:tcPr>
                <w:p>
                  <w:pPr>
                    <w:pStyle w:val="64"/>
                    <w:jc w:val="center"/>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进</w:t>
                  </w:r>
                  <w:r>
                    <w:rPr>
                      <w:rFonts w:ascii="Times New Roman" w:hAnsi="Times New Roman"/>
                      <w:color w:val="auto"/>
                      <w:sz w:val="18"/>
                      <w:szCs w:val="18"/>
                      <w:highlight w:val="none"/>
                    </w:rPr>
                    <w:t>水水质要求</w:t>
                  </w:r>
                </w:p>
              </w:tc>
              <w:tc>
                <w:tcPr>
                  <w:tcW w:w="468" w:type="pct"/>
                  <w:vAlign w:val="center"/>
                </w:tcPr>
                <w:p>
                  <w:pPr>
                    <w:pStyle w:val="64"/>
                    <w:jc w:val="center"/>
                    <w:rPr>
                      <w:rFonts w:ascii="Times New Roman" w:hAnsi="Times New Roman"/>
                      <w:color w:val="auto"/>
                      <w:sz w:val="18"/>
                      <w:szCs w:val="18"/>
                      <w:highlight w:val="none"/>
                    </w:rPr>
                  </w:pPr>
                  <w:r>
                    <w:rPr>
                      <w:rFonts w:ascii="Times New Roman" w:hAnsi="Times New Roman"/>
                      <w:color w:val="auto"/>
                      <w:sz w:val="18"/>
                      <w:szCs w:val="18"/>
                      <w:highlight w:val="none"/>
                    </w:rPr>
                    <w:t>mg/L</w:t>
                  </w:r>
                </w:p>
              </w:tc>
              <w:tc>
                <w:tcPr>
                  <w:tcW w:w="422" w:type="pct"/>
                  <w:vAlign w:val="center"/>
                </w:tcPr>
                <w:p>
                  <w:pPr>
                    <w:pStyle w:val="64"/>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400</w:t>
                  </w:r>
                </w:p>
              </w:tc>
              <w:tc>
                <w:tcPr>
                  <w:tcW w:w="422" w:type="pct"/>
                  <w:vAlign w:val="center"/>
                </w:tcPr>
                <w:p>
                  <w:pPr>
                    <w:pStyle w:val="64"/>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150</w:t>
                  </w:r>
                </w:p>
              </w:tc>
              <w:tc>
                <w:tcPr>
                  <w:tcW w:w="422" w:type="pct"/>
                  <w:vAlign w:val="center"/>
                </w:tcPr>
                <w:p>
                  <w:pPr>
                    <w:pStyle w:val="64"/>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35</w:t>
                  </w:r>
                </w:p>
              </w:tc>
              <w:tc>
                <w:tcPr>
                  <w:tcW w:w="422" w:type="pct"/>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250</w:t>
                  </w:r>
                </w:p>
              </w:tc>
              <w:tc>
                <w:tcPr>
                  <w:tcW w:w="558" w:type="pct"/>
                  <w:vAlign w:val="center"/>
                </w:tcPr>
                <w:p>
                  <w:pPr>
                    <w:jc w:val="center"/>
                    <w:rPr>
                      <w:rFonts w:hint="eastAsia"/>
                      <w:color w:val="auto"/>
                      <w:sz w:val="18"/>
                      <w:szCs w:val="18"/>
                      <w:highlight w:val="none"/>
                    </w:rPr>
                  </w:pPr>
                  <w:r>
                    <w:rPr>
                      <w:rFonts w:hint="eastAsia" w:ascii="Times New Roman" w:hAnsi="Times New Roman" w:cs="Times New Roman"/>
                      <w:color w:val="auto"/>
                      <w:kern w:val="0"/>
                      <w:sz w:val="18"/>
                      <w:szCs w:val="18"/>
                      <w:highlight w:val="none"/>
                      <w:lang w:val="en-US" w:eastAsia="zh-CN" w:bidi="ar-SA"/>
                    </w:rPr>
                    <w:t>1.</w:t>
                  </w:r>
                  <w:r>
                    <w:rPr>
                      <w:rFonts w:hint="eastAsia" w:cs="Times New Roman"/>
                      <w:color w:val="auto"/>
                      <w:kern w:val="0"/>
                      <w:sz w:val="18"/>
                      <w:szCs w:val="18"/>
                      <w:highlight w:val="none"/>
                      <w:lang w:val="en-US" w:eastAsia="zh-CN" w:bidi="ar-SA"/>
                    </w:rPr>
                    <w:t>5</w:t>
                  </w:r>
                  <w:r>
                    <w:rPr>
                      <w:rFonts w:hint="eastAsia" w:ascii="Times New Roman" w:hAnsi="Times New Roman" w:cs="Times New Roman"/>
                      <w:color w:val="auto"/>
                      <w:kern w:val="0"/>
                      <w:sz w:val="18"/>
                      <w:szCs w:val="18"/>
                      <w:highlight w:val="none"/>
                      <w:lang w:val="en-US" w:eastAsia="zh-CN" w:bidi="ar-SA"/>
                    </w:rPr>
                    <w:t>×10</w:t>
                  </w:r>
                  <w:r>
                    <w:rPr>
                      <w:rFonts w:hint="eastAsia" w:ascii="Times New Roman" w:hAnsi="Times New Roman" w:cs="Times New Roman"/>
                      <w:color w:val="auto"/>
                      <w:kern w:val="0"/>
                      <w:sz w:val="18"/>
                      <w:szCs w:val="18"/>
                      <w:highlight w:val="none"/>
                      <w:vertAlign w:val="superscript"/>
                      <w:lang w:val="en-US" w:eastAsia="zh-CN" w:bidi="ar-SA"/>
                    </w:rPr>
                    <w:t>8</w:t>
                  </w:r>
                </w:p>
              </w:tc>
              <w:tc>
                <w:tcPr>
                  <w:tcW w:w="428" w:type="pct"/>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25</w:t>
                  </w:r>
                </w:p>
              </w:tc>
              <w:tc>
                <w:tcPr>
                  <w:tcW w:w="428" w:type="pct"/>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20</w:t>
                  </w:r>
                </w:p>
              </w:tc>
              <w:tc>
                <w:tcPr>
                  <w:tcW w:w="428" w:type="pct"/>
                  <w:vAlign w:val="center"/>
                </w:tcPr>
                <w:p>
                  <w:pPr>
                    <w:jc w:val="center"/>
                    <w:rPr>
                      <w:rFonts w:hint="eastAsia"/>
                      <w:color w:val="auto"/>
                      <w:sz w:val="18"/>
                      <w:szCs w:val="18"/>
                      <w:highlight w:val="none"/>
                      <w:lang w:val="en-US" w:eastAsia="zh-CN"/>
                    </w:rPr>
                  </w:pPr>
                  <w:r>
                    <w:rPr>
                      <w:rFonts w:hint="eastAsia"/>
                      <w:color w:val="auto"/>
                      <w:sz w:val="18"/>
                      <w:szCs w:val="18"/>
                      <w:highlight w:val="none"/>
                      <w:lang w:val="en-US" w:eastAsia="zh-CN"/>
                    </w:rPr>
                    <w:t>6-9</w:t>
                  </w:r>
                </w:p>
              </w:tc>
              <w:tc>
                <w:tcPr>
                  <w:tcW w:w="428" w:type="pct"/>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567" w:type="pct"/>
                  <w:vAlign w:val="center"/>
                </w:tcPr>
                <w:p>
                  <w:pPr>
                    <w:pStyle w:val="64"/>
                    <w:jc w:val="center"/>
                    <w:rPr>
                      <w:rFonts w:ascii="Times New Roman" w:hAnsi="Times New Roman"/>
                      <w:color w:val="auto"/>
                      <w:sz w:val="18"/>
                      <w:szCs w:val="18"/>
                      <w:highlight w:val="none"/>
                    </w:rPr>
                  </w:pPr>
                  <w:r>
                    <w:rPr>
                      <w:rFonts w:ascii="Times New Roman" w:hAnsi="Times New Roman"/>
                      <w:color w:val="auto"/>
                      <w:sz w:val="18"/>
                      <w:szCs w:val="18"/>
                      <w:highlight w:val="none"/>
                    </w:rPr>
                    <w:t>出水水质要求</w:t>
                  </w:r>
                </w:p>
              </w:tc>
              <w:tc>
                <w:tcPr>
                  <w:tcW w:w="468" w:type="pct"/>
                  <w:vAlign w:val="center"/>
                </w:tcPr>
                <w:p>
                  <w:pPr>
                    <w:pStyle w:val="64"/>
                    <w:jc w:val="center"/>
                    <w:rPr>
                      <w:rFonts w:ascii="Times New Roman" w:hAnsi="Times New Roman"/>
                      <w:color w:val="auto"/>
                      <w:sz w:val="18"/>
                      <w:szCs w:val="18"/>
                      <w:highlight w:val="none"/>
                    </w:rPr>
                  </w:pPr>
                  <w:r>
                    <w:rPr>
                      <w:rFonts w:ascii="Times New Roman" w:hAnsi="Times New Roman"/>
                      <w:color w:val="auto"/>
                      <w:sz w:val="18"/>
                      <w:szCs w:val="18"/>
                      <w:highlight w:val="none"/>
                    </w:rPr>
                    <w:t>mg/L</w:t>
                  </w:r>
                </w:p>
              </w:tc>
              <w:tc>
                <w:tcPr>
                  <w:tcW w:w="422" w:type="pct"/>
                  <w:vAlign w:val="center"/>
                </w:tcPr>
                <w:p>
                  <w:pPr>
                    <w:pStyle w:val="64"/>
                    <w:jc w:val="center"/>
                    <w:rPr>
                      <w:rFonts w:ascii="Times New Roman" w:hAnsi="Times New Roman"/>
                      <w:color w:val="auto"/>
                      <w:sz w:val="18"/>
                      <w:szCs w:val="18"/>
                      <w:highlight w:val="none"/>
                    </w:rPr>
                  </w:pPr>
                  <w:r>
                    <w:rPr>
                      <w:rFonts w:ascii="Times New Roman" w:hAnsi="Times New Roman"/>
                      <w:color w:val="auto"/>
                      <w:sz w:val="18"/>
                      <w:szCs w:val="18"/>
                      <w:highlight w:val="none"/>
                    </w:rPr>
                    <w:t>120</w:t>
                  </w:r>
                </w:p>
              </w:tc>
              <w:tc>
                <w:tcPr>
                  <w:tcW w:w="422" w:type="pct"/>
                  <w:vAlign w:val="center"/>
                </w:tcPr>
                <w:p>
                  <w:pPr>
                    <w:pStyle w:val="64"/>
                    <w:jc w:val="center"/>
                    <w:rPr>
                      <w:rFonts w:ascii="Times New Roman" w:hAnsi="Times New Roman"/>
                      <w:color w:val="auto"/>
                      <w:sz w:val="18"/>
                      <w:szCs w:val="18"/>
                      <w:highlight w:val="none"/>
                    </w:rPr>
                  </w:pPr>
                  <w:r>
                    <w:rPr>
                      <w:rFonts w:ascii="Times New Roman" w:hAnsi="Times New Roman"/>
                      <w:color w:val="auto"/>
                      <w:sz w:val="18"/>
                      <w:szCs w:val="18"/>
                      <w:highlight w:val="none"/>
                    </w:rPr>
                    <w:t>30</w:t>
                  </w:r>
                </w:p>
              </w:tc>
              <w:tc>
                <w:tcPr>
                  <w:tcW w:w="422" w:type="pct"/>
                  <w:vAlign w:val="center"/>
                </w:tcPr>
                <w:p>
                  <w:pPr>
                    <w:pStyle w:val="64"/>
                    <w:jc w:val="center"/>
                    <w:rPr>
                      <w:rFonts w:ascii="Times New Roman" w:hAnsi="Times New Roman"/>
                      <w:color w:val="auto"/>
                      <w:sz w:val="18"/>
                      <w:szCs w:val="18"/>
                      <w:highlight w:val="none"/>
                    </w:rPr>
                  </w:pPr>
                  <w:r>
                    <w:rPr>
                      <w:rFonts w:ascii="Times New Roman" w:hAnsi="Times New Roman"/>
                      <w:color w:val="auto"/>
                      <w:sz w:val="18"/>
                      <w:szCs w:val="18"/>
                      <w:highlight w:val="none"/>
                    </w:rPr>
                    <w:t>25</w:t>
                  </w:r>
                </w:p>
              </w:tc>
              <w:tc>
                <w:tcPr>
                  <w:tcW w:w="422" w:type="pct"/>
                  <w:vAlign w:val="center"/>
                </w:tcPr>
                <w:p>
                  <w:pPr>
                    <w:jc w:val="center"/>
                    <w:rPr>
                      <w:color w:val="auto"/>
                      <w:sz w:val="18"/>
                      <w:szCs w:val="18"/>
                      <w:highlight w:val="none"/>
                    </w:rPr>
                  </w:pPr>
                  <w:r>
                    <w:rPr>
                      <w:color w:val="auto"/>
                      <w:sz w:val="18"/>
                      <w:szCs w:val="18"/>
                      <w:highlight w:val="none"/>
                    </w:rPr>
                    <w:t>60</w:t>
                  </w:r>
                </w:p>
              </w:tc>
              <w:tc>
                <w:tcPr>
                  <w:tcW w:w="558" w:type="pct"/>
                  <w:vAlign w:val="center"/>
                </w:tcPr>
                <w:p>
                  <w:pPr>
                    <w:jc w:val="center"/>
                    <w:rPr>
                      <w:color w:val="auto"/>
                      <w:sz w:val="18"/>
                      <w:szCs w:val="18"/>
                      <w:highlight w:val="none"/>
                    </w:rPr>
                  </w:pPr>
                  <w:r>
                    <w:rPr>
                      <w:rFonts w:hint="eastAsia"/>
                      <w:color w:val="auto"/>
                      <w:sz w:val="18"/>
                      <w:szCs w:val="18"/>
                      <w:highlight w:val="none"/>
                    </w:rPr>
                    <w:t>500</w:t>
                  </w:r>
                </w:p>
              </w:tc>
              <w:tc>
                <w:tcPr>
                  <w:tcW w:w="428" w:type="pct"/>
                  <w:vAlign w:val="center"/>
                </w:tcPr>
                <w:p>
                  <w:pPr>
                    <w:jc w:val="center"/>
                    <w:rPr>
                      <w:color w:val="auto"/>
                      <w:sz w:val="18"/>
                      <w:szCs w:val="18"/>
                      <w:highlight w:val="none"/>
                    </w:rPr>
                  </w:pPr>
                  <w:r>
                    <w:rPr>
                      <w:rFonts w:hint="eastAsia"/>
                      <w:color w:val="auto"/>
                      <w:sz w:val="18"/>
                      <w:szCs w:val="18"/>
                      <w:highlight w:val="none"/>
                    </w:rPr>
                    <w:t>20</w:t>
                  </w:r>
                </w:p>
              </w:tc>
              <w:tc>
                <w:tcPr>
                  <w:tcW w:w="428" w:type="pct"/>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428" w:type="pct"/>
                  <w:vAlign w:val="center"/>
                </w:tcPr>
                <w:p>
                  <w:pPr>
                    <w:jc w:val="center"/>
                    <w:rPr>
                      <w:rFonts w:hint="eastAsia"/>
                      <w:color w:val="auto"/>
                      <w:sz w:val="18"/>
                      <w:szCs w:val="18"/>
                      <w:highlight w:val="none"/>
                      <w:lang w:val="en-US" w:eastAsia="zh-CN"/>
                    </w:rPr>
                  </w:pPr>
                  <w:r>
                    <w:rPr>
                      <w:rFonts w:hint="eastAsia"/>
                      <w:color w:val="auto"/>
                      <w:sz w:val="18"/>
                      <w:szCs w:val="18"/>
                      <w:highlight w:val="none"/>
                      <w:lang w:val="en-US" w:eastAsia="zh-CN"/>
                    </w:rPr>
                    <w:t>6-9</w:t>
                  </w:r>
                </w:p>
              </w:tc>
              <w:tc>
                <w:tcPr>
                  <w:tcW w:w="428" w:type="pct"/>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800</w:t>
                  </w:r>
                </w:p>
              </w:tc>
            </w:tr>
          </w:tbl>
          <w:p>
            <w:pPr>
              <w:autoSpaceDE w:val="0"/>
              <w:autoSpaceDN w:val="0"/>
              <w:adjustRightInd w:val="0"/>
              <w:snapToGrid w:val="0"/>
              <w:spacing w:line="360" w:lineRule="auto"/>
              <w:ind w:firstLine="420" w:firstLineChars="200"/>
              <w:jc w:val="left"/>
              <w:rPr>
                <w:color w:val="auto"/>
                <w:kern w:val="0"/>
                <w:szCs w:val="21"/>
                <w:highlight w:val="none"/>
                <w:lang w:val="zh-CN"/>
              </w:rPr>
            </w:pPr>
            <w:r>
              <w:rPr>
                <w:color w:val="auto"/>
                <w:kern w:val="0"/>
                <w:szCs w:val="21"/>
                <w:highlight w:val="none"/>
                <w:lang w:val="zh-CN"/>
              </w:rPr>
              <w:t>污水处理站处理工艺详见下图。</w:t>
            </w:r>
          </w:p>
          <w:p>
            <w:pPr>
              <w:spacing w:line="360" w:lineRule="auto"/>
              <w:jc w:val="center"/>
              <w:rPr>
                <w:color w:val="auto"/>
                <w:szCs w:val="21"/>
                <w:highlight w:val="none"/>
              </w:rPr>
            </w:pP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636905</wp:posOffset>
                      </wp:positionH>
                      <wp:positionV relativeFrom="paragraph">
                        <wp:posOffset>546100</wp:posOffset>
                      </wp:positionV>
                      <wp:extent cx="4445" cy="173990"/>
                      <wp:effectExtent l="36195" t="0" r="35560" b="16510"/>
                      <wp:wrapNone/>
                      <wp:docPr id="15" name="直接箭头连接符 15"/>
                      <wp:cNvGraphicFramePr/>
                      <a:graphic xmlns:a="http://schemas.openxmlformats.org/drawingml/2006/main">
                        <a:graphicData uri="http://schemas.microsoft.com/office/word/2010/wordprocessingShape">
                          <wps:wsp>
                            <wps:cNvCnPr>
                              <a:endCxn id="14" idx="0"/>
                            </wps:cNvCnPr>
                            <wps:spPr>
                              <a:xfrm flipH="1">
                                <a:off x="1878330" y="6153150"/>
                                <a:ext cx="4445" cy="17399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50.15pt;margin-top:43pt;height:13.7pt;width:0.35pt;z-index:251664384;mso-width-relative:page;mso-height-relative:page;" filled="f" stroked="t" coordsize="21600,21600" o:gfxdata="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kKM2DXAAAACgEAAA8AAAAAAAAAAQAgAAAAIgAAAGRycy9kb3ducmV2&#10;LnhtbFBLAQIUABQAAAAIAIdO4kBSXQA9NgIAADYEAAAOAAAAAAAAAAEAIAAAACYBAABkcnMvZTJv&#10;RG9jLnhtbFBLBQYAAAAABgAGAFkBAADOBQAAAAA=&#10;">
                      <v:fill on="f" focussize="0,0"/>
                      <v:stroke color="#000000 [3213]" joinstyle="round" endarrow="block"/>
                      <v:imagedata o:title=""/>
                      <o:lock v:ext="edit" aspectratio="f"/>
                    </v:shape>
                  </w:pict>
                </mc:Fallback>
              </mc:AlternateContent>
            </w: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415925</wp:posOffset>
                      </wp:positionH>
                      <wp:positionV relativeFrom="paragraph">
                        <wp:posOffset>720090</wp:posOffset>
                      </wp:positionV>
                      <wp:extent cx="441960" cy="278765"/>
                      <wp:effectExtent l="0" t="0" r="15240" b="6985"/>
                      <wp:wrapNone/>
                      <wp:docPr id="14" name="文本框 14"/>
                      <wp:cNvGraphicFramePr/>
                      <a:graphic xmlns:a="http://schemas.openxmlformats.org/drawingml/2006/main">
                        <a:graphicData uri="http://schemas.microsoft.com/office/word/2010/wordprocessingShape">
                          <wps:wsp>
                            <wps:cNvSpPr txBox="1"/>
                            <wps:spPr>
                              <a:xfrm>
                                <a:off x="1709420" y="6335395"/>
                                <a:ext cx="441960"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栅渣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5pt;margin-top:56.7pt;height:21.95pt;width:34.8pt;z-index:251663360;mso-width-relative:page;mso-height-relative:page;" fillcolor="#FFFFFF [3201]" filled="t" stroked="f" coordsize="21600,21600" o:gfxdata="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gAAtNQA&#10;AAAKAQAADwAAAAAAAAABACAAAAAiAAAAZHJzL2Rvd25yZXYueG1sUEsBAhQAFAAAAAgAh07iQMPG&#10;EelcAgAAnAQAAA4AAAAAAAAAAQAgAAAAIwEAAGRycy9lMm9Eb2MueG1sUEsFBgAAAAAGAAYAWQEA&#10;APEFAAAAAA==&#10;">
                      <v:fill on="t" focussize="0,0"/>
                      <v:stroke on="f" weight="0.5pt"/>
                      <v:imagedata o:title=""/>
                      <o:lock v:ext="edit" aspectratio="f"/>
                      <v:textbox>
                        <w:txbxContent>
                          <w:p>
                            <w:pPr>
                              <w:rPr>
                                <w:rFonts w:hint="eastAsia" w:eastAsia="宋体"/>
                                <w:sz w:val="18"/>
                                <w:szCs w:val="18"/>
                                <w:lang w:val="en-US" w:eastAsia="zh-CN"/>
                              </w:rPr>
                            </w:pPr>
                            <w:r>
                              <w:rPr>
                                <w:rFonts w:hint="eastAsia"/>
                                <w:sz w:val="18"/>
                                <w:szCs w:val="18"/>
                                <w:lang w:val="en-US" w:eastAsia="zh-CN"/>
                              </w:rPr>
                              <w:t>栅渣</w:t>
                            </w:r>
                          </w:p>
                        </w:txbxContent>
                      </v:textbox>
                    </v:shape>
                  </w:pict>
                </mc:Fallback>
              </mc:AlternateContent>
            </w:r>
            <w:r>
              <w:rPr>
                <w:color w:val="auto"/>
                <w:highlight w:val="none"/>
              </w:rPr>
              <w:drawing>
                <wp:inline distT="0" distB="0" distL="114300" distR="114300">
                  <wp:extent cx="5403215" cy="2344420"/>
                  <wp:effectExtent l="0" t="0" r="6985" b="1778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7"/>
                          <a:stretch>
                            <a:fillRect/>
                          </a:stretch>
                        </pic:blipFill>
                        <pic:spPr>
                          <a:xfrm>
                            <a:off x="0" y="0"/>
                            <a:ext cx="5403215" cy="2344420"/>
                          </a:xfrm>
                          <a:prstGeom prst="rect">
                            <a:avLst/>
                          </a:prstGeom>
                          <a:noFill/>
                          <a:ln>
                            <a:noFill/>
                          </a:ln>
                        </pic:spPr>
                      </pic:pic>
                    </a:graphicData>
                  </a:graphic>
                </wp:inline>
              </w:drawing>
            </w:r>
          </w:p>
          <w:p>
            <w:pPr>
              <w:adjustRightInd w:val="0"/>
              <w:snapToGrid w:val="0"/>
              <w:spacing w:line="360" w:lineRule="auto"/>
              <w:ind w:firstLine="422" w:firstLineChars="200"/>
              <w:jc w:val="center"/>
              <w:rPr>
                <w:color w:val="auto"/>
                <w:szCs w:val="21"/>
                <w:highlight w:val="none"/>
              </w:rPr>
            </w:pPr>
            <w:r>
              <w:rPr>
                <w:b/>
                <w:bCs/>
                <w:color w:val="auto"/>
                <w:kern w:val="0"/>
                <w:szCs w:val="21"/>
                <w:highlight w:val="none"/>
              </w:rPr>
              <w:t>图4-1  污水处理站工艺流程图</w:t>
            </w:r>
          </w:p>
          <w:p>
            <w:pPr>
              <w:autoSpaceDE w:val="0"/>
              <w:autoSpaceDN w:val="0"/>
              <w:adjustRightInd w:val="0"/>
              <w:snapToGrid w:val="0"/>
              <w:spacing w:line="360" w:lineRule="auto"/>
              <w:ind w:firstLine="422" w:firstLineChars="200"/>
              <w:rPr>
                <w:b/>
                <w:color w:val="auto"/>
                <w:kern w:val="0"/>
                <w:szCs w:val="21"/>
                <w:highlight w:val="none"/>
                <w:lang w:val="zh-CN"/>
              </w:rPr>
            </w:pPr>
            <w:r>
              <w:rPr>
                <w:b/>
                <w:color w:val="auto"/>
                <w:kern w:val="0"/>
                <w:szCs w:val="21"/>
                <w:highlight w:val="none"/>
                <w:lang w:val="zh-CN"/>
              </w:rPr>
              <w:t>污水处理工艺简述：</w:t>
            </w:r>
          </w:p>
          <w:p>
            <w:pPr>
              <w:numPr>
                <w:ilvl w:val="0"/>
                <w:numId w:val="4"/>
              </w:numPr>
              <w:autoSpaceDE w:val="0"/>
              <w:autoSpaceDN w:val="0"/>
              <w:adjustRightInd w:val="0"/>
              <w:snapToGrid w:val="0"/>
              <w:spacing w:line="360" w:lineRule="auto"/>
              <w:ind w:firstLine="420" w:firstLineChars="200"/>
              <w:rPr>
                <w:color w:val="auto"/>
                <w:kern w:val="0"/>
                <w:szCs w:val="21"/>
                <w:highlight w:val="none"/>
                <w:lang w:val="zh-CN"/>
              </w:rPr>
            </w:pPr>
            <w:r>
              <w:rPr>
                <w:color w:val="auto"/>
                <w:kern w:val="0"/>
                <w:szCs w:val="21"/>
                <w:highlight w:val="none"/>
                <w:lang w:val="zh-CN"/>
              </w:rPr>
              <w:t>格栅</w:t>
            </w:r>
            <w:r>
              <w:rPr>
                <w:rFonts w:hint="eastAsia"/>
                <w:color w:val="auto"/>
                <w:kern w:val="0"/>
                <w:szCs w:val="21"/>
                <w:highlight w:val="none"/>
                <w:lang w:val="zh-CN"/>
              </w:rPr>
              <w:t>：</w:t>
            </w:r>
            <w:r>
              <w:rPr>
                <w:color w:val="auto"/>
                <w:highlight w:val="none"/>
              </w:rPr>
              <w:t>去除污水中的较大悬浮物和漂浮物，防止管道和水泵的堵塞，保证后续处理构筑物和设备的顺利运行。</w:t>
            </w:r>
          </w:p>
          <w:p>
            <w:pPr>
              <w:numPr>
                <w:ilvl w:val="0"/>
                <w:numId w:val="4"/>
              </w:numPr>
              <w:autoSpaceDE w:val="0"/>
              <w:autoSpaceDN w:val="0"/>
              <w:adjustRightInd w:val="0"/>
              <w:snapToGrid w:val="0"/>
              <w:spacing w:line="360" w:lineRule="auto"/>
              <w:ind w:firstLine="420" w:firstLineChars="200"/>
              <w:rPr>
                <w:color w:val="auto"/>
                <w:kern w:val="0"/>
                <w:szCs w:val="21"/>
                <w:highlight w:val="none"/>
                <w:lang w:val="zh-CN"/>
              </w:rPr>
            </w:pPr>
            <w:r>
              <w:rPr>
                <w:color w:val="auto"/>
                <w:kern w:val="0"/>
                <w:szCs w:val="21"/>
                <w:highlight w:val="none"/>
                <w:lang w:val="zh-CN"/>
              </w:rPr>
              <w:t>调节池：</w:t>
            </w:r>
            <w:r>
              <w:rPr>
                <w:color w:val="auto"/>
                <w:highlight w:val="none"/>
              </w:rPr>
              <w:t>进行水量的调节和水质的均一。水量和水质在不同时间内有较大的差异和变化，为使后序构筑物正常工作，应设置调节池，保证废水进入后序构筑物水质和水量相对稳定，便于生物处理的稳定。同时，在调节池中设置曝气系统进行搅拌，防止悬浮物在调节池沉积发生厌氧反应。</w:t>
            </w:r>
          </w:p>
          <w:p>
            <w:pPr>
              <w:autoSpaceDE w:val="0"/>
              <w:autoSpaceDN w:val="0"/>
              <w:adjustRightInd w:val="0"/>
              <w:snapToGrid w:val="0"/>
              <w:spacing w:line="360" w:lineRule="auto"/>
              <w:ind w:firstLine="420" w:firstLineChars="200"/>
              <w:rPr>
                <w:color w:val="auto"/>
                <w:kern w:val="0"/>
                <w:szCs w:val="21"/>
                <w:highlight w:val="none"/>
                <w:lang w:val="zh-CN"/>
              </w:rPr>
            </w:pPr>
            <w:r>
              <w:rPr>
                <w:rFonts w:hint="eastAsia"/>
                <w:color w:val="auto"/>
                <w:kern w:val="0"/>
                <w:szCs w:val="21"/>
                <w:highlight w:val="none"/>
                <w:lang w:val="en-US" w:eastAsia="zh-CN"/>
              </w:rPr>
              <w:t>3</w:t>
            </w:r>
            <w:r>
              <w:rPr>
                <w:color w:val="auto"/>
                <w:kern w:val="0"/>
                <w:szCs w:val="21"/>
                <w:highlight w:val="none"/>
                <w:lang w:val="zh-CN"/>
              </w:rPr>
              <w:t>、</w:t>
            </w:r>
            <w:r>
              <w:rPr>
                <w:rFonts w:hint="eastAsia"/>
                <w:color w:val="auto"/>
                <w:kern w:val="0"/>
                <w:szCs w:val="21"/>
                <w:highlight w:val="none"/>
                <w:lang w:val="en-US" w:eastAsia="zh-CN"/>
              </w:rPr>
              <w:t>缺氧池</w:t>
            </w:r>
            <w:r>
              <w:rPr>
                <w:color w:val="auto"/>
                <w:kern w:val="0"/>
                <w:szCs w:val="21"/>
                <w:highlight w:val="none"/>
                <w:lang w:val="zh-CN"/>
              </w:rPr>
              <w:t>：</w:t>
            </w:r>
            <w:bookmarkStart w:id="3" w:name="_Toc524549032"/>
            <w:bookmarkStart w:id="4" w:name="_Toc9597"/>
            <w:r>
              <w:rPr>
                <w:rFonts w:hint="eastAsia"/>
                <w:color w:val="auto"/>
                <w:highlight w:val="none"/>
              </w:rPr>
              <w:t>厌氧</w:t>
            </w:r>
            <w:r>
              <w:rPr>
                <w:rFonts w:hint="eastAsia"/>
                <w:color w:val="auto"/>
                <w:highlight w:val="none"/>
                <w:lang w:val="en-US" w:eastAsia="zh-CN"/>
              </w:rPr>
              <w:t>包括</w:t>
            </w:r>
            <w:r>
              <w:rPr>
                <w:rFonts w:hint="eastAsia"/>
                <w:color w:val="auto"/>
                <w:highlight w:val="none"/>
              </w:rPr>
              <w:t>水解酸化两个阶段，</w:t>
            </w:r>
            <w:r>
              <w:rPr>
                <w:color w:val="auto"/>
                <w:highlight w:val="none"/>
              </w:rPr>
              <w:t>水解是指有机物进入微生物细胞前、在胞外进行的生物化学反应。微生物通过释放胞外自由酶或连接在细胞外壁上的固定酶来完成生物催化反应</w:t>
            </w:r>
            <w:r>
              <w:rPr>
                <w:rFonts w:hint="eastAsia"/>
                <w:color w:val="auto"/>
                <w:highlight w:val="none"/>
              </w:rPr>
              <w:t>。</w:t>
            </w:r>
            <w:r>
              <w:rPr>
                <w:color w:val="auto"/>
                <w:highlight w:val="none"/>
              </w:rPr>
              <w:t>酸化是一类典型的发酵过程，微生物的代谢产物主要是各种有机酸</w:t>
            </w:r>
            <w:r>
              <w:rPr>
                <w:rFonts w:hint="eastAsia"/>
                <w:color w:val="auto"/>
                <w:highlight w:val="none"/>
              </w:rPr>
              <w:t>。</w:t>
            </w:r>
            <w:bookmarkEnd w:id="3"/>
            <w:bookmarkEnd w:id="4"/>
          </w:p>
          <w:p>
            <w:pPr>
              <w:autoSpaceDE w:val="0"/>
              <w:autoSpaceDN w:val="0"/>
              <w:adjustRightInd w:val="0"/>
              <w:snapToGrid w:val="0"/>
              <w:spacing w:line="360" w:lineRule="auto"/>
              <w:ind w:firstLine="420" w:firstLineChars="200"/>
              <w:rPr>
                <w:rFonts w:hint="default" w:eastAsia="宋体"/>
                <w:color w:val="auto"/>
                <w:kern w:val="0"/>
                <w:szCs w:val="21"/>
                <w:highlight w:val="none"/>
                <w:lang w:val="en-US" w:eastAsia="zh-CN"/>
              </w:rPr>
            </w:pPr>
            <w:bookmarkStart w:id="5" w:name="_Toc107479627"/>
            <w:bookmarkStart w:id="6" w:name="_Toc32670"/>
            <w:bookmarkStart w:id="7" w:name="_Toc11943"/>
            <w:r>
              <w:rPr>
                <w:rFonts w:hint="eastAsia"/>
                <w:color w:val="auto"/>
                <w:kern w:val="0"/>
                <w:szCs w:val="21"/>
                <w:highlight w:val="none"/>
                <w:lang w:val="en-US" w:eastAsia="zh-CN"/>
              </w:rPr>
              <w:t>4、好氧池：</w:t>
            </w:r>
            <w:r>
              <w:rPr>
                <w:color w:val="auto"/>
                <w:highlight w:val="none"/>
              </w:rPr>
              <w:t>一般池内布有组合填料进行生化处理，水下供氧曝气，BOD</w:t>
            </w:r>
            <w:r>
              <w:rPr>
                <w:color w:val="auto"/>
                <w:highlight w:val="none"/>
                <w:vertAlign w:val="subscript"/>
              </w:rPr>
              <w:t>5</w:t>
            </w:r>
            <w:r>
              <w:rPr>
                <w:color w:val="auto"/>
                <w:highlight w:val="none"/>
              </w:rPr>
              <w:t>容积负荷1.00kg/m</w:t>
            </w:r>
            <w:r>
              <w:rPr>
                <w:color w:val="auto"/>
                <w:highlight w:val="none"/>
                <w:vertAlign w:val="superscript"/>
              </w:rPr>
              <w:t>3</w:t>
            </w:r>
            <w:r>
              <w:rPr>
                <w:color w:val="auto"/>
                <w:highlight w:val="none"/>
              </w:rPr>
              <w:t>•d，有机负荷0.50kgBOD/m</w:t>
            </w:r>
            <w:r>
              <w:rPr>
                <w:color w:val="auto"/>
                <w:highlight w:val="none"/>
                <w:vertAlign w:val="superscript"/>
              </w:rPr>
              <w:t>3</w:t>
            </w:r>
            <w:r>
              <w:rPr>
                <w:color w:val="auto"/>
                <w:highlight w:val="none"/>
              </w:rPr>
              <w:t>•d，气水比控制在15:1左右。在生化反应池内装填一定数量的填料，利用栖附在填料上充分供应的氧气，通过生物氧化作用，将废水中的有机物氧化分解，以达到净化目的。</w:t>
            </w:r>
          </w:p>
          <w:p>
            <w:pPr>
              <w:autoSpaceDE w:val="0"/>
              <w:autoSpaceDN w:val="0"/>
              <w:adjustRightInd w:val="0"/>
              <w:snapToGrid w:val="0"/>
              <w:spacing w:line="360" w:lineRule="auto"/>
              <w:ind w:firstLine="420" w:firstLineChars="200"/>
              <w:rPr>
                <w:color w:val="auto"/>
                <w:kern w:val="0"/>
                <w:szCs w:val="21"/>
                <w:highlight w:val="none"/>
                <w:lang w:val="zh-CN"/>
              </w:rPr>
            </w:pPr>
            <w:r>
              <w:rPr>
                <w:rFonts w:hint="eastAsia"/>
                <w:color w:val="auto"/>
                <w:kern w:val="0"/>
                <w:szCs w:val="21"/>
                <w:highlight w:val="none"/>
                <w:lang w:val="en-US" w:eastAsia="zh-CN"/>
              </w:rPr>
              <w:t>5</w:t>
            </w:r>
            <w:r>
              <w:rPr>
                <w:color w:val="auto"/>
                <w:kern w:val="0"/>
                <w:szCs w:val="21"/>
                <w:highlight w:val="none"/>
                <w:lang w:val="zh-CN"/>
              </w:rPr>
              <w:t>、</w:t>
            </w:r>
            <w:r>
              <w:rPr>
                <w:rFonts w:hint="eastAsia"/>
                <w:color w:val="auto"/>
                <w:kern w:val="0"/>
                <w:szCs w:val="21"/>
                <w:highlight w:val="none"/>
                <w:lang w:val="en-US" w:eastAsia="zh-CN"/>
              </w:rPr>
              <w:t>二</w:t>
            </w:r>
            <w:r>
              <w:rPr>
                <w:color w:val="auto"/>
                <w:kern w:val="0"/>
                <w:szCs w:val="21"/>
                <w:highlight w:val="none"/>
                <w:lang w:val="zh-CN"/>
              </w:rPr>
              <w:t>沉池</w:t>
            </w:r>
            <w:bookmarkEnd w:id="5"/>
            <w:bookmarkEnd w:id="6"/>
            <w:r>
              <w:rPr>
                <w:color w:val="auto"/>
                <w:kern w:val="0"/>
                <w:szCs w:val="21"/>
                <w:highlight w:val="none"/>
                <w:lang w:val="zh-CN"/>
              </w:rPr>
              <w:t>：沉淀池将好氧后的泥水进行分离，上清液自流到中间水池；沉淀污泥通过污泥回流泵连续将活性污泥补充回流到生化系统的前端，保持生化系统的污泥量。剩余污泥定期排入污泥池。</w:t>
            </w:r>
          </w:p>
          <w:p>
            <w:pPr>
              <w:tabs>
                <w:tab w:val="left" w:pos="900"/>
                <w:tab w:val="left" w:pos="1080"/>
              </w:tabs>
              <w:spacing w:line="360" w:lineRule="auto"/>
              <w:ind w:firstLine="480"/>
              <w:jc w:val="both"/>
              <w:rPr>
                <w:rFonts w:hint="eastAsia"/>
                <w:color w:val="auto"/>
                <w:kern w:val="0"/>
                <w:szCs w:val="21"/>
                <w:highlight w:val="none"/>
                <w:lang w:val="en-US" w:eastAsia="zh-CN"/>
              </w:rPr>
            </w:pPr>
            <w:bookmarkStart w:id="8" w:name="_Toc31581"/>
            <w:bookmarkStart w:id="9" w:name="_Toc107479628"/>
            <w:r>
              <w:rPr>
                <w:rFonts w:hint="eastAsia" w:ascii="Times New Roman" w:hAnsi="Times New Roman" w:eastAsia="宋体" w:cs="Times New Roman"/>
                <w:color w:val="auto"/>
                <w:highlight w:val="none"/>
                <w:lang w:val="en-US" w:eastAsia="zh-CN"/>
              </w:rPr>
              <w:t>6、絮凝池：采用</w:t>
            </w:r>
            <w:r>
              <w:rPr>
                <w:rFonts w:hint="eastAsia" w:ascii="Times New Roman" w:hAnsi="Times New Roman" w:eastAsia="宋体" w:cs="Times New Roman"/>
                <w:color w:val="auto"/>
                <w:highlight w:val="none"/>
                <w:lang w:val="en-US" w:eastAsia="zh-CN"/>
              </w:rPr>
              <w:fldChar w:fldCharType="begin"/>
            </w:r>
            <w:r>
              <w:rPr>
                <w:rFonts w:hint="eastAsia" w:ascii="Times New Roman" w:hAnsi="Times New Roman" w:eastAsia="宋体" w:cs="Times New Roman"/>
                <w:color w:val="auto"/>
                <w:highlight w:val="none"/>
                <w:lang w:val="en-US" w:eastAsia="zh-CN"/>
              </w:rPr>
              <w:instrText xml:space="preserve"> HYPERLINK "http://www.ntclhg.net/" \t "http://ntclhg.net/news/_blank" </w:instrText>
            </w:r>
            <w:r>
              <w:rPr>
                <w:rFonts w:hint="eastAsia" w:ascii="Times New Roman" w:hAnsi="Times New Roman" w:eastAsia="宋体" w:cs="Times New Roman"/>
                <w:color w:val="auto"/>
                <w:highlight w:val="none"/>
                <w:lang w:val="en-US" w:eastAsia="zh-CN"/>
              </w:rPr>
              <w:fldChar w:fldCharType="separate"/>
            </w:r>
            <w:r>
              <w:rPr>
                <w:rFonts w:hint="eastAsia" w:ascii="Times New Roman" w:hAnsi="Times New Roman" w:eastAsia="宋体" w:cs="Times New Roman"/>
                <w:color w:val="auto"/>
                <w:highlight w:val="none"/>
                <w:lang w:val="en-US" w:eastAsia="zh-CN"/>
              </w:rPr>
              <w:t>聚合</w:t>
            </w:r>
            <w:r>
              <w:rPr>
                <w:rFonts w:hint="eastAsia" w:ascii="Times New Roman" w:hAnsi="Times New Roman" w:eastAsia="宋体" w:cs="Times New Roman"/>
                <w:color w:val="auto"/>
                <w:highlight w:val="none"/>
                <w:lang w:val="en-US" w:eastAsia="zh-CN"/>
              </w:rPr>
              <w:fldChar w:fldCharType="end"/>
            </w:r>
            <w:r>
              <w:rPr>
                <w:rFonts w:hint="eastAsia" w:ascii="Times New Roman" w:hAnsi="Times New Roman" w:eastAsia="宋体" w:cs="Times New Roman"/>
                <w:color w:val="auto"/>
                <w:highlight w:val="none"/>
                <w:lang w:val="en-US" w:eastAsia="zh-CN"/>
              </w:rPr>
              <w:fldChar w:fldCharType="begin"/>
            </w:r>
            <w:r>
              <w:rPr>
                <w:rFonts w:hint="eastAsia" w:ascii="Times New Roman" w:hAnsi="Times New Roman" w:eastAsia="宋体" w:cs="Times New Roman"/>
                <w:color w:val="auto"/>
                <w:highlight w:val="none"/>
                <w:lang w:val="en-US" w:eastAsia="zh-CN"/>
              </w:rPr>
              <w:instrText xml:space="preserve"> HYPERLINK "http://www.ntclhg.net/" \t "http://ntclhg.net/news/_blank" </w:instrText>
            </w:r>
            <w:r>
              <w:rPr>
                <w:rFonts w:hint="eastAsia" w:ascii="Times New Roman" w:hAnsi="Times New Roman" w:eastAsia="宋体" w:cs="Times New Roman"/>
                <w:color w:val="auto"/>
                <w:highlight w:val="none"/>
                <w:lang w:val="en-US" w:eastAsia="zh-CN"/>
              </w:rPr>
              <w:fldChar w:fldCharType="separate"/>
            </w:r>
            <w:r>
              <w:rPr>
                <w:rFonts w:hint="eastAsia" w:ascii="Times New Roman" w:hAnsi="Times New Roman" w:eastAsia="宋体" w:cs="Times New Roman"/>
                <w:color w:val="auto"/>
                <w:highlight w:val="none"/>
                <w:lang w:val="en-US" w:eastAsia="zh-CN"/>
              </w:rPr>
              <w:t>氯化铝</w:t>
            </w:r>
            <w:r>
              <w:rPr>
                <w:rFonts w:hint="eastAsia" w:ascii="Times New Roman" w:hAnsi="Times New Roman" w:eastAsia="宋体" w:cs="Times New Roman"/>
                <w:color w:val="auto"/>
                <w:highlight w:val="none"/>
                <w:lang w:val="en-US" w:eastAsia="zh-CN"/>
              </w:rPr>
              <w:fldChar w:fldCharType="end"/>
            </w:r>
            <w:r>
              <w:rPr>
                <w:rFonts w:hint="eastAsia" w:ascii="Times New Roman" w:hAnsi="Times New Roman" w:eastAsia="宋体" w:cs="Times New Roman"/>
                <w:color w:val="auto"/>
                <w:highlight w:val="none"/>
                <w:lang w:val="en-US" w:eastAsia="zh-CN"/>
              </w:rPr>
              <w:t>絮凝剂投加到水中，AL</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与F</w:t>
            </w:r>
            <w:r>
              <w:rPr>
                <w:rFonts w:hint="eastAsia" w:ascii="Times New Roman" w:hAnsi="Times New Roman" w:eastAsia="宋体" w:cs="Times New Roman"/>
                <w:color w:val="auto"/>
                <w:highlight w:val="none"/>
                <w:vertAlign w:val="superscript"/>
                <w:lang w:val="en-US" w:eastAsia="zh-CN"/>
              </w:rPr>
              <w:t>-</w:t>
            </w:r>
            <w:r>
              <w:rPr>
                <w:rFonts w:hint="eastAsia" w:ascii="Times New Roman" w:hAnsi="Times New Roman" w:eastAsia="宋体" w:cs="Times New Roman"/>
                <w:color w:val="auto"/>
                <w:highlight w:val="none"/>
                <w:lang w:val="en-US" w:eastAsia="zh-CN"/>
              </w:rPr>
              <w:t>产生产生氢键吸附，</w:t>
            </w:r>
            <w:r>
              <w:rPr>
                <w:rFonts w:hint="eastAsia" w:ascii="Times New Roman" w:hAnsi="Times New Roman" w:eastAsia="宋体" w:cs="Times New Roman"/>
                <w:color w:val="auto"/>
                <w:highlight w:val="none"/>
              </w:rPr>
              <w:t>氟离子与氢氧根的半径及电荷都相近，铝盐絮凝除氟过程中，等聚阳离子水解后形成的无定性沉淀</w:t>
            </w:r>
            <w:r>
              <w:rPr>
                <w:rFonts w:hint="eastAsia" w:ascii="Times New Roman" w:hAnsi="Times New Roman" w:eastAsia="宋体" w:cs="Times New Roman"/>
                <w:color w:val="auto"/>
                <w:highlight w:val="none"/>
                <w:lang w:val="en-US" w:eastAsia="zh-CN"/>
              </w:rPr>
              <w:t>氢氧化铝</w:t>
            </w:r>
            <w:r>
              <w:rPr>
                <w:rFonts w:hint="eastAsia" w:ascii="Times New Roman" w:hAnsi="Times New Roman" w:eastAsia="宋体" w:cs="Times New Roman"/>
                <w:color w:val="auto"/>
                <w:highlight w:val="none"/>
              </w:rPr>
              <w:t>，其中的OH-与F-发生交换</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絮凝剂</w:t>
            </w:r>
            <w:r>
              <w:rPr>
                <w:rFonts w:hint="eastAsia"/>
                <w:color w:val="auto"/>
                <w:kern w:val="0"/>
                <w:szCs w:val="21"/>
                <w:highlight w:val="none"/>
                <w:lang w:val="en-US" w:eastAsia="zh-CN"/>
              </w:rPr>
              <w:t>通过对氟离子的配体交换、物理吸附、卷扫作用，从而去除水中的氟离子。</w:t>
            </w:r>
          </w:p>
          <w:p>
            <w:pPr>
              <w:tabs>
                <w:tab w:val="left" w:pos="900"/>
                <w:tab w:val="left" w:pos="1080"/>
              </w:tabs>
              <w:spacing w:line="360" w:lineRule="auto"/>
              <w:ind w:firstLine="480"/>
              <w:jc w:val="both"/>
              <w:rPr>
                <w:rFonts w:hint="eastAsia" w:ascii="宋体" w:hAnsi="宋体" w:cs="宋体"/>
                <w:color w:val="auto"/>
                <w:highlight w:val="none"/>
              </w:rPr>
            </w:pPr>
            <w:r>
              <w:rPr>
                <w:rFonts w:hint="eastAsia"/>
                <w:color w:val="auto"/>
                <w:szCs w:val="28"/>
                <w:highlight w:val="none"/>
              </w:rPr>
              <w:t>混凝沉淀是通过投加化学药剂，使其产生吸附、中和微粒间电荷、压缩双电层等作用而发生凝聚，破坏废水中胶体的稳定性使胶体微粒聚合、集结而形成絮体，在重力的作用下沉降，并在此过程中吸附捕集周围颗粒，从而去除有机物。</w:t>
            </w:r>
          </w:p>
          <w:p>
            <w:pPr>
              <w:autoSpaceDE w:val="0"/>
              <w:autoSpaceDN w:val="0"/>
              <w:adjustRightInd w:val="0"/>
              <w:snapToGrid w:val="0"/>
              <w:spacing w:line="360" w:lineRule="auto"/>
              <w:ind w:firstLine="420" w:firstLineChars="200"/>
              <w:rPr>
                <w:color w:val="auto"/>
                <w:kern w:val="0"/>
                <w:szCs w:val="21"/>
                <w:highlight w:val="none"/>
                <w:lang w:val="zh-CN"/>
              </w:rPr>
            </w:pPr>
            <w:r>
              <w:rPr>
                <w:rFonts w:hint="eastAsia"/>
                <w:color w:val="auto"/>
                <w:kern w:val="0"/>
                <w:szCs w:val="21"/>
                <w:highlight w:val="none"/>
                <w:lang w:val="en-US" w:eastAsia="zh-CN"/>
              </w:rPr>
              <w:t>7</w:t>
            </w:r>
            <w:r>
              <w:rPr>
                <w:color w:val="auto"/>
                <w:kern w:val="0"/>
                <w:szCs w:val="21"/>
                <w:highlight w:val="none"/>
                <w:lang w:val="zh-CN"/>
              </w:rPr>
              <w:t>、消毒</w:t>
            </w:r>
            <w:bookmarkEnd w:id="8"/>
            <w:bookmarkEnd w:id="9"/>
            <w:r>
              <w:rPr>
                <w:color w:val="auto"/>
                <w:kern w:val="0"/>
                <w:szCs w:val="21"/>
                <w:highlight w:val="none"/>
                <w:lang w:val="zh-CN"/>
              </w:rPr>
              <w:t>：消毒是医疗污水处理的重要工艺过程，其目的是杀灭污水中的各种致病菌。医疗污水消毒常用的消毒工艺有外加氯消毒(如氯气、二氧化氯、次氯酸钠)、氧化剂消毒(如臭氧、过氧乙酸)、辐射消毒(如紫外线、γ射线)。本污水处理工程消毒方式采用的单过硫酸氢钾复合粉是一种新型活性氧类绿色环保消毒剂，具有高效杀菌；不含氯、无氯化消毒副产物产生；使用安全、方便等特点，在国外已经获得广泛使用。</w:t>
            </w:r>
            <w:bookmarkEnd w:id="7"/>
          </w:p>
          <w:p>
            <w:pPr>
              <w:spacing w:line="360" w:lineRule="auto"/>
              <w:ind w:firstLine="420" w:firstLineChars="200"/>
              <w:rPr>
                <w:color w:val="auto"/>
                <w:highlight w:val="none"/>
              </w:rPr>
            </w:pPr>
            <w:r>
              <w:rPr>
                <w:rFonts w:hint="eastAsia"/>
                <w:color w:val="auto"/>
                <w:highlight w:val="none"/>
                <w:lang w:val="en-US" w:eastAsia="zh-CN"/>
              </w:rPr>
              <w:t>8、</w:t>
            </w:r>
            <w:r>
              <w:rPr>
                <w:color w:val="auto"/>
                <w:highlight w:val="none"/>
              </w:rPr>
              <w:t>污泥池：主要收集沉淀池的排泥，本污水处理站污泥进入污泥池进行消毒、浓缩后，再用泵打至</w:t>
            </w:r>
            <w:r>
              <w:rPr>
                <w:rFonts w:hint="eastAsia"/>
                <w:color w:val="auto"/>
                <w:highlight w:val="none"/>
                <w:lang w:val="en-US" w:eastAsia="zh-CN"/>
              </w:rPr>
              <w:t>压滤机</w:t>
            </w:r>
            <w:r>
              <w:rPr>
                <w:color w:val="auto"/>
                <w:highlight w:val="none"/>
              </w:rPr>
              <w:t>进行脱水处理，脱水后的污泥属于危险废物。</w:t>
            </w:r>
          </w:p>
          <w:p>
            <w:pPr>
              <w:autoSpaceDE w:val="0"/>
              <w:autoSpaceDN w:val="0"/>
              <w:adjustRightInd w:val="0"/>
              <w:snapToGrid w:val="0"/>
              <w:jc w:val="center"/>
              <w:rPr>
                <w:b/>
                <w:color w:val="auto"/>
                <w:kern w:val="0"/>
                <w:szCs w:val="21"/>
                <w:highlight w:val="none"/>
                <w:lang w:val="zh-CN"/>
              </w:rPr>
            </w:pPr>
            <w:r>
              <w:rPr>
                <w:b/>
                <w:bCs/>
                <w:color w:val="auto"/>
                <w:kern w:val="0"/>
                <w:szCs w:val="21"/>
                <w:highlight w:val="none"/>
              </w:rPr>
              <w:t>表4-</w:t>
            </w:r>
            <w:r>
              <w:rPr>
                <w:rFonts w:hint="eastAsia"/>
                <w:b/>
                <w:bCs/>
                <w:color w:val="auto"/>
                <w:kern w:val="0"/>
                <w:szCs w:val="21"/>
                <w:highlight w:val="none"/>
                <w:lang w:val="en-US" w:eastAsia="zh-CN"/>
              </w:rPr>
              <w:t>7</w:t>
            </w:r>
            <w:r>
              <w:rPr>
                <w:b/>
                <w:bCs/>
                <w:color w:val="auto"/>
                <w:kern w:val="0"/>
                <w:szCs w:val="21"/>
                <w:highlight w:val="none"/>
              </w:rPr>
              <w:t xml:space="preserve">  废水治理设施基本情况表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253"/>
              <w:gridCol w:w="1268"/>
              <w:gridCol w:w="1720"/>
              <w:gridCol w:w="980"/>
              <w:gridCol w:w="147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253" w:type="dxa"/>
                  <w:vAlign w:val="center"/>
                </w:tcPr>
                <w:p>
                  <w:pPr>
                    <w:pStyle w:val="85"/>
                    <w:rPr>
                      <w:color w:val="auto"/>
                      <w:sz w:val="18"/>
                      <w:szCs w:val="18"/>
                      <w:highlight w:val="none"/>
                    </w:rPr>
                  </w:pPr>
                  <w:r>
                    <w:rPr>
                      <w:color w:val="auto"/>
                      <w:sz w:val="18"/>
                      <w:szCs w:val="18"/>
                      <w:highlight w:val="none"/>
                    </w:rPr>
                    <w:t>治理措施</w:t>
                  </w:r>
                </w:p>
              </w:tc>
              <w:tc>
                <w:tcPr>
                  <w:tcW w:w="1268" w:type="dxa"/>
                  <w:vAlign w:val="center"/>
                </w:tcPr>
                <w:p>
                  <w:pPr>
                    <w:pStyle w:val="85"/>
                    <w:rPr>
                      <w:color w:val="auto"/>
                      <w:sz w:val="18"/>
                      <w:szCs w:val="18"/>
                      <w:highlight w:val="none"/>
                    </w:rPr>
                  </w:pPr>
                  <w:r>
                    <w:rPr>
                      <w:color w:val="auto"/>
                      <w:sz w:val="18"/>
                      <w:szCs w:val="18"/>
                      <w:highlight w:val="none"/>
                    </w:rPr>
                    <w:t>处理能力</w:t>
                  </w:r>
                </w:p>
              </w:tc>
              <w:tc>
                <w:tcPr>
                  <w:tcW w:w="1720" w:type="dxa"/>
                  <w:vAlign w:val="center"/>
                </w:tcPr>
                <w:p>
                  <w:pPr>
                    <w:pStyle w:val="85"/>
                    <w:rPr>
                      <w:color w:val="auto"/>
                      <w:sz w:val="18"/>
                      <w:szCs w:val="18"/>
                      <w:highlight w:val="none"/>
                    </w:rPr>
                  </w:pPr>
                  <w:r>
                    <w:rPr>
                      <w:color w:val="auto"/>
                      <w:sz w:val="18"/>
                      <w:szCs w:val="18"/>
                      <w:highlight w:val="none"/>
                    </w:rPr>
                    <w:t>治理工艺</w:t>
                  </w:r>
                </w:p>
              </w:tc>
              <w:tc>
                <w:tcPr>
                  <w:tcW w:w="980" w:type="dxa"/>
                  <w:vAlign w:val="center"/>
                </w:tcPr>
                <w:p>
                  <w:pPr>
                    <w:pStyle w:val="85"/>
                    <w:rPr>
                      <w:color w:val="auto"/>
                      <w:sz w:val="18"/>
                      <w:szCs w:val="18"/>
                      <w:highlight w:val="none"/>
                    </w:rPr>
                  </w:pPr>
                  <w:r>
                    <w:rPr>
                      <w:color w:val="auto"/>
                      <w:sz w:val="18"/>
                      <w:szCs w:val="18"/>
                      <w:highlight w:val="none"/>
                    </w:rPr>
                    <w:t>治理效率</w:t>
                  </w:r>
                </w:p>
              </w:tc>
              <w:tc>
                <w:tcPr>
                  <w:tcW w:w="1478" w:type="dxa"/>
                  <w:vAlign w:val="center"/>
                </w:tcPr>
                <w:p>
                  <w:pPr>
                    <w:pStyle w:val="85"/>
                    <w:rPr>
                      <w:color w:val="auto"/>
                      <w:sz w:val="18"/>
                      <w:szCs w:val="18"/>
                      <w:highlight w:val="none"/>
                    </w:rPr>
                  </w:pPr>
                  <w:r>
                    <w:rPr>
                      <w:color w:val="auto"/>
                      <w:sz w:val="18"/>
                      <w:szCs w:val="18"/>
                      <w:highlight w:val="none"/>
                    </w:rPr>
                    <w:t>是否为可行技术</w:t>
                  </w:r>
                </w:p>
              </w:tc>
              <w:tc>
                <w:tcPr>
                  <w:tcW w:w="1712" w:type="dxa"/>
                  <w:vAlign w:val="center"/>
                </w:tcPr>
                <w:p>
                  <w:pPr>
                    <w:pStyle w:val="85"/>
                    <w:rPr>
                      <w:color w:val="auto"/>
                      <w:sz w:val="18"/>
                      <w:szCs w:val="18"/>
                      <w:highlight w:val="none"/>
                    </w:rPr>
                  </w:pPr>
                  <w:r>
                    <w:rPr>
                      <w:color w:val="auto"/>
                      <w:sz w:val="18"/>
                      <w:szCs w:val="18"/>
                      <w:highlight w:val="none"/>
                    </w:rPr>
                    <w:t>可行技术依据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253" w:type="dxa"/>
                  <w:vAlign w:val="center"/>
                </w:tcPr>
                <w:p>
                  <w:pPr>
                    <w:pStyle w:val="85"/>
                    <w:rPr>
                      <w:color w:val="auto"/>
                      <w:sz w:val="18"/>
                      <w:szCs w:val="18"/>
                      <w:highlight w:val="none"/>
                    </w:rPr>
                  </w:pPr>
                  <w:r>
                    <w:rPr>
                      <w:color w:val="auto"/>
                      <w:sz w:val="18"/>
                      <w:szCs w:val="18"/>
                      <w:highlight w:val="none"/>
                    </w:rPr>
                    <w:t>污水处理站</w:t>
                  </w:r>
                </w:p>
              </w:tc>
              <w:tc>
                <w:tcPr>
                  <w:tcW w:w="1268" w:type="dxa"/>
                  <w:vAlign w:val="center"/>
                </w:tcPr>
                <w:p>
                  <w:pPr>
                    <w:pStyle w:val="85"/>
                    <w:rPr>
                      <w:color w:val="auto"/>
                      <w:sz w:val="18"/>
                      <w:szCs w:val="18"/>
                      <w:highlight w:val="none"/>
                    </w:rPr>
                  </w:pPr>
                  <w:r>
                    <w:rPr>
                      <w:rFonts w:hint="eastAsia"/>
                      <w:color w:val="auto"/>
                      <w:sz w:val="18"/>
                      <w:szCs w:val="18"/>
                      <w:highlight w:val="none"/>
                      <w:lang w:val="en-US" w:eastAsia="zh-CN"/>
                    </w:rPr>
                    <w:t>200</w:t>
                  </w:r>
                  <w:r>
                    <w:rPr>
                      <w:color w:val="auto"/>
                      <w:sz w:val="18"/>
                      <w:szCs w:val="18"/>
                      <w:highlight w:val="none"/>
                    </w:rPr>
                    <w:t>m</w:t>
                  </w:r>
                  <w:r>
                    <w:rPr>
                      <w:color w:val="auto"/>
                      <w:sz w:val="18"/>
                      <w:szCs w:val="18"/>
                      <w:highlight w:val="none"/>
                      <w:vertAlign w:val="superscript"/>
                    </w:rPr>
                    <w:t>3</w:t>
                  </w:r>
                  <w:r>
                    <w:rPr>
                      <w:color w:val="auto"/>
                      <w:sz w:val="18"/>
                      <w:szCs w:val="18"/>
                      <w:highlight w:val="none"/>
                    </w:rPr>
                    <w:t>/d</w:t>
                  </w:r>
                </w:p>
              </w:tc>
              <w:tc>
                <w:tcPr>
                  <w:tcW w:w="1720" w:type="dxa"/>
                  <w:vAlign w:val="center"/>
                </w:tcPr>
                <w:p>
                  <w:pPr>
                    <w:pStyle w:val="85"/>
                    <w:rPr>
                      <w:color w:val="auto"/>
                      <w:sz w:val="18"/>
                      <w:szCs w:val="18"/>
                      <w:highlight w:val="none"/>
                    </w:rPr>
                  </w:pPr>
                  <w:r>
                    <w:rPr>
                      <w:rFonts w:hint="eastAsia"/>
                      <w:color w:val="auto"/>
                      <w:sz w:val="18"/>
                      <w:szCs w:val="18"/>
                      <w:highlight w:val="none"/>
                      <w:lang w:val="zh-CN"/>
                    </w:rPr>
                    <w:t>格栅+调节池+缺氧池+好氧池+二沉池+絮凝池+消毒池</w:t>
                  </w:r>
                </w:p>
              </w:tc>
              <w:tc>
                <w:tcPr>
                  <w:tcW w:w="980" w:type="dxa"/>
                  <w:vAlign w:val="center"/>
                </w:tcPr>
                <w:p>
                  <w:pPr>
                    <w:pStyle w:val="85"/>
                    <w:rPr>
                      <w:color w:val="auto"/>
                      <w:sz w:val="18"/>
                      <w:szCs w:val="18"/>
                      <w:highlight w:val="none"/>
                    </w:rPr>
                  </w:pPr>
                  <w:r>
                    <w:rPr>
                      <w:color w:val="auto"/>
                      <w:sz w:val="18"/>
                      <w:szCs w:val="18"/>
                      <w:highlight w:val="none"/>
                    </w:rPr>
                    <w:t>/</w:t>
                  </w:r>
                </w:p>
              </w:tc>
              <w:tc>
                <w:tcPr>
                  <w:tcW w:w="1478" w:type="dxa"/>
                  <w:vAlign w:val="center"/>
                </w:tcPr>
                <w:p>
                  <w:pPr>
                    <w:pStyle w:val="85"/>
                    <w:rPr>
                      <w:color w:val="auto"/>
                      <w:sz w:val="18"/>
                      <w:szCs w:val="18"/>
                      <w:highlight w:val="none"/>
                    </w:rPr>
                  </w:pPr>
                  <w:r>
                    <w:rPr>
                      <w:color w:val="auto"/>
                      <w:sz w:val="18"/>
                      <w:szCs w:val="18"/>
                      <w:highlight w:val="none"/>
                    </w:rPr>
                    <w:t>是</w:t>
                  </w:r>
                </w:p>
              </w:tc>
              <w:tc>
                <w:tcPr>
                  <w:tcW w:w="1712" w:type="dxa"/>
                  <w:vAlign w:val="center"/>
                </w:tcPr>
                <w:p>
                  <w:pPr>
                    <w:pStyle w:val="85"/>
                    <w:rPr>
                      <w:color w:val="auto"/>
                      <w:sz w:val="18"/>
                      <w:szCs w:val="18"/>
                      <w:highlight w:val="none"/>
                    </w:rPr>
                  </w:pPr>
                  <w:r>
                    <w:rPr>
                      <w:color w:val="auto"/>
                      <w:sz w:val="18"/>
                      <w:szCs w:val="18"/>
                      <w:highlight w:val="none"/>
                    </w:rPr>
                    <w:t>《排污许可证申请与核发技术规范 医疗机构》（HJ1105-2020）</w:t>
                  </w:r>
                </w:p>
              </w:tc>
            </w:tr>
          </w:tbl>
          <w:p>
            <w:pPr>
              <w:autoSpaceDE w:val="0"/>
              <w:autoSpaceDN w:val="0"/>
              <w:adjustRightInd w:val="0"/>
              <w:snapToGrid w:val="0"/>
              <w:spacing w:line="360" w:lineRule="auto"/>
              <w:ind w:firstLine="422" w:firstLineChars="200"/>
              <w:jc w:val="left"/>
              <w:rPr>
                <w:b/>
                <w:color w:val="auto"/>
                <w:kern w:val="0"/>
                <w:szCs w:val="21"/>
                <w:highlight w:val="none"/>
                <w:lang w:val="zh-CN"/>
              </w:rPr>
            </w:pPr>
            <w:r>
              <w:rPr>
                <w:b/>
                <w:color w:val="auto"/>
                <w:kern w:val="0"/>
                <w:szCs w:val="21"/>
                <w:highlight w:val="none"/>
                <w:lang w:val="zh-CN"/>
              </w:rPr>
              <w:t>2、污水处理站可行性分析</w:t>
            </w:r>
          </w:p>
          <w:p>
            <w:pPr>
              <w:autoSpaceDE w:val="0"/>
              <w:autoSpaceDN w:val="0"/>
              <w:adjustRightInd w:val="0"/>
              <w:snapToGrid w:val="0"/>
              <w:spacing w:line="360" w:lineRule="auto"/>
              <w:ind w:firstLine="420" w:firstLineChars="200"/>
              <w:jc w:val="left"/>
              <w:rPr>
                <w:color w:val="auto"/>
                <w:kern w:val="0"/>
                <w:szCs w:val="21"/>
                <w:highlight w:val="none"/>
                <w:lang w:val="zh-CN"/>
              </w:rPr>
            </w:pPr>
            <w:r>
              <w:rPr>
                <w:color w:val="auto"/>
                <w:kern w:val="0"/>
                <w:szCs w:val="21"/>
                <w:highlight w:val="none"/>
                <w:lang w:val="zh-CN"/>
              </w:rPr>
              <w:t>（1）水量：本项目污水处理站设计处理能力</w:t>
            </w:r>
            <w:r>
              <w:rPr>
                <w:rFonts w:hint="eastAsia"/>
                <w:color w:val="auto"/>
                <w:kern w:val="0"/>
                <w:szCs w:val="21"/>
                <w:highlight w:val="none"/>
                <w:lang w:val="en-US" w:eastAsia="zh-CN"/>
              </w:rPr>
              <w:t>200</w:t>
            </w:r>
            <w:r>
              <w:rPr>
                <w:color w:val="auto"/>
                <w:kern w:val="0"/>
                <w:szCs w:val="21"/>
                <w:highlight w:val="none"/>
                <w:lang w:val="zh-CN"/>
              </w:rPr>
              <w:t>m</w:t>
            </w:r>
            <w:r>
              <w:rPr>
                <w:color w:val="auto"/>
                <w:kern w:val="0"/>
                <w:szCs w:val="21"/>
                <w:highlight w:val="none"/>
                <w:vertAlign w:val="superscript"/>
                <w:lang w:val="zh-CN"/>
              </w:rPr>
              <w:t>3</w:t>
            </w:r>
            <w:r>
              <w:rPr>
                <w:color w:val="auto"/>
                <w:kern w:val="0"/>
                <w:szCs w:val="21"/>
                <w:highlight w:val="none"/>
                <w:lang w:val="zh-CN"/>
              </w:rPr>
              <w:t>/d，本项目废水量为</w:t>
            </w:r>
            <w:r>
              <w:rPr>
                <w:rFonts w:hint="eastAsia"/>
                <w:color w:val="auto"/>
                <w:kern w:val="0"/>
                <w:szCs w:val="21"/>
                <w:highlight w:val="none"/>
                <w:lang w:val="zh-CN"/>
              </w:rPr>
              <w:t>58292.36</w:t>
            </w:r>
            <w:r>
              <w:rPr>
                <w:color w:val="auto"/>
                <w:kern w:val="0"/>
                <w:szCs w:val="21"/>
                <w:highlight w:val="none"/>
                <w:lang w:val="zh-CN"/>
              </w:rPr>
              <w:t>m</w:t>
            </w:r>
            <w:r>
              <w:rPr>
                <w:color w:val="auto"/>
                <w:kern w:val="0"/>
                <w:szCs w:val="21"/>
                <w:highlight w:val="none"/>
                <w:vertAlign w:val="superscript"/>
                <w:lang w:val="zh-CN"/>
              </w:rPr>
              <w:t>3</w:t>
            </w:r>
            <w:r>
              <w:rPr>
                <w:color w:val="auto"/>
                <w:kern w:val="0"/>
                <w:szCs w:val="21"/>
                <w:highlight w:val="none"/>
                <w:lang w:val="zh-CN"/>
              </w:rPr>
              <w:t>/a，折合</w:t>
            </w:r>
            <w:r>
              <w:rPr>
                <w:rFonts w:hint="eastAsia"/>
                <w:color w:val="auto"/>
                <w:kern w:val="0"/>
                <w:szCs w:val="21"/>
                <w:highlight w:val="none"/>
                <w:lang w:val="en-US" w:eastAsia="zh-CN"/>
              </w:rPr>
              <w:t>159.71</w:t>
            </w:r>
            <w:r>
              <w:rPr>
                <w:color w:val="auto"/>
                <w:kern w:val="0"/>
                <w:szCs w:val="21"/>
                <w:highlight w:val="none"/>
                <w:lang w:val="zh-CN"/>
              </w:rPr>
              <w:t>m</w:t>
            </w:r>
            <w:r>
              <w:rPr>
                <w:color w:val="auto"/>
                <w:kern w:val="0"/>
                <w:szCs w:val="21"/>
                <w:highlight w:val="none"/>
                <w:vertAlign w:val="superscript"/>
                <w:lang w:val="zh-CN"/>
              </w:rPr>
              <w:t>3</w:t>
            </w:r>
            <w:r>
              <w:rPr>
                <w:color w:val="auto"/>
                <w:kern w:val="0"/>
                <w:szCs w:val="21"/>
                <w:highlight w:val="none"/>
                <w:lang w:val="zh-CN"/>
              </w:rPr>
              <w:t>/d，占用污水站负荷</w:t>
            </w:r>
            <w:r>
              <w:rPr>
                <w:rFonts w:hint="eastAsia"/>
                <w:color w:val="auto"/>
                <w:kern w:val="0"/>
                <w:szCs w:val="21"/>
                <w:highlight w:val="none"/>
                <w:lang w:val="en-US" w:eastAsia="zh-CN"/>
              </w:rPr>
              <w:t>79.8</w:t>
            </w:r>
            <w:r>
              <w:rPr>
                <w:color w:val="auto"/>
                <w:kern w:val="0"/>
                <w:szCs w:val="21"/>
                <w:highlight w:val="none"/>
                <w:lang w:val="zh-CN"/>
              </w:rPr>
              <w:t>%，从水量分析，污水处理站完全有能力处理项目废水。</w:t>
            </w:r>
          </w:p>
          <w:p>
            <w:pPr>
              <w:spacing w:line="360" w:lineRule="auto"/>
              <w:ind w:firstLine="420" w:firstLineChars="200"/>
              <w:rPr>
                <w:color w:val="auto"/>
                <w:kern w:val="0"/>
                <w:szCs w:val="21"/>
                <w:highlight w:val="none"/>
                <w:lang w:val="zh-CN"/>
              </w:rPr>
            </w:pPr>
            <w:r>
              <w:rPr>
                <w:color w:val="auto"/>
                <w:kern w:val="0"/>
                <w:szCs w:val="21"/>
                <w:highlight w:val="none"/>
                <w:lang w:val="zh-CN"/>
              </w:rPr>
              <w:t>（2）水质：结合表4-1及表4-2可以看出，本项目废水水质较为简单，满足院区污水处理站进水水质要求，污水处理站处理工艺对废水具有很好的处理效果。项目废水经处理后外排水质能够满足《山东省医疗机构污染物排放控制标准》（DB37/596-2020）二级标准</w:t>
            </w:r>
            <w:r>
              <w:rPr>
                <w:rFonts w:hint="eastAsia"/>
                <w:color w:val="auto"/>
                <w:highlight w:val="none"/>
                <w:lang w:val="en-US" w:eastAsia="zh-CN"/>
              </w:rPr>
              <w:t>及《污水排入城镇下水道水质标准》（GB/T31962-2015）表1中B等级标准</w:t>
            </w:r>
            <w:r>
              <w:rPr>
                <w:color w:val="auto"/>
                <w:kern w:val="0"/>
                <w:szCs w:val="21"/>
                <w:highlight w:val="none"/>
                <w:lang w:val="zh-CN"/>
              </w:rPr>
              <w:t>要求。</w:t>
            </w:r>
          </w:p>
          <w:p>
            <w:pPr>
              <w:autoSpaceDE w:val="0"/>
              <w:autoSpaceDN w:val="0"/>
              <w:adjustRightInd w:val="0"/>
              <w:snapToGrid w:val="0"/>
              <w:spacing w:line="360" w:lineRule="auto"/>
              <w:ind w:firstLine="420" w:firstLineChars="200"/>
              <w:rPr>
                <w:color w:val="auto"/>
                <w:kern w:val="0"/>
                <w:szCs w:val="21"/>
                <w:highlight w:val="none"/>
                <w:lang w:val="zh-CN"/>
              </w:rPr>
            </w:pPr>
            <w:r>
              <w:rPr>
                <w:color w:val="auto"/>
                <w:kern w:val="0"/>
                <w:szCs w:val="21"/>
                <w:highlight w:val="none"/>
                <w:lang w:val="zh-CN"/>
              </w:rPr>
              <w:t>综上，本项目废水进入园区污水处理站处理是可行的。</w:t>
            </w:r>
          </w:p>
          <w:p>
            <w:pPr>
              <w:autoSpaceDE w:val="0"/>
              <w:autoSpaceDN w:val="0"/>
              <w:adjustRightInd w:val="0"/>
              <w:snapToGrid w:val="0"/>
              <w:spacing w:line="360" w:lineRule="auto"/>
              <w:ind w:firstLine="422" w:firstLineChars="200"/>
              <w:jc w:val="left"/>
              <w:rPr>
                <w:b/>
                <w:color w:val="auto"/>
                <w:kern w:val="0"/>
                <w:szCs w:val="21"/>
                <w:highlight w:val="none"/>
                <w:lang w:val="zh-CN"/>
              </w:rPr>
            </w:pPr>
            <w:r>
              <w:rPr>
                <w:b/>
                <w:color w:val="auto"/>
                <w:kern w:val="0"/>
                <w:szCs w:val="21"/>
                <w:highlight w:val="none"/>
                <w:lang w:val="zh-CN"/>
              </w:rPr>
              <w:t>1.3废水排放情况</w:t>
            </w:r>
          </w:p>
          <w:p>
            <w:pPr>
              <w:tabs>
                <w:tab w:val="left" w:pos="900"/>
                <w:tab w:val="left" w:pos="1080"/>
              </w:tabs>
              <w:spacing w:line="360" w:lineRule="auto"/>
              <w:ind w:firstLine="480"/>
              <w:jc w:val="both"/>
              <w:rPr>
                <w:color w:val="auto"/>
                <w:highlight w:val="none"/>
              </w:rPr>
            </w:pPr>
            <w:r>
              <w:rPr>
                <w:color w:val="auto"/>
                <w:highlight w:val="none"/>
              </w:rPr>
              <w:t>拟建项目废水排放量约</w:t>
            </w:r>
            <w:r>
              <w:rPr>
                <w:rFonts w:hint="eastAsia"/>
                <w:color w:val="auto"/>
                <w:highlight w:val="none"/>
                <w:lang w:val="en-US" w:eastAsia="zh-CN"/>
              </w:rPr>
              <w:t>58292.36</w:t>
            </w:r>
            <w:r>
              <w:rPr>
                <w:color w:val="auto"/>
                <w:highlight w:val="none"/>
              </w:rPr>
              <w:t>m</w:t>
            </w:r>
            <w:r>
              <w:rPr>
                <w:color w:val="auto"/>
                <w:highlight w:val="none"/>
                <w:vertAlign w:val="superscript"/>
              </w:rPr>
              <w:t>3</w:t>
            </w:r>
            <w:r>
              <w:rPr>
                <w:color w:val="auto"/>
                <w:highlight w:val="none"/>
              </w:rPr>
              <w:t>/a，</w:t>
            </w:r>
            <w:r>
              <w:rPr>
                <w:rFonts w:hint="eastAsia"/>
                <w:color w:val="auto"/>
                <w:highlight w:val="none"/>
                <w:lang w:val="en-US" w:eastAsia="zh-CN"/>
              </w:rPr>
              <w:t>根据本项目废水水质情况，本次环评针对COD、BOD</w:t>
            </w:r>
            <w:r>
              <w:rPr>
                <w:rFonts w:hint="eastAsia"/>
                <w:color w:val="auto"/>
                <w:highlight w:val="none"/>
                <w:vertAlign w:val="subscript"/>
                <w:lang w:val="en-US" w:eastAsia="zh-CN"/>
              </w:rPr>
              <w:t>5</w:t>
            </w:r>
            <w:r>
              <w:rPr>
                <w:rFonts w:hint="eastAsia"/>
                <w:color w:val="auto"/>
                <w:highlight w:val="none"/>
                <w:lang w:val="en-US" w:eastAsia="zh-CN"/>
              </w:rPr>
              <w:t>、SS、氨氮、粪大肠菌群数、氟化物、动植物油、pH污染物进行定量分析，</w:t>
            </w:r>
            <w:r>
              <w:rPr>
                <w:color w:val="auto"/>
                <w:highlight w:val="none"/>
              </w:rPr>
              <w:t>拟建项目废水经院区污水处理站处理后污染物排放量见表</w:t>
            </w:r>
            <w:r>
              <w:rPr>
                <w:rFonts w:hint="eastAsia"/>
                <w:color w:val="auto"/>
                <w:highlight w:val="none"/>
                <w:lang w:val="en-US" w:eastAsia="zh-CN"/>
              </w:rPr>
              <w:t>4-9</w:t>
            </w:r>
            <w:r>
              <w:rPr>
                <w:color w:val="auto"/>
                <w:highlight w:val="none"/>
              </w:rPr>
              <w:t>。</w:t>
            </w:r>
          </w:p>
          <w:p>
            <w:pPr>
              <w:autoSpaceDE w:val="0"/>
              <w:autoSpaceDN w:val="0"/>
              <w:adjustRightInd w:val="0"/>
              <w:snapToGrid w:val="0"/>
              <w:jc w:val="center"/>
              <w:rPr>
                <w:rFonts w:hint="eastAsia" w:eastAsia="宋体"/>
                <w:b/>
                <w:color w:val="auto"/>
                <w:kern w:val="0"/>
                <w:szCs w:val="21"/>
                <w:highlight w:val="none"/>
                <w:lang w:val="zh-CN" w:eastAsia="zh-CN"/>
              </w:rPr>
            </w:pPr>
            <w:r>
              <w:rPr>
                <w:b/>
                <w:bCs/>
                <w:color w:val="auto"/>
                <w:kern w:val="0"/>
                <w:szCs w:val="21"/>
                <w:highlight w:val="none"/>
              </w:rPr>
              <w:t>表4-</w:t>
            </w:r>
            <w:r>
              <w:rPr>
                <w:rFonts w:hint="eastAsia"/>
                <w:b/>
                <w:bCs/>
                <w:color w:val="auto"/>
                <w:kern w:val="0"/>
                <w:szCs w:val="21"/>
                <w:highlight w:val="none"/>
                <w:lang w:val="en-US" w:eastAsia="zh-CN"/>
              </w:rPr>
              <w:t>8</w:t>
            </w:r>
            <w:r>
              <w:rPr>
                <w:b/>
                <w:bCs/>
                <w:color w:val="auto"/>
                <w:kern w:val="0"/>
                <w:szCs w:val="21"/>
                <w:highlight w:val="none"/>
              </w:rPr>
              <w:t xml:space="preserve">  废水治理设施处理效率及出水水质情况一览表</w:t>
            </w:r>
            <w:r>
              <w:rPr>
                <w:rFonts w:hint="eastAsia"/>
                <w:b/>
                <w:bCs/>
                <w:color w:val="auto"/>
                <w:kern w:val="0"/>
                <w:szCs w:val="21"/>
                <w:highlight w:val="none"/>
                <w:lang w:eastAsia="zh-CN"/>
              </w:rPr>
              <w:t>（mg/L）</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799"/>
              <w:gridCol w:w="781"/>
              <w:gridCol w:w="744"/>
              <w:gridCol w:w="777"/>
              <w:gridCol w:w="693"/>
              <w:gridCol w:w="1158"/>
              <w:gridCol w:w="693"/>
              <w:gridCol w:w="794"/>
              <w:gridCol w:w="523"/>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blHeader/>
              </w:trPr>
              <w:tc>
                <w:tcPr>
                  <w:tcW w:w="963" w:type="pct"/>
                  <w:gridSpan w:val="2"/>
                  <w:shd w:val="clear" w:color="auto" w:fill="auto"/>
                  <w:vAlign w:val="center"/>
                </w:tcPr>
                <w:p>
                  <w:pPr>
                    <w:widowControl/>
                    <w:spacing w:line="240" w:lineRule="auto"/>
                    <w:jc w:val="center"/>
                    <w:rPr>
                      <w:b/>
                      <w:bCs/>
                      <w:color w:val="auto"/>
                      <w:sz w:val="18"/>
                      <w:szCs w:val="18"/>
                      <w:highlight w:val="none"/>
                    </w:rPr>
                  </w:pPr>
                  <w:r>
                    <w:rPr>
                      <w:b/>
                      <w:bCs/>
                      <w:color w:val="auto"/>
                      <w:sz w:val="18"/>
                      <w:szCs w:val="18"/>
                      <w:highlight w:val="none"/>
                    </w:rPr>
                    <w:t>项目</w:t>
                  </w:r>
                </w:p>
              </w:tc>
              <w:tc>
                <w:tcPr>
                  <w:tcW w:w="475" w:type="pct"/>
                  <w:shd w:val="clear" w:color="auto" w:fill="auto"/>
                  <w:vAlign w:val="center"/>
                </w:tcPr>
                <w:p>
                  <w:pPr>
                    <w:widowControl/>
                    <w:spacing w:line="240" w:lineRule="auto"/>
                    <w:jc w:val="center"/>
                    <w:rPr>
                      <w:b/>
                      <w:bCs/>
                      <w:color w:val="auto"/>
                      <w:sz w:val="18"/>
                      <w:szCs w:val="18"/>
                      <w:highlight w:val="none"/>
                    </w:rPr>
                  </w:pPr>
                  <w:r>
                    <w:rPr>
                      <w:b/>
                      <w:bCs/>
                      <w:color w:val="auto"/>
                      <w:sz w:val="18"/>
                      <w:szCs w:val="18"/>
                      <w:highlight w:val="none"/>
                    </w:rPr>
                    <w:t>COD</w:t>
                  </w:r>
                </w:p>
              </w:tc>
              <w:tc>
                <w:tcPr>
                  <w:tcW w:w="453" w:type="pct"/>
                  <w:shd w:val="clear" w:color="auto" w:fill="auto"/>
                  <w:vAlign w:val="center"/>
                </w:tcPr>
                <w:p>
                  <w:pPr>
                    <w:widowControl/>
                    <w:spacing w:line="240" w:lineRule="auto"/>
                    <w:jc w:val="center"/>
                    <w:rPr>
                      <w:b/>
                      <w:bCs/>
                      <w:color w:val="auto"/>
                      <w:sz w:val="18"/>
                      <w:szCs w:val="18"/>
                      <w:highlight w:val="none"/>
                    </w:rPr>
                  </w:pPr>
                  <w:r>
                    <w:rPr>
                      <w:b/>
                      <w:bCs/>
                      <w:color w:val="auto"/>
                      <w:sz w:val="18"/>
                      <w:szCs w:val="18"/>
                      <w:highlight w:val="none"/>
                    </w:rPr>
                    <w:t>BOD</w:t>
                  </w:r>
                  <w:r>
                    <w:rPr>
                      <w:b/>
                      <w:bCs/>
                      <w:color w:val="auto"/>
                      <w:sz w:val="18"/>
                      <w:szCs w:val="18"/>
                      <w:highlight w:val="none"/>
                      <w:vertAlign w:val="subscript"/>
                    </w:rPr>
                    <w:t>5</w:t>
                  </w:r>
                </w:p>
              </w:tc>
              <w:tc>
                <w:tcPr>
                  <w:tcW w:w="473" w:type="pct"/>
                  <w:shd w:val="clear" w:color="auto" w:fill="auto"/>
                  <w:vAlign w:val="center"/>
                </w:tcPr>
                <w:p>
                  <w:pPr>
                    <w:widowControl/>
                    <w:spacing w:line="240" w:lineRule="auto"/>
                    <w:jc w:val="center"/>
                    <w:rPr>
                      <w:b/>
                      <w:bCs/>
                      <w:color w:val="auto"/>
                      <w:sz w:val="18"/>
                      <w:szCs w:val="18"/>
                      <w:highlight w:val="none"/>
                    </w:rPr>
                  </w:pPr>
                  <w:r>
                    <w:rPr>
                      <w:b/>
                      <w:bCs/>
                      <w:color w:val="auto"/>
                      <w:sz w:val="18"/>
                      <w:szCs w:val="18"/>
                      <w:highlight w:val="none"/>
                    </w:rPr>
                    <w:t xml:space="preserve">SS </w:t>
                  </w:r>
                </w:p>
              </w:tc>
              <w:tc>
                <w:tcPr>
                  <w:tcW w:w="423" w:type="pct"/>
                  <w:shd w:val="clear" w:color="auto" w:fill="auto"/>
                  <w:vAlign w:val="center"/>
                </w:tcPr>
                <w:p>
                  <w:pPr>
                    <w:widowControl/>
                    <w:spacing w:line="240" w:lineRule="auto"/>
                    <w:jc w:val="center"/>
                    <w:rPr>
                      <w:b/>
                      <w:bCs/>
                      <w:color w:val="auto"/>
                      <w:sz w:val="18"/>
                      <w:szCs w:val="18"/>
                      <w:highlight w:val="none"/>
                    </w:rPr>
                  </w:pPr>
                  <w:r>
                    <w:rPr>
                      <w:b/>
                      <w:bCs/>
                      <w:color w:val="auto"/>
                      <w:sz w:val="18"/>
                      <w:szCs w:val="18"/>
                      <w:highlight w:val="none"/>
                    </w:rPr>
                    <w:t>氨氮</w:t>
                  </w:r>
                </w:p>
              </w:tc>
              <w:tc>
                <w:tcPr>
                  <w:tcW w:w="574" w:type="pct"/>
                  <w:shd w:val="clear" w:color="auto" w:fill="auto"/>
                  <w:vAlign w:val="center"/>
                </w:tcPr>
                <w:p>
                  <w:pPr>
                    <w:widowControl/>
                    <w:spacing w:line="240" w:lineRule="auto"/>
                    <w:jc w:val="center"/>
                    <w:rPr>
                      <w:b/>
                      <w:bCs/>
                      <w:color w:val="auto"/>
                      <w:sz w:val="18"/>
                      <w:szCs w:val="18"/>
                      <w:highlight w:val="none"/>
                    </w:rPr>
                  </w:pPr>
                  <w:r>
                    <w:rPr>
                      <w:b/>
                      <w:bCs/>
                      <w:color w:val="auto"/>
                      <w:sz w:val="18"/>
                      <w:szCs w:val="18"/>
                      <w:highlight w:val="none"/>
                    </w:rPr>
                    <w:t>粪大肠菌群数</w:t>
                  </w:r>
                </w:p>
                <w:p>
                  <w:pPr>
                    <w:widowControl/>
                    <w:spacing w:line="240" w:lineRule="auto"/>
                    <w:jc w:val="center"/>
                    <w:rPr>
                      <w:b/>
                      <w:bCs/>
                      <w:color w:val="auto"/>
                      <w:sz w:val="18"/>
                      <w:szCs w:val="18"/>
                      <w:highlight w:val="none"/>
                    </w:rPr>
                  </w:pPr>
                  <w:r>
                    <w:rPr>
                      <w:b/>
                      <w:bCs/>
                      <w:color w:val="auto"/>
                      <w:sz w:val="18"/>
                      <w:szCs w:val="18"/>
                      <w:highlight w:val="none"/>
                    </w:rPr>
                    <w:t>（MPN/L）</w:t>
                  </w:r>
                </w:p>
              </w:tc>
              <w:tc>
                <w:tcPr>
                  <w:tcW w:w="423" w:type="pct"/>
                  <w:shd w:val="clear" w:color="auto" w:fill="auto"/>
                  <w:vAlign w:val="center"/>
                </w:tcPr>
                <w:p>
                  <w:pPr>
                    <w:widowControl/>
                    <w:spacing w:line="240" w:lineRule="auto"/>
                    <w:jc w:val="center"/>
                    <w:rPr>
                      <w:rFonts w:hint="eastAsia" w:eastAsia="宋体"/>
                      <w:b/>
                      <w:bCs/>
                      <w:color w:val="auto"/>
                      <w:sz w:val="18"/>
                      <w:szCs w:val="18"/>
                      <w:highlight w:val="none"/>
                      <w:lang w:val="en-US" w:eastAsia="zh-CN"/>
                    </w:rPr>
                  </w:pPr>
                  <w:r>
                    <w:rPr>
                      <w:rFonts w:hint="eastAsia"/>
                      <w:b/>
                      <w:bCs/>
                      <w:color w:val="auto"/>
                      <w:sz w:val="18"/>
                      <w:szCs w:val="18"/>
                      <w:highlight w:val="none"/>
                      <w:lang w:val="en-US" w:eastAsia="zh-CN"/>
                    </w:rPr>
                    <w:t>氟化物</w:t>
                  </w:r>
                </w:p>
              </w:tc>
              <w:tc>
                <w:tcPr>
                  <w:tcW w:w="483" w:type="pct"/>
                  <w:shd w:val="clear" w:color="auto" w:fill="auto"/>
                  <w:vAlign w:val="center"/>
                </w:tcPr>
                <w:p>
                  <w:pPr>
                    <w:widowControl/>
                    <w:spacing w:line="240" w:lineRule="auto"/>
                    <w:jc w:val="center"/>
                    <w:rPr>
                      <w:rFonts w:hint="default"/>
                      <w:b/>
                      <w:bCs/>
                      <w:color w:val="auto"/>
                      <w:sz w:val="18"/>
                      <w:szCs w:val="18"/>
                      <w:highlight w:val="none"/>
                      <w:lang w:val="en-US" w:eastAsia="zh-CN"/>
                    </w:rPr>
                  </w:pPr>
                  <w:r>
                    <w:rPr>
                      <w:rFonts w:hint="eastAsia"/>
                      <w:b/>
                      <w:bCs/>
                      <w:color w:val="auto"/>
                      <w:sz w:val="18"/>
                      <w:szCs w:val="18"/>
                      <w:highlight w:val="none"/>
                      <w:lang w:val="en-US" w:eastAsia="zh-CN"/>
                    </w:rPr>
                    <w:t>动植物油</w:t>
                  </w:r>
                </w:p>
              </w:tc>
              <w:tc>
                <w:tcPr>
                  <w:tcW w:w="322" w:type="pct"/>
                  <w:shd w:val="clear" w:color="auto" w:fill="auto"/>
                  <w:vAlign w:val="center"/>
                </w:tcPr>
                <w:p>
                  <w:pPr>
                    <w:widowControl/>
                    <w:spacing w:line="240" w:lineRule="auto"/>
                    <w:jc w:val="center"/>
                    <w:rPr>
                      <w:rFonts w:hint="default"/>
                      <w:b/>
                      <w:bCs/>
                      <w:color w:val="auto"/>
                      <w:sz w:val="18"/>
                      <w:szCs w:val="18"/>
                      <w:highlight w:val="none"/>
                      <w:lang w:val="en-US" w:eastAsia="zh-CN"/>
                    </w:rPr>
                  </w:pPr>
                  <w:r>
                    <w:rPr>
                      <w:rFonts w:hint="eastAsia"/>
                      <w:b/>
                      <w:bCs/>
                      <w:color w:val="auto"/>
                      <w:sz w:val="18"/>
                      <w:szCs w:val="18"/>
                      <w:highlight w:val="none"/>
                      <w:lang w:val="en-US" w:eastAsia="zh-CN"/>
                    </w:rPr>
                    <w:t>pH</w:t>
                  </w:r>
                </w:p>
              </w:tc>
              <w:tc>
                <w:tcPr>
                  <w:tcW w:w="406" w:type="pct"/>
                  <w:shd w:val="clear" w:color="auto" w:fill="auto"/>
                  <w:vAlign w:val="center"/>
                </w:tcPr>
                <w:p>
                  <w:pPr>
                    <w:widowControl/>
                    <w:spacing w:line="240" w:lineRule="auto"/>
                    <w:jc w:val="center"/>
                    <w:rPr>
                      <w:rFonts w:hint="default"/>
                      <w:b/>
                      <w:bCs/>
                      <w:color w:val="auto"/>
                      <w:sz w:val="18"/>
                      <w:szCs w:val="18"/>
                      <w:highlight w:val="none"/>
                      <w:lang w:val="en-US" w:eastAsia="zh-CN"/>
                    </w:rPr>
                  </w:pPr>
                  <w:r>
                    <w:rPr>
                      <w:rFonts w:hint="eastAsia"/>
                      <w:b/>
                      <w:bCs/>
                      <w:color w:val="auto"/>
                      <w:sz w:val="18"/>
                      <w:szCs w:val="18"/>
                      <w:highlight w:val="none"/>
                      <w:lang w:val="en-US" w:eastAsia="zh-CN"/>
                    </w:rPr>
                    <w:t>溶解性总固体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77" w:type="pct"/>
                  <w:vMerge w:val="restart"/>
                  <w:shd w:val="clear" w:color="auto" w:fill="auto"/>
                  <w:vAlign w:val="center"/>
                </w:tcPr>
                <w:p>
                  <w:pPr>
                    <w:widowControl/>
                    <w:spacing w:line="240" w:lineRule="auto"/>
                    <w:jc w:val="center"/>
                    <w:textAlignment w:val="center"/>
                    <w:rPr>
                      <w:rFonts w:hint="eastAsia" w:eastAsia="宋体"/>
                      <w:color w:val="auto"/>
                      <w:kern w:val="0"/>
                      <w:sz w:val="18"/>
                      <w:szCs w:val="18"/>
                      <w:highlight w:val="none"/>
                      <w:lang w:val="en-US" w:eastAsia="zh-CN"/>
                    </w:rPr>
                  </w:pPr>
                  <w:r>
                    <w:rPr>
                      <w:rFonts w:hint="eastAsia"/>
                      <w:color w:val="auto"/>
                      <w:kern w:val="0"/>
                      <w:sz w:val="18"/>
                      <w:szCs w:val="18"/>
                      <w:highlight w:val="none"/>
                      <w:lang w:val="en-US" w:eastAsia="zh-CN"/>
                    </w:rPr>
                    <w:t>预处理（隔油池，格栅+调节池）</w:t>
                  </w:r>
                </w:p>
              </w:tc>
              <w:tc>
                <w:tcPr>
                  <w:tcW w:w="486" w:type="pct"/>
                  <w:shd w:val="clear" w:color="auto" w:fill="auto"/>
                  <w:vAlign w:val="center"/>
                </w:tcPr>
                <w:p>
                  <w:pPr>
                    <w:widowControl/>
                    <w:spacing w:line="240" w:lineRule="auto"/>
                    <w:jc w:val="center"/>
                    <w:textAlignment w:val="center"/>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进水</w:t>
                  </w:r>
                </w:p>
              </w:tc>
              <w:tc>
                <w:tcPr>
                  <w:tcW w:w="475" w:type="pct"/>
                  <w:vAlign w:val="center"/>
                </w:tcPr>
                <w:p>
                  <w:pPr>
                    <w:pStyle w:val="64"/>
                    <w:jc w:val="center"/>
                    <w:rPr>
                      <w:color w:val="auto"/>
                      <w:kern w:val="0"/>
                      <w:sz w:val="18"/>
                      <w:szCs w:val="18"/>
                      <w:highlight w:val="none"/>
                    </w:rPr>
                  </w:pPr>
                  <w:r>
                    <w:rPr>
                      <w:rFonts w:hint="eastAsia" w:ascii="Times New Roman" w:hAnsi="Times New Roman"/>
                      <w:color w:val="auto"/>
                      <w:sz w:val="18"/>
                      <w:szCs w:val="18"/>
                      <w:highlight w:val="none"/>
                      <w:lang w:val="en-US" w:eastAsia="zh-CN"/>
                    </w:rPr>
                    <w:t>400</w:t>
                  </w:r>
                </w:p>
              </w:tc>
              <w:tc>
                <w:tcPr>
                  <w:tcW w:w="453" w:type="pct"/>
                  <w:vAlign w:val="center"/>
                </w:tcPr>
                <w:p>
                  <w:pPr>
                    <w:pStyle w:val="64"/>
                    <w:jc w:val="center"/>
                    <w:rPr>
                      <w:color w:val="auto"/>
                      <w:kern w:val="0"/>
                      <w:sz w:val="18"/>
                      <w:szCs w:val="18"/>
                      <w:highlight w:val="none"/>
                    </w:rPr>
                  </w:pPr>
                  <w:r>
                    <w:rPr>
                      <w:rFonts w:hint="eastAsia" w:ascii="Times New Roman" w:hAnsi="Times New Roman"/>
                      <w:color w:val="auto"/>
                      <w:sz w:val="18"/>
                      <w:szCs w:val="18"/>
                      <w:highlight w:val="none"/>
                      <w:lang w:val="en-US" w:eastAsia="zh-CN"/>
                    </w:rPr>
                    <w:t>150</w:t>
                  </w:r>
                </w:p>
              </w:tc>
              <w:tc>
                <w:tcPr>
                  <w:tcW w:w="473" w:type="pct"/>
                  <w:vAlign w:val="center"/>
                </w:tcPr>
                <w:p>
                  <w:pPr>
                    <w:pStyle w:val="64"/>
                    <w:jc w:val="center"/>
                    <w:rPr>
                      <w:rFonts w:hint="default"/>
                      <w:color w:val="auto"/>
                      <w:kern w:val="0"/>
                      <w:sz w:val="18"/>
                      <w:szCs w:val="18"/>
                      <w:highlight w:val="none"/>
                      <w:lang w:val="en-US"/>
                    </w:rPr>
                  </w:pPr>
                  <w:r>
                    <w:rPr>
                      <w:rFonts w:hint="eastAsia" w:ascii="Times New Roman" w:hAnsi="Times New Roman"/>
                      <w:color w:val="auto"/>
                      <w:sz w:val="18"/>
                      <w:szCs w:val="18"/>
                      <w:highlight w:val="none"/>
                      <w:lang w:val="en-US" w:eastAsia="zh-CN"/>
                    </w:rPr>
                    <w:t>250</w:t>
                  </w:r>
                </w:p>
              </w:tc>
              <w:tc>
                <w:tcPr>
                  <w:tcW w:w="423" w:type="pct"/>
                  <w:shd w:val="clear" w:color="auto" w:fill="auto"/>
                  <w:vAlign w:val="center"/>
                </w:tcPr>
                <w:p>
                  <w:pPr>
                    <w:jc w:val="center"/>
                    <w:rPr>
                      <w:rFonts w:hint="default"/>
                      <w:color w:val="auto"/>
                      <w:kern w:val="0"/>
                      <w:sz w:val="18"/>
                      <w:szCs w:val="18"/>
                      <w:highlight w:val="none"/>
                      <w:lang w:val="en-US"/>
                    </w:rPr>
                  </w:pPr>
                  <w:r>
                    <w:rPr>
                      <w:rFonts w:hint="eastAsia"/>
                      <w:color w:val="auto"/>
                      <w:sz w:val="18"/>
                      <w:szCs w:val="18"/>
                      <w:highlight w:val="none"/>
                      <w:lang w:val="en-US" w:eastAsia="zh-CN"/>
                    </w:rPr>
                    <w:t>35</w:t>
                  </w:r>
                </w:p>
              </w:tc>
              <w:tc>
                <w:tcPr>
                  <w:tcW w:w="574" w:type="pct"/>
                  <w:shd w:val="clear" w:color="auto" w:fill="auto"/>
                  <w:vAlign w:val="center"/>
                </w:tcPr>
                <w:p>
                  <w:pPr>
                    <w:jc w:val="center"/>
                    <w:rPr>
                      <w:color w:val="auto"/>
                      <w:kern w:val="0"/>
                      <w:sz w:val="18"/>
                      <w:szCs w:val="18"/>
                      <w:highlight w:val="none"/>
                    </w:rPr>
                  </w:pPr>
                  <w:r>
                    <w:rPr>
                      <w:rFonts w:hint="eastAsia" w:ascii="Times New Roman" w:hAnsi="Times New Roman" w:cs="Times New Roman"/>
                      <w:color w:val="auto"/>
                      <w:kern w:val="0"/>
                      <w:sz w:val="18"/>
                      <w:szCs w:val="18"/>
                      <w:highlight w:val="none"/>
                      <w:lang w:val="en-US" w:eastAsia="zh-CN" w:bidi="ar-SA"/>
                    </w:rPr>
                    <w:t>1.</w:t>
                  </w:r>
                  <w:r>
                    <w:rPr>
                      <w:rFonts w:hint="eastAsia" w:cs="Times New Roman"/>
                      <w:color w:val="auto"/>
                      <w:kern w:val="0"/>
                      <w:sz w:val="18"/>
                      <w:szCs w:val="18"/>
                      <w:highlight w:val="none"/>
                      <w:lang w:val="en-US" w:eastAsia="zh-CN" w:bidi="ar-SA"/>
                    </w:rPr>
                    <w:t>5</w:t>
                  </w:r>
                  <w:r>
                    <w:rPr>
                      <w:rFonts w:hint="eastAsia" w:ascii="Times New Roman" w:hAnsi="Times New Roman" w:cs="Times New Roman"/>
                      <w:color w:val="auto"/>
                      <w:kern w:val="0"/>
                      <w:sz w:val="18"/>
                      <w:szCs w:val="18"/>
                      <w:highlight w:val="none"/>
                      <w:lang w:val="en-US" w:eastAsia="zh-CN" w:bidi="ar-SA"/>
                    </w:rPr>
                    <w:t>×10</w:t>
                  </w:r>
                  <w:r>
                    <w:rPr>
                      <w:rFonts w:hint="eastAsia" w:ascii="Times New Roman" w:hAnsi="Times New Roman" w:cs="Times New Roman"/>
                      <w:color w:val="auto"/>
                      <w:kern w:val="0"/>
                      <w:sz w:val="18"/>
                      <w:szCs w:val="18"/>
                      <w:highlight w:val="none"/>
                      <w:vertAlign w:val="superscript"/>
                      <w:lang w:val="en-US" w:eastAsia="zh-CN" w:bidi="ar-SA"/>
                    </w:rPr>
                    <w:t>8</w:t>
                  </w:r>
                </w:p>
              </w:tc>
              <w:tc>
                <w:tcPr>
                  <w:tcW w:w="423" w:type="pct"/>
                  <w:shd w:val="clear" w:color="auto" w:fill="auto"/>
                  <w:vAlign w:val="center"/>
                </w:tcPr>
                <w:p>
                  <w:pPr>
                    <w:jc w:val="center"/>
                    <w:rPr>
                      <w:color w:val="auto"/>
                      <w:kern w:val="0"/>
                      <w:sz w:val="18"/>
                      <w:szCs w:val="18"/>
                      <w:highlight w:val="none"/>
                    </w:rPr>
                  </w:pPr>
                  <w:r>
                    <w:rPr>
                      <w:rFonts w:hint="eastAsia"/>
                      <w:color w:val="auto"/>
                      <w:sz w:val="18"/>
                      <w:szCs w:val="18"/>
                      <w:highlight w:val="none"/>
                      <w:lang w:val="en-US" w:eastAsia="zh-CN"/>
                    </w:rPr>
                    <w:t>25</w:t>
                  </w:r>
                </w:p>
              </w:tc>
              <w:tc>
                <w:tcPr>
                  <w:tcW w:w="483" w:type="pct"/>
                  <w:shd w:val="clear" w:color="auto" w:fill="auto"/>
                  <w:vAlign w:val="center"/>
                </w:tcPr>
                <w:p>
                  <w:pPr>
                    <w:jc w:val="center"/>
                    <w:rPr>
                      <w:rFonts w:hint="default" w:ascii="Times New Roman" w:hAnsi="Times New Roman" w:cs="Times New Roman"/>
                      <w:color w:val="auto"/>
                      <w:kern w:val="0"/>
                      <w:sz w:val="18"/>
                      <w:szCs w:val="18"/>
                      <w:highlight w:val="none"/>
                      <w:lang w:val="en-US" w:eastAsia="zh-CN" w:bidi="ar-SA"/>
                    </w:rPr>
                  </w:pPr>
                  <w:r>
                    <w:rPr>
                      <w:rFonts w:hint="eastAsia"/>
                      <w:color w:val="auto"/>
                      <w:sz w:val="18"/>
                      <w:szCs w:val="18"/>
                      <w:highlight w:val="none"/>
                      <w:lang w:val="en-US" w:eastAsia="zh-CN"/>
                    </w:rPr>
                    <w:t>20</w:t>
                  </w:r>
                </w:p>
              </w:tc>
              <w:tc>
                <w:tcPr>
                  <w:tcW w:w="322" w:type="pct"/>
                  <w:shd w:val="clear" w:color="auto" w:fill="auto"/>
                  <w:vAlign w:val="center"/>
                </w:tcPr>
                <w:p>
                  <w:pPr>
                    <w:jc w:val="center"/>
                    <w:rPr>
                      <w:rFonts w:hint="default" w:ascii="Times New Roman" w:hAnsi="Times New Roman" w:cs="Times New Roman"/>
                      <w:color w:val="auto"/>
                      <w:kern w:val="0"/>
                      <w:sz w:val="18"/>
                      <w:szCs w:val="18"/>
                      <w:highlight w:val="none"/>
                      <w:lang w:val="en-US" w:eastAsia="zh-CN" w:bidi="ar-SA"/>
                    </w:rPr>
                  </w:pPr>
                  <w:r>
                    <w:rPr>
                      <w:rFonts w:hint="eastAsia"/>
                      <w:color w:val="auto"/>
                      <w:sz w:val="18"/>
                      <w:szCs w:val="18"/>
                      <w:highlight w:val="none"/>
                      <w:lang w:val="en-US" w:eastAsia="zh-CN"/>
                    </w:rPr>
                    <w:t>6-9</w:t>
                  </w:r>
                </w:p>
              </w:tc>
              <w:tc>
                <w:tcPr>
                  <w:tcW w:w="406" w:type="pct"/>
                  <w:shd w:val="clear" w:color="auto" w:fill="auto"/>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shd w:val="clear" w:color="auto" w:fill="auto"/>
                  <w:vAlign w:val="center"/>
                </w:tcPr>
                <w:p>
                  <w:pPr>
                    <w:widowControl/>
                    <w:spacing w:line="240" w:lineRule="auto"/>
                    <w:jc w:val="center"/>
                    <w:textAlignment w:val="center"/>
                    <w:rPr>
                      <w:color w:val="auto"/>
                      <w:kern w:val="0"/>
                      <w:sz w:val="18"/>
                      <w:szCs w:val="18"/>
                      <w:highlight w:val="none"/>
                    </w:rPr>
                  </w:pPr>
                </w:p>
              </w:tc>
              <w:tc>
                <w:tcPr>
                  <w:tcW w:w="486" w:type="pct"/>
                  <w:shd w:val="clear" w:color="auto" w:fill="auto"/>
                  <w:vAlign w:val="center"/>
                </w:tcPr>
                <w:p>
                  <w:pPr>
                    <w:widowControl/>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出水</w:t>
                  </w:r>
                </w:p>
              </w:tc>
              <w:tc>
                <w:tcPr>
                  <w:tcW w:w="475"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320</w:t>
                  </w:r>
                </w:p>
              </w:tc>
              <w:tc>
                <w:tcPr>
                  <w:tcW w:w="45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120</w:t>
                  </w:r>
                </w:p>
              </w:tc>
              <w:tc>
                <w:tcPr>
                  <w:tcW w:w="47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200</w:t>
                  </w:r>
                </w:p>
              </w:tc>
              <w:tc>
                <w:tcPr>
                  <w:tcW w:w="423"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sz w:val="18"/>
                      <w:szCs w:val="18"/>
                      <w:highlight w:val="none"/>
                      <w:lang w:val="en-US" w:eastAsia="zh-CN"/>
                    </w:rPr>
                    <w:t>35</w:t>
                  </w:r>
                </w:p>
              </w:tc>
              <w:tc>
                <w:tcPr>
                  <w:tcW w:w="574"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s="Times New Roman"/>
                      <w:color w:val="auto"/>
                      <w:kern w:val="0"/>
                      <w:sz w:val="18"/>
                      <w:szCs w:val="18"/>
                      <w:highlight w:val="none"/>
                      <w:lang w:val="en-US" w:eastAsia="zh-CN" w:bidi="ar-SA"/>
                    </w:rPr>
                    <w:t>1.5</w:t>
                  </w:r>
                  <w:r>
                    <w:rPr>
                      <w:rFonts w:hint="eastAsia" w:ascii="Times New Roman" w:hAnsi="Times New Roman" w:cs="Times New Roman"/>
                      <w:color w:val="auto"/>
                      <w:kern w:val="0"/>
                      <w:sz w:val="18"/>
                      <w:szCs w:val="18"/>
                      <w:highlight w:val="none"/>
                      <w:lang w:val="en-US" w:eastAsia="zh-CN" w:bidi="ar-SA"/>
                    </w:rPr>
                    <w:t>×10</w:t>
                  </w:r>
                  <w:r>
                    <w:rPr>
                      <w:rFonts w:hint="eastAsia" w:ascii="Times New Roman" w:hAnsi="Times New Roman" w:cs="Times New Roman"/>
                      <w:color w:val="auto"/>
                      <w:kern w:val="0"/>
                      <w:sz w:val="18"/>
                      <w:szCs w:val="18"/>
                      <w:highlight w:val="none"/>
                      <w:vertAlign w:val="superscript"/>
                      <w:lang w:val="en-US" w:eastAsia="zh-CN" w:bidi="ar-SA"/>
                    </w:rPr>
                    <w:t>8</w:t>
                  </w:r>
                </w:p>
              </w:tc>
              <w:tc>
                <w:tcPr>
                  <w:tcW w:w="423"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color w:val="auto"/>
                      <w:sz w:val="18"/>
                      <w:szCs w:val="18"/>
                      <w:highlight w:val="none"/>
                      <w:lang w:val="en-US" w:eastAsia="zh-CN"/>
                    </w:rPr>
                    <w:t>25</w:t>
                  </w:r>
                </w:p>
              </w:tc>
              <w:tc>
                <w:tcPr>
                  <w:tcW w:w="483"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10</w:t>
                  </w:r>
                </w:p>
              </w:tc>
              <w:tc>
                <w:tcPr>
                  <w:tcW w:w="322" w:type="pct"/>
                  <w:shd w:val="clear" w:color="auto" w:fill="auto"/>
                  <w:vAlign w:val="center"/>
                </w:tcPr>
                <w:p>
                  <w:pPr>
                    <w:widowControl/>
                    <w:spacing w:line="240" w:lineRule="auto"/>
                    <w:jc w:val="center"/>
                    <w:textAlignment w:val="center"/>
                    <w:rPr>
                      <w:rFonts w:hint="eastAsia"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SA"/>
                    </w:rPr>
                    <w:t>6-9</w:t>
                  </w:r>
                </w:p>
              </w:tc>
              <w:tc>
                <w:tcPr>
                  <w:tcW w:w="406"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shd w:val="clear" w:color="auto" w:fill="auto"/>
                  <w:vAlign w:val="center"/>
                </w:tcPr>
                <w:p>
                  <w:pPr>
                    <w:widowControl/>
                    <w:spacing w:line="240" w:lineRule="auto"/>
                    <w:jc w:val="center"/>
                    <w:textAlignment w:val="center"/>
                    <w:rPr>
                      <w:color w:val="auto"/>
                      <w:kern w:val="0"/>
                      <w:sz w:val="18"/>
                      <w:szCs w:val="18"/>
                      <w:highlight w:val="none"/>
                    </w:rPr>
                  </w:pP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处理效率（%）</w:t>
                  </w:r>
                </w:p>
              </w:tc>
              <w:tc>
                <w:tcPr>
                  <w:tcW w:w="475"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20</w:t>
                  </w:r>
                </w:p>
              </w:tc>
              <w:tc>
                <w:tcPr>
                  <w:tcW w:w="45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20</w:t>
                  </w:r>
                </w:p>
              </w:tc>
              <w:tc>
                <w:tcPr>
                  <w:tcW w:w="473" w:type="pct"/>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20</w:t>
                  </w:r>
                </w:p>
              </w:tc>
              <w:tc>
                <w:tcPr>
                  <w:tcW w:w="423" w:type="pct"/>
                  <w:shd w:val="clear" w:color="auto" w:fill="auto"/>
                  <w:vAlign w:val="center"/>
                </w:tcPr>
                <w:p>
                  <w:pPr>
                    <w:widowControl/>
                    <w:spacing w:line="240" w:lineRule="auto"/>
                    <w:jc w:val="center"/>
                    <w:textAlignment w:val="center"/>
                    <w:rPr>
                      <w:rFonts w:hint="eastAsia" w:eastAsia="宋体"/>
                      <w:color w:val="auto"/>
                      <w:kern w:val="0"/>
                      <w:sz w:val="18"/>
                      <w:szCs w:val="18"/>
                      <w:highlight w:val="none"/>
                      <w:lang w:eastAsia="zh-CN"/>
                    </w:rPr>
                  </w:pPr>
                  <w:r>
                    <w:rPr>
                      <w:rFonts w:hint="eastAsia"/>
                      <w:color w:val="auto"/>
                      <w:kern w:val="0"/>
                      <w:sz w:val="18"/>
                      <w:szCs w:val="18"/>
                      <w:highlight w:val="none"/>
                      <w:lang w:val="en-US" w:eastAsia="zh-CN"/>
                    </w:rPr>
                    <w:t>/</w:t>
                  </w:r>
                </w:p>
              </w:tc>
              <w:tc>
                <w:tcPr>
                  <w:tcW w:w="574"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42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483"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cs="Times New Roman"/>
                      <w:color w:val="auto"/>
                      <w:kern w:val="0"/>
                      <w:sz w:val="18"/>
                      <w:szCs w:val="18"/>
                      <w:highlight w:val="none"/>
                      <w:lang w:val="en-US" w:eastAsia="zh-CN" w:bidi="ar-SA"/>
                    </w:rPr>
                    <w:t>50</w:t>
                  </w:r>
                </w:p>
              </w:tc>
              <w:tc>
                <w:tcPr>
                  <w:tcW w:w="322" w:type="pct"/>
                  <w:shd w:val="clear" w:color="auto" w:fill="auto"/>
                  <w:vAlign w:val="center"/>
                </w:tcPr>
                <w:p>
                  <w:pPr>
                    <w:widowControl/>
                    <w:spacing w:line="240" w:lineRule="auto"/>
                    <w:jc w:val="center"/>
                    <w:textAlignment w:val="center"/>
                    <w:rPr>
                      <w:rFonts w:hint="default"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w:t>
                  </w:r>
                </w:p>
              </w:tc>
              <w:tc>
                <w:tcPr>
                  <w:tcW w:w="406" w:type="pct"/>
                  <w:shd w:val="clear" w:color="auto" w:fill="auto"/>
                  <w:vAlign w:val="center"/>
                </w:tcPr>
                <w:p>
                  <w:pPr>
                    <w:widowControl/>
                    <w:spacing w:line="240" w:lineRule="auto"/>
                    <w:jc w:val="center"/>
                    <w:textAlignment w:val="center"/>
                    <w:rPr>
                      <w:rFonts w:hint="default"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restart"/>
                  <w:shd w:val="clear" w:color="auto" w:fill="auto"/>
                  <w:vAlign w:val="center"/>
                </w:tcPr>
                <w:p>
                  <w:pPr>
                    <w:widowControl/>
                    <w:spacing w:line="240" w:lineRule="auto"/>
                    <w:jc w:val="center"/>
                    <w:textAlignment w:val="center"/>
                    <w:rPr>
                      <w:rFonts w:hint="eastAsia" w:eastAsia="宋体"/>
                      <w:color w:val="auto"/>
                      <w:kern w:val="0"/>
                      <w:sz w:val="18"/>
                      <w:szCs w:val="18"/>
                      <w:highlight w:val="none"/>
                      <w:lang w:val="en-US" w:eastAsia="zh-CN"/>
                    </w:rPr>
                  </w:pPr>
                  <w:r>
                    <w:rPr>
                      <w:rFonts w:hint="eastAsia"/>
                      <w:color w:val="auto"/>
                      <w:kern w:val="0"/>
                      <w:sz w:val="18"/>
                      <w:szCs w:val="18"/>
                      <w:highlight w:val="none"/>
                      <w:lang w:val="en-US" w:eastAsia="zh-CN"/>
                    </w:rPr>
                    <w:t>缺氧池</w:t>
                  </w: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进水</w:t>
                  </w:r>
                </w:p>
              </w:tc>
              <w:tc>
                <w:tcPr>
                  <w:tcW w:w="475" w:type="pct"/>
                  <w:vAlign w:val="center"/>
                </w:tcPr>
                <w:p>
                  <w:pPr>
                    <w:widowControl/>
                    <w:spacing w:line="240" w:lineRule="auto"/>
                    <w:jc w:val="center"/>
                    <w:textAlignment w:val="center"/>
                    <w:rPr>
                      <w:rFonts w:hint="default"/>
                      <w:color w:val="auto"/>
                      <w:kern w:val="0"/>
                      <w:sz w:val="18"/>
                      <w:szCs w:val="18"/>
                      <w:highlight w:val="none"/>
                      <w:lang w:val="en-US"/>
                    </w:rPr>
                  </w:pPr>
                  <w:r>
                    <w:rPr>
                      <w:rFonts w:hint="eastAsia"/>
                      <w:color w:val="auto"/>
                      <w:kern w:val="0"/>
                      <w:sz w:val="18"/>
                      <w:szCs w:val="18"/>
                      <w:highlight w:val="none"/>
                      <w:lang w:val="en-US" w:eastAsia="zh-CN"/>
                    </w:rPr>
                    <w:t>320</w:t>
                  </w:r>
                </w:p>
              </w:tc>
              <w:tc>
                <w:tcPr>
                  <w:tcW w:w="453" w:type="pct"/>
                  <w:vAlign w:val="center"/>
                </w:tcPr>
                <w:p>
                  <w:pPr>
                    <w:widowControl/>
                    <w:spacing w:line="240" w:lineRule="auto"/>
                    <w:jc w:val="center"/>
                    <w:textAlignment w:val="center"/>
                    <w:rPr>
                      <w:rFonts w:hint="default"/>
                      <w:color w:val="auto"/>
                      <w:kern w:val="0"/>
                      <w:sz w:val="18"/>
                      <w:szCs w:val="18"/>
                      <w:highlight w:val="none"/>
                      <w:lang w:val="en-US"/>
                    </w:rPr>
                  </w:pPr>
                  <w:r>
                    <w:rPr>
                      <w:rFonts w:hint="eastAsia"/>
                      <w:color w:val="auto"/>
                      <w:kern w:val="0"/>
                      <w:sz w:val="18"/>
                      <w:szCs w:val="18"/>
                      <w:highlight w:val="none"/>
                      <w:lang w:val="en-US" w:eastAsia="zh-CN"/>
                    </w:rPr>
                    <w:t>120</w:t>
                  </w:r>
                </w:p>
              </w:tc>
              <w:tc>
                <w:tcPr>
                  <w:tcW w:w="473" w:type="pct"/>
                  <w:vAlign w:val="center"/>
                </w:tcPr>
                <w:p>
                  <w:pPr>
                    <w:widowControl/>
                    <w:spacing w:line="240" w:lineRule="auto"/>
                    <w:jc w:val="center"/>
                    <w:textAlignment w:val="center"/>
                    <w:rPr>
                      <w:rFonts w:hint="default"/>
                      <w:color w:val="auto"/>
                      <w:kern w:val="0"/>
                      <w:sz w:val="18"/>
                      <w:szCs w:val="18"/>
                      <w:highlight w:val="none"/>
                      <w:lang w:val="en-US"/>
                    </w:rPr>
                  </w:pPr>
                  <w:r>
                    <w:rPr>
                      <w:rFonts w:hint="eastAsia"/>
                      <w:color w:val="auto"/>
                      <w:kern w:val="0"/>
                      <w:sz w:val="18"/>
                      <w:szCs w:val="18"/>
                      <w:highlight w:val="none"/>
                      <w:lang w:val="en-US" w:eastAsia="zh-CN"/>
                    </w:rPr>
                    <w:t>200</w:t>
                  </w:r>
                </w:p>
              </w:tc>
              <w:tc>
                <w:tcPr>
                  <w:tcW w:w="42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rPr>
                  </w:pPr>
                  <w:r>
                    <w:rPr>
                      <w:rFonts w:hint="eastAsia"/>
                      <w:color w:val="auto"/>
                      <w:sz w:val="18"/>
                      <w:szCs w:val="18"/>
                      <w:highlight w:val="none"/>
                      <w:lang w:val="en-US" w:eastAsia="zh-CN"/>
                    </w:rPr>
                    <w:t>35</w:t>
                  </w:r>
                </w:p>
              </w:tc>
              <w:tc>
                <w:tcPr>
                  <w:tcW w:w="574"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s="Times New Roman"/>
                      <w:color w:val="auto"/>
                      <w:kern w:val="0"/>
                      <w:sz w:val="18"/>
                      <w:szCs w:val="18"/>
                      <w:highlight w:val="none"/>
                      <w:lang w:val="en-US" w:eastAsia="zh-CN" w:bidi="ar-SA"/>
                    </w:rPr>
                    <w:t>1.5</w:t>
                  </w:r>
                  <w:r>
                    <w:rPr>
                      <w:rFonts w:hint="eastAsia" w:ascii="Times New Roman" w:hAnsi="Times New Roman" w:cs="Times New Roman"/>
                      <w:color w:val="auto"/>
                      <w:kern w:val="0"/>
                      <w:sz w:val="18"/>
                      <w:szCs w:val="18"/>
                      <w:highlight w:val="none"/>
                      <w:lang w:val="en-US" w:eastAsia="zh-CN" w:bidi="ar-SA"/>
                    </w:rPr>
                    <w:t>×10</w:t>
                  </w:r>
                  <w:r>
                    <w:rPr>
                      <w:rFonts w:hint="eastAsia" w:ascii="Times New Roman" w:hAnsi="Times New Roman" w:cs="Times New Roman"/>
                      <w:color w:val="auto"/>
                      <w:kern w:val="0"/>
                      <w:sz w:val="18"/>
                      <w:szCs w:val="18"/>
                      <w:highlight w:val="none"/>
                      <w:vertAlign w:val="superscript"/>
                      <w:lang w:val="en-US" w:eastAsia="zh-CN" w:bidi="ar-SA"/>
                    </w:rPr>
                    <w:t>8</w:t>
                  </w:r>
                </w:p>
              </w:tc>
              <w:tc>
                <w:tcPr>
                  <w:tcW w:w="423"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color w:val="auto"/>
                      <w:sz w:val="18"/>
                      <w:szCs w:val="18"/>
                      <w:highlight w:val="none"/>
                      <w:lang w:val="en-US" w:eastAsia="zh-CN"/>
                    </w:rPr>
                    <w:t>25</w:t>
                  </w:r>
                </w:p>
              </w:tc>
              <w:tc>
                <w:tcPr>
                  <w:tcW w:w="483"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10</w:t>
                  </w:r>
                </w:p>
              </w:tc>
              <w:tc>
                <w:tcPr>
                  <w:tcW w:w="322" w:type="pct"/>
                  <w:shd w:val="clear" w:color="auto" w:fill="auto"/>
                  <w:vAlign w:val="center"/>
                </w:tcPr>
                <w:p>
                  <w:pPr>
                    <w:widowControl/>
                    <w:spacing w:line="240" w:lineRule="auto"/>
                    <w:jc w:val="center"/>
                    <w:textAlignment w:val="center"/>
                    <w:rPr>
                      <w:rFonts w:hint="eastAsia"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SA"/>
                    </w:rPr>
                    <w:t>6-9</w:t>
                  </w:r>
                </w:p>
              </w:tc>
              <w:tc>
                <w:tcPr>
                  <w:tcW w:w="406"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shd w:val="clear" w:color="auto" w:fill="auto"/>
                  <w:vAlign w:val="center"/>
                </w:tcPr>
                <w:p>
                  <w:pPr>
                    <w:widowControl/>
                    <w:spacing w:line="240" w:lineRule="auto"/>
                    <w:jc w:val="center"/>
                    <w:textAlignment w:val="center"/>
                    <w:rPr>
                      <w:color w:val="auto"/>
                      <w:kern w:val="0"/>
                      <w:sz w:val="18"/>
                      <w:szCs w:val="18"/>
                      <w:highlight w:val="none"/>
                    </w:rPr>
                  </w:pP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s="Times New Roman"/>
                      <w:color w:val="auto"/>
                      <w:kern w:val="0"/>
                      <w:sz w:val="18"/>
                      <w:szCs w:val="18"/>
                      <w:highlight w:val="none"/>
                      <w:lang w:val="en-US" w:eastAsia="zh-CN" w:bidi="ar-SA"/>
                    </w:rPr>
                    <w:t>出水</w:t>
                  </w:r>
                </w:p>
              </w:tc>
              <w:tc>
                <w:tcPr>
                  <w:tcW w:w="475"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224</w:t>
                  </w:r>
                </w:p>
              </w:tc>
              <w:tc>
                <w:tcPr>
                  <w:tcW w:w="45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84</w:t>
                  </w:r>
                </w:p>
              </w:tc>
              <w:tc>
                <w:tcPr>
                  <w:tcW w:w="47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140</w:t>
                  </w:r>
                </w:p>
              </w:tc>
              <w:tc>
                <w:tcPr>
                  <w:tcW w:w="423"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24.5</w:t>
                  </w:r>
                </w:p>
              </w:tc>
              <w:tc>
                <w:tcPr>
                  <w:tcW w:w="574"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s="Times New Roman"/>
                      <w:color w:val="auto"/>
                      <w:kern w:val="0"/>
                      <w:sz w:val="18"/>
                      <w:szCs w:val="18"/>
                      <w:highlight w:val="none"/>
                      <w:lang w:val="en-US" w:eastAsia="zh-CN" w:bidi="ar-SA"/>
                    </w:rPr>
                    <w:t>1.5</w:t>
                  </w:r>
                  <w:r>
                    <w:rPr>
                      <w:color w:val="auto"/>
                      <w:kern w:val="0"/>
                      <w:sz w:val="18"/>
                      <w:szCs w:val="18"/>
                      <w:highlight w:val="none"/>
                    </w:rPr>
                    <w:t>×10</w:t>
                  </w:r>
                  <w:r>
                    <w:rPr>
                      <w:color w:val="auto"/>
                      <w:kern w:val="0"/>
                      <w:sz w:val="18"/>
                      <w:szCs w:val="18"/>
                      <w:highlight w:val="none"/>
                      <w:vertAlign w:val="superscript"/>
                    </w:rPr>
                    <w:t>8</w:t>
                  </w:r>
                </w:p>
              </w:tc>
              <w:tc>
                <w:tcPr>
                  <w:tcW w:w="423"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color w:val="auto"/>
                      <w:sz w:val="18"/>
                      <w:szCs w:val="18"/>
                      <w:highlight w:val="none"/>
                      <w:lang w:val="en-US" w:eastAsia="zh-CN"/>
                    </w:rPr>
                    <w:t>25</w:t>
                  </w:r>
                </w:p>
              </w:tc>
              <w:tc>
                <w:tcPr>
                  <w:tcW w:w="483"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10</w:t>
                  </w:r>
                </w:p>
              </w:tc>
              <w:tc>
                <w:tcPr>
                  <w:tcW w:w="322" w:type="pct"/>
                  <w:shd w:val="clear" w:color="auto" w:fill="auto"/>
                  <w:vAlign w:val="center"/>
                </w:tcPr>
                <w:p>
                  <w:pPr>
                    <w:widowControl/>
                    <w:spacing w:line="240" w:lineRule="auto"/>
                    <w:jc w:val="center"/>
                    <w:textAlignment w:val="center"/>
                    <w:rPr>
                      <w:rFonts w:hint="eastAsia"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SA"/>
                    </w:rPr>
                    <w:t>6-9</w:t>
                  </w:r>
                </w:p>
              </w:tc>
              <w:tc>
                <w:tcPr>
                  <w:tcW w:w="406"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shd w:val="clear" w:color="auto" w:fill="auto"/>
                  <w:vAlign w:val="center"/>
                </w:tcPr>
                <w:p>
                  <w:pPr>
                    <w:widowControl/>
                    <w:spacing w:line="240" w:lineRule="auto"/>
                    <w:jc w:val="center"/>
                    <w:textAlignment w:val="center"/>
                    <w:rPr>
                      <w:color w:val="auto"/>
                      <w:kern w:val="0"/>
                      <w:sz w:val="18"/>
                      <w:szCs w:val="18"/>
                      <w:highlight w:val="none"/>
                    </w:rPr>
                  </w:pP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处理效率（%）</w:t>
                  </w:r>
                </w:p>
              </w:tc>
              <w:tc>
                <w:tcPr>
                  <w:tcW w:w="475"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30</w:t>
                  </w:r>
                </w:p>
              </w:tc>
              <w:tc>
                <w:tcPr>
                  <w:tcW w:w="453" w:type="pct"/>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30</w:t>
                  </w:r>
                </w:p>
              </w:tc>
              <w:tc>
                <w:tcPr>
                  <w:tcW w:w="473" w:type="pct"/>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30</w:t>
                  </w:r>
                </w:p>
              </w:tc>
              <w:tc>
                <w:tcPr>
                  <w:tcW w:w="423"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30</w:t>
                  </w:r>
                </w:p>
              </w:tc>
              <w:tc>
                <w:tcPr>
                  <w:tcW w:w="574" w:type="pct"/>
                  <w:shd w:val="clear" w:color="auto" w:fill="auto"/>
                  <w:vAlign w:val="center"/>
                </w:tcPr>
                <w:p>
                  <w:pPr>
                    <w:widowControl/>
                    <w:spacing w:line="240" w:lineRule="auto"/>
                    <w:jc w:val="center"/>
                    <w:textAlignment w:val="center"/>
                    <w:rPr>
                      <w:rFonts w:hint="eastAsia" w:eastAsia="宋体"/>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42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48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322"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406"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restar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好氧池</w:t>
                  </w: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进水</w:t>
                  </w:r>
                </w:p>
              </w:tc>
              <w:tc>
                <w:tcPr>
                  <w:tcW w:w="475"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224</w:t>
                  </w:r>
                </w:p>
              </w:tc>
              <w:tc>
                <w:tcPr>
                  <w:tcW w:w="453" w:type="pct"/>
                  <w:vAlign w:val="center"/>
                </w:tcPr>
                <w:p>
                  <w:pPr>
                    <w:widowControl/>
                    <w:spacing w:line="240" w:lineRule="auto"/>
                    <w:jc w:val="center"/>
                    <w:textAlignment w:val="center"/>
                    <w:rPr>
                      <w:rFonts w:hint="default"/>
                      <w:color w:val="auto"/>
                      <w:kern w:val="0"/>
                      <w:sz w:val="18"/>
                      <w:szCs w:val="18"/>
                      <w:highlight w:val="none"/>
                      <w:lang w:val="en-US"/>
                    </w:rPr>
                  </w:pPr>
                  <w:r>
                    <w:rPr>
                      <w:rFonts w:hint="eastAsia"/>
                      <w:color w:val="auto"/>
                      <w:kern w:val="0"/>
                      <w:sz w:val="18"/>
                      <w:szCs w:val="18"/>
                      <w:highlight w:val="none"/>
                      <w:lang w:val="en-US" w:eastAsia="zh-CN"/>
                    </w:rPr>
                    <w:t>84</w:t>
                  </w:r>
                </w:p>
              </w:tc>
              <w:tc>
                <w:tcPr>
                  <w:tcW w:w="473" w:type="pct"/>
                  <w:vAlign w:val="center"/>
                </w:tcPr>
                <w:p>
                  <w:pPr>
                    <w:widowControl/>
                    <w:spacing w:line="240" w:lineRule="auto"/>
                    <w:jc w:val="center"/>
                    <w:textAlignment w:val="center"/>
                    <w:rPr>
                      <w:rFonts w:hint="default"/>
                      <w:color w:val="auto"/>
                      <w:kern w:val="0"/>
                      <w:sz w:val="18"/>
                      <w:szCs w:val="18"/>
                      <w:highlight w:val="none"/>
                      <w:lang w:val="en-US"/>
                    </w:rPr>
                  </w:pPr>
                  <w:r>
                    <w:rPr>
                      <w:rFonts w:hint="eastAsia"/>
                      <w:color w:val="auto"/>
                      <w:kern w:val="0"/>
                      <w:sz w:val="18"/>
                      <w:szCs w:val="18"/>
                      <w:highlight w:val="none"/>
                      <w:lang w:val="en-US" w:eastAsia="zh-CN"/>
                    </w:rPr>
                    <w:t>140</w:t>
                  </w:r>
                </w:p>
              </w:tc>
              <w:tc>
                <w:tcPr>
                  <w:tcW w:w="42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rPr>
                  </w:pPr>
                  <w:r>
                    <w:rPr>
                      <w:rFonts w:hint="eastAsia"/>
                      <w:color w:val="auto"/>
                      <w:kern w:val="0"/>
                      <w:sz w:val="18"/>
                      <w:szCs w:val="18"/>
                      <w:highlight w:val="none"/>
                      <w:lang w:val="en-US" w:eastAsia="zh-CN"/>
                    </w:rPr>
                    <w:t>24.5</w:t>
                  </w:r>
                </w:p>
              </w:tc>
              <w:tc>
                <w:tcPr>
                  <w:tcW w:w="574"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s="Times New Roman"/>
                      <w:color w:val="auto"/>
                      <w:kern w:val="0"/>
                      <w:sz w:val="18"/>
                      <w:szCs w:val="18"/>
                      <w:highlight w:val="none"/>
                      <w:lang w:val="en-US" w:eastAsia="zh-CN" w:bidi="ar-SA"/>
                    </w:rPr>
                    <w:t>1.5</w:t>
                  </w:r>
                  <w:r>
                    <w:rPr>
                      <w:color w:val="auto"/>
                      <w:kern w:val="0"/>
                      <w:sz w:val="18"/>
                      <w:szCs w:val="18"/>
                      <w:highlight w:val="none"/>
                    </w:rPr>
                    <w:t>×10</w:t>
                  </w:r>
                  <w:r>
                    <w:rPr>
                      <w:color w:val="auto"/>
                      <w:kern w:val="0"/>
                      <w:sz w:val="18"/>
                      <w:szCs w:val="18"/>
                      <w:highlight w:val="none"/>
                      <w:vertAlign w:val="superscript"/>
                    </w:rPr>
                    <w:t>8</w:t>
                  </w:r>
                </w:p>
              </w:tc>
              <w:tc>
                <w:tcPr>
                  <w:tcW w:w="423"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color w:val="auto"/>
                      <w:sz w:val="18"/>
                      <w:szCs w:val="18"/>
                      <w:highlight w:val="none"/>
                      <w:lang w:val="en-US" w:eastAsia="zh-CN"/>
                    </w:rPr>
                    <w:t>25</w:t>
                  </w:r>
                </w:p>
              </w:tc>
              <w:tc>
                <w:tcPr>
                  <w:tcW w:w="483" w:type="pct"/>
                  <w:shd w:val="clear" w:color="auto" w:fill="auto"/>
                  <w:vAlign w:val="center"/>
                </w:tcPr>
                <w:p>
                  <w:pPr>
                    <w:widowControl/>
                    <w:spacing w:line="240" w:lineRule="auto"/>
                    <w:jc w:val="center"/>
                    <w:textAlignment w:val="center"/>
                    <w:rPr>
                      <w:rFonts w:hint="eastAsia"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10</w:t>
                  </w:r>
                </w:p>
              </w:tc>
              <w:tc>
                <w:tcPr>
                  <w:tcW w:w="322" w:type="pct"/>
                  <w:shd w:val="clear" w:color="auto" w:fill="auto"/>
                  <w:vAlign w:val="center"/>
                </w:tcPr>
                <w:p>
                  <w:pPr>
                    <w:widowControl/>
                    <w:spacing w:line="240" w:lineRule="auto"/>
                    <w:jc w:val="center"/>
                    <w:textAlignment w:val="center"/>
                    <w:rPr>
                      <w:rFonts w:hint="eastAsia"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SA"/>
                    </w:rPr>
                    <w:t>6-9</w:t>
                  </w:r>
                </w:p>
              </w:tc>
              <w:tc>
                <w:tcPr>
                  <w:tcW w:w="406"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shd w:val="clear" w:color="auto" w:fill="auto"/>
                  <w:vAlign w:val="center"/>
                </w:tcPr>
                <w:p>
                  <w:pPr>
                    <w:widowControl/>
                    <w:spacing w:line="240" w:lineRule="auto"/>
                    <w:jc w:val="center"/>
                    <w:textAlignment w:val="center"/>
                    <w:rPr>
                      <w:color w:val="auto"/>
                      <w:kern w:val="0"/>
                      <w:sz w:val="18"/>
                      <w:szCs w:val="18"/>
                      <w:highlight w:val="none"/>
                    </w:rPr>
                  </w:pP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s="Times New Roman"/>
                      <w:color w:val="auto"/>
                      <w:kern w:val="0"/>
                      <w:sz w:val="18"/>
                      <w:szCs w:val="18"/>
                      <w:highlight w:val="none"/>
                      <w:lang w:val="en-US" w:eastAsia="zh-CN" w:bidi="ar-SA"/>
                    </w:rPr>
                    <w:t>出水</w:t>
                  </w:r>
                </w:p>
              </w:tc>
              <w:tc>
                <w:tcPr>
                  <w:tcW w:w="475"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112</w:t>
                  </w:r>
                </w:p>
              </w:tc>
              <w:tc>
                <w:tcPr>
                  <w:tcW w:w="45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33.6</w:t>
                  </w:r>
                </w:p>
              </w:tc>
              <w:tc>
                <w:tcPr>
                  <w:tcW w:w="47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112</w:t>
                  </w:r>
                </w:p>
              </w:tc>
              <w:tc>
                <w:tcPr>
                  <w:tcW w:w="423"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19.6</w:t>
                  </w:r>
                </w:p>
              </w:tc>
              <w:tc>
                <w:tcPr>
                  <w:tcW w:w="574"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s="Times New Roman"/>
                      <w:color w:val="auto"/>
                      <w:kern w:val="0"/>
                      <w:sz w:val="18"/>
                      <w:szCs w:val="18"/>
                      <w:highlight w:val="none"/>
                      <w:lang w:val="en-US" w:eastAsia="zh-CN" w:bidi="ar-SA"/>
                    </w:rPr>
                    <w:t>1.5</w:t>
                  </w:r>
                  <w:r>
                    <w:rPr>
                      <w:color w:val="auto"/>
                      <w:kern w:val="0"/>
                      <w:sz w:val="18"/>
                      <w:szCs w:val="18"/>
                      <w:highlight w:val="none"/>
                    </w:rPr>
                    <w:t>×10</w:t>
                  </w:r>
                  <w:r>
                    <w:rPr>
                      <w:color w:val="auto"/>
                      <w:kern w:val="0"/>
                      <w:sz w:val="18"/>
                      <w:szCs w:val="18"/>
                      <w:highlight w:val="none"/>
                      <w:vertAlign w:val="superscript"/>
                    </w:rPr>
                    <w:t>8</w:t>
                  </w:r>
                </w:p>
              </w:tc>
              <w:tc>
                <w:tcPr>
                  <w:tcW w:w="42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sz w:val="18"/>
                      <w:szCs w:val="18"/>
                      <w:highlight w:val="none"/>
                      <w:lang w:val="en-US" w:eastAsia="zh-CN"/>
                    </w:rPr>
                    <w:t>17.5</w:t>
                  </w:r>
                </w:p>
              </w:tc>
              <w:tc>
                <w:tcPr>
                  <w:tcW w:w="483"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cs="Times New Roman"/>
                      <w:color w:val="auto"/>
                      <w:kern w:val="0"/>
                      <w:sz w:val="18"/>
                      <w:szCs w:val="18"/>
                      <w:highlight w:val="none"/>
                      <w:lang w:val="en-US" w:eastAsia="zh-CN" w:bidi="ar-SA"/>
                    </w:rPr>
                    <w:t>10</w:t>
                  </w:r>
                </w:p>
              </w:tc>
              <w:tc>
                <w:tcPr>
                  <w:tcW w:w="322" w:type="pct"/>
                  <w:shd w:val="clear" w:color="auto" w:fill="auto"/>
                  <w:vAlign w:val="center"/>
                </w:tcPr>
                <w:p>
                  <w:pPr>
                    <w:widowControl/>
                    <w:spacing w:line="240" w:lineRule="auto"/>
                    <w:jc w:val="center"/>
                    <w:textAlignment w:val="center"/>
                    <w:rPr>
                      <w:rFonts w:hint="eastAsia"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SA"/>
                    </w:rPr>
                    <w:t>6-9</w:t>
                  </w:r>
                </w:p>
              </w:tc>
              <w:tc>
                <w:tcPr>
                  <w:tcW w:w="406"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shd w:val="clear" w:color="auto" w:fill="auto"/>
                  <w:vAlign w:val="center"/>
                </w:tcPr>
                <w:p>
                  <w:pPr>
                    <w:widowControl/>
                    <w:spacing w:line="240" w:lineRule="auto"/>
                    <w:jc w:val="center"/>
                    <w:textAlignment w:val="center"/>
                    <w:rPr>
                      <w:color w:val="auto"/>
                      <w:kern w:val="0"/>
                      <w:sz w:val="18"/>
                      <w:szCs w:val="18"/>
                      <w:highlight w:val="none"/>
                    </w:rPr>
                  </w:pP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处理效率（%）</w:t>
                  </w:r>
                </w:p>
              </w:tc>
              <w:tc>
                <w:tcPr>
                  <w:tcW w:w="475"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50</w:t>
                  </w:r>
                </w:p>
              </w:tc>
              <w:tc>
                <w:tcPr>
                  <w:tcW w:w="45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60</w:t>
                  </w:r>
                </w:p>
              </w:tc>
              <w:tc>
                <w:tcPr>
                  <w:tcW w:w="47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20</w:t>
                  </w:r>
                </w:p>
              </w:tc>
              <w:tc>
                <w:tcPr>
                  <w:tcW w:w="423"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20</w:t>
                  </w:r>
                </w:p>
              </w:tc>
              <w:tc>
                <w:tcPr>
                  <w:tcW w:w="574" w:type="pct"/>
                  <w:shd w:val="clear" w:color="auto" w:fill="auto"/>
                  <w:vAlign w:val="center"/>
                </w:tcPr>
                <w:p>
                  <w:pPr>
                    <w:widowControl/>
                    <w:spacing w:line="240" w:lineRule="auto"/>
                    <w:jc w:val="center"/>
                    <w:textAlignment w:val="center"/>
                    <w:rPr>
                      <w:rFonts w:hint="eastAsia" w:eastAsia="宋体"/>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42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30</w:t>
                  </w:r>
                </w:p>
              </w:tc>
              <w:tc>
                <w:tcPr>
                  <w:tcW w:w="48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322"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406"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restar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二沉池+絮凝池</w:t>
                  </w: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进水</w:t>
                  </w:r>
                </w:p>
              </w:tc>
              <w:tc>
                <w:tcPr>
                  <w:tcW w:w="475" w:type="pct"/>
                  <w:vAlign w:val="center"/>
                </w:tcPr>
                <w:p>
                  <w:pPr>
                    <w:widowControl/>
                    <w:spacing w:line="240" w:lineRule="auto"/>
                    <w:jc w:val="center"/>
                    <w:textAlignment w:val="center"/>
                    <w:rPr>
                      <w:rFonts w:hint="default"/>
                      <w:color w:val="auto"/>
                      <w:kern w:val="0"/>
                      <w:sz w:val="18"/>
                      <w:szCs w:val="18"/>
                      <w:highlight w:val="none"/>
                      <w:lang w:val="en-US"/>
                    </w:rPr>
                  </w:pPr>
                  <w:r>
                    <w:rPr>
                      <w:rFonts w:hint="eastAsia"/>
                      <w:color w:val="auto"/>
                      <w:kern w:val="0"/>
                      <w:sz w:val="18"/>
                      <w:szCs w:val="18"/>
                      <w:highlight w:val="none"/>
                      <w:lang w:val="en-US" w:eastAsia="zh-CN"/>
                    </w:rPr>
                    <w:t>112</w:t>
                  </w:r>
                </w:p>
              </w:tc>
              <w:tc>
                <w:tcPr>
                  <w:tcW w:w="453" w:type="pct"/>
                  <w:vAlign w:val="center"/>
                </w:tcPr>
                <w:p>
                  <w:pPr>
                    <w:widowControl/>
                    <w:spacing w:line="240" w:lineRule="auto"/>
                    <w:jc w:val="center"/>
                    <w:textAlignment w:val="center"/>
                    <w:rPr>
                      <w:rFonts w:hint="default"/>
                      <w:color w:val="auto"/>
                      <w:kern w:val="0"/>
                      <w:sz w:val="18"/>
                      <w:szCs w:val="18"/>
                      <w:highlight w:val="none"/>
                      <w:lang w:val="en-US"/>
                    </w:rPr>
                  </w:pPr>
                  <w:r>
                    <w:rPr>
                      <w:rFonts w:hint="eastAsia"/>
                      <w:color w:val="auto"/>
                      <w:kern w:val="0"/>
                      <w:sz w:val="18"/>
                      <w:szCs w:val="18"/>
                      <w:highlight w:val="none"/>
                      <w:lang w:val="en-US" w:eastAsia="zh-CN"/>
                    </w:rPr>
                    <w:t>33.6</w:t>
                  </w:r>
                </w:p>
              </w:tc>
              <w:tc>
                <w:tcPr>
                  <w:tcW w:w="473" w:type="pct"/>
                  <w:vAlign w:val="center"/>
                </w:tcPr>
                <w:p>
                  <w:pPr>
                    <w:widowControl/>
                    <w:spacing w:line="240" w:lineRule="auto"/>
                    <w:jc w:val="center"/>
                    <w:textAlignment w:val="center"/>
                    <w:rPr>
                      <w:rFonts w:hint="default"/>
                      <w:color w:val="auto"/>
                      <w:kern w:val="0"/>
                      <w:sz w:val="18"/>
                      <w:szCs w:val="18"/>
                      <w:highlight w:val="none"/>
                      <w:lang w:val="en-US"/>
                    </w:rPr>
                  </w:pPr>
                  <w:r>
                    <w:rPr>
                      <w:rFonts w:hint="eastAsia"/>
                      <w:color w:val="auto"/>
                      <w:kern w:val="0"/>
                      <w:sz w:val="18"/>
                      <w:szCs w:val="18"/>
                      <w:highlight w:val="none"/>
                      <w:lang w:val="en-US" w:eastAsia="zh-CN"/>
                    </w:rPr>
                    <w:t>112</w:t>
                  </w:r>
                </w:p>
              </w:tc>
              <w:tc>
                <w:tcPr>
                  <w:tcW w:w="42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rPr>
                  </w:pPr>
                  <w:r>
                    <w:rPr>
                      <w:rFonts w:hint="eastAsia"/>
                      <w:color w:val="auto"/>
                      <w:kern w:val="0"/>
                      <w:sz w:val="18"/>
                      <w:szCs w:val="18"/>
                      <w:highlight w:val="none"/>
                      <w:lang w:val="en-US" w:eastAsia="zh-CN"/>
                    </w:rPr>
                    <w:t>19.6</w:t>
                  </w:r>
                </w:p>
              </w:tc>
              <w:tc>
                <w:tcPr>
                  <w:tcW w:w="574"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s="Times New Roman"/>
                      <w:color w:val="auto"/>
                      <w:kern w:val="0"/>
                      <w:sz w:val="18"/>
                      <w:szCs w:val="18"/>
                      <w:highlight w:val="none"/>
                      <w:lang w:val="en-US" w:eastAsia="zh-CN" w:bidi="ar-SA"/>
                    </w:rPr>
                    <w:t>1.5</w:t>
                  </w:r>
                  <w:r>
                    <w:rPr>
                      <w:color w:val="auto"/>
                      <w:kern w:val="0"/>
                      <w:sz w:val="18"/>
                      <w:szCs w:val="18"/>
                      <w:highlight w:val="none"/>
                    </w:rPr>
                    <w:t>×10</w:t>
                  </w:r>
                  <w:r>
                    <w:rPr>
                      <w:color w:val="auto"/>
                      <w:kern w:val="0"/>
                      <w:sz w:val="18"/>
                      <w:szCs w:val="18"/>
                      <w:highlight w:val="none"/>
                      <w:vertAlign w:val="superscript"/>
                    </w:rPr>
                    <w:t>8</w:t>
                  </w:r>
                </w:p>
              </w:tc>
              <w:tc>
                <w:tcPr>
                  <w:tcW w:w="42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17.5</w:t>
                  </w:r>
                </w:p>
              </w:tc>
              <w:tc>
                <w:tcPr>
                  <w:tcW w:w="483"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cs="Times New Roman"/>
                      <w:color w:val="auto"/>
                      <w:kern w:val="0"/>
                      <w:sz w:val="18"/>
                      <w:szCs w:val="18"/>
                      <w:highlight w:val="none"/>
                      <w:lang w:val="en-US" w:eastAsia="zh-CN" w:bidi="ar-SA"/>
                    </w:rPr>
                    <w:t>10</w:t>
                  </w:r>
                </w:p>
              </w:tc>
              <w:tc>
                <w:tcPr>
                  <w:tcW w:w="322" w:type="pct"/>
                  <w:shd w:val="clear" w:color="auto" w:fill="auto"/>
                  <w:vAlign w:val="center"/>
                </w:tcPr>
                <w:p>
                  <w:pPr>
                    <w:widowControl/>
                    <w:spacing w:line="240" w:lineRule="auto"/>
                    <w:jc w:val="center"/>
                    <w:textAlignment w:val="center"/>
                    <w:rPr>
                      <w:rFonts w:hint="eastAsia"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SA"/>
                    </w:rPr>
                    <w:t>6-9</w:t>
                  </w:r>
                </w:p>
              </w:tc>
              <w:tc>
                <w:tcPr>
                  <w:tcW w:w="406"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shd w:val="clear" w:color="auto" w:fill="auto"/>
                  <w:vAlign w:val="center"/>
                </w:tcPr>
                <w:p>
                  <w:pPr>
                    <w:widowControl/>
                    <w:spacing w:line="240" w:lineRule="auto"/>
                    <w:jc w:val="center"/>
                    <w:textAlignment w:val="center"/>
                    <w:rPr>
                      <w:color w:val="auto"/>
                      <w:kern w:val="0"/>
                      <w:sz w:val="18"/>
                      <w:szCs w:val="18"/>
                      <w:highlight w:val="none"/>
                    </w:rPr>
                  </w:pP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s="Times New Roman"/>
                      <w:color w:val="auto"/>
                      <w:kern w:val="0"/>
                      <w:sz w:val="18"/>
                      <w:szCs w:val="18"/>
                      <w:highlight w:val="none"/>
                      <w:lang w:val="en-US" w:eastAsia="zh-CN" w:bidi="ar-SA"/>
                    </w:rPr>
                    <w:t>出水</w:t>
                  </w:r>
                </w:p>
              </w:tc>
              <w:tc>
                <w:tcPr>
                  <w:tcW w:w="475"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89.6</w:t>
                  </w:r>
                </w:p>
              </w:tc>
              <w:tc>
                <w:tcPr>
                  <w:tcW w:w="45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26.88</w:t>
                  </w:r>
                </w:p>
              </w:tc>
              <w:tc>
                <w:tcPr>
                  <w:tcW w:w="47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44.8</w:t>
                  </w:r>
                </w:p>
              </w:tc>
              <w:tc>
                <w:tcPr>
                  <w:tcW w:w="423"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15.68</w:t>
                  </w:r>
                </w:p>
              </w:tc>
              <w:tc>
                <w:tcPr>
                  <w:tcW w:w="574"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s="Times New Roman"/>
                      <w:color w:val="auto"/>
                      <w:kern w:val="0"/>
                      <w:sz w:val="18"/>
                      <w:szCs w:val="18"/>
                      <w:highlight w:val="none"/>
                      <w:lang w:val="en-US" w:eastAsia="zh-CN" w:bidi="ar-SA"/>
                    </w:rPr>
                    <w:t>1.5</w:t>
                  </w:r>
                  <w:r>
                    <w:rPr>
                      <w:color w:val="auto"/>
                      <w:kern w:val="0"/>
                      <w:sz w:val="18"/>
                      <w:szCs w:val="18"/>
                      <w:highlight w:val="none"/>
                    </w:rPr>
                    <w:t>×10</w:t>
                  </w:r>
                  <w:r>
                    <w:rPr>
                      <w:color w:val="auto"/>
                      <w:kern w:val="0"/>
                      <w:sz w:val="18"/>
                      <w:szCs w:val="18"/>
                      <w:highlight w:val="none"/>
                      <w:vertAlign w:val="superscript"/>
                    </w:rPr>
                    <w:t>8</w:t>
                  </w:r>
                </w:p>
              </w:tc>
              <w:tc>
                <w:tcPr>
                  <w:tcW w:w="42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12.25</w:t>
                  </w:r>
                </w:p>
              </w:tc>
              <w:tc>
                <w:tcPr>
                  <w:tcW w:w="483"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cs="Times New Roman"/>
                      <w:color w:val="auto"/>
                      <w:kern w:val="0"/>
                      <w:sz w:val="18"/>
                      <w:szCs w:val="18"/>
                      <w:highlight w:val="none"/>
                      <w:lang w:val="en-US" w:eastAsia="zh-CN" w:bidi="ar-SA"/>
                    </w:rPr>
                    <w:t>10</w:t>
                  </w:r>
                </w:p>
              </w:tc>
              <w:tc>
                <w:tcPr>
                  <w:tcW w:w="322" w:type="pct"/>
                  <w:shd w:val="clear" w:color="auto" w:fill="auto"/>
                  <w:vAlign w:val="center"/>
                </w:tcPr>
                <w:p>
                  <w:pPr>
                    <w:widowControl/>
                    <w:spacing w:line="240" w:lineRule="auto"/>
                    <w:jc w:val="center"/>
                    <w:textAlignment w:val="center"/>
                    <w:rPr>
                      <w:rFonts w:hint="eastAsia"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SA"/>
                    </w:rPr>
                    <w:t>6-9</w:t>
                  </w:r>
                </w:p>
              </w:tc>
              <w:tc>
                <w:tcPr>
                  <w:tcW w:w="406"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shd w:val="clear" w:color="auto" w:fill="auto"/>
                  <w:vAlign w:val="center"/>
                </w:tcPr>
                <w:p>
                  <w:pPr>
                    <w:widowControl/>
                    <w:spacing w:line="240" w:lineRule="auto"/>
                    <w:jc w:val="center"/>
                    <w:textAlignment w:val="center"/>
                    <w:rPr>
                      <w:color w:val="auto"/>
                      <w:kern w:val="0"/>
                      <w:sz w:val="18"/>
                      <w:szCs w:val="18"/>
                      <w:highlight w:val="none"/>
                    </w:rPr>
                  </w:pP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处理效率（%）</w:t>
                  </w:r>
                </w:p>
              </w:tc>
              <w:tc>
                <w:tcPr>
                  <w:tcW w:w="475"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20</w:t>
                  </w:r>
                </w:p>
              </w:tc>
              <w:tc>
                <w:tcPr>
                  <w:tcW w:w="45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20</w:t>
                  </w:r>
                </w:p>
              </w:tc>
              <w:tc>
                <w:tcPr>
                  <w:tcW w:w="473" w:type="pct"/>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60</w:t>
                  </w:r>
                </w:p>
              </w:tc>
              <w:tc>
                <w:tcPr>
                  <w:tcW w:w="423"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20</w:t>
                  </w:r>
                </w:p>
              </w:tc>
              <w:tc>
                <w:tcPr>
                  <w:tcW w:w="574" w:type="pct"/>
                  <w:shd w:val="clear" w:color="auto" w:fill="auto"/>
                  <w:vAlign w:val="center"/>
                </w:tcPr>
                <w:p>
                  <w:pPr>
                    <w:widowControl/>
                    <w:spacing w:line="240" w:lineRule="auto"/>
                    <w:jc w:val="center"/>
                    <w:textAlignment w:val="center"/>
                    <w:rPr>
                      <w:rFonts w:hint="eastAsia" w:eastAsia="宋体"/>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42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30</w:t>
                  </w:r>
                </w:p>
              </w:tc>
              <w:tc>
                <w:tcPr>
                  <w:tcW w:w="48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322"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406"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restart"/>
                  <w:shd w:val="clear" w:color="auto" w:fill="auto"/>
                  <w:vAlign w:val="center"/>
                </w:tcPr>
                <w:p>
                  <w:pPr>
                    <w:widowControl/>
                    <w:spacing w:line="240" w:lineRule="auto"/>
                    <w:jc w:val="center"/>
                    <w:textAlignment w:val="center"/>
                    <w:rPr>
                      <w:rFonts w:hint="eastAsia" w:eastAsia="宋体"/>
                      <w:color w:val="auto"/>
                      <w:kern w:val="0"/>
                      <w:sz w:val="18"/>
                      <w:szCs w:val="18"/>
                      <w:highlight w:val="none"/>
                      <w:lang w:val="en-US" w:eastAsia="zh-CN"/>
                    </w:rPr>
                  </w:pPr>
                  <w:r>
                    <w:rPr>
                      <w:rFonts w:hint="eastAsia"/>
                      <w:color w:val="auto"/>
                      <w:kern w:val="0"/>
                      <w:sz w:val="18"/>
                      <w:szCs w:val="18"/>
                      <w:highlight w:val="none"/>
                      <w:lang w:val="en-US" w:eastAsia="zh-CN"/>
                    </w:rPr>
                    <w:t>消毒池</w:t>
                  </w: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进水</w:t>
                  </w:r>
                </w:p>
              </w:tc>
              <w:tc>
                <w:tcPr>
                  <w:tcW w:w="475" w:type="pct"/>
                  <w:vAlign w:val="center"/>
                </w:tcPr>
                <w:p>
                  <w:pPr>
                    <w:widowControl/>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89.6</w:t>
                  </w:r>
                </w:p>
              </w:tc>
              <w:tc>
                <w:tcPr>
                  <w:tcW w:w="453" w:type="pct"/>
                  <w:vAlign w:val="center"/>
                </w:tcPr>
                <w:p>
                  <w:pPr>
                    <w:widowControl/>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26.88</w:t>
                  </w:r>
                </w:p>
              </w:tc>
              <w:tc>
                <w:tcPr>
                  <w:tcW w:w="473" w:type="pct"/>
                  <w:vAlign w:val="center"/>
                </w:tcPr>
                <w:p>
                  <w:pPr>
                    <w:widowControl/>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44.8</w:t>
                  </w:r>
                </w:p>
              </w:tc>
              <w:tc>
                <w:tcPr>
                  <w:tcW w:w="423" w:type="pct"/>
                  <w:shd w:val="clear" w:color="auto" w:fill="auto"/>
                  <w:vAlign w:val="center"/>
                </w:tcPr>
                <w:p>
                  <w:pPr>
                    <w:widowControl/>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15.68</w:t>
                  </w:r>
                </w:p>
              </w:tc>
              <w:tc>
                <w:tcPr>
                  <w:tcW w:w="574" w:type="pct"/>
                  <w:shd w:val="clear" w:color="auto" w:fill="auto"/>
                  <w:vAlign w:val="center"/>
                </w:tcPr>
                <w:p>
                  <w:pPr>
                    <w:widowControl/>
                    <w:spacing w:line="240" w:lineRule="auto"/>
                    <w:jc w:val="center"/>
                    <w:textAlignment w:val="center"/>
                    <w:rPr>
                      <w:rFonts w:ascii="Times New Roman" w:hAnsi="Times New Roman" w:eastAsia="宋体"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1.5</w:t>
                  </w:r>
                  <w:r>
                    <w:rPr>
                      <w:color w:val="auto"/>
                      <w:kern w:val="0"/>
                      <w:sz w:val="18"/>
                      <w:szCs w:val="18"/>
                      <w:highlight w:val="none"/>
                    </w:rPr>
                    <w:t>×10</w:t>
                  </w:r>
                  <w:r>
                    <w:rPr>
                      <w:color w:val="auto"/>
                      <w:kern w:val="0"/>
                      <w:sz w:val="18"/>
                      <w:szCs w:val="18"/>
                      <w:highlight w:val="none"/>
                      <w:vertAlign w:val="superscript"/>
                    </w:rPr>
                    <w:t>8</w:t>
                  </w:r>
                </w:p>
              </w:tc>
              <w:tc>
                <w:tcPr>
                  <w:tcW w:w="42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12.25</w:t>
                  </w:r>
                </w:p>
              </w:tc>
              <w:tc>
                <w:tcPr>
                  <w:tcW w:w="483"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cs="Times New Roman"/>
                      <w:color w:val="auto"/>
                      <w:kern w:val="0"/>
                      <w:sz w:val="18"/>
                      <w:szCs w:val="18"/>
                      <w:highlight w:val="none"/>
                      <w:lang w:val="en-US" w:eastAsia="zh-CN" w:bidi="ar-SA"/>
                    </w:rPr>
                    <w:t>10</w:t>
                  </w:r>
                </w:p>
              </w:tc>
              <w:tc>
                <w:tcPr>
                  <w:tcW w:w="322" w:type="pct"/>
                  <w:shd w:val="clear" w:color="auto" w:fill="auto"/>
                  <w:vAlign w:val="center"/>
                </w:tcPr>
                <w:p>
                  <w:pPr>
                    <w:widowControl/>
                    <w:spacing w:line="240" w:lineRule="auto"/>
                    <w:jc w:val="center"/>
                    <w:textAlignment w:val="center"/>
                    <w:rPr>
                      <w:rFonts w:hint="eastAsia"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SA"/>
                    </w:rPr>
                    <w:t>6-9</w:t>
                  </w:r>
                </w:p>
              </w:tc>
              <w:tc>
                <w:tcPr>
                  <w:tcW w:w="406"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shd w:val="clear" w:color="auto" w:fill="auto"/>
                  <w:vAlign w:val="center"/>
                </w:tcPr>
                <w:p>
                  <w:pPr>
                    <w:widowControl/>
                    <w:spacing w:line="240" w:lineRule="auto"/>
                    <w:jc w:val="center"/>
                    <w:textAlignment w:val="center"/>
                    <w:rPr>
                      <w:color w:val="auto"/>
                      <w:kern w:val="0"/>
                      <w:sz w:val="18"/>
                      <w:szCs w:val="18"/>
                      <w:highlight w:val="none"/>
                    </w:rPr>
                  </w:pP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s="Times New Roman"/>
                      <w:color w:val="auto"/>
                      <w:kern w:val="0"/>
                      <w:sz w:val="18"/>
                      <w:szCs w:val="18"/>
                      <w:highlight w:val="none"/>
                      <w:lang w:val="en-US" w:eastAsia="zh-CN" w:bidi="ar-SA"/>
                    </w:rPr>
                    <w:t>出水</w:t>
                  </w:r>
                </w:p>
              </w:tc>
              <w:tc>
                <w:tcPr>
                  <w:tcW w:w="475" w:type="pct"/>
                  <w:vAlign w:val="center"/>
                </w:tcPr>
                <w:p>
                  <w:pPr>
                    <w:widowControl/>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89.6</w:t>
                  </w:r>
                </w:p>
              </w:tc>
              <w:tc>
                <w:tcPr>
                  <w:tcW w:w="453" w:type="pct"/>
                  <w:vAlign w:val="center"/>
                </w:tcPr>
                <w:p>
                  <w:pPr>
                    <w:widowControl/>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26.88</w:t>
                  </w:r>
                </w:p>
              </w:tc>
              <w:tc>
                <w:tcPr>
                  <w:tcW w:w="473" w:type="pct"/>
                  <w:vAlign w:val="center"/>
                </w:tcPr>
                <w:p>
                  <w:pPr>
                    <w:widowControl/>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44.8</w:t>
                  </w:r>
                </w:p>
              </w:tc>
              <w:tc>
                <w:tcPr>
                  <w:tcW w:w="423" w:type="pct"/>
                  <w:shd w:val="clear" w:color="auto" w:fill="auto"/>
                  <w:vAlign w:val="center"/>
                </w:tcPr>
                <w:p>
                  <w:pPr>
                    <w:widowControl/>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15.68</w:t>
                  </w:r>
                </w:p>
              </w:tc>
              <w:tc>
                <w:tcPr>
                  <w:tcW w:w="574"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400</w:t>
                  </w:r>
                </w:p>
              </w:tc>
              <w:tc>
                <w:tcPr>
                  <w:tcW w:w="423"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12.25</w:t>
                  </w:r>
                </w:p>
              </w:tc>
              <w:tc>
                <w:tcPr>
                  <w:tcW w:w="483"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cs="Times New Roman"/>
                      <w:color w:val="auto"/>
                      <w:kern w:val="0"/>
                      <w:sz w:val="18"/>
                      <w:szCs w:val="18"/>
                      <w:highlight w:val="none"/>
                      <w:lang w:val="en-US" w:eastAsia="zh-CN" w:bidi="ar-SA"/>
                    </w:rPr>
                    <w:t>10</w:t>
                  </w:r>
                </w:p>
              </w:tc>
              <w:tc>
                <w:tcPr>
                  <w:tcW w:w="322" w:type="pct"/>
                  <w:shd w:val="clear" w:color="auto" w:fill="auto"/>
                  <w:vAlign w:val="center"/>
                </w:tcPr>
                <w:p>
                  <w:pPr>
                    <w:widowControl/>
                    <w:spacing w:line="240" w:lineRule="auto"/>
                    <w:jc w:val="center"/>
                    <w:textAlignment w:val="center"/>
                    <w:rPr>
                      <w:rFonts w:hint="eastAsia" w:cs="Times New Roman"/>
                      <w:color w:val="auto"/>
                      <w:kern w:val="0"/>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SA"/>
                    </w:rPr>
                    <w:t>6-9</w:t>
                  </w:r>
                </w:p>
              </w:tc>
              <w:tc>
                <w:tcPr>
                  <w:tcW w:w="406"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7" w:type="pct"/>
                  <w:vMerge w:val="continue"/>
                  <w:shd w:val="clear" w:color="auto" w:fill="auto"/>
                  <w:vAlign w:val="center"/>
                </w:tcPr>
                <w:p>
                  <w:pPr>
                    <w:widowControl/>
                    <w:spacing w:line="240" w:lineRule="auto"/>
                    <w:jc w:val="center"/>
                    <w:textAlignment w:val="center"/>
                    <w:rPr>
                      <w:color w:val="auto"/>
                      <w:kern w:val="0"/>
                      <w:sz w:val="18"/>
                      <w:szCs w:val="18"/>
                      <w:highlight w:val="none"/>
                    </w:rPr>
                  </w:pPr>
                </w:p>
              </w:tc>
              <w:tc>
                <w:tcPr>
                  <w:tcW w:w="486" w:type="pct"/>
                  <w:shd w:val="clear" w:color="auto" w:fill="auto"/>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处理效率（%）</w:t>
                  </w:r>
                </w:p>
              </w:tc>
              <w:tc>
                <w:tcPr>
                  <w:tcW w:w="475" w:type="pct"/>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w:t>
                  </w:r>
                </w:p>
              </w:tc>
              <w:tc>
                <w:tcPr>
                  <w:tcW w:w="453" w:type="pct"/>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w:t>
                  </w:r>
                </w:p>
              </w:tc>
              <w:tc>
                <w:tcPr>
                  <w:tcW w:w="473" w:type="pct"/>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w:t>
                  </w:r>
                </w:p>
              </w:tc>
              <w:tc>
                <w:tcPr>
                  <w:tcW w:w="423" w:type="pct"/>
                  <w:shd w:val="clear" w:color="auto" w:fill="auto"/>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w:t>
                  </w:r>
                </w:p>
              </w:tc>
              <w:tc>
                <w:tcPr>
                  <w:tcW w:w="574"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99.99</w:t>
                  </w:r>
                </w:p>
              </w:tc>
              <w:tc>
                <w:tcPr>
                  <w:tcW w:w="423"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48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322"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w:t>
                  </w:r>
                </w:p>
              </w:tc>
              <w:tc>
                <w:tcPr>
                  <w:tcW w:w="406"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3" w:type="pct"/>
                  <w:gridSpan w:val="2"/>
                  <w:shd w:val="clear" w:color="auto" w:fill="auto"/>
                  <w:vAlign w:val="center"/>
                </w:tcPr>
                <w:p>
                  <w:pPr>
                    <w:pStyle w:val="59"/>
                    <w:jc w:val="center"/>
                    <w:rPr>
                      <w:rFonts w:hint="eastAsia" w:ascii="Times New Roman" w:eastAsia="宋体"/>
                      <w:color w:val="auto"/>
                      <w:sz w:val="18"/>
                      <w:szCs w:val="18"/>
                      <w:highlight w:val="none"/>
                      <w:lang w:eastAsia="zh-CN"/>
                    </w:rPr>
                  </w:pPr>
                  <w:r>
                    <w:rPr>
                      <w:rFonts w:hint="eastAsia" w:ascii="Times New Roman"/>
                      <w:color w:val="auto"/>
                      <w:sz w:val="18"/>
                      <w:szCs w:val="18"/>
                      <w:highlight w:val="none"/>
                      <w:lang w:val="en-US" w:eastAsia="zh-CN"/>
                    </w:rPr>
                    <w:t>标准限制</w:t>
                  </w:r>
                </w:p>
              </w:tc>
              <w:tc>
                <w:tcPr>
                  <w:tcW w:w="475" w:type="pct"/>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120</w:t>
                  </w:r>
                </w:p>
              </w:tc>
              <w:tc>
                <w:tcPr>
                  <w:tcW w:w="453" w:type="pct"/>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30</w:t>
                  </w:r>
                </w:p>
              </w:tc>
              <w:tc>
                <w:tcPr>
                  <w:tcW w:w="473" w:type="pct"/>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60</w:t>
                  </w:r>
                </w:p>
              </w:tc>
              <w:tc>
                <w:tcPr>
                  <w:tcW w:w="423" w:type="pct"/>
                  <w:shd w:val="clear" w:color="auto" w:fill="auto"/>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25</w:t>
                  </w:r>
                </w:p>
              </w:tc>
              <w:tc>
                <w:tcPr>
                  <w:tcW w:w="574" w:type="pct"/>
                  <w:shd w:val="clear" w:color="auto" w:fill="auto"/>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500</w:t>
                  </w:r>
                </w:p>
              </w:tc>
              <w:tc>
                <w:tcPr>
                  <w:tcW w:w="423"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20</w:t>
                  </w:r>
                </w:p>
              </w:tc>
              <w:tc>
                <w:tcPr>
                  <w:tcW w:w="483"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15</w:t>
                  </w:r>
                </w:p>
              </w:tc>
              <w:tc>
                <w:tcPr>
                  <w:tcW w:w="322" w:type="pct"/>
                  <w:shd w:val="clear" w:color="auto" w:fill="auto"/>
                  <w:vAlign w:val="center"/>
                </w:tcPr>
                <w:p>
                  <w:pPr>
                    <w:widowControl/>
                    <w:spacing w:line="240" w:lineRule="auto"/>
                    <w:jc w:val="center"/>
                    <w:textAlignment w:val="center"/>
                    <w:rPr>
                      <w:rFonts w:hint="eastAsia"/>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bidi="ar-SA"/>
                    </w:rPr>
                    <w:t>6-9</w:t>
                  </w:r>
                </w:p>
              </w:tc>
              <w:tc>
                <w:tcPr>
                  <w:tcW w:w="406" w:type="pct"/>
                  <w:shd w:val="clear" w:color="auto" w:fill="auto"/>
                  <w:vAlign w:val="center"/>
                </w:tcPr>
                <w:p>
                  <w:pPr>
                    <w:widowControl/>
                    <w:spacing w:line="240" w:lineRule="auto"/>
                    <w:jc w:val="center"/>
                    <w:textAlignment w:val="center"/>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2000</w:t>
                  </w:r>
                </w:p>
              </w:tc>
            </w:tr>
          </w:tbl>
          <w:p>
            <w:pPr>
              <w:spacing w:line="360" w:lineRule="auto"/>
              <w:ind w:firstLine="420" w:firstLineChars="200"/>
              <w:rPr>
                <w:color w:val="auto"/>
                <w:kern w:val="0"/>
                <w:szCs w:val="21"/>
                <w:highlight w:val="none"/>
                <w:lang w:val="zh-CN"/>
              </w:rPr>
            </w:pPr>
            <w:r>
              <w:rPr>
                <w:color w:val="auto"/>
                <w:highlight w:val="none"/>
              </w:rPr>
              <w:t>由上表可知，项目废水经污水处理站处理后外排废水水质满足</w:t>
            </w:r>
            <w:r>
              <w:rPr>
                <w:color w:val="auto"/>
                <w:szCs w:val="21"/>
                <w:highlight w:val="none"/>
              </w:rPr>
              <w:t>《山东省医疗机构污染物排放控制标准》（DB37/596-2020）二级标准</w:t>
            </w:r>
            <w:r>
              <w:rPr>
                <w:rFonts w:hint="eastAsia"/>
                <w:color w:val="auto"/>
                <w:highlight w:val="none"/>
                <w:lang w:val="en-US" w:eastAsia="zh-CN"/>
              </w:rPr>
              <w:t>及《污水排入城镇下水道水质标准》（GB/T31962-2015）表1中B等级标准</w:t>
            </w:r>
            <w:r>
              <w:rPr>
                <w:color w:val="auto"/>
                <w:szCs w:val="21"/>
                <w:highlight w:val="none"/>
              </w:rPr>
              <w:t>要求</w:t>
            </w:r>
            <w:r>
              <w:rPr>
                <w:color w:val="auto"/>
                <w:highlight w:val="none"/>
              </w:rPr>
              <w:t>。</w:t>
            </w:r>
          </w:p>
          <w:p>
            <w:pPr>
              <w:spacing w:line="360" w:lineRule="auto"/>
              <w:ind w:firstLine="420"/>
              <w:rPr>
                <w:color w:val="auto"/>
                <w:highlight w:val="none"/>
              </w:rPr>
            </w:pPr>
            <w:r>
              <w:rPr>
                <w:color w:val="auto"/>
                <w:szCs w:val="21"/>
                <w:highlight w:val="none"/>
              </w:rPr>
              <w:t>本项目废水经处理后排放情况具体如下：</w:t>
            </w:r>
            <w:r>
              <w:rPr>
                <w:color w:val="auto"/>
                <w:highlight w:val="none"/>
              </w:rPr>
              <w:t xml:space="preserve"> </w:t>
            </w:r>
          </w:p>
          <w:p>
            <w:pPr>
              <w:jc w:val="center"/>
              <w:rPr>
                <w:color w:val="auto"/>
                <w:highlight w:val="none"/>
              </w:rPr>
            </w:pPr>
            <w:r>
              <w:rPr>
                <w:b/>
                <w:bCs/>
                <w:color w:val="auto"/>
                <w:kern w:val="0"/>
                <w:szCs w:val="21"/>
                <w:highlight w:val="none"/>
              </w:rPr>
              <w:t>表4-</w:t>
            </w:r>
            <w:r>
              <w:rPr>
                <w:rFonts w:hint="eastAsia"/>
                <w:b/>
                <w:bCs/>
                <w:color w:val="auto"/>
                <w:kern w:val="0"/>
                <w:szCs w:val="21"/>
                <w:highlight w:val="none"/>
                <w:lang w:val="en-US" w:eastAsia="zh-CN"/>
              </w:rPr>
              <w:t>9</w:t>
            </w:r>
            <w:r>
              <w:rPr>
                <w:b/>
                <w:bCs/>
                <w:color w:val="auto"/>
                <w:kern w:val="0"/>
                <w:szCs w:val="21"/>
                <w:highlight w:val="none"/>
              </w:rPr>
              <w:t xml:space="preserve">  废水排放情况一览表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8"/>
              <w:gridCol w:w="1189"/>
              <w:gridCol w:w="1060"/>
              <w:gridCol w:w="1113"/>
              <w:gridCol w:w="1079"/>
              <w:gridCol w:w="1079"/>
              <w:gridCol w:w="1079"/>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1" w:type="pct"/>
                  <w:vAlign w:val="center"/>
                </w:tcPr>
                <w:p>
                  <w:pPr>
                    <w:pStyle w:val="67"/>
                    <w:spacing w:line="280" w:lineRule="exact"/>
                    <w:rPr>
                      <w:color w:val="auto"/>
                      <w:sz w:val="18"/>
                      <w:szCs w:val="18"/>
                      <w:highlight w:val="none"/>
                    </w:rPr>
                  </w:pPr>
                  <w:r>
                    <w:rPr>
                      <w:color w:val="auto"/>
                      <w:sz w:val="18"/>
                      <w:szCs w:val="18"/>
                      <w:highlight w:val="none"/>
                    </w:rPr>
                    <w:t>排放废水量(m</w:t>
                  </w:r>
                  <w:r>
                    <w:rPr>
                      <w:color w:val="auto"/>
                      <w:sz w:val="18"/>
                      <w:szCs w:val="18"/>
                      <w:highlight w:val="none"/>
                      <w:vertAlign w:val="superscript"/>
                    </w:rPr>
                    <w:t>3</w:t>
                  </w:r>
                  <w:r>
                    <w:rPr>
                      <w:color w:val="auto"/>
                      <w:sz w:val="18"/>
                      <w:szCs w:val="18"/>
                      <w:highlight w:val="none"/>
                    </w:rPr>
                    <w:t>/a)</w:t>
                  </w:r>
                </w:p>
              </w:tc>
              <w:tc>
                <w:tcPr>
                  <w:tcW w:w="709" w:type="pct"/>
                  <w:vAlign w:val="center"/>
                </w:tcPr>
                <w:p>
                  <w:pPr>
                    <w:pStyle w:val="67"/>
                    <w:spacing w:line="280" w:lineRule="exact"/>
                    <w:rPr>
                      <w:color w:val="auto"/>
                      <w:sz w:val="18"/>
                      <w:szCs w:val="18"/>
                      <w:highlight w:val="none"/>
                    </w:rPr>
                  </w:pPr>
                  <w:r>
                    <w:rPr>
                      <w:color w:val="auto"/>
                      <w:sz w:val="18"/>
                      <w:szCs w:val="18"/>
                      <w:highlight w:val="none"/>
                    </w:rPr>
                    <w:t>污染物种类</w:t>
                  </w:r>
                </w:p>
              </w:tc>
              <w:tc>
                <w:tcPr>
                  <w:tcW w:w="632" w:type="pct"/>
                  <w:vAlign w:val="center"/>
                </w:tcPr>
                <w:p>
                  <w:pPr>
                    <w:pStyle w:val="67"/>
                    <w:spacing w:line="280" w:lineRule="exact"/>
                    <w:rPr>
                      <w:color w:val="auto"/>
                      <w:sz w:val="18"/>
                      <w:szCs w:val="18"/>
                      <w:highlight w:val="none"/>
                    </w:rPr>
                  </w:pPr>
                  <w:r>
                    <w:rPr>
                      <w:color w:val="auto"/>
                      <w:sz w:val="18"/>
                      <w:szCs w:val="18"/>
                      <w:highlight w:val="none"/>
                    </w:rPr>
                    <w:t>排放浓度</w:t>
                  </w:r>
                </w:p>
                <w:p>
                  <w:pPr>
                    <w:pStyle w:val="67"/>
                    <w:spacing w:line="280" w:lineRule="exact"/>
                    <w:rPr>
                      <w:color w:val="auto"/>
                      <w:sz w:val="18"/>
                      <w:szCs w:val="18"/>
                      <w:highlight w:val="none"/>
                    </w:rPr>
                  </w:pPr>
                  <w:r>
                    <w:rPr>
                      <w:color w:val="auto"/>
                      <w:sz w:val="18"/>
                      <w:szCs w:val="18"/>
                      <w:highlight w:val="none"/>
                    </w:rPr>
                    <w:t>(mg/L)</w:t>
                  </w:r>
                </w:p>
              </w:tc>
              <w:tc>
                <w:tcPr>
                  <w:tcW w:w="643" w:type="pct"/>
                  <w:vAlign w:val="center"/>
                </w:tcPr>
                <w:p>
                  <w:pPr>
                    <w:pStyle w:val="67"/>
                    <w:spacing w:line="280" w:lineRule="exact"/>
                    <w:rPr>
                      <w:color w:val="auto"/>
                      <w:sz w:val="18"/>
                      <w:szCs w:val="18"/>
                      <w:highlight w:val="none"/>
                    </w:rPr>
                  </w:pPr>
                  <w:r>
                    <w:rPr>
                      <w:color w:val="auto"/>
                      <w:sz w:val="18"/>
                      <w:szCs w:val="18"/>
                      <w:highlight w:val="none"/>
                    </w:rPr>
                    <w:t>排放量(t/a)</w:t>
                  </w:r>
                </w:p>
              </w:tc>
              <w:tc>
                <w:tcPr>
                  <w:tcW w:w="643" w:type="pct"/>
                  <w:vAlign w:val="center"/>
                </w:tcPr>
                <w:p>
                  <w:pPr>
                    <w:pStyle w:val="67"/>
                    <w:spacing w:line="280" w:lineRule="exact"/>
                    <w:rPr>
                      <w:color w:val="auto"/>
                      <w:sz w:val="18"/>
                      <w:szCs w:val="18"/>
                      <w:highlight w:val="none"/>
                    </w:rPr>
                  </w:pPr>
                  <w:r>
                    <w:rPr>
                      <w:color w:val="auto"/>
                      <w:sz w:val="18"/>
                      <w:szCs w:val="18"/>
                      <w:highlight w:val="none"/>
                    </w:rPr>
                    <w:t>排放标准限值(mg/L)</w:t>
                  </w:r>
                </w:p>
              </w:tc>
              <w:tc>
                <w:tcPr>
                  <w:tcW w:w="643" w:type="pct"/>
                  <w:vAlign w:val="center"/>
                </w:tcPr>
                <w:p>
                  <w:pPr>
                    <w:pStyle w:val="67"/>
                    <w:spacing w:line="280" w:lineRule="exact"/>
                    <w:rPr>
                      <w:color w:val="auto"/>
                      <w:sz w:val="18"/>
                      <w:szCs w:val="18"/>
                      <w:highlight w:val="none"/>
                    </w:rPr>
                  </w:pPr>
                  <w:r>
                    <w:rPr>
                      <w:color w:val="auto"/>
                      <w:sz w:val="18"/>
                      <w:szCs w:val="18"/>
                      <w:highlight w:val="none"/>
                    </w:rPr>
                    <w:t>排放方式</w:t>
                  </w:r>
                </w:p>
              </w:tc>
              <w:tc>
                <w:tcPr>
                  <w:tcW w:w="643" w:type="pct"/>
                  <w:vAlign w:val="center"/>
                </w:tcPr>
                <w:p>
                  <w:pPr>
                    <w:pStyle w:val="67"/>
                    <w:spacing w:line="280" w:lineRule="exact"/>
                    <w:rPr>
                      <w:color w:val="auto"/>
                      <w:sz w:val="18"/>
                      <w:szCs w:val="18"/>
                      <w:highlight w:val="none"/>
                    </w:rPr>
                  </w:pPr>
                  <w:r>
                    <w:rPr>
                      <w:color w:val="auto"/>
                      <w:sz w:val="18"/>
                      <w:szCs w:val="18"/>
                      <w:highlight w:val="none"/>
                    </w:rPr>
                    <w:t>排放去向</w:t>
                  </w:r>
                </w:p>
              </w:tc>
              <w:tc>
                <w:tcPr>
                  <w:tcW w:w="640" w:type="pct"/>
                  <w:vAlign w:val="center"/>
                </w:tcPr>
                <w:p>
                  <w:pPr>
                    <w:pStyle w:val="67"/>
                    <w:spacing w:line="280" w:lineRule="exact"/>
                    <w:rPr>
                      <w:color w:val="auto"/>
                      <w:sz w:val="18"/>
                      <w:szCs w:val="18"/>
                      <w:highlight w:val="none"/>
                    </w:rPr>
                  </w:pPr>
                  <w:r>
                    <w:rPr>
                      <w:color w:val="auto"/>
                      <w:sz w:val="18"/>
                      <w:szCs w:val="18"/>
                      <w:highlight w:val="none"/>
                    </w:rPr>
                    <w:t>排放规律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1" w:type="pct"/>
                  <w:vMerge w:val="restart"/>
                  <w:vAlign w:val="center"/>
                </w:tcPr>
                <w:p>
                  <w:pPr>
                    <w:spacing w:line="280" w:lineRule="exact"/>
                    <w:jc w:val="center"/>
                    <w:rPr>
                      <w:color w:val="auto"/>
                      <w:sz w:val="18"/>
                      <w:szCs w:val="18"/>
                      <w:highlight w:val="none"/>
                    </w:rPr>
                  </w:pPr>
                  <w:r>
                    <w:rPr>
                      <w:rFonts w:hint="eastAsia"/>
                      <w:color w:val="auto"/>
                      <w:sz w:val="18"/>
                      <w:szCs w:val="18"/>
                      <w:highlight w:val="none"/>
                      <w:lang w:val="en-US" w:eastAsia="zh-CN"/>
                    </w:rPr>
                    <w:t>58292.36</w:t>
                  </w:r>
                </w:p>
              </w:tc>
              <w:tc>
                <w:tcPr>
                  <w:tcW w:w="709" w:type="pct"/>
                  <w:vAlign w:val="center"/>
                </w:tcPr>
                <w:p>
                  <w:pPr>
                    <w:jc w:val="center"/>
                    <w:rPr>
                      <w:color w:val="auto"/>
                      <w:sz w:val="18"/>
                      <w:szCs w:val="18"/>
                      <w:highlight w:val="none"/>
                    </w:rPr>
                  </w:pPr>
                  <w:r>
                    <w:rPr>
                      <w:color w:val="auto"/>
                      <w:sz w:val="18"/>
                      <w:szCs w:val="18"/>
                      <w:highlight w:val="none"/>
                    </w:rPr>
                    <w:t>五日生化需氧量</w:t>
                  </w:r>
                </w:p>
              </w:tc>
              <w:tc>
                <w:tcPr>
                  <w:tcW w:w="632" w:type="pct"/>
                  <w:vAlign w:val="center"/>
                </w:tcPr>
                <w:p>
                  <w:pPr>
                    <w:pStyle w:val="67"/>
                    <w:spacing w:line="280" w:lineRule="exact"/>
                    <w:rPr>
                      <w:rFonts w:hint="default" w:eastAsia="宋体"/>
                      <w:color w:val="auto"/>
                      <w:sz w:val="18"/>
                      <w:szCs w:val="18"/>
                      <w:highlight w:val="none"/>
                      <w:lang w:val="en-US" w:eastAsia="zh-CN"/>
                    </w:rPr>
                  </w:pPr>
                  <w:r>
                    <w:rPr>
                      <w:rFonts w:hint="eastAsia"/>
                      <w:color w:val="auto"/>
                      <w:sz w:val="18"/>
                      <w:szCs w:val="18"/>
                      <w:highlight w:val="none"/>
                      <w:lang w:val="en-US" w:eastAsia="zh-CN"/>
                    </w:rPr>
                    <w:t>26.88</w:t>
                  </w:r>
                </w:p>
              </w:tc>
              <w:tc>
                <w:tcPr>
                  <w:tcW w:w="643" w:type="pct"/>
                  <w:vAlign w:val="center"/>
                </w:tcPr>
                <w:p>
                  <w:pPr>
                    <w:pStyle w:val="67"/>
                    <w:spacing w:line="280" w:lineRule="exact"/>
                    <w:rPr>
                      <w:rFonts w:hint="default" w:eastAsia="宋体"/>
                      <w:color w:val="auto"/>
                      <w:sz w:val="18"/>
                      <w:szCs w:val="18"/>
                      <w:highlight w:val="none"/>
                      <w:lang w:val="en-US" w:eastAsia="zh-CN"/>
                    </w:rPr>
                  </w:pPr>
                  <w:r>
                    <w:rPr>
                      <w:rFonts w:hint="eastAsia"/>
                      <w:color w:val="auto"/>
                      <w:sz w:val="18"/>
                      <w:szCs w:val="18"/>
                      <w:highlight w:val="none"/>
                      <w:lang w:val="en-US" w:eastAsia="zh-CN"/>
                    </w:rPr>
                    <w:t>1.57</w:t>
                  </w:r>
                </w:p>
              </w:tc>
              <w:tc>
                <w:tcPr>
                  <w:tcW w:w="643" w:type="pct"/>
                  <w:vAlign w:val="center"/>
                </w:tcPr>
                <w:p>
                  <w:pPr>
                    <w:pStyle w:val="67"/>
                    <w:spacing w:line="280" w:lineRule="exact"/>
                    <w:rPr>
                      <w:color w:val="auto"/>
                      <w:sz w:val="18"/>
                      <w:szCs w:val="18"/>
                      <w:highlight w:val="none"/>
                    </w:rPr>
                  </w:pPr>
                  <w:r>
                    <w:rPr>
                      <w:color w:val="auto"/>
                      <w:sz w:val="18"/>
                      <w:szCs w:val="18"/>
                      <w:highlight w:val="none"/>
                    </w:rPr>
                    <w:t>30</w:t>
                  </w:r>
                </w:p>
              </w:tc>
              <w:tc>
                <w:tcPr>
                  <w:tcW w:w="643" w:type="pct"/>
                  <w:vMerge w:val="restart"/>
                  <w:vAlign w:val="center"/>
                </w:tcPr>
                <w:p>
                  <w:pPr>
                    <w:pStyle w:val="67"/>
                    <w:spacing w:line="280" w:lineRule="exact"/>
                    <w:rPr>
                      <w:color w:val="auto"/>
                      <w:sz w:val="18"/>
                      <w:szCs w:val="18"/>
                      <w:highlight w:val="none"/>
                    </w:rPr>
                  </w:pPr>
                  <w:r>
                    <w:rPr>
                      <w:color w:val="auto"/>
                      <w:sz w:val="18"/>
                      <w:szCs w:val="18"/>
                      <w:highlight w:val="none"/>
                    </w:rPr>
                    <w:t>间接排放</w:t>
                  </w:r>
                </w:p>
              </w:tc>
              <w:tc>
                <w:tcPr>
                  <w:tcW w:w="643" w:type="pct"/>
                  <w:vMerge w:val="restart"/>
                  <w:vAlign w:val="center"/>
                </w:tcPr>
                <w:p>
                  <w:pPr>
                    <w:pStyle w:val="67"/>
                    <w:spacing w:line="280" w:lineRule="exact"/>
                    <w:rPr>
                      <w:rFonts w:hint="eastAsia" w:eastAsia="宋体"/>
                      <w:color w:val="auto"/>
                      <w:sz w:val="18"/>
                      <w:szCs w:val="18"/>
                      <w:highlight w:val="none"/>
                      <w:lang w:eastAsia="zh-CN"/>
                    </w:rPr>
                  </w:pPr>
                  <w:r>
                    <w:rPr>
                      <w:color w:val="auto"/>
                      <w:sz w:val="18"/>
                      <w:szCs w:val="18"/>
                      <w:highlight w:val="none"/>
                    </w:rPr>
                    <w:t>光大水务（淄博）有限公司</w:t>
                  </w:r>
                  <w:r>
                    <w:rPr>
                      <w:rFonts w:hint="eastAsia"/>
                      <w:color w:val="auto"/>
                      <w:sz w:val="18"/>
                      <w:szCs w:val="18"/>
                      <w:highlight w:val="none"/>
                      <w:lang w:eastAsia="zh-CN"/>
                    </w:rPr>
                    <w:t>一分厂</w:t>
                  </w:r>
                </w:p>
              </w:tc>
              <w:tc>
                <w:tcPr>
                  <w:tcW w:w="640" w:type="pct"/>
                  <w:vMerge w:val="restart"/>
                  <w:vAlign w:val="center"/>
                </w:tcPr>
                <w:p>
                  <w:pPr>
                    <w:pStyle w:val="67"/>
                    <w:spacing w:line="280" w:lineRule="exact"/>
                    <w:rPr>
                      <w:color w:val="auto"/>
                      <w:sz w:val="18"/>
                      <w:szCs w:val="18"/>
                      <w:highlight w:val="none"/>
                    </w:rPr>
                  </w:pPr>
                  <w:r>
                    <w:rPr>
                      <w:color w:val="auto"/>
                      <w:sz w:val="18"/>
                      <w:szCs w:val="18"/>
                      <w:highlight w:val="none"/>
                    </w:rPr>
                    <w:t>间断排放，排放期间流量不稳定且无规律，但不属于冲击型排放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41" w:type="pct"/>
                  <w:vMerge w:val="continue"/>
                  <w:vAlign w:val="center"/>
                </w:tcPr>
                <w:p>
                  <w:pPr>
                    <w:spacing w:line="280" w:lineRule="exact"/>
                    <w:jc w:val="center"/>
                    <w:rPr>
                      <w:color w:val="auto"/>
                      <w:sz w:val="18"/>
                      <w:szCs w:val="18"/>
                      <w:highlight w:val="none"/>
                      <w:vertAlign w:val="subscript"/>
                    </w:rPr>
                  </w:pPr>
                </w:p>
              </w:tc>
              <w:tc>
                <w:tcPr>
                  <w:tcW w:w="709" w:type="pct"/>
                  <w:vAlign w:val="center"/>
                </w:tcPr>
                <w:p>
                  <w:pPr>
                    <w:jc w:val="center"/>
                    <w:rPr>
                      <w:color w:val="auto"/>
                      <w:sz w:val="18"/>
                      <w:szCs w:val="18"/>
                      <w:highlight w:val="none"/>
                    </w:rPr>
                  </w:pPr>
                  <w:r>
                    <w:rPr>
                      <w:color w:val="auto"/>
                      <w:sz w:val="18"/>
                      <w:szCs w:val="18"/>
                      <w:highlight w:val="none"/>
                    </w:rPr>
                    <w:t>化学需氧量</w:t>
                  </w:r>
                </w:p>
              </w:tc>
              <w:tc>
                <w:tcPr>
                  <w:tcW w:w="632" w:type="pct"/>
                  <w:vAlign w:val="center"/>
                </w:tcPr>
                <w:p>
                  <w:pPr>
                    <w:pStyle w:val="67"/>
                    <w:spacing w:line="280" w:lineRule="exact"/>
                    <w:rPr>
                      <w:rFonts w:hint="default" w:eastAsia="宋体"/>
                      <w:color w:val="auto"/>
                      <w:sz w:val="18"/>
                      <w:szCs w:val="18"/>
                      <w:highlight w:val="none"/>
                      <w:lang w:val="en-US" w:eastAsia="zh-CN"/>
                    </w:rPr>
                  </w:pPr>
                  <w:r>
                    <w:rPr>
                      <w:rFonts w:hint="eastAsia"/>
                      <w:color w:val="auto"/>
                      <w:sz w:val="18"/>
                      <w:szCs w:val="18"/>
                      <w:highlight w:val="none"/>
                      <w:lang w:val="en-US" w:eastAsia="zh-CN"/>
                    </w:rPr>
                    <w:t>89.6</w:t>
                  </w:r>
                </w:p>
              </w:tc>
              <w:tc>
                <w:tcPr>
                  <w:tcW w:w="643" w:type="pct"/>
                  <w:vAlign w:val="center"/>
                </w:tcPr>
                <w:p>
                  <w:pPr>
                    <w:pStyle w:val="67"/>
                    <w:spacing w:line="280" w:lineRule="exact"/>
                    <w:rPr>
                      <w:rFonts w:hint="default" w:eastAsia="宋体"/>
                      <w:color w:val="auto"/>
                      <w:sz w:val="18"/>
                      <w:szCs w:val="18"/>
                      <w:highlight w:val="none"/>
                      <w:lang w:val="en-US" w:eastAsia="zh-CN"/>
                    </w:rPr>
                  </w:pPr>
                  <w:r>
                    <w:rPr>
                      <w:rFonts w:hint="eastAsia"/>
                      <w:color w:val="auto"/>
                      <w:sz w:val="18"/>
                      <w:szCs w:val="18"/>
                      <w:highlight w:val="none"/>
                      <w:lang w:val="en-US" w:eastAsia="zh-CN"/>
                    </w:rPr>
                    <w:t>5.22</w:t>
                  </w:r>
                </w:p>
              </w:tc>
              <w:tc>
                <w:tcPr>
                  <w:tcW w:w="643" w:type="pct"/>
                  <w:vAlign w:val="center"/>
                </w:tcPr>
                <w:p>
                  <w:pPr>
                    <w:pStyle w:val="67"/>
                    <w:spacing w:line="280" w:lineRule="exact"/>
                    <w:rPr>
                      <w:color w:val="auto"/>
                      <w:sz w:val="18"/>
                      <w:szCs w:val="18"/>
                      <w:highlight w:val="none"/>
                    </w:rPr>
                  </w:pPr>
                  <w:r>
                    <w:rPr>
                      <w:color w:val="auto"/>
                      <w:sz w:val="18"/>
                      <w:szCs w:val="18"/>
                      <w:highlight w:val="none"/>
                    </w:rPr>
                    <w:t>120</w:t>
                  </w:r>
                </w:p>
              </w:tc>
              <w:tc>
                <w:tcPr>
                  <w:tcW w:w="643" w:type="pct"/>
                  <w:vMerge w:val="continue"/>
                  <w:vAlign w:val="center"/>
                </w:tcPr>
                <w:p>
                  <w:pPr>
                    <w:pStyle w:val="67"/>
                    <w:spacing w:line="280" w:lineRule="exact"/>
                    <w:rPr>
                      <w:color w:val="auto"/>
                      <w:sz w:val="18"/>
                      <w:szCs w:val="18"/>
                      <w:highlight w:val="none"/>
                    </w:rPr>
                  </w:pPr>
                </w:p>
              </w:tc>
              <w:tc>
                <w:tcPr>
                  <w:tcW w:w="643" w:type="pct"/>
                  <w:vMerge w:val="continue"/>
                  <w:vAlign w:val="center"/>
                </w:tcPr>
                <w:p>
                  <w:pPr>
                    <w:pStyle w:val="67"/>
                    <w:spacing w:line="280" w:lineRule="exact"/>
                    <w:rPr>
                      <w:color w:val="auto"/>
                      <w:sz w:val="18"/>
                      <w:szCs w:val="18"/>
                      <w:highlight w:val="none"/>
                    </w:rPr>
                  </w:pPr>
                </w:p>
              </w:tc>
              <w:tc>
                <w:tcPr>
                  <w:tcW w:w="640" w:type="pct"/>
                  <w:vMerge w:val="continue"/>
                  <w:vAlign w:val="center"/>
                </w:tcPr>
                <w:p>
                  <w:pPr>
                    <w:pStyle w:val="67"/>
                    <w:spacing w:line="280" w:lineRule="exac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1" w:type="pct"/>
                  <w:vMerge w:val="continue"/>
                  <w:vAlign w:val="center"/>
                </w:tcPr>
                <w:p>
                  <w:pPr>
                    <w:spacing w:line="280" w:lineRule="exact"/>
                    <w:jc w:val="center"/>
                    <w:rPr>
                      <w:color w:val="auto"/>
                      <w:sz w:val="18"/>
                      <w:szCs w:val="18"/>
                      <w:highlight w:val="none"/>
                    </w:rPr>
                  </w:pPr>
                </w:p>
              </w:tc>
              <w:tc>
                <w:tcPr>
                  <w:tcW w:w="709" w:type="pct"/>
                  <w:vAlign w:val="center"/>
                </w:tcPr>
                <w:p>
                  <w:pPr>
                    <w:jc w:val="center"/>
                    <w:rPr>
                      <w:color w:val="auto"/>
                      <w:sz w:val="18"/>
                      <w:szCs w:val="18"/>
                      <w:highlight w:val="none"/>
                    </w:rPr>
                  </w:pPr>
                  <w:r>
                    <w:rPr>
                      <w:color w:val="auto"/>
                      <w:sz w:val="18"/>
                      <w:szCs w:val="18"/>
                      <w:highlight w:val="none"/>
                    </w:rPr>
                    <w:t>悬浮物</w:t>
                  </w:r>
                </w:p>
              </w:tc>
              <w:tc>
                <w:tcPr>
                  <w:tcW w:w="632" w:type="pct"/>
                  <w:vAlign w:val="center"/>
                </w:tcPr>
                <w:p>
                  <w:pPr>
                    <w:pStyle w:val="67"/>
                    <w:spacing w:line="280" w:lineRule="exact"/>
                    <w:rPr>
                      <w:rFonts w:hint="default" w:eastAsia="宋体"/>
                      <w:color w:val="auto"/>
                      <w:sz w:val="18"/>
                      <w:szCs w:val="18"/>
                      <w:highlight w:val="none"/>
                      <w:lang w:val="en-US" w:eastAsia="zh-CN"/>
                    </w:rPr>
                  </w:pPr>
                  <w:r>
                    <w:rPr>
                      <w:rFonts w:hint="eastAsia"/>
                      <w:color w:val="auto"/>
                      <w:sz w:val="18"/>
                      <w:szCs w:val="18"/>
                      <w:highlight w:val="none"/>
                      <w:lang w:val="en-US" w:eastAsia="zh-CN"/>
                    </w:rPr>
                    <w:t>44.8</w:t>
                  </w:r>
                </w:p>
              </w:tc>
              <w:tc>
                <w:tcPr>
                  <w:tcW w:w="643" w:type="pct"/>
                  <w:vAlign w:val="center"/>
                </w:tcPr>
                <w:p>
                  <w:pPr>
                    <w:pStyle w:val="67"/>
                    <w:spacing w:line="280" w:lineRule="exact"/>
                    <w:rPr>
                      <w:rFonts w:hint="default" w:eastAsia="宋体"/>
                      <w:color w:val="auto"/>
                      <w:sz w:val="18"/>
                      <w:szCs w:val="18"/>
                      <w:highlight w:val="none"/>
                      <w:lang w:val="en-US" w:eastAsia="zh-CN"/>
                    </w:rPr>
                  </w:pPr>
                  <w:r>
                    <w:rPr>
                      <w:rFonts w:hint="eastAsia"/>
                      <w:color w:val="auto"/>
                      <w:sz w:val="18"/>
                      <w:szCs w:val="18"/>
                      <w:highlight w:val="none"/>
                      <w:lang w:val="en-US" w:eastAsia="zh-CN"/>
                    </w:rPr>
                    <w:t>2.61</w:t>
                  </w:r>
                </w:p>
              </w:tc>
              <w:tc>
                <w:tcPr>
                  <w:tcW w:w="643" w:type="pct"/>
                  <w:vAlign w:val="center"/>
                </w:tcPr>
                <w:p>
                  <w:pPr>
                    <w:pStyle w:val="67"/>
                    <w:spacing w:line="280" w:lineRule="exact"/>
                    <w:rPr>
                      <w:color w:val="auto"/>
                      <w:sz w:val="18"/>
                      <w:szCs w:val="18"/>
                      <w:highlight w:val="none"/>
                    </w:rPr>
                  </w:pPr>
                  <w:r>
                    <w:rPr>
                      <w:color w:val="auto"/>
                      <w:sz w:val="18"/>
                      <w:szCs w:val="18"/>
                      <w:highlight w:val="none"/>
                    </w:rPr>
                    <w:t>60</w:t>
                  </w:r>
                </w:p>
              </w:tc>
              <w:tc>
                <w:tcPr>
                  <w:tcW w:w="643" w:type="pct"/>
                  <w:vMerge w:val="continue"/>
                  <w:vAlign w:val="center"/>
                </w:tcPr>
                <w:p>
                  <w:pPr>
                    <w:pStyle w:val="67"/>
                    <w:spacing w:line="280" w:lineRule="exact"/>
                    <w:rPr>
                      <w:color w:val="auto"/>
                      <w:sz w:val="18"/>
                      <w:szCs w:val="18"/>
                      <w:highlight w:val="none"/>
                    </w:rPr>
                  </w:pPr>
                </w:p>
              </w:tc>
              <w:tc>
                <w:tcPr>
                  <w:tcW w:w="643" w:type="pct"/>
                  <w:vMerge w:val="continue"/>
                  <w:vAlign w:val="center"/>
                </w:tcPr>
                <w:p>
                  <w:pPr>
                    <w:pStyle w:val="67"/>
                    <w:spacing w:line="280" w:lineRule="exact"/>
                    <w:rPr>
                      <w:color w:val="auto"/>
                      <w:sz w:val="18"/>
                      <w:szCs w:val="18"/>
                      <w:highlight w:val="none"/>
                    </w:rPr>
                  </w:pPr>
                </w:p>
              </w:tc>
              <w:tc>
                <w:tcPr>
                  <w:tcW w:w="640" w:type="pct"/>
                  <w:vMerge w:val="continue"/>
                  <w:vAlign w:val="center"/>
                </w:tcPr>
                <w:p>
                  <w:pPr>
                    <w:pStyle w:val="67"/>
                    <w:spacing w:line="280" w:lineRule="exac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1" w:type="pct"/>
                  <w:vMerge w:val="continue"/>
                  <w:vAlign w:val="center"/>
                </w:tcPr>
                <w:p>
                  <w:pPr>
                    <w:spacing w:line="280" w:lineRule="exact"/>
                    <w:jc w:val="center"/>
                    <w:rPr>
                      <w:color w:val="auto"/>
                      <w:sz w:val="18"/>
                      <w:szCs w:val="18"/>
                      <w:highlight w:val="none"/>
                    </w:rPr>
                  </w:pPr>
                </w:p>
              </w:tc>
              <w:tc>
                <w:tcPr>
                  <w:tcW w:w="709" w:type="pct"/>
                  <w:vAlign w:val="center"/>
                </w:tcPr>
                <w:p>
                  <w:pPr>
                    <w:jc w:val="center"/>
                    <w:rPr>
                      <w:color w:val="auto"/>
                      <w:sz w:val="18"/>
                      <w:szCs w:val="18"/>
                      <w:highlight w:val="none"/>
                    </w:rPr>
                  </w:pPr>
                  <w:r>
                    <w:rPr>
                      <w:color w:val="auto"/>
                      <w:sz w:val="18"/>
                      <w:szCs w:val="18"/>
                      <w:highlight w:val="none"/>
                    </w:rPr>
                    <w:t>氨氮</w:t>
                  </w:r>
                </w:p>
              </w:tc>
              <w:tc>
                <w:tcPr>
                  <w:tcW w:w="632" w:type="pct"/>
                  <w:vAlign w:val="center"/>
                </w:tcPr>
                <w:p>
                  <w:pPr>
                    <w:pStyle w:val="67"/>
                    <w:spacing w:line="280" w:lineRule="exact"/>
                    <w:rPr>
                      <w:rFonts w:hint="default" w:eastAsia="宋体"/>
                      <w:color w:val="auto"/>
                      <w:sz w:val="18"/>
                      <w:szCs w:val="18"/>
                      <w:highlight w:val="none"/>
                      <w:lang w:val="en-US" w:eastAsia="zh-CN"/>
                    </w:rPr>
                  </w:pPr>
                  <w:r>
                    <w:rPr>
                      <w:rFonts w:hint="eastAsia"/>
                      <w:color w:val="auto"/>
                      <w:sz w:val="18"/>
                      <w:szCs w:val="18"/>
                      <w:highlight w:val="none"/>
                      <w:lang w:val="en-US" w:eastAsia="zh-CN"/>
                    </w:rPr>
                    <w:t>15.68</w:t>
                  </w:r>
                </w:p>
              </w:tc>
              <w:tc>
                <w:tcPr>
                  <w:tcW w:w="643" w:type="pct"/>
                  <w:vAlign w:val="center"/>
                </w:tcPr>
                <w:p>
                  <w:pPr>
                    <w:pStyle w:val="67"/>
                    <w:spacing w:line="280" w:lineRule="exact"/>
                    <w:rPr>
                      <w:rFonts w:hint="default" w:eastAsia="宋体"/>
                      <w:color w:val="auto"/>
                      <w:sz w:val="18"/>
                      <w:szCs w:val="18"/>
                      <w:highlight w:val="none"/>
                      <w:lang w:val="en-US" w:eastAsia="zh-CN"/>
                    </w:rPr>
                  </w:pPr>
                  <w:r>
                    <w:rPr>
                      <w:rFonts w:hint="eastAsia"/>
                      <w:color w:val="auto"/>
                      <w:sz w:val="18"/>
                      <w:szCs w:val="18"/>
                      <w:highlight w:val="none"/>
                      <w:lang w:val="en-US" w:eastAsia="zh-CN"/>
                    </w:rPr>
                    <w:t>0.91</w:t>
                  </w:r>
                </w:p>
              </w:tc>
              <w:tc>
                <w:tcPr>
                  <w:tcW w:w="643" w:type="pct"/>
                  <w:vAlign w:val="center"/>
                </w:tcPr>
                <w:p>
                  <w:pPr>
                    <w:pStyle w:val="67"/>
                    <w:spacing w:line="280" w:lineRule="exact"/>
                    <w:rPr>
                      <w:color w:val="auto"/>
                      <w:sz w:val="18"/>
                      <w:szCs w:val="18"/>
                      <w:highlight w:val="none"/>
                    </w:rPr>
                  </w:pPr>
                  <w:r>
                    <w:rPr>
                      <w:color w:val="auto"/>
                      <w:sz w:val="18"/>
                      <w:szCs w:val="18"/>
                      <w:highlight w:val="none"/>
                    </w:rPr>
                    <w:t>25</w:t>
                  </w:r>
                </w:p>
              </w:tc>
              <w:tc>
                <w:tcPr>
                  <w:tcW w:w="643" w:type="pct"/>
                  <w:vMerge w:val="continue"/>
                  <w:vAlign w:val="center"/>
                </w:tcPr>
                <w:p>
                  <w:pPr>
                    <w:pStyle w:val="67"/>
                    <w:spacing w:line="280" w:lineRule="exact"/>
                    <w:rPr>
                      <w:color w:val="auto"/>
                      <w:sz w:val="18"/>
                      <w:szCs w:val="18"/>
                      <w:highlight w:val="none"/>
                    </w:rPr>
                  </w:pPr>
                </w:p>
              </w:tc>
              <w:tc>
                <w:tcPr>
                  <w:tcW w:w="643" w:type="pct"/>
                  <w:vMerge w:val="continue"/>
                  <w:vAlign w:val="center"/>
                </w:tcPr>
                <w:p>
                  <w:pPr>
                    <w:pStyle w:val="67"/>
                    <w:spacing w:line="280" w:lineRule="exact"/>
                    <w:rPr>
                      <w:color w:val="auto"/>
                      <w:sz w:val="18"/>
                      <w:szCs w:val="18"/>
                      <w:highlight w:val="none"/>
                    </w:rPr>
                  </w:pPr>
                </w:p>
              </w:tc>
              <w:tc>
                <w:tcPr>
                  <w:tcW w:w="640" w:type="pct"/>
                  <w:vMerge w:val="continue"/>
                  <w:vAlign w:val="center"/>
                </w:tcPr>
                <w:p>
                  <w:pPr>
                    <w:pStyle w:val="67"/>
                    <w:spacing w:line="280" w:lineRule="exac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1" w:type="pct"/>
                  <w:vMerge w:val="continue"/>
                  <w:vAlign w:val="center"/>
                </w:tcPr>
                <w:p>
                  <w:pPr>
                    <w:spacing w:line="280" w:lineRule="exact"/>
                    <w:jc w:val="center"/>
                    <w:rPr>
                      <w:color w:val="auto"/>
                      <w:sz w:val="18"/>
                      <w:szCs w:val="18"/>
                      <w:highlight w:val="none"/>
                    </w:rPr>
                  </w:pPr>
                </w:p>
              </w:tc>
              <w:tc>
                <w:tcPr>
                  <w:tcW w:w="709" w:type="pct"/>
                  <w:vAlign w:val="center"/>
                </w:tcPr>
                <w:p>
                  <w:pPr>
                    <w:jc w:val="center"/>
                    <w:rPr>
                      <w:color w:val="auto"/>
                      <w:sz w:val="18"/>
                      <w:szCs w:val="18"/>
                      <w:highlight w:val="none"/>
                    </w:rPr>
                  </w:pPr>
                  <w:r>
                    <w:rPr>
                      <w:color w:val="auto"/>
                      <w:sz w:val="18"/>
                      <w:szCs w:val="18"/>
                      <w:highlight w:val="none"/>
                    </w:rPr>
                    <w:t>氟化物</w:t>
                  </w:r>
                </w:p>
              </w:tc>
              <w:tc>
                <w:tcPr>
                  <w:tcW w:w="632" w:type="pct"/>
                  <w:vAlign w:val="center"/>
                </w:tcPr>
                <w:p>
                  <w:pPr>
                    <w:pStyle w:val="67"/>
                    <w:spacing w:line="280" w:lineRule="exact"/>
                    <w:rPr>
                      <w:rFonts w:hint="default" w:eastAsia="宋体"/>
                      <w:color w:val="auto"/>
                      <w:sz w:val="18"/>
                      <w:szCs w:val="18"/>
                      <w:highlight w:val="none"/>
                      <w:lang w:val="en-US" w:eastAsia="zh-CN"/>
                    </w:rPr>
                  </w:pPr>
                  <w:r>
                    <w:rPr>
                      <w:rFonts w:hint="eastAsia"/>
                      <w:color w:val="auto"/>
                      <w:sz w:val="18"/>
                      <w:szCs w:val="18"/>
                      <w:highlight w:val="none"/>
                      <w:lang w:val="en-US" w:eastAsia="zh-CN"/>
                    </w:rPr>
                    <w:t>12.25</w:t>
                  </w:r>
                </w:p>
              </w:tc>
              <w:tc>
                <w:tcPr>
                  <w:tcW w:w="643" w:type="pct"/>
                  <w:vAlign w:val="center"/>
                </w:tcPr>
                <w:p>
                  <w:pPr>
                    <w:pStyle w:val="67"/>
                    <w:spacing w:line="280" w:lineRule="exact"/>
                    <w:rPr>
                      <w:rFonts w:hint="default" w:eastAsia="宋体"/>
                      <w:color w:val="auto"/>
                      <w:sz w:val="18"/>
                      <w:szCs w:val="18"/>
                      <w:highlight w:val="none"/>
                      <w:lang w:val="en-US" w:eastAsia="zh-CN"/>
                    </w:rPr>
                  </w:pPr>
                  <w:r>
                    <w:rPr>
                      <w:rFonts w:hint="eastAsia"/>
                      <w:color w:val="auto"/>
                      <w:sz w:val="18"/>
                      <w:szCs w:val="18"/>
                      <w:highlight w:val="none"/>
                      <w:lang w:val="en-US" w:eastAsia="zh-CN"/>
                    </w:rPr>
                    <w:t>0.71</w:t>
                  </w:r>
                </w:p>
              </w:tc>
              <w:tc>
                <w:tcPr>
                  <w:tcW w:w="643" w:type="pct"/>
                  <w:vAlign w:val="center"/>
                </w:tcPr>
                <w:p>
                  <w:pPr>
                    <w:pStyle w:val="67"/>
                    <w:spacing w:line="280" w:lineRule="exact"/>
                    <w:rPr>
                      <w:color w:val="auto"/>
                      <w:sz w:val="18"/>
                      <w:szCs w:val="18"/>
                      <w:highlight w:val="none"/>
                    </w:rPr>
                  </w:pPr>
                  <w:r>
                    <w:rPr>
                      <w:color w:val="auto"/>
                      <w:sz w:val="18"/>
                      <w:szCs w:val="18"/>
                      <w:highlight w:val="none"/>
                    </w:rPr>
                    <w:t>20</w:t>
                  </w:r>
                </w:p>
              </w:tc>
              <w:tc>
                <w:tcPr>
                  <w:tcW w:w="643" w:type="pct"/>
                  <w:vMerge w:val="continue"/>
                  <w:vAlign w:val="center"/>
                </w:tcPr>
                <w:p>
                  <w:pPr>
                    <w:pStyle w:val="67"/>
                    <w:spacing w:line="280" w:lineRule="exact"/>
                    <w:rPr>
                      <w:color w:val="auto"/>
                      <w:sz w:val="18"/>
                      <w:szCs w:val="18"/>
                      <w:highlight w:val="none"/>
                    </w:rPr>
                  </w:pPr>
                </w:p>
              </w:tc>
              <w:tc>
                <w:tcPr>
                  <w:tcW w:w="643" w:type="pct"/>
                  <w:vMerge w:val="continue"/>
                  <w:vAlign w:val="center"/>
                </w:tcPr>
                <w:p>
                  <w:pPr>
                    <w:pStyle w:val="67"/>
                    <w:spacing w:line="280" w:lineRule="exact"/>
                    <w:rPr>
                      <w:color w:val="auto"/>
                      <w:sz w:val="18"/>
                      <w:szCs w:val="18"/>
                      <w:highlight w:val="none"/>
                    </w:rPr>
                  </w:pPr>
                </w:p>
              </w:tc>
              <w:tc>
                <w:tcPr>
                  <w:tcW w:w="640" w:type="pct"/>
                  <w:vMerge w:val="continue"/>
                  <w:vAlign w:val="center"/>
                </w:tcPr>
                <w:p>
                  <w:pPr>
                    <w:pStyle w:val="67"/>
                    <w:spacing w:line="280" w:lineRule="exac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1" w:type="pct"/>
                  <w:vMerge w:val="continue"/>
                  <w:vAlign w:val="center"/>
                </w:tcPr>
                <w:p>
                  <w:pPr>
                    <w:spacing w:line="280" w:lineRule="exact"/>
                    <w:jc w:val="center"/>
                    <w:rPr>
                      <w:color w:val="auto"/>
                      <w:sz w:val="18"/>
                      <w:szCs w:val="18"/>
                      <w:highlight w:val="none"/>
                    </w:rPr>
                  </w:pPr>
                </w:p>
              </w:tc>
              <w:tc>
                <w:tcPr>
                  <w:tcW w:w="709" w:type="pct"/>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动植物油</w:t>
                  </w:r>
                </w:p>
              </w:tc>
              <w:tc>
                <w:tcPr>
                  <w:tcW w:w="632" w:type="pct"/>
                  <w:vAlign w:val="center"/>
                </w:tcPr>
                <w:p>
                  <w:pPr>
                    <w:pStyle w:val="67"/>
                    <w:spacing w:line="280" w:lineRule="exact"/>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643" w:type="pct"/>
                  <w:vAlign w:val="center"/>
                </w:tcPr>
                <w:p>
                  <w:pPr>
                    <w:pStyle w:val="67"/>
                    <w:spacing w:line="280" w:lineRule="exact"/>
                    <w:rPr>
                      <w:rFonts w:hint="default"/>
                      <w:color w:val="auto"/>
                      <w:sz w:val="18"/>
                      <w:szCs w:val="18"/>
                      <w:highlight w:val="none"/>
                      <w:lang w:val="en-US" w:eastAsia="zh-CN"/>
                    </w:rPr>
                  </w:pPr>
                  <w:r>
                    <w:rPr>
                      <w:rFonts w:hint="eastAsia"/>
                      <w:color w:val="auto"/>
                      <w:sz w:val="18"/>
                      <w:szCs w:val="18"/>
                      <w:highlight w:val="none"/>
                      <w:lang w:val="en-US" w:eastAsia="zh-CN"/>
                    </w:rPr>
                    <w:t>0.58</w:t>
                  </w:r>
                </w:p>
              </w:tc>
              <w:tc>
                <w:tcPr>
                  <w:tcW w:w="643" w:type="pct"/>
                  <w:vAlign w:val="center"/>
                </w:tcPr>
                <w:p>
                  <w:pPr>
                    <w:pStyle w:val="67"/>
                    <w:spacing w:line="280" w:lineRule="exact"/>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643" w:type="pct"/>
                  <w:vMerge w:val="continue"/>
                  <w:vAlign w:val="center"/>
                </w:tcPr>
                <w:p>
                  <w:pPr>
                    <w:pStyle w:val="67"/>
                    <w:spacing w:line="280" w:lineRule="exact"/>
                    <w:rPr>
                      <w:color w:val="auto"/>
                      <w:sz w:val="18"/>
                      <w:szCs w:val="18"/>
                      <w:highlight w:val="none"/>
                    </w:rPr>
                  </w:pPr>
                </w:p>
              </w:tc>
              <w:tc>
                <w:tcPr>
                  <w:tcW w:w="643" w:type="pct"/>
                  <w:vMerge w:val="continue"/>
                  <w:vAlign w:val="center"/>
                </w:tcPr>
                <w:p>
                  <w:pPr>
                    <w:pStyle w:val="67"/>
                    <w:spacing w:line="280" w:lineRule="exact"/>
                    <w:rPr>
                      <w:color w:val="auto"/>
                      <w:sz w:val="18"/>
                      <w:szCs w:val="18"/>
                      <w:highlight w:val="none"/>
                    </w:rPr>
                  </w:pPr>
                </w:p>
              </w:tc>
              <w:tc>
                <w:tcPr>
                  <w:tcW w:w="640" w:type="pct"/>
                  <w:vMerge w:val="continue"/>
                  <w:vAlign w:val="center"/>
                </w:tcPr>
                <w:p>
                  <w:pPr>
                    <w:pStyle w:val="67"/>
                    <w:spacing w:line="280" w:lineRule="exac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1" w:type="pct"/>
                  <w:vMerge w:val="continue"/>
                  <w:vAlign w:val="center"/>
                </w:tcPr>
                <w:p>
                  <w:pPr>
                    <w:spacing w:line="280" w:lineRule="exact"/>
                    <w:jc w:val="center"/>
                    <w:rPr>
                      <w:color w:val="auto"/>
                      <w:sz w:val="18"/>
                      <w:szCs w:val="18"/>
                      <w:highlight w:val="none"/>
                    </w:rPr>
                  </w:pPr>
                </w:p>
              </w:tc>
              <w:tc>
                <w:tcPr>
                  <w:tcW w:w="709" w:type="pct"/>
                  <w:vAlign w:val="center"/>
                </w:tcPr>
                <w:p>
                  <w:pPr>
                    <w:pStyle w:val="67"/>
                    <w:spacing w:line="280" w:lineRule="exact"/>
                    <w:rPr>
                      <w:color w:val="auto"/>
                      <w:sz w:val="18"/>
                      <w:szCs w:val="18"/>
                      <w:highlight w:val="none"/>
                    </w:rPr>
                  </w:pPr>
                  <w:r>
                    <w:rPr>
                      <w:color w:val="auto"/>
                      <w:sz w:val="18"/>
                      <w:szCs w:val="18"/>
                      <w:highlight w:val="none"/>
                    </w:rPr>
                    <w:t>粪大肠菌群数</w:t>
                  </w:r>
                </w:p>
              </w:tc>
              <w:tc>
                <w:tcPr>
                  <w:tcW w:w="632" w:type="pct"/>
                  <w:vAlign w:val="center"/>
                </w:tcPr>
                <w:p>
                  <w:pPr>
                    <w:pStyle w:val="67"/>
                    <w:spacing w:line="280" w:lineRule="exact"/>
                    <w:rPr>
                      <w:color w:val="auto"/>
                      <w:sz w:val="18"/>
                      <w:szCs w:val="18"/>
                      <w:highlight w:val="none"/>
                    </w:rPr>
                  </w:pPr>
                  <w:r>
                    <w:rPr>
                      <w:rFonts w:hint="eastAsia"/>
                      <w:color w:val="auto"/>
                      <w:sz w:val="18"/>
                      <w:szCs w:val="18"/>
                      <w:highlight w:val="none"/>
                      <w:lang w:val="en-US" w:eastAsia="zh-CN"/>
                    </w:rPr>
                    <w:t>400</w:t>
                  </w:r>
                  <w:r>
                    <w:rPr>
                      <w:rFonts w:hint="eastAsia"/>
                      <w:color w:val="auto"/>
                      <w:sz w:val="18"/>
                      <w:szCs w:val="18"/>
                      <w:highlight w:val="none"/>
                    </w:rPr>
                    <w:t>（</w:t>
                  </w:r>
                  <w:r>
                    <w:rPr>
                      <w:color w:val="auto"/>
                      <w:sz w:val="18"/>
                      <w:szCs w:val="18"/>
                      <w:highlight w:val="none"/>
                    </w:rPr>
                    <w:t>MPN/L</w:t>
                  </w:r>
                  <w:r>
                    <w:rPr>
                      <w:rFonts w:hint="eastAsia"/>
                      <w:color w:val="auto"/>
                      <w:sz w:val="18"/>
                      <w:szCs w:val="18"/>
                      <w:highlight w:val="none"/>
                    </w:rPr>
                    <w:t>）</w:t>
                  </w:r>
                </w:p>
              </w:tc>
              <w:tc>
                <w:tcPr>
                  <w:tcW w:w="643" w:type="pct"/>
                  <w:vAlign w:val="center"/>
                </w:tcPr>
                <w:p>
                  <w:pPr>
                    <w:pStyle w:val="67"/>
                    <w:spacing w:line="280" w:lineRule="exact"/>
                    <w:rPr>
                      <w:color w:val="auto"/>
                      <w:sz w:val="18"/>
                      <w:szCs w:val="18"/>
                      <w:highlight w:val="none"/>
                    </w:rPr>
                  </w:pPr>
                  <w:r>
                    <w:rPr>
                      <w:rFonts w:hint="eastAsia"/>
                      <w:color w:val="auto"/>
                      <w:sz w:val="18"/>
                      <w:szCs w:val="18"/>
                      <w:highlight w:val="none"/>
                      <w:lang w:val="en-US" w:eastAsia="zh-CN"/>
                    </w:rPr>
                    <w:t>2.33</w:t>
                  </w:r>
                  <w:r>
                    <w:rPr>
                      <w:color w:val="auto"/>
                      <w:sz w:val="18"/>
                      <w:szCs w:val="18"/>
                      <w:highlight w:val="none"/>
                    </w:rPr>
                    <w:t>×10</w:t>
                  </w:r>
                  <w:r>
                    <w:rPr>
                      <w:rFonts w:hint="eastAsia"/>
                      <w:color w:val="auto"/>
                      <w:sz w:val="18"/>
                      <w:szCs w:val="18"/>
                      <w:highlight w:val="none"/>
                      <w:vertAlign w:val="superscript"/>
                      <w:lang w:val="en-US" w:eastAsia="zh-CN"/>
                    </w:rPr>
                    <w:t>10</w:t>
                  </w:r>
                  <w:r>
                    <w:rPr>
                      <w:color w:val="auto"/>
                      <w:sz w:val="18"/>
                      <w:szCs w:val="18"/>
                      <w:highlight w:val="none"/>
                    </w:rPr>
                    <w:t>MPN</w:t>
                  </w:r>
                </w:p>
              </w:tc>
              <w:tc>
                <w:tcPr>
                  <w:tcW w:w="643" w:type="pct"/>
                  <w:vAlign w:val="center"/>
                </w:tcPr>
                <w:p>
                  <w:pPr>
                    <w:pStyle w:val="67"/>
                    <w:spacing w:line="280" w:lineRule="exact"/>
                    <w:rPr>
                      <w:color w:val="auto"/>
                      <w:sz w:val="18"/>
                      <w:szCs w:val="18"/>
                      <w:highlight w:val="none"/>
                    </w:rPr>
                  </w:pPr>
                  <w:r>
                    <w:rPr>
                      <w:rFonts w:hint="eastAsia"/>
                      <w:color w:val="auto"/>
                      <w:sz w:val="18"/>
                      <w:szCs w:val="18"/>
                      <w:highlight w:val="none"/>
                    </w:rPr>
                    <w:t>500</w:t>
                  </w:r>
                  <w:r>
                    <w:rPr>
                      <w:color w:val="auto"/>
                      <w:sz w:val="18"/>
                      <w:szCs w:val="18"/>
                      <w:highlight w:val="none"/>
                    </w:rPr>
                    <w:t>MPN/L</w:t>
                  </w:r>
                </w:p>
              </w:tc>
              <w:tc>
                <w:tcPr>
                  <w:tcW w:w="643" w:type="pct"/>
                  <w:vMerge w:val="continue"/>
                  <w:vAlign w:val="center"/>
                </w:tcPr>
                <w:p>
                  <w:pPr>
                    <w:pStyle w:val="67"/>
                    <w:spacing w:line="280" w:lineRule="exact"/>
                    <w:rPr>
                      <w:color w:val="auto"/>
                      <w:sz w:val="18"/>
                      <w:szCs w:val="18"/>
                      <w:highlight w:val="none"/>
                    </w:rPr>
                  </w:pPr>
                </w:p>
              </w:tc>
              <w:tc>
                <w:tcPr>
                  <w:tcW w:w="643" w:type="pct"/>
                  <w:vMerge w:val="continue"/>
                  <w:vAlign w:val="center"/>
                </w:tcPr>
                <w:p>
                  <w:pPr>
                    <w:pStyle w:val="67"/>
                    <w:spacing w:line="280" w:lineRule="exact"/>
                    <w:rPr>
                      <w:color w:val="auto"/>
                      <w:sz w:val="18"/>
                      <w:szCs w:val="18"/>
                      <w:highlight w:val="none"/>
                    </w:rPr>
                  </w:pPr>
                </w:p>
              </w:tc>
              <w:tc>
                <w:tcPr>
                  <w:tcW w:w="640" w:type="pct"/>
                  <w:vMerge w:val="continue"/>
                  <w:vAlign w:val="center"/>
                </w:tcPr>
                <w:p>
                  <w:pPr>
                    <w:pStyle w:val="67"/>
                    <w:spacing w:line="280" w:lineRule="exac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1" w:type="pct"/>
                  <w:vMerge w:val="continue"/>
                  <w:vAlign w:val="center"/>
                </w:tcPr>
                <w:p>
                  <w:pPr>
                    <w:spacing w:line="280" w:lineRule="exact"/>
                    <w:jc w:val="center"/>
                    <w:rPr>
                      <w:color w:val="auto"/>
                      <w:sz w:val="18"/>
                      <w:szCs w:val="18"/>
                      <w:highlight w:val="none"/>
                    </w:rPr>
                  </w:pPr>
                </w:p>
              </w:tc>
              <w:tc>
                <w:tcPr>
                  <w:tcW w:w="709" w:type="pct"/>
                  <w:vAlign w:val="center"/>
                </w:tcPr>
                <w:p>
                  <w:pPr>
                    <w:pStyle w:val="67"/>
                    <w:spacing w:line="280" w:lineRule="exact"/>
                    <w:rPr>
                      <w:rFonts w:hint="default"/>
                      <w:color w:val="auto"/>
                      <w:sz w:val="18"/>
                      <w:szCs w:val="18"/>
                      <w:highlight w:val="none"/>
                      <w:lang w:val="en-US" w:eastAsia="zh-CN"/>
                    </w:rPr>
                  </w:pPr>
                  <w:r>
                    <w:rPr>
                      <w:rFonts w:hint="eastAsia"/>
                      <w:color w:val="auto"/>
                      <w:sz w:val="18"/>
                      <w:szCs w:val="18"/>
                      <w:highlight w:val="none"/>
                      <w:lang w:val="en-US" w:eastAsia="zh-CN"/>
                    </w:rPr>
                    <w:t>pH</w:t>
                  </w:r>
                </w:p>
              </w:tc>
              <w:tc>
                <w:tcPr>
                  <w:tcW w:w="632" w:type="pct"/>
                  <w:vAlign w:val="center"/>
                </w:tcPr>
                <w:p>
                  <w:pPr>
                    <w:pStyle w:val="67"/>
                    <w:spacing w:line="280" w:lineRule="exact"/>
                    <w:rPr>
                      <w:color w:val="auto"/>
                      <w:sz w:val="18"/>
                      <w:szCs w:val="18"/>
                      <w:highlight w:val="none"/>
                    </w:rPr>
                  </w:pPr>
                  <w:r>
                    <w:rPr>
                      <w:rFonts w:hint="eastAsia" w:ascii="Times New Roman" w:hAnsi="Times New Roman" w:cs="Times New Roman"/>
                      <w:color w:val="auto"/>
                      <w:kern w:val="0"/>
                      <w:sz w:val="18"/>
                      <w:szCs w:val="18"/>
                      <w:highlight w:val="none"/>
                      <w:lang w:val="en-US" w:eastAsia="zh-CN" w:bidi="ar-SA"/>
                    </w:rPr>
                    <w:t>6-9</w:t>
                  </w:r>
                </w:p>
              </w:tc>
              <w:tc>
                <w:tcPr>
                  <w:tcW w:w="643" w:type="pct"/>
                  <w:vAlign w:val="center"/>
                </w:tcPr>
                <w:p>
                  <w:pPr>
                    <w:pStyle w:val="67"/>
                    <w:spacing w:line="280" w:lineRule="exact"/>
                    <w:rPr>
                      <w:rFonts w:hint="default"/>
                      <w:color w:val="auto"/>
                      <w:sz w:val="18"/>
                      <w:szCs w:val="18"/>
                      <w:highlight w:val="none"/>
                      <w:lang w:val="en-US" w:eastAsia="zh-CN"/>
                    </w:rPr>
                  </w:pPr>
                  <w:r>
                    <w:rPr>
                      <w:rFonts w:hint="eastAsia"/>
                      <w:color w:val="auto"/>
                      <w:sz w:val="18"/>
                      <w:szCs w:val="18"/>
                      <w:highlight w:val="none"/>
                      <w:lang w:val="en-US" w:eastAsia="zh-CN"/>
                    </w:rPr>
                    <w:t>/</w:t>
                  </w:r>
                </w:p>
              </w:tc>
              <w:tc>
                <w:tcPr>
                  <w:tcW w:w="643" w:type="pct"/>
                  <w:vAlign w:val="center"/>
                </w:tcPr>
                <w:p>
                  <w:pPr>
                    <w:pStyle w:val="67"/>
                    <w:spacing w:line="280" w:lineRule="exact"/>
                    <w:rPr>
                      <w:rFonts w:hint="eastAsia"/>
                      <w:color w:val="auto"/>
                      <w:sz w:val="18"/>
                      <w:szCs w:val="18"/>
                      <w:highlight w:val="none"/>
                    </w:rPr>
                  </w:pPr>
                  <w:r>
                    <w:rPr>
                      <w:rFonts w:hint="eastAsia" w:ascii="Times New Roman" w:hAnsi="Times New Roman" w:cs="Times New Roman"/>
                      <w:color w:val="auto"/>
                      <w:kern w:val="0"/>
                      <w:sz w:val="18"/>
                      <w:szCs w:val="18"/>
                      <w:highlight w:val="none"/>
                      <w:lang w:val="en-US" w:eastAsia="zh-CN" w:bidi="ar-SA"/>
                    </w:rPr>
                    <w:t>6-9</w:t>
                  </w:r>
                </w:p>
              </w:tc>
              <w:tc>
                <w:tcPr>
                  <w:tcW w:w="643" w:type="pct"/>
                  <w:vMerge w:val="continue"/>
                  <w:vAlign w:val="center"/>
                </w:tcPr>
                <w:p>
                  <w:pPr>
                    <w:pStyle w:val="67"/>
                    <w:spacing w:line="280" w:lineRule="exact"/>
                    <w:rPr>
                      <w:color w:val="auto"/>
                      <w:sz w:val="18"/>
                      <w:szCs w:val="18"/>
                      <w:highlight w:val="none"/>
                    </w:rPr>
                  </w:pPr>
                </w:p>
              </w:tc>
              <w:tc>
                <w:tcPr>
                  <w:tcW w:w="643" w:type="pct"/>
                  <w:vMerge w:val="continue"/>
                  <w:vAlign w:val="center"/>
                </w:tcPr>
                <w:p>
                  <w:pPr>
                    <w:pStyle w:val="67"/>
                    <w:spacing w:line="280" w:lineRule="exact"/>
                    <w:rPr>
                      <w:color w:val="auto"/>
                      <w:sz w:val="18"/>
                      <w:szCs w:val="18"/>
                      <w:highlight w:val="none"/>
                    </w:rPr>
                  </w:pPr>
                </w:p>
              </w:tc>
              <w:tc>
                <w:tcPr>
                  <w:tcW w:w="640" w:type="pct"/>
                  <w:vMerge w:val="continue"/>
                  <w:vAlign w:val="center"/>
                </w:tcPr>
                <w:p>
                  <w:pPr>
                    <w:pStyle w:val="67"/>
                    <w:spacing w:line="280" w:lineRule="exact"/>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41" w:type="pct"/>
                  <w:vMerge w:val="continue"/>
                  <w:vAlign w:val="center"/>
                </w:tcPr>
                <w:p>
                  <w:pPr>
                    <w:spacing w:line="280" w:lineRule="exact"/>
                    <w:jc w:val="center"/>
                    <w:rPr>
                      <w:color w:val="auto"/>
                      <w:sz w:val="18"/>
                      <w:szCs w:val="18"/>
                      <w:highlight w:val="none"/>
                    </w:rPr>
                  </w:pPr>
                </w:p>
              </w:tc>
              <w:tc>
                <w:tcPr>
                  <w:tcW w:w="709" w:type="pct"/>
                  <w:vAlign w:val="center"/>
                </w:tcPr>
                <w:p>
                  <w:pPr>
                    <w:pStyle w:val="67"/>
                    <w:spacing w:line="280" w:lineRule="exact"/>
                    <w:rPr>
                      <w:rFonts w:hint="default"/>
                      <w:color w:val="auto"/>
                      <w:sz w:val="18"/>
                      <w:szCs w:val="18"/>
                      <w:highlight w:val="none"/>
                      <w:lang w:val="en-US" w:eastAsia="zh-CN"/>
                    </w:rPr>
                  </w:pPr>
                  <w:r>
                    <w:rPr>
                      <w:rFonts w:hint="eastAsia"/>
                      <w:color w:val="auto"/>
                      <w:sz w:val="18"/>
                      <w:szCs w:val="18"/>
                      <w:highlight w:val="none"/>
                      <w:lang w:val="en-US" w:eastAsia="zh-CN"/>
                    </w:rPr>
                    <w:t>溶解性总固体</w:t>
                  </w:r>
                </w:p>
              </w:tc>
              <w:tc>
                <w:tcPr>
                  <w:tcW w:w="632" w:type="pct"/>
                  <w:vAlign w:val="center"/>
                </w:tcPr>
                <w:p>
                  <w:pPr>
                    <w:pStyle w:val="67"/>
                    <w:spacing w:line="280" w:lineRule="exact"/>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800</w:t>
                  </w:r>
                </w:p>
              </w:tc>
              <w:tc>
                <w:tcPr>
                  <w:tcW w:w="643" w:type="pct"/>
                  <w:vAlign w:val="center"/>
                </w:tcPr>
                <w:p>
                  <w:pPr>
                    <w:pStyle w:val="67"/>
                    <w:spacing w:line="280" w:lineRule="exact"/>
                    <w:rPr>
                      <w:rFonts w:hint="default"/>
                      <w:color w:val="auto"/>
                      <w:sz w:val="18"/>
                      <w:szCs w:val="18"/>
                      <w:highlight w:val="none"/>
                      <w:lang w:val="en-US" w:eastAsia="zh-CN"/>
                    </w:rPr>
                  </w:pPr>
                  <w:r>
                    <w:rPr>
                      <w:rFonts w:hint="eastAsia"/>
                      <w:color w:val="auto"/>
                      <w:sz w:val="18"/>
                      <w:szCs w:val="18"/>
                      <w:highlight w:val="none"/>
                      <w:lang w:val="en-US" w:eastAsia="zh-CN"/>
                    </w:rPr>
                    <w:t>46.63</w:t>
                  </w:r>
                </w:p>
              </w:tc>
              <w:tc>
                <w:tcPr>
                  <w:tcW w:w="643" w:type="pct"/>
                  <w:vAlign w:val="center"/>
                </w:tcPr>
                <w:p>
                  <w:pPr>
                    <w:pStyle w:val="67"/>
                    <w:spacing w:line="280" w:lineRule="exact"/>
                    <w:rPr>
                      <w:rFonts w:hint="default" w:ascii="Times New Roman" w:hAnsi="Times New Roman" w:cs="Times New Roman"/>
                      <w:color w:val="auto"/>
                      <w:kern w:val="0"/>
                      <w:sz w:val="18"/>
                      <w:szCs w:val="18"/>
                      <w:highlight w:val="none"/>
                      <w:lang w:val="en-US" w:eastAsia="zh-CN" w:bidi="ar-SA"/>
                    </w:rPr>
                  </w:pPr>
                  <w:r>
                    <w:rPr>
                      <w:rFonts w:hint="eastAsia" w:cs="Times New Roman"/>
                      <w:color w:val="auto"/>
                      <w:kern w:val="0"/>
                      <w:sz w:val="18"/>
                      <w:szCs w:val="18"/>
                      <w:highlight w:val="none"/>
                      <w:lang w:val="en-US" w:eastAsia="zh-CN" w:bidi="ar-SA"/>
                    </w:rPr>
                    <w:t>2000</w:t>
                  </w:r>
                </w:p>
              </w:tc>
              <w:tc>
                <w:tcPr>
                  <w:tcW w:w="643" w:type="pct"/>
                  <w:vMerge w:val="continue"/>
                  <w:vAlign w:val="center"/>
                </w:tcPr>
                <w:p>
                  <w:pPr>
                    <w:pStyle w:val="67"/>
                    <w:spacing w:line="280" w:lineRule="exact"/>
                    <w:rPr>
                      <w:color w:val="auto"/>
                      <w:sz w:val="18"/>
                      <w:szCs w:val="18"/>
                      <w:highlight w:val="none"/>
                    </w:rPr>
                  </w:pPr>
                </w:p>
              </w:tc>
              <w:tc>
                <w:tcPr>
                  <w:tcW w:w="643" w:type="pct"/>
                  <w:vMerge w:val="continue"/>
                  <w:vAlign w:val="center"/>
                </w:tcPr>
                <w:p>
                  <w:pPr>
                    <w:pStyle w:val="67"/>
                    <w:spacing w:line="280" w:lineRule="exact"/>
                    <w:rPr>
                      <w:color w:val="auto"/>
                      <w:sz w:val="18"/>
                      <w:szCs w:val="18"/>
                      <w:highlight w:val="none"/>
                    </w:rPr>
                  </w:pPr>
                </w:p>
              </w:tc>
              <w:tc>
                <w:tcPr>
                  <w:tcW w:w="640" w:type="pct"/>
                  <w:vMerge w:val="continue"/>
                  <w:vAlign w:val="center"/>
                </w:tcPr>
                <w:p>
                  <w:pPr>
                    <w:pStyle w:val="67"/>
                    <w:spacing w:line="280" w:lineRule="exact"/>
                    <w:rPr>
                      <w:color w:val="auto"/>
                      <w:sz w:val="18"/>
                      <w:szCs w:val="18"/>
                      <w:highlight w:val="none"/>
                    </w:rPr>
                  </w:pPr>
                </w:p>
              </w:tc>
            </w:tr>
          </w:tbl>
          <w:p>
            <w:pPr>
              <w:jc w:val="center"/>
              <w:rPr>
                <w:color w:val="auto"/>
                <w:highlight w:val="none"/>
              </w:rPr>
            </w:pPr>
            <w:r>
              <w:rPr>
                <w:b/>
                <w:bCs/>
                <w:color w:val="auto"/>
                <w:kern w:val="0"/>
                <w:szCs w:val="21"/>
                <w:highlight w:val="none"/>
              </w:rPr>
              <w:t>表4-</w:t>
            </w:r>
            <w:r>
              <w:rPr>
                <w:rFonts w:hint="eastAsia"/>
                <w:b/>
                <w:bCs/>
                <w:color w:val="auto"/>
                <w:kern w:val="0"/>
                <w:szCs w:val="21"/>
                <w:highlight w:val="none"/>
                <w:lang w:val="en-US" w:eastAsia="zh-CN"/>
              </w:rPr>
              <w:t>10</w:t>
            </w:r>
            <w:r>
              <w:rPr>
                <w:b/>
                <w:bCs/>
                <w:color w:val="auto"/>
                <w:kern w:val="0"/>
                <w:szCs w:val="21"/>
                <w:highlight w:val="none"/>
              </w:rPr>
              <w:t xml:space="preserve">  废水排放口基本情况一览表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09"/>
              <w:gridCol w:w="1586"/>
              <w:gridCol w:w="1443"/>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7" w:type="pct"/>
                  <w:vAlign w:val="center"/>
                </w:tcPr>
                <w:p>
                  <w:pPr>
                    <w:pStyle w:val="67"/>
                    <w:spacing w:line="280" w:lineRule="exact"/>
                    <w:rPr>
                      <w:color w:val="auto"/>
                      <w:sz w:val="18"/>
                      <w:szCs w:val="18"/>
                      <w:highlight w:val="none"/>
                    </w:rPr>
                  </w:pPr>
                  <w:r>
                    <w:rPr>
                      <w:color w:val="auto"/>
                      <w:sz w:val="18"/>
                      <w:szCs w:val="18"/>
                      <w:highlight w:val="none"/>
                    </w:rPr>
                    <w:t>排放口编号</w:t>
                  </w:r>
                </w:p>
              </w:tc>
              <w:tc>
                <w:tcPr>
                  <w:tcW w:w="943" w:type="pct"/>
                  <w:vAlign w:val="center"/>
                </w:tcPr>
                <w:p>
                  <w:pPr>
                    <w:pStyle w:val="67"/>
                    <w:spacing w:line="280" w:lineRule="exact"/>
                    <w:rPr>
                      <w:color w:val="auto"/>
                      <w:sz w:val="18"/>
                      <w:szCs w:val="18"/>
                      <w:highlight w:val="none"/>
                    </w:rPr>
                  </w:pPr>
                  <w:r>
                    <w:rPr>
                      <w:color w:val="auto"/>
                      <w:sz w:val="18"/>
                      <w:szCs w:val="18"/>
                      <w:highlight w:val="none"/>
                    </w:rPr>
                    <w:t>排放口名称</w:t>
                  </w:r>
                </w:p>
              </w:tc>
              <w:tc>
                <w:tcPr>
                  <w:tcW w:w="858" w:type="pct"/>
                  <w:vAlign w:val="center"/>
                </w:tcPr>
                <w:p>
                  <w:pPr>
                    <w:pStyle w:val="67"/>
                    <w:spacing w:line="280" w:lineRule="exact"/>
                    <w:rPr>
                      <w:color w:val="auto"/>
                      <w:sz w:val="18"/>
                      <w:szCs w:val="18"/>
                      <w:highlight w:val="none"/>
                    </w:rPr>
                  </w:pPr>
                  <w:r>
                    <w:rPr>
                      <w:color w:val="auto"/>
                      <w:sz w:val="18"/>
                      <w:szCs w:val="18"/>
                      <w:highlight w:val="none"/>
                    </w:rPr>
                    <w:t>排放口类型</w:t>
                  </w:r>
                </w:p>
              </w:tc>
              <w:tc>
                <w:tcPr>
                  <w:tcW w:w="2303" w:type="pct"/>
                  <w:vAlign w:val="center"/>
                </w:tcPr>
                <w:p>
                  <w:pPr>
                    <w:pStyle w:val="67"/>
                    <w:spacing w:line="280" w:lineRule="exact"/>
                    <w:rPr>
                      <w:color w:val="auto"/>
                      <w:sz w:val="18"/>
                      <w:szCs w:val="18"/>
                      <w:highlight w:val="none"/>
                    </w:rPr>
                  </w:pPr>
                  <w:r>
                    <w:rPr>
                      <w:color w:val="auto"/>
                      <w:sz w:val="18"/>
                      <w:szCs w:val="18"/>
                      <w:highlight w:val="none"/>
                    </w:rPr>
                    <w:t>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97" w:type="pct"/>
                  <w:vAlign w:val="center"/>
                </w:tcPr>
                <w:p>
                  <w:pPr>
                    <w:pStyle w:val="67"/>
                    <w:spacing w:line="280" w:lineRule="exact"/>
                    <w:rPr>
                      <w:color w:val="auto"/>
                      <w:sz w:val="18"/>
                      <w:szCs w:val="18"/>
                      <w:highlight w:val="none"/>
                    </w:rPr>
                  </w:pPr>
                  <w:r>
                    <w:rPr>
                      <w:color w:val="auto"/>
                      <w:sz w:val="18"/>
                      <w:szCs w:val="18"/>
                      <w:highlight w:val="none"/>
                    </w:rPr>
                    <w:t>DW001</w:t>
                  </w:r>
                </w:p>
              </w:tc>
              <w:tc>
                <w:tcPr>
                  <w:tcW w:w="943" w:type="pct"/>
                  <w:vAlign w:val="center"/>
                </w:tcPr>
                <w:p>
                  <w:pPr>
                    <w:pStyle w:val="67"/>
                    <w:spacing w:line="280" w:lineRule="exact"/>
                    <w:rPr>
                      <w:color w:val="auto"/>
                      <w:sz w:val="18"/>
                      <w:szCs w:val="18"/>
                      <w:highlight w:val="none"/>
                    </w:rPr>
                  </w:pPr>
                  <w:r>
                    <w:rPr>
                      <w:color w:val="auto"/>
                      <w:sz w:val="18"/>
                      <w:szCs w:val="18"/>
                      <w:highlight w:val="none"/>
                    </w:rPr>
                    <w:t>废水总排口</w:t>
                  </w:r>
                </w:p>
              </w:tc>
              <w:tc>
                <w:tcPr>
                  <w:tcW w:w="858" w:type="pct"/>
                  <w:vAlign w:val="center"/>
                </w:tcPr>
                <w:p>
                  <w:pPr>
                    <w:pStyle w:val="67"/>
                    <w:spacing w:line="280" w:lineRule="exact"/>
                    <w:rPr>
                      <w:color w:val="auto"/>
                      <w:sz w:val="18"/>
                      <w:szCs w:val="18"/>
                      <w:highlight w:val="none"/>
                    </w:rPr>
                  </w:pPr>
                  <w:r>
                    <w:rPr>
                      <w:color w:val="auto"/>
                      <w:sz w:val="18"/>
                      <w:szCs w:val="18"/>
                      <w:highlight w:val="none"/>
                    </w:rPr>
                    <w:t>一般排放口</w:t>
                  </w:r>
                </w:p>
              </w:tc>
              <w:tc>
                <w:tcPr>
                  <w:tcW w:w="2303" w:type="pct"/>
                  <w:vAlign w:val="center"/>
                </w:tcPr>
                <w:p>
                  <w:pPr>
                    <w:pStyle w:val="67"/>
                    <w:spacing w:line="280" w:lineRule="exact"/>
                    <w:rPr>
                      <w:color w:val="auto"/>
                      <w:sz w:val="18"/>
                      <w:szCs w:val="18"/>
                      <w:highlight w:val="none"/>
                    </w:rPr>
                  </w:pPr>
                  <w:r>
                    <w:rPr>
                      <w:rFonts w:hint="eastAsia"/>
                      <w:color w:val="auto"/>
                      <w:sz w:val="18"/>
                      <w:szCs w:val="18"/>
                      <w:highlight w:val="none"/>
                    </w:rPr>
                    <w:t>117.957973</w:t>
                  </w:r>
                  <w:r>
                    <w:rPr>
                      <w:color w:val="auto"/>
                      <w:sz w:val="18"/>
                      <w:szCs w:val="18"/>
                      <w:highlight w:val="none"/>
                    </w:rPr>
                    <w:t>°E；</w:t>
                  </w:r>
                  <w:r>
                    <w:rPr>
                      <w:rFonts w:hint="eastAsia"/>
                      <w:color w:val="auto"/>
                      <w:sz w:val="18"/>
                      <w:szCs w:val="18"/>
                      <w:highlight w:val="none"/>
                    </w:rPr>
                    <w:t>36.8136544</w:t>
                  </w:r>
                  <w:r>
                    <w:rPr>
                      <w:color w:val="auto"/>
                      <w:sz w:val="18"/>
                      <w:szCs w:val="18"/>
                      <w:highlight w:val="none"/>
                    </w:rPr>
                    <w:t>°N</w:t>
                  </w:r>
                </w:p>
              </w:tc>
            </w:tr>
          </w:tbl>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eastAsia="宋体"/>
                <w:b/>
                <w:bCs/>
                <w:color w:val="auto"/>
                <w:sz w:val="21"/>
                <w:szCs w:val="21"/>
                <w:highlight w:val="none"/>
                <w:lang w:eastAsia="zh-CN"/>
              </w:rPr>
            </w:pPr>
            <w:r>
              <w:rPr>
                <w:color w:val="auto"/>
                <w:sz w:val="21"/>
                <w:szCs w:val="21"/>
                <w:highlight w:val="none"/>
              </w:rPr>
              <w:t>本项目外排废水量为</w:t>
            </w:r>
            <w:r>
              <w:rPr>
                <w:rFonts w:hint="eastAsia"/>
                <w:color w:val="auto"/>
                <w:sz w:val="21"/>
                <w:szCs w:val="21"/>
                <w:highlight w:val="none"/>
                <w:lang w:eastAsia="zh-CN"/>
              </w:rPr>
              <w:t>58292.36</w:t>
            </w:r>
            <w:r>
              <w:rPr>
                <w:color w:val="auto"/>
                <w:sz w:val="21"/>
                <w:szCs w:val="21"/>
                <w:highlight w:val="none"/>
              </w:rPr>
              <w:t>m</w:t>
            </w:r>
            <w:r>
              <w:rPr>
                <w:color w:val="auto"/>
                <w:sz w:val="21"/>
                <w:szCs w:val="21"/>
                <w:highlight w:val="none"/>
                <w:vertAlign w:val="superscript"/>
              </w:rPr>
              <w:t>3</w:t>
            </w:r>
            <w:r>
              <w:rPr>
                <w:color w:val="auto"/>
                <w:sz w:val="21"/>
                <w:szCs w:val="21"/>
                <w:highlight w:val="none"/>
              </w:rPr>
              <w:t>/a，项目废水经厂区污水处理站处理后，经市政污水管网排入光大水务（淄博）有限公司</w:t>
            </w:r>
            <w:r>
              <w:rPr>
                <w:rFonts w:hint="eastAsia"/>
                <w:color w:val="auto"/>
                <w:sz w:val="21"/>
                <w:szCs w:val="21"/>
                <w:highlight w:val="none"/>
                <w:lang w:eastAsia="zh-CN"/>
              </w:rPr>
              <w:t>一分厂</w:t>
            </w:r>
            <w:r>
              <w:rPr>
                <w:color w:val="auto"/>
                <w:sz w:val="21"/>
                <w:szCs w:val="21"/>
                <w:highlight w:val="none"/>
              </w:rPr>
              <w:t xml:space="preserve">处理后达标排放，最终外排环境的COD、氨氮量（外排COD、氨氮浓度分别以40mg/L、2mg/L计）分别为COD </w:t>
            </w:r>
            <w:r>
              <w:rPr>
                <w:rFonts w:hint="eastAsia"/>
                <w:color w:val="auto"/>
                <w:sz w:val="21"/>
                <w:szCs w:val="21"/>
                <w:highlight w:val="none"/>
                <w:lang w:val="en-US" w:eastAsia="zh-CN"/>
              </w:rPr>
              <w:t>2.332</w:t>
            </w:r>
            <w:r>
              <w:rPr>
                <w:color w:val="auto"/>
                <w:sz w:val="21"/>
                <w:szCs w:val="21"/>
                <w:highlight w:val="none"/>
              </w:rPr>
              <w:t>t/a、氨氮</w:t>
            </w:r>
            <w:r>
              <w:rPr>
                <w:rFonts w:hint="eastAsia"/>
                <w:color w:val="auto"/>
                <w:sz w:val="21"/>
                <w:szCs w:val="21"/>
                <w:highlight w:val="none"/>
                <w:lang w:val="en-US" w:eastAsia="zh-CN"/>
              </w:rPr>
              <w:t>0.116</w:t>
            </w:r>
            <w:r>
              <w:rPr>
                <w:color w:val="auto"/>
                <w:sz w:val="21"/>
                <w:szCs w:val="21"/>
                <w:highlight w:val="none"/>
              </w:rPr>
              <w:t>t/a</w:t>
            </w:r>
            <w:r>
              <w:rPr>
                <w:rFonts w:hint="eastAsia"/>
                <w:color w:val="auto"/>
                <w:sz w:val="21"/>
                <w:szCs w:val="21"/>
                <w:highlight w:val="none"/>
                <w:lang w:eastAsia="zh-CN"/>
              </w:rPr>
              <w:t>。</w:t>
            </w:r>
          </w:p>
          <w:p>
            <w:pPr>
              <w:pStyle w:val="26"/>
              <w:spacing w:after="0" w:line="360" w:lineRule="auto"/>
              <w:ind w:firstLine="0" w:firstLineChars="0"/>
              <w:rPr>
                <w:b/>
                <w:bCs/>
                <w:color w:val="auto"/>
                <w:sz w:val="21"/>
                <w:szCs w:val="21"/>
                <w:highlight w:val="none"/>
              </w:rPr>
            </w:pPr>
            <w:r>
              <w:rPr>
                <w:b/>
                <w:bCs/>
                <w:color w:val="auto"/>
                <w:sz w:val="21"/>
                <w:szCs w:val="21"/>
                <w:highlight w:val="none"/>
              </w:rPr>
              <w:t>1.4</w:t>
            </w:r>
            <w:r>
              <w:rPr>
                <w:color w:val="auto"/>
                <w:highlight w:val="none"/>
              </w:rPr>
              <w:t xml:space="preserve"> </w:t>
            </w:r>
            <w:r>
              <w:rPr>
                <w:b/>
                <w:bCs/>
                <w:color w:val="auto"/>
                <w:sz w:val="21"/>
                <w:szCs w:val="21"/>
                <w:highlight w:val="none"/>
              </w:rPr>
              <w:t>依托污水处理厂可行性分析</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 xml:space="preserve">①接纳范围 </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光大水务（淄博）水质净化一分厂位于淄博市高新技术产业开发区北侧，果里镇韩庙村东北约 150m 处，西侧靠近猪龙河，厂区占地 150 亩，服务面积 100 余平方公里， 服务人口 16 万人，主要处理淄博高新区北部工业区、张店东部化工区、民营工业园区、傅山工业园等区域产生的工业废水、生活污水；</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②水量角度分析</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本项目建成后废水产生量很小（</w:t>
            </w:r>
            <w:r>
              <w:rPr>
                <w:rFonts w:hint="eastAsia" w:ascii="Times New Roman" w:hAnsi="Times New Roman" w:eastAsia="宋体" w:cs="Times New Roman"/>
                <w:color w:val="auto"/>
                <w:sz w:val="21"/>
                <w:szCs w:val="21"/>
                <w:highlight w:val="none"/>
                <w:lang w:val="en-US" w:eastAsia="zh-CN"/>
              </w:rPr>
              <w:t>159.71</w:t>
            </w:r>
            <w:r>
              <w:rPr>
                <w:rFonts w:ascii="Times New Roman" w:hAnsi="Times New Roman" w:eastAsia="宋体" w:cs="Times New Roman"/>
                <w:color w:val="auto"/>
                <w:sz w:val="21"/>
                <w:szCs w:val="21"/>
                <w:highlight w:val="none"/>
              </w:rPr>
              <w:t>m</w:t>
            </w:r>
            <w:r>
              <w:rPr>
                <w:rFonts w:ascii="Times New Roman" w:hAnsi="Times New Roman" w:eastAsia="宋体" w:cs="Times New Roman"/>
                <w:color w:val="auto"/>
                <w:sz w:val="21"/>
                <w:szCs w:val="21"/>
                <w:highlight w:val="none"/>
                <w:vertAlign w:val="superscript"/>
              </w:rPr>
              <w:t>3</w:t>
            </w:r>
            <w:r>
              <w:rPr>
                <w:rFonts w:ascii="Times New Roman" w:hAnsi="Times New Roman" w:eastAsia="宋体" w:cs="Times New Roman"/>
                <w:color w:val="auto"/>
                <w:sz w:val="21"/>
                <w:szCs w:val="21"/>
                <w:highlight w:val="none"/>
              </w:rPr>
              <w:t xml:space="preserve"> /d），污水处理厂设计处理水量为 10 万m</w:t>
            </w:r>
            <w:r>
              <w:rPr>
                <w:rFonts w:ascii="Times New Roman" w:hAnsi="Times New Roman" w:eastAsia="宋体" w:cs="Times New Roman"/>
                <w:color w:val="auto"/>
                <w:sz w:val="21"/>
                <w:szCs w:val="21"/>
                <w:highlight w:val="none"/>
                <w:vertAlign w:val="superscript"/>
              </w:rPr>
              <w:t>3</w:t>
            </w:r>
            <w:r>
              <w:rPr>
                <w:rFonts w:ascii="Times New Roman" w:hAnsi="Times New Roman" w:eastAsia="宋体" w:cs="Times New Roman"/>
                <w:color w:val="auto"/>
                <w:sz w:val="21"/>
                <w:szCs w:val="21"/>
                <w:highlight w:val="none"/>
              </w:rPr>
              <w:t xml:space="preserve"> /d，目前处理水量在 9 万m</w:t>
            </w:r>
            <w:r>
              <w:rPr>
                <w:rFonts w:ascii="Times New Roman" w:hAnsi="Times New Roman" w:eastAsia="宋体" w:cs="Times New Roman"/>
                <w:color w:val="auto"/>
                <w:sz w:val="21"/>
                <w:szCs w:val="21"/>
                <w:highlight w:val="none"/>
                <w:vertAlign w:val="superscript"/>
              </w:rPr>
              <w:t>3</w:t>
            </w:r>
            <w:r>
              <w:rPr>
                <w:rFonts w:ascii="Times New Roman" w:hAnsi="Times New Roman" w:eastAsia="宋体" w:cs="Times New Roman"/>
                <w:color w:val="auto"/>
                <w:sz w:val="21"/>
                <w:szCs w:val="21"/>
                <w:highlight w:val="none"/>
              </w:rPr>
              <w:t xml:space="preserve"> /d 左右，完全可以接纳本项目外排废水。</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③稳定达标分析</w:t>
            </w:r>
          </w:p>
          <w:p>
            <w:pPr>
              <w:pStyle w:val="26"/>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 w:val="21"/>
                <w:szCs w:val="21"/>
                <w:highlight w:val="none"/>
              </w:rPr>
              <w:t>光大一分厂设计处理污水规模 10 万 m</w:t>
            </w:r>
            <w:r>
              <w:rPr>
                <w:rFonts w:ascii="Times New Roman" w:hAnsi="Times New Roman" w:eastAsia="宋体" w:cs="Times New Roman"/>
                <w:color w:val="auto"/>
                <w:sz w:val="21"/>
                <w:szCs w:val="21"/>
                <w:highlight w:val="none"/>
                <w:vertAlign w:val="superscript"/>
              </w:rPr>
              <w:t>3</w:t>
            </w:r>
            <w:r>
              <w:rPr>
                <w:rFonts w:ascii="Times New Roman" w:hAnsi="Times New Roman" w:eastAsia="宋体" w:cs="Times New Roman"/>
                <w:color w:val="auto"/>
                <w:sz w:val="21"/>
                <w:szCs w:val="21"/>
                <w:highlight w:val="none"/>
              </w:rPr>
              <w:t>/d，采用“初沉池+A</w:t>
            </w:r>
            <w:r>
              <w:rPr>
                <w:rFonts w:ascii="Times New Roman" w:hAnsi="Times New Roman" w:eastAsia="宋体" w:cs="Times New Roman"/>
                <w:color w:val="auto"/>
                <w:sz w:val="21"/>
                <w:szCs w:val="21"/>
                <w:highlight w:val="none"/>
                <w:vertAlign w:val="subscript"/>
              </w:rPr>
              <w:t>2</w:t>
            </w:r>
            <w:r>
              <w:rPr>
                <w:rFonts w:ascii="Times New Roman" w:hAnsi="Times New Roman" w:eastAsia="宋体" w:cs="Times New Roman"/>
                <w:color w:val="auto"/>
                <w:sz w:val="21"/>
                <w:szCs w:val="21"/>
                <w:highlight w:val="none"/>
              </w:rPr>
              <w:t>O 生化池+深度处理”工艺，2008 年 4 月 22 日通过环保验收，出水达到《城镇污水处理厂污染物排放标准 》GB18918-2002）中的一级 A 类排放标准。其处理工艺如下： 本次环评收集了光大水务（淄博）有限公司水质净化一分厂 2021 年全年的在线监测数据，见表 4-</w:t>
            </w:r>
            <w:r>
              <w:rPr>
                <w:rFonts w:hint="eastAsia" w:ascii="Times New Roman" w:hAnsi="Times New Roman" w:eastAsia="宋体" w:cs="Times New Roman"/>
                <w:color w:val="auto"/>
                <w:sz w:val="21"/>
                <w:szCs w:val="21"/>
                <w:highlight w:val="none"/>
                <w:lang w:val="en-US" w:eastAsia="zh-CN"/>
              </w:rPr>
              <w:t>11</w:t>
            </w:r>
          </w:p>
          <w:p>
            <w:pPr>
              <w:autoSpaceDE w:val="0"/>
              <w:autoSpaceDN w:val="0"/>
              <w:adjustRightInd w:val="0"/>
              <w:spacing w:line="360" w:lineRule="auto"/>
              <w:jc w:val="center"/>
              <w:rPr>
                <w:b/>
                <w:snapToGrid w:val="0"/>
                <w:color w:val="auto"/>
                <w:kern w:val="0"/>
                <w:szCs w:val="21"/>
                <w:highlight w:val="none"/>
              </w:rPr>
            </w:pPr>
            <w:r>
              <w:rPr>
                <w:b/>
                <w:snapToGrid w:val="0"/>
                <w:color w:val="auto"/>
                <w:kern w:val="0"/>
                <w:szCs w:val="21"/>
                <w:highlight w:val="none"/>
              </w:rPr>
              <w:t>表4-</w:t>
            </w:r>
            <w:r>
              <w:rPr>
                <w:rFonts w:hint="eastAsia"/>
                <w:b/>
                <w:snapToGrid w:val="0"/>
                <w:color w:val="auto"/>
                <w:kern w:val="0"/>
                <w:szCs w:val="21"/>
                <w:highlight w:val="none"/>
                <w:lang w:val="en-US" w:eastAsia="zh-CN"/>
              </w:rPr>
              <w:t>11</w:t>
            </w:r>
            <w:r>
              <w:rPr>
                <w:b/>
                <w:snapToGrid w:val="0"/>
                <w:color w:val="auto"/>
                <w:kern w:val="0"/>
                <w:szCs w:val="21"/>
                <w:highlight w:val="none"/>
              </w:rPr>
              <w:t xml:space="preserve"> 污水处理厂在线监测数据</w:t>
            </w:r>
          </w:p>
          <w:tbl>
            <w:tblPr>
              <w:tblStyle w:val="27"/>
              <w:tblW w:w="49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3201"/>
              <w:gridCol w:w="302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47" w:type="pct"/>
                  <w:noWrap w:val="0"/>
                  <w:vAlign w:val="center"/>
                </w:tcPr>
                <w:p>
                  <w:pPr>
                    <w:jc w:val="center"/>
                    <w:rPr>
                      <w:color w:val="auto"/>
                      <w:szCs w:val="21"/>
                      <w:highlight w:val="none"/>
                    </w:rPr>
                  </w:pPr>
                  <w:r>
                    <w:rPr>
                      <w:color w:val="auto"/>
                      <w:szCs w:val="21"/>
                      <w:highlight w:val="none"/>
                    </w:rPr>
                    <w:t>时间</w:t>
                  </w:r>
                </w:p>
              </w:tc>
              <w:tc>
                <w:tcPr>
                  <w:tcW w:w="1927" w:type="pct"/>
                  <w:noWrap w:val="0"/>
                  <w:vAlign w:val="center"/>
                </w:tcPr>
                <w:p>
                  <w:pPr>
                    <w:jc w:val="center"/>
                    <w:rPr>
                      <w:color w:val="auto"/>
                      <w:szCs w:val="21"/>
                      <w:highlight w:val="none"/>
                    </w:rPr>
                  </w:pPr>
                  <w:r>
                    <w:rPr>
                      <w:rFonts w:hint="eastAsia"/>
                      <w:color w:val="auto"/>
                      <w:szCs w:val="21"/>
                      <w:highlight w:val="none"/>
                    </w:rPr>
                    <w:t>COD</w:t>
                  </w:r>
                  <w:r>
                    <w:rPr>
                      <w:color w:val="auto"/>
                      <w:szCs w:val="21"/>
                      <w:highlight w:val="none"/>
                    </w:rPr>
                    <w:t>（mg/L）</w:t>
                  </w:r>
                </w:p>
              </w:tc>
              <w:tc>
                <w:tcPr>
                  <w:tcW w:w="1824" w:type="pct"/>
                  <w:gridSpan w:val="2"/>
                  <w:noWrap w:val="0"/>
                  <w:vAlign w:val="center"/>
                </w:tcPr>
                <w:p>
                  <w:pPr>
                    <w:jc w:val="center"/>
                    <w:rPr>
                      <w:color w:val="auto"/>
                      <w:szCs w:val="21"/>
                      <w:highlight w:val="none"/>
                    </w:rPr>
                  </w:pPr>
                  <w:r>
                    <w:rPr>
                      <w:color w:val="auto"/>
                      <w:szCs w:val="21"/>
                      <w:highlight w:val="none"/>
                    </w:rPr>
                    <w:t>氨氮（mg/L）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rFonts w:hint="eastAsia" w:eastAsia="宋体"/>
                      <w:color w:val="auto"/>
                      <w:szCs w:val="21"/>
                      <w:highlight w:val="none"/>
                      <w:lang w:val="en-US" w:eastAsia="zh-CN"/>
                    </w:rPr>
                  </w:pPr>
                  <w:r>
                    <w:rPr>
                      <w:color w:val="auto"/>
                      <w:szCs w:val="21"/>
                      <w:highlight w:val="none"/>
                    </w:rPr>
                    <w:t>20</w:t>
                  </w:r>
                  <w:r>
                    <w:rPr>
                      <w:rFonts w:hint="eastAsia"/>
                      <w:color w:val="auto"/>
                      <w:szCs w:val="21"/>
                      <w:highlight w:val="none"/>
                      <w:lang w:val="en-US" w:eastAsia="zh-CN"/>
                    </w:rPr>
                    <w:t>22</w:t>
                  </w:r>
                  <w:r>
                    <w:rPr>
                      <w:color w:val="auto"/>
                      <w:szCs w:val="21"/>
                      <w:highlight w:val="none"/>
                    </w:rPr>
                    <w:t>.0</w:t>
                  </w:r>
                  <w:r>
                    <w:rPr>
                      <w:rFonts w:hint="eastAsia"/>
                      <w:color w:val="auto"/>
                      <w:szCs w:val="21"/>
                      <w:highlight w:val="none"/>
                      <w:lang w:val="en-US" w:eastAsia="zh-CN"/>
                    </w:rPr>
                    <w:t>6</w:t>
                  </w:r>
                </w:p>
              </w:tc>
              <w:tc>
                <w:tcPr>
                  <w:tcW w:w="3201"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13.7</w:t>
                  </w:r>
                </w:p>
              </w:tc>
              <w:tc>
                <w:tcPr>
                  <w:tcW w:w="182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color w:val="auto"/>
                      <w:szCs w:val="21"/>
                      <w:highlight w:val="none"/>
                    </w:rPr>
                  </w:pPr>
                  <w:r>
                    <w:rPr>
                      <w:color w:val="auto"/>
                      <w:szCs w:val="21"/>
                      <w:highlight w:val="none"/>
                    </w:rPr>
                    <w:t>20</w:t>
                  </w:r>
                  <w:r>
                    <w:rPr>
                      <w:rFonts w:hint="eastAsia"/>
                      <w:color w:val="auto"/>
                      <w:szCs w:val="21"/>
                      <w:highlight w:val="none"/>
                      <w:lang w:val="en-US" w:eastAsia="zh-CN"/>
                    </w:rPr>
                    <w:t>22</w:t>
                  </w:r>
                  <w:r>
                    <w:rPr>
                      <w:color w:val="auto"/>
                      <w:szCs w:val="21"/>
                      <w:highlight w:val="none"/>
                    </w:rPr>
                    <w:t>.0</w:t>
                  </w:r>
                  <w:r>
                    <w:rPr>
                      <w:rFonts w:hint="eastAsia"/>
                      <w:color w:val="auto"/>
                      <w:szCs w:val="21"/>
                      <w:highlight w:val="none"/>
                      <w:lang w:val="en-US" w:eastAsia="zh-CN"/>
                    </w:rPr>
                    <w:t>7</w:t>
                  </w:r>
                </w:p>
              </w:tc>
              <w:tc>
                <w:tcPr>
                  <w:tcW w:w="3201"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9</w:t>
                  </w:r>
                </w:p>
              </w:tc>
              <w:tc>
                <w:tcPr>
                  <w:tcW w:w="182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color w:val="auto"/>
                      <w:szCs w:val="21"/>
                      <w:highlight w:val="none"/>
                    </w:rPr>
                  </w:pPr>
                  <w:r>
                    <w:rPr>
                      <w:color w:val="auto"/>
                      <w:szCs w:val="21"/>
                      <w:highlight w:val="none"/>
                    </w:rPr>
                    <w:t>20</w:t>
                  </w:r>
                  <w:r>
                    <w:rPr>
                      <w:rFonts w:hint="eastAsia"/>
                      <w:color w:val="auto"/>
                      <w:szCs w:val="21"/>
                      <w:highlight w:val="none"/>
                      <w:lang w:val="en-US" w:eastAsia="zh-CN"/>
                    </w:rPr>
                    <w:t>22</w:t>
                  </w:r>
                  <w:r>
                    <w:rPr>
                      <w:color w:val="auto"/>
                      <w:szCs w:val="21"/>
                      <w:highlight w:val="none"/>
                    </w:rPr>
                    <w:t>.0</w:t>
                  </w:r>
                  <w:r>
                    <w:rPr>
                      <w:rFonts w:hint="eastAsia"/>
                      <w:color w:val="auto"/>
                      <w:szCs w:val="21"/>
                      <w:highlight w:val="none"/>
                      <w:lang w:val="en-US" w:eastAsia="zh-CN"/>
                    </w:rPr>
                    <w:t>8</w:t>
                  </w:r>
                </w:p>
              </w:tc>
              <w:tc>
                <w:tcPr>
                  <w:tcW w:w="3201"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11</w:t>
                  </w:r>
                </w:p>
              </w:tc>
              <w:tc>
                <w:tcPr>
                  <w:tcW w:w="182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color w:val="auto"/>
                      <w:szCs w:val="21"/>
                      <w:highlight w:val="none"/>
                    </w:rPr>
                  </w:pPr>
                  <w:r>
                    <w:rPr>
                      <w:color w:val="auto"/>
                      <w:szCs w:val="21"/>
                      <w:highlight w:val="none"/>
                    </w:rPr>
                    <w:t>20</w:t>
                  </w:r>
                  <w:r>
                    <w:rPr>
                      <w:rFonts w:hint="eastAsia"/>
                      <w:color w:val="auto"/>
                      <w:szCs w:val="21"/>
                      <w:highlight w:val="none"/>
                      <w:lang w:val="en-US" w:eastAsia="zh-CN"/>
                    </w:rPr>
                    <w:t>22</w:t>
                  </w:r>
                  <w:r>
                    <w:rPr>
                      <w:color w:val="auto"/>
                      <w:szCs w:val="21"/>
                      <w:highlight w:val="none"/>
                    </w:rPr>
                    <w:t>.0</w:t>
                  </w:r>
                  <w:r>
                    <w:rPr>
                      <w:rFonts w:hint="eastAsia"/>
                      <w:color w:val="auto"/>
                      <w:szCs w:val="21"/>
                      <w:highlight w:val="none"/>
                      <w:lang w:val="en-US" w:eastAsia="zh-CN"/>
                    </w:rPr>
                    <w:t>9</w:t>
                  </w:r>
                </w:p>
              </w:tc>
              <w:tc>
                <w:tcPr>
                  <w:tcW w:w="3201"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9.9</w:t>
                  </w:r>
                </w:p>
              </w:tc>
              <w:tc>
                <w:tcPr>
                  <w:tcW w:w="182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rFonts w:hint="default" w:eastAsia="宋体"/>
                      <w:color w:val="auto"/>
                      <w:szCs w:val="21"/>
                      <w:highlight w:val="none"/>
                      <w:lang w:val="en-US" w:eastAsia="zh-CN"/>
                    </w:rPr>
                  </w:pPr>
                  <w:r>
                    <w:rPr>
                      <w:color w:val="auto"/>
                      <w:szCs w:val="21"/>
                      <w:highlight w:val="none"/>
                    </w:rPr>
                    <w:t>20</w:t>
                  </w:r>
                  <w:r>
                    <w:rPr>
                      <w:rFonts w:hint="eastAsia"/>
                      <w:color w:val="auto"/>
                      <w:szCs w:val="21"/>
                      <w:highlight w:val="none"/>
                      <w:lang w:val="en-US" w:eastAsia="zh-CN"/>
                    </w:rPr>
                    <w:t>22</w:t>
                  </w:r>
                  <w:r>
                    <w:rPr>
                      <w:color w:val="auto"/>
                      <w:szCs w:val="21"/>
                      <w:highlight w:val="none"/>
                    </w:rPr>
                    <w:t>.</w:t>
                  </w:r>
                  <w:r>
                    <w:rPr>
                      <w:rFonts w:hint="eastAsia"/>
                      <w:color w:val="auto"/>
                      <w:szCs w:val="21"/>
                      <w:highlight w:val="none"/>
                      <w:lang w:val="en-US" w:eastAsia="zh-CN"/>
                    </w:rPr>
                    <w:t>10</w:t>
                  </w:r>
                </w:p>
              </w:tc>
              <w:tc>
                <w:tcPr>
                  <w:tcW w:w="3201"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9.9</w:t>
                  </w:r>
                </w:p>
              </w:tc>
              <w:tc>
                <w:tcPr>
                  <w:tcW w:w="182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rFonts w:hint="default" w:eastAsia="宋体"/>
                      <w:color w:val="auto"/>
                      <w:szCs w:val="21"/>
                      <w:highlight w:val="none"/>
                      <w:lang w:val="en-US" w:eastAsia="zh-CN"/>
                    </w:rPr>
                  </w:pPr>
                  <w:r>
                    <w:rPr>
                      <w:color w:val="auto"/>
                      <w:szCs w:val="21"/>
                      <w:highlight w:val="none"/>
                    </w:rPr>
                    <w:t>20</w:t>
                  </w:r>
                  <w:r>
                    <w:rPr>
                      <w:rFonts w:hint="eastAsia"/>
                      <w:color w:val="auto"/>
                      <w:szCs w:val="21"/>
                      <w:highlight w:val="none"/>
                      <w:lang w:val="en-US" w:eastAsia="zh-CN"/>
                    </w:rPr>
                    <w:t>22</w:t>
                  </w:r>
                  <w:r>
                    <w:rPr>
                      <w:color w:val="auto"/>
                      <w:szCs w:val="21"/>
                      <w:highlight w:val="none"/>
                    </w:rPr>
                    <w:t>.</w:t>
                  </w:r>
                  <w:r>
                    <w:rPr>
                      <w:rFonts w:hint="eastAsia"/>
                      <w:color w:val="auto"/>
                      <w:szCs w:val="21"/>
                      <w:highlight w:val="none"/>
                      <w:lang w:val="en-US" w:eastAsia="zh-CN"/>
                    </w:rPr>
                    <w:t>11</w:t>
                  </w:r>
                </w:p>
              </w:tc>
              <w:tc>
                <w:tcPr>
                  <w:tcW w:w="3201"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10.6</w:t>
                  </w:r>
                </w:p>
              </w:tc>
              <w:tc>
                <w:tcPr>
                  <w:tcW w:w="182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rFonts w:hint="default" w:eastAsia="宋体"/>
                      <w:color w:val="auto"/>
                      <w:szCs w:val="21"/>
                      <w:highlight w:val="none"/>
                      <w:lang w:val="en-US" w:eastAsia="zh-CN"/>
                    </w:rPr>
                  </w:pPr>
                  <w:r>
                    <w:rPr>
                      <w:color w:val="auto"/>
                      <w:szCs w:val="21"/>
                      <w:highlight w:val="none"/>
                    </w:rPr>
                    <w:t>20</w:t>
                  </w:r>
                  <w:r>
                    <w:rPr>
                      <w:rFonts w:hint="eastAsia"/>
                      <w:color w:val="auto"/>
                      <w:szCs w:val="21"/>
                      <w:highlight w:val="none"/>
                      <w:lang w:val="en-US" w:eastAsia="zh-CN"/>
                    </w:rPr>
                    <w:t>22</w:t>
                  </w:r>
                  <w:r>
                    <w:rPr>
                      <w:color w:val="auto"/>
                      <w:szCs w:val="21"/>
                      <w:highlight w:val="none"/>
                    </w:rPr>
                    <w:t>.</w:t>
                  </w:r>
                  <w:r>
                    <w:rPr>
                      <w:rFonts w:hint="eastAsia"/>
                      <w:color w:val="auto"/>
                      <w:szCs w:val="21"/>
                      <w:highlight w:val="none"/>
                      <w:lang w:val="en-US" w:eastAsia="zh-CN"/>
                    </w:rPr>
                    <w:t>12</w:t>
                  </w:r>
                </w:p>
              </w:tc>
              <w:tc>
                <w:tcPr>
                  <w:tcW w:w="3201"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10.3</w:t>
                  </w:r>
                </w:p>
              </w:tc>
              <w:tc>
                <w:tcPr>
                  <w:tcW w:w="182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rFonts w:hint="eastAsia" w:eastAsia="宋体"/>
                      <w:color w:val="auto"/>
                      <w:szCs w:val="21"/>
                      <w:highlight w:val="none"/>
                      <w:lang w:eastAsia="zh-CN"/>
                    </w:rPr>
                  </w:pPr>
                  <w:r>
                    <w:rPr>
                      <w:color w:val="auto"/>
                      <w:szCs w:val="21"/>
                      <w:highlight w:val="none"/>
                    </w:rPr>
                    <w:t>20</w:t>
                  </w:r>
                  <w:r>
                    <w:rPr>
                      <w:rFonts w:hint="eastAsia"/>
                      <w:color w:val="auto"/>
                      <w:szCs w:val="21"/>
                      <w:highlight w:val="none"/>
                      <w:lang w:val="en-US" w:eastAsia="zh-CN"/>
                    </w:rPr>
                    <w:t>23</w:t>
                  </w:r>
                  <w:r>
                    <w:rPr>
                      <w:color w:val="auto"/>
                      <w:szCs w:val="21"/>
                      <w:highlight w:val="none"/>
                    </w:rPr>
                    <w:t>.</w:t>
                  </w:r>
                  <w:r>
                    <w:rPr>
                      <w:rFonts w:hint="eastAsia"/>
                      <w:color w:val="auto"/>
                      <w:szCs w:val="21"/>
                      <w:highlight w:val="none"/>
                      <w:lang w:val="en-US" w:eastAsia="zh-CN"/>
                    </w:rPr>
                    <w:t>1</w:t>
                  </w:r>
                </w:p>
              </w:tc>
              <w:tc>
                <w:tcPr>
                  <w:tcW w:w="3201"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10.1</w:t>
                  </w:r>
                </w:p>
              </w:tc>
              <w:tc>
                <w:tcPr>
                  <w:tcW w:w="182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rFonts w:hint="eastAsia" w:eastAsia="宋体"/>
                      <w:color w:val="auto"/>
                      <w:szCs w:val="21"/>
                      <w:highlight w:val="none"/>
                      <w:lang w:eastAsia="zh-CN"/>
                    </w:rPr>
                  </w:pPr>
                  <w:r>
                    <w:rPr>
                      <w:color w:val="auto"/>
                      <w:szCs w:val="21"/>
                      <w:highlight w:val="none"/>
                    </w:rPr>
                    <w:t>20</w:t>
                  </w:r>
                  <w:r>
                    <w:rPr>
                      <w:rFonts w:hint="eastAsia"/>
                      <w:color w:val="auto"/>
                      <w:szCs w:val="21"/>
                      <w:highlight w:val="none"/>
                      <w:lang w:val="en-US" w:eastAsia="zh-CN"/>
                    </w:rPr>
                    <w:t>23</w:t>
                  </w:r>
                  <w:r>
                    <w:rPr>
                      <w:color w:val="auto"/>
                      <w:szCs w:val="21"/>
                      <w:highlight w:val="none"/>
                    </w:rPr>
                    <w:t>.</w:t>
                  </w:r>
                  <w:r>
                    <w:rPr>
                      <w:rFonts w:hint="eastAsia"/>
                      <w:color w:val="auto"/>
                      <w:szCs w:val="21"/>
                      <w:highlight w:val="none"/>
                      <w:lang w:val="en-US" w:eastAsia="zh-CN"/>
                    </w:rPr>
                    <w:t>2</w:t>
                  </w:r>
                </w:p>
              </w:tc>
              <w:tc>
                <w:tcPr>
                  <w:tcW w:w="3201"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10.9</w:t>
                  </w:r>
                </w:p>
              </w:tc>
              <w:tc>
                <w:tcPr>
                  <w:tcW w:w="182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rFonts w:hint="eastAsia"/>
                      <w:color w:val="auto"/>
                      <w:szCs w:val="21"/>
                      <w:highlight w:val="none"/>
                    </w:rPr>
                  </w:pPr>
                  <w:r>
                    <w:rPr>
                      <w:color w:val="auto"/>
                      <w:szCs w:val="21"/>
                      <w:highlight w:val="none"/>
                    </w:rPr>
                    <w:t>20</w:t>
                  </w:r>
                  <w:r>
                    <w:rPr>
                      <w:rFonts w:hint="eastAsia"/>
                      <w:color w:val="auto"/>
                      <w:szCs w:val="21"/>
                      <w:highlight w:val="none"/>
                      <w:lang w:val="en-US" w:eastAsia="zh-CN"/>
                    </w:rPr>
                    <w:t>23</w:t>
                  </w:r>
                  <w:r>
                    <w:rPr>
                      <w:color w:val="auto"/>
                      <w:szCs w:val="21"/>
                      <w:highlight w:val="none"/>
                    </w:rPr>
                    <w:t>.0</w:t>
                  </w:r>
                  <w:r>
                    <w:rPr>
                      <w:rFonts w:hint="eastAsia"/>
                      <w:color w:val="auto"/>
                      <w:szCs w:val="21"/>
                      <w:highlight w:val="none"/>
                      <w:lang w:val="en-US" w:eastAsia="zh-CN"/>
                    </w:rPr>
                    <w:t>3</w:t>
                  </w:r>
                </w:p>
              </w:tc>
              <w:tc>
                <w:tcPr>
                  <w:tcW w:w="3201"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11.9</w:t>
                  </w:r>
                </w:p>
              </w:tc>
              <w:tc>
                <w:tcPr>
                  <w:tcW w:w="182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rFonts w:hint="eastAsia"/>
                      <w:color w:val="auto"/>
                      <w:szCs w:val="21"/>
                      <w:highlight w:val="none"/>
                    </w:rPr>
                  </w:pPr>
                  <w:r>
                    <w:rPr>
                      <w:color w:val="auto"/>
                      <w:szCs w:val="21"/>
                      <w:highlight w:val="none"/>
                    </w:rPr>
                    <w:t>20</w:t>
                  </w:r>
                  <w:r>
                    <w:rPr>
                      <w:rFonts w:hint="eastAsia"/>
                      <w:color w:val="auto"/>
                      <w:szCs w:val="21"/>
                      <w:highlight w:val="none"/>
                      <w:lang w:val="en-US" w:eastAsia="zh-CN"/>
                    </w:rPr>
                    <w:t>23</w:t>
                  </w:r>
                  <w:r>
                    <w:rPr>
                      <w:color w:val="auto"/>
                      <w:szCs w:val="21"/>
                      <w:highlight w:val="none"/>
                    </w:rPr>
                    <w:t>.0</w:t>
                  </w:r>
                  <w:r>
                    <w:rPr>
                      <w:rFonts w:hint="eastAsia"/>
                      <w:color w:val="auto"/>
                      <w:szCs w:val="21"/>
                      <w:highlight w:val="none"/>
                      <w:lang w:val="en-US" w:eastAsia="zh-CN"/>
                    </w:rPr>
                    <w:t>4</w:t>
                  </w:r>
                </w:p>
              </w:tc>
              <w:tc>
                <w:tcPr>
                  <w:tcW w:w="3201" w:type="dxa"/>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13.5</w:t>
                  </w:r>
                </w:p>
              </w:tc>
              <w:tc>
                <w:tcPr>
                  <w:tcW w:w="182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color w:val="auto"/>
                      <w:szCs w:val="21"/>
                      <w:highlight w:val="none"/>
                    </w:rPr>
                    <w:t>20</w:t>
                  </w:r>
                  <w:r>
                    <w:rPr>
                      <w:rFonts w:hint="eastAsia"/>
                      <w:color w:val="auto"/>
                      <w:szCs w:val="21"/>
                      <w:highlight w:val="none"/>
                      <w:lang w:val="en-US" w:eastAsia="zh-CN"/>
                    </w:rPr>
                    <w:t>23</w:t>
                  </w:r>
                  <w:r>
                    <w:rPr>
                      <w:color w:val="auto"/>
                      <w:szCs w:val="21"/>
                      <w:highlight w:val="none"/>
                    </w:rPr>
                    <w:t>.0</w:t>
                  </w:r>
                  <w:r>
                    <w:rPr>
                      <w:rFonts w:hint="eastAsia"/>
                      <w:color w:val="auto"/>
                      <w:szCs w:val="21"/>
                      <w:highlight w:val="none"/>
                      <w:lang w:val="en-US" w:eastAsia="zh-CN"/>
                    </w:rPr>
                    <w:t>5</w:t>
                  </w:r>
                </w:p>
              </w:tc>
              <w:tc>
                <w:tcPr>
                  <w:tcW w:w="3201" w:type="dxa"/>
                  <w:noWrap w:val="0"/>
                  <w:vAlign w:val="center"/>
                </w:tcPr>
                <w:p>
                  <w:pPr>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14</w:t>
                  </w:r>
                </w:p>
              </w:tc>
              <w:tc>
                <w:tcPr>
                  <w:tcW w:w="1820" w:type="pct"/>
                  <w:noWrap w:val="0"/>
                  <w:vAlign w:val="center"/>
                </w:tcPr>
                <w:p>
                  <w:pPr>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jc w:val="center"/>
              </w:trPr>
              <w:tc>
                <w:tcPr>
                  <w:tcW w:w="1247" w:type="pct"/>
                  <w:noWrap w:val="0"/>
                  <w:vAlign w:val="center"/>
                </w:tcPr>
                <w:p>
                  <w:pPr>
                    <w:jc w:val="center"/>
                    <w:rPr>
                      <w:color w:val="auto"/>
                      <w:szCs w:val="21"/>
                      <w:highlight w:val="none"/>
                    </w:rPr>
                  </w:pPr>
                  <w:r>
                    <w:rPr>
                      <w:rFonts w:hint="eastAsia"/>
                      <w:color w:val="auto"/>
                      <w:szCs w:val="21"/>
                      <w:highlight w:val="none"/>
                    </w:rPr>
                    <w:t>标准值</w:t>
                  </w:r>
                </w:p>
              </w:tc>
              <w:tc>
                <w:tcPr>
                  <w:tcW w:w="1927"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40</w:t>
                  </w:r>
                </w:p>
              </w:tc>
              <w:tc>
                <w:tcPr>
                  <w:tcW w:w="1820" w:type="pct"/>
                  <w:noWrap w:val="0"/>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2</w:t>
                  </w:r>
                </w:p>
              </w:tc>
            </w:tr>
          </w:tbl>
          <w:p>
            <w:pPr>
              <w:pStyle w:val="26"/>
              <w:spacing w:after="0" w:line="360" w:lineRule="auto"/>
              <w:ind w:left="0" w:left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根据监测结果可以看出，</w:t>
            </w:r>
            <w:r>
              <w:rPr>
                <w:rFonts w:hint="eastAsia" w:cs="Times New Roman"/>
                <w:color w:val="auto"/>
                <w:sz w:val="21"/>
                <w:szCs w:val="21"/>
                <w:highlight w:val="none"/>
                <w:lang w:eastAsia="zh-CN"/>
              </w:rPr>
              <w:t>光大水务（淄博）有限公司水质净化一分厂</w:t>
            </w:r>
            <w:r>
              <w:rPr>
                <w:rFonts w:ascii="Times New Roman" w:hAnsi="Times New Roman" w:eastAsia="宋体" w:cs="Times New Roman"/>
                <w:color w:val="auto"/>
                <w:sz w:val="21"/>
                <w:szCs w:val="21"/>
                <w:highlight w:val="none"/>
              </w:rPr>
              <w:t>出水水质满足《城镇污水处理厂污染物排放标准》（GB18918-2002）中一级A排放标准、《流域水污染物综合排放标准 第3部分：小清河流域》（DB37/3416.3-2018）以及淄博市人民政府关于印发淄博市落实《水污染防治行动计划》实施方案的通知（淄政发〔2016〕12号）要求（COD≤40mg/L，NH3-N≤2mg/L）。</w:t>
            </w:r>
          </w:p>
          <w:p>
            <w:pPr>
              <w:spacing w:line="360" w:lineRule="auto"/>
              <w:ind w:firstLine="420"/>
              <w:rPr>
                <w:color w:val="auto"/>
                <w:szCs w:val="21"/>
                <w:highlight w:val="none"/>
              </w:rPr>
            </w:pPr>
            <w:r>
              <w:rPr>
                <w:color w:val="auto"/>
                <w:highlight w:val="none"/>
              </w:rPr>
              <w:t>综上，从处理能力、接纳范围、处理工艺、进出水水质等方面分析，项目外排废水进入光大水务（淄博）有限公司水质净化</w:t>
            </w:r>
            <w:r>
              <w:rPr>
                <w:rFonts w:hint="eastAsia"/>
                <w:color w:val="auto"/>
                <w:highlight w:val="none"/>
                <w:lang w:eastAsia="zh-CN"/>
              </w:rPr>
              <w:t>一分厂</w:t>
            </w:r>
            <w:r>
              <w:rPr>
                <w:color w:val="auto"/>
                <w:highlight w:val="none"/>
              </w:rPr>
              <w:t>进一步深度处理是可行的。</w:t>
            </w:r>
          </w:p>
          <w:p>
            <w:pPr>
              <w:spacing w:line="360" w:lineRule="auto"/>
              <w:ind w:firstLine="420"/>
              <w:rPr>
                <w:b/>
                <w:bCs/>
                <w:color w:val="auto"/>
                <w:szCs w:val="21"/>
                <w:highlight w:val="none"/>
              </w:rPr>
            </w:pPr>
            <w:r>
              <w:rPr>
                <w:b/>
                <w:bCs/>
                <w:color w:val="auto"/>
                <w:highlight w:val="none"/>
              </w:rPr>
              <w:t>1.</w:t>
            </w:r>
            <w:r>
              <w:rPr>
                <w:rFonts w:hint="eastAsia"/>
                <w:b/>
                <w:bCs/>
                <w:color w:val="auto"/>
                <w:highlight w:val="none"/>
              </w:rPr>
              <w:t>6</w:t>
            </w:r>
            <w:r>
              <w:rPr>
                <w:b/>
                <w:bCs/>
                <w:color w:val="auto"/>
                <w:szCs w:val="21"/>
                <w:highlight w:val="none"/>
              </w:rPr>
              <w:t>地表水环境影响分析</w:t>
            </w:r>
          </w:p>
          <w:p>
            <w:pPr>
              <w:pStyle w:val="26"/>
              <w:spacing w:after="0" w:line="360" w:lineRule="auto"/>
              <w:ind w:left="0" w:leftChars="0"/>
              <w:jc w:val="left"/>
              <w:rPr>
                <w:color w:val="auto"/>
                <w:sz w:val="21"/>
                <w:szCs w:val="21"/>
                <w:highlight w:val="none"/>
              </w:rPr>
            </w:pPr>
            <w:r>
              <w:rPr>
                <w:color w:val="auto"/>
                <w:sz w:val="21"/>
                <w:szCs w:val="21"/>
                <w:highlight w:val="none"/>
              </w:rPr>
              <w:t>(1)本项目外排废水水质简单、无难降解的有毒有害物质</w:t>
            </w:r>
          </w:p>
          <w:p>
            <w:pPr>
              <w:pStyle w:val="26"/>
              <w:spacing w:after="0" w:line="360" w:lineRule="auto"/>
              <w:ind w:left="0" w:leftChars="0"/>
              <w:jc w:val="left"/>
              <w:rPr>
                <w:color w:val="auto"/>
                <w:sz w:val="21"/>
                <w:szCs w:val="21"/>
                <w:highlight w:val="none"/>
              </w:rPr>
            </w:pPr>
            <w:r>
              <w:rPr>
                <w:color w:val="auto"/>
                <w:sz w:val="21"/>
                <w:szCs w:val="21"/>
                <w:highlight w:val="none"/>
              </w:rPr>
              <w:t>(2)采取措施有效：经院区污水处理站和光大水务（淄博）有限公司水质净化</w:t>
            </w:r>
            <w:r>
              <w:rPr>
                <w:rFonts w:hint="eastAsia"/>
                <w:color w:val="auto"/>
                <w:sz w:val="21"/>
                <w:szCs w:val="21"/>
                <w:highlight w:val="none"/>
                <w:lang w:eastAsia="zh-CN"/>
              </w:rPr>
              <w:t>一分厂</w:t>
            </w:r>
            <w:r>
              <w:rPr>
                <w:color w:val="auto"/>
                <w:sz w:val="21"/>
                <w:szCs w:val="21"/>
                <w:highlight w:val="none"/>
              </w:rPr>
              <w:t>处理后大幅降低了废水中污染物含量。</w:t>
            </w:r>
          </w:p>
          <w:p>
            <w:pPr>
              <w:pStyle w:val="26"/>
              <w:spacing w:after="0" w:line="360" w:lineRule="auto"/>
              <w:ind w:left="0" w:leftChars="0"/>
              <w:jc w:val="left"/>
              <w:rPr>
                <w:color w:val="auto"/>
                <w:sz w:val="21"/>
                <w:szCs w:val="21"/>
                <w:highlight w:val="none"/>
              </w:rPr>
            </w:pPr>
            <w:r>
              <w:rPr>
                <w:color w:val="auto"/>
                <w:sz w:val="21"/>
                <w:szCs w:val="21"/>
                <w:highlight w:val="none"/>
              </w:rPr>
              <w:t>(3)依托污水处理设施的环境可行性：项目外排废水进入光大水务（淄博）有限公司水质净化</w:t>
            </w:r>
            <w:r>
              <w:rPr>
                <w:rFonts w:hint="eastAsia"/>
                <w:color w:val="auto"/>
                <w:sz w:val="21"/>
                <w:szCs w:val="21"/>
                <w:highlight w:val="none"/>
                <w:lang w:eastAsia="zh-CN"/>
              </w:rPr>
              <w:t>一分厂</w:t>
            </w:r>
            <w:r>
              <w:rPr>
                <w:color w:val="auto"/>
                <w:sz w:val="21"/>
                <w:szCs w:val="21"/>
                <w:highlight w:val="none"/>
              </w:rPr>
              <w:t>进一步深度处理是可行的。</w:t>
            </w:r>
          </w:p>
          <w:p>
            <w:pPr>
              <w:pStyle w:val="26"/>
              <w:spacing w:after="0" w:line="360" w:lineRule="auto"/>
              <w:ind w:left="0" w:leftChars="0"/>
              <w:jc w:val="left"/>
              <w:rPr>
                <w:color w:val="auto"/>
                <w:sz w:val="21"/>
                <w:szCs w:val="21"/>
                <w:highlight w:val="none"/>
              </w:rPr>
            </w:pPr>
            <w:r>
              <w:rPr>
                <w:color w:val="auto"/>
                <w:sz w:val="21"/>
                <w:szCs w:val="21"/>
                <w:highlight w:val="none"/>
              </w:rPr>
              <w:t>因此，本项目产生的废水对地表水环境的影响较小。</w:t>
            </w:r>
          </w:p>
          <w:p>
            <w:pPr>
              <w:spacing w:line="360" w:lineRule="auto"/>
              <w:ind w:firstLine="420"/>
              <w:rPr>
                <w:b/>
                <w:bCs/>
                <w:color w:val="auto"/>
                <w:kern w:val="0"/>
                <w:szCs w:val="21"/>
                <w:highlight w:val="none"/>
              </w:rPr>
            </w:pPr>
            <w:r>
              <w:rPr>
                <w:b/>
                <w:bCs/>
                <w:color w:val="auto"/>
                <w:kern w:val="0"/>
                <w:szCs w:val="21"/>
                <w:highlight w:val="none"/>
              </w:rPr>
              <w:t>1.</w:t>
            </w:r>
            <w:r>
              <w:rPr>
                <w:rFonts w:hint="eastAsia"/>
                <w:b/>
                <w:bCs/>
                <w:color w:val="auto"/>
                <w:kern w:val="0"/>
                <w:szCs w:val="21"/>
                <w:highlight w:val="none"/>
              </w:rPr>
              <w:t>7</w:t>
            </w:r>
            <w:r>
              <w:rPr>
                <w:b/>
                <w:bCs/>
                <w:color w:val="auto"/>
                <w:kern w:val="0"/>
                <w:szCs w:val="21"/>
                <w:highlight w:val="none"/>
              </w:rPr>
              <w:t>监测计划</w:t>
            </w:r>
          </w:p>
          <w:p>
            <w:pPr>
              <w:spacing w:line="360" w:lineRule="auto"/>
              <w:ind w:firstLine="420"/>
              <w:rPr>
                <w:color w:val="auto"/>
                <w:highlight w:val="none"/>
              </w:rPr>
            </w:pPr>
            <w:r>
              <w:rPr>
                <w:color w:val="auto"/>
                <w:szCs w:val="21"/>
                <w:highlight w:val="none"/>
              </w:rPr>
              <w:t>根据《排污单位自行监测技术指南 总则》（HJ819-2017）、《排污许可证申请与核发技术规范 医疗机构》(HJ1105-2020)，制定本企业自行监测方案。</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表4-</w:t>
            </w:r>
            <w:r>
              <w:rPr>
                <w:rFonts w:hint="eastAsia"/>
                <w:b/>
                <w:bCs/>
                <w:color w:val="auto"/>
                <w:kern w:val="0"/>
                <w:szCs w:val="21"/>
                <w:highlight w:val="none"/>
                <w:lang w:val="en-US" w:eastAsia="zh-CN"/>
              </w:rPr>
              <w:t>12</w:t>
            </w:r>
            <w:r>
              <w:rPr>
                <w:b/>
                <w:bCs/>
                <w:color w:val="auto"/>
                <w:kern w:val="0"/>
                <w:szCs w:val="21"/>
                <w:highlight w:val="none"/>
              </w:rPr>
              <w:t xml:space="preserve">  废水排放监测点位、监测指标及最低监测频次</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523"/>
              <w:gridCol w:w="1439"/>
              <w:gridCol w:w="2790"/>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Align w:val="center"/>
                </w:tcPr>
                <w:p>
                  <w:pPr>
                    <w:jc w:val="center"/>
                    <w:rPr>
                      <w:b/>
                      <w:color w:val="auto"/>
                      <w:sz w:val="18"/>
                      <w:szCs w:val="18"/>
                      <w:highlight w:val="none"/>
                    </w:rPr>
                  </w:pPr>
                  <w:r>
                    <w:rPr>
                      <w:b/>
                      <w:color w:val="auto"/>
                      <w:sz w:val="18"/>
                      <w:szCs w:val="18"/>
                      <w:highlight w:val="none"/>
                    </w:rPr>
                    <w:t>监测点位</w:t>
                  </w:r>
                </w:p>
              </w:tc>
              <w:tc>
                <w:tcPr>
                  <w:tcW w:w="905" w:type="pct"/>
                  <w:vAlign w:val="center"/>
                </w:tcPr>
                <w:p>
                  <w:pPr>
                    <w:jc w:val="center"/>
                    <w:rPr>
                      <w:b/>
                      <w:color w:val="auto"/>
                      <w:sz w:val="18"/>
                      <w:szCs w:val="18"/>
                      <w:highlight w:val="none"/>
                    </w:rPr>
                  </w:pPr>
                  <w:r>
                    <w:rPr>
                      <w:b/>
                      <w:color w:val="auto"/>
                      <w:sz w:val="18"/>
                      <w:szCs w:val="18"/>
                      <w:highlight w:val="none"/>
                    </w:rPr>
                    <w:t>监测项目</w:t>
                  </w:r>
                </w:p>
              </w:tc>
              <w:tc>
                <w:tcPr>
                  <w:tcW w:w="855" w:type="pct"/>
                  <w:vAlign w:val="center"/>
                </w:tcPr>
                <w:p>
                  <w:pPr>
                    <w:jc w:val="center"/>
                    <w:rPr>
                      <w:b/>
                      <w:color w:val="auto"/>
                      <w:sz w:val="18"/>
                      <w:szCs w:val="18"/>
                      <w:highlight w:val="none"/>
                    </w:rPr>
                  </w:pPr>
                  <w:r>
                    <w:rPr>
                      <w:b/>
                      <w:color w:val="auto"/>
                      <w:sz w:val="18"/>
                      <w:szCs w:val="18"/>
                      <w:highlight w:val="none"/>
                    </w:rPr>
                    <w:t>监测频次</w:t>
                  </w:r>
                </w:p>
              </w:tc>
              <w:tc>
                <w:tcPr>
                  <w:tcW w:w="1658" w:type="pct"/>
                  <w:vAlign w:val="center"/>
                </w:tcPr>
                <w:p>
                  <w:pPr>
                    <w:jc w:val="center"/>
                    <w:rPr>
                      <w:b/>
                      <w:color w:val="auto"/>
                      <w:sz w:val="18"/>
                      <w:szCs w:val="18"/>
                      <w:highlight w:val="none"/>
                    </w:rPr>
                  </w:pPr>
                  <w:r>
                    <w:rPr>
                      <w:b/>
                      <w:color w:val="auto"/>
                      <w:sz w:val="18"/>
                      <w:szCs w:val="18"/>
                      <w:highlight w:val="none"/>
                    </w:rPr>
                    <w:t>执行标准</w:t>
                  </w:r>
                </w:p>
              </w:tc>
              <w:tc>
                <w:tcPr>
                  <w:tcW w:w="792" w:type="pct"/>
                  <w:vAlign w:val="center"/>
                </w:tcPr>
                <w:p>
                  <w:pPr>
                    <w:jc w:val="center"/>
                    <w:rPr>
                      <w:b/>
                      <w:color w:val="auto"/>
                      <w:sz w:val="18"/>
                      <w:szCs w:val="18"/>
                      <w:highlight w:val="none"/>
                    </w:rPr>
                  </w:pPr>
                  <w:r>
                    <w:rPr>
                      <w:b/>
                      <w:color w:val="auto"/>
                      <w:sz w:val="18"/>
                      <w:szCs w:val="18"/>
                      <w:highlight w:val="none"/>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restart"/>
                  <w:vAlign w:val="center"/>
                </w:tcPr>
                <w:p>
                  <w:pPr>
                    <w:jc w:val="center"/>
                    <w:rPr>
                      <w:color w:val="auto"/>
                      <w:sz w:val="18"/>
                      <w:szCs w:val="18"/>
                      <w:highlight w:val="none"/>
                    </w:rPr>
                  </w:pPr>
                  <w:r>
                    <w:rPr>
                      <w:color w:val="auto"/>
                      <w:sz w:val="18"/>
                      <w:szCs w:val="18"/>
                      <w:highlight w:val="none"/>
                    </w:rPr>
                    <w:t>厂区污水排放口</w:t>
                  </w:r>
                </w:p>
                <w:p>
                  <w:pPr>
                    <w:jc w:val="center"/>
                    <w:rPr>
                      <w:color w:val="auto"/>
                      <w:sz w:val="18"/>
                      <w:szCs w:val="18"/>
                      <w:highlight w:val="none"/>
                    </w:rPr>
                  </w:pPr>
                  <w:r>
                    <w:rPr>
                      <w:color w:val="auto"/>
                      <w:sz w:val="18"/>
                      <w:szCs w:val="18"/>
                      <w:highlight w:val="none"/>
                    </w:rPr>
                    <w:t>（DW001）</w:t>
                  </w:r>
                </w:p>
              </w:tc>
              <w:tc>
                <w:tcPr>
                  <w:tcW w:w="905" w:type="pct"/>
                  <w:vAlign w:val="center"/>
                </w:tcPr>
                <w:p>
                  <w:pPr>
                    <w:jc w:val="center"/>
                    <w:rPr>
                      <w:color w:val="auto"/>
                      <w:sz w:val="18"/>
                      <w:szCs w:val="18"/>
                      <w:highlight w:val="none"/>
                    </w:rPr>
                  </w:pPr>
                  <w:r>
                    <w:rPr>
                      <w:color w:val="auto"/>
                      <w:sz w:val="18"/>
                      <w:szCs w:val="18"/>
                      <w:highlight w:val="none"/>
                    </w:rPr>
                    <w:t>流量</w:t>
                  </w:r>
                </w:p>
              </w:tc>
              <w:tc>
                <w:tcPr>
                  <w:tcW w:w="855" w:type="pct"/>
                  <w:vAlign w:val="center"/>
                </w:tcPr>
                <w:p>
                  <w:pPr>
                    <w:jc w:val="center"/>
                    <w:rPr>
                      <w:color w:val="auto"/>
                      <w:sz w:val="18"/>
                      <w:szCs w:val="18"/>
                      <w:highlight w:val="none"/>
                    </w:rPr>
                  </w:pPr>
                  <w:r>
                    <w:rPr>
                      <w:color w:val="auto"/>
                      <w:sz w:val="18"/>
                      <w:szCs w:val="18"/>
                      <w:highlight w:val="none"/>
                    </w:rPr>
                    <w:t>自动监测</w:t>
                  </w:r>
                </w:p>
              </w:tc>
              <w:tc>
                <w:tcPr>
                  <w:tcW w:w="1658" w:type="pct"/>
                  <w:vAlign w:val="center"/>
                </w:tcPr>
                <w:p>
                  <w:pPr>
                    <w:pStyle w:val="74"/>
                    <w:jc w:val="center"/>
                    <w:rPr>
                      <w:rFonts w:ascii="Times New Roman" w:hAnsi="Times New Roman"/>
                      <w:color w:val="auto"/>
                      <w:sz w:val="18"/>
                      <w:szCs w:val="18"/>
                      <w:highlight w:val="none"/>
                    </w:rPr>
                  </w:pPr>
                  <w:r>
                    <w:rPr>
                      <w:rFonts w:ascii="Times New Roman" w:hAnsi="Times New Roman"/>
                      <w:color w:val="auto"/>
                      <w:sz w:val="18"/>
                      <w:szCs w:val="18"/>
                      <w:highlight w:val="none"/>
                    </w:rPr>
                    <w:t>/</w:t>
                  </w:r>
                </w:p>
              </w:tc>
              <w:tc>
                <w:tcPr>
                  <w:tcW w:w="792" w:type="pct"/>
                  <w:vAlign w:val="center"/>
                </w:tcPr>
                <w:p>
                  <w:pPr>
                    <w:jc w:val="center"/>
                    <w:rPr>
                      <w:color w:val="auto"/>
                      <w:sz w:val="18"/>
                      <w:szCs w:val="18"/>
                      <w:highlight w:val="none"/>
                    </w:rPr>
                  </w:pP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continue"/>
                  <w:vAlign w:val="center"/>
                </w:tcPr>
                <w:p>
                  <w:pPr>
                    <w:jc w:val="center"/>
                    <w:rPr>
                      <w:color w:val="auto"/>
                      <w:sz w:val="18"/>
                      <w:szCs w:val="18"/>
                      <w:highlight w:val="none"/>
                    </w:rPr>
                  </w:pPr>
                </w:p>
              </w:tc>
              <w:tc>
                <w:tcPr>
                  <w:tcW w:w="905" w:type="pct"/>
                  <w:vAlign w:val="center"/>
                </w:tcPr>
                <w:p>
                  <w:pPr>
                    <w:jc w:val="center"/>
                    <w:rPr>
                      <w:color w:val="auto"/>
                      <w:sz w:val="18"/>
                      <w:szCs w:val="18"/>
                      <w:highlight w:val="none"/>
                    </w:rPr>
                  </w:pPr>
                  <w:r>
                    <w:rPr>
                      <w:color w:val="auto"/>
                      <w:sz w:val="18"/>
                      <w:szCs w:val="18"/>
                      <w:highlight w:val="none"/>
                    </w:rPr>
                    <w:t>pH值</w:t>
                  </w:r>
                </w:p>
              </w:tc>
              <w:tc>
                <w:tcPr>
                  <w:tcW w:w="855" w:type="pct"/>
                  <w:vAlign w:val="center"/>
                </w:tcPr>
                <w:p>
                  <w:pPr>
                    <w:jc w:val="center"/>
                    <w:rPr>
                      <w:color w:val="auto"/>
                      <w:sz w:val="18"/>
                      <w:szCs w:val="18"/>
                      <w:highlight w:val="none"/>
                    </w:rPr>
                  </w:pPr>
                  <w:r>
                    <w:rPr>
                      <w:color w:val="auto"/>
                      <w:sz w:val="18"/>
                      <w:szCs w:val="18"/>
                      <w:highlight w:val="none"/>
                    </w:rPr>
                    <w:t>12小时</w:t>
                  </w:r>
                </w:p>
              </w:tc>
              <w:tc>
                <w:tcPr>
                  <w:tcW w:w="1658" w:type="pct"/>
                  <w:vMerge w:val="restart"/>
                  <w:vAlign w:val="center"/>
                </w:tcPr>
                <w:p>
                  <w:pPr>
                    <w:jc w:val="center"/>
                    <w:rPr>
                      <w:color w:val="auto"/>
                      <w:sz w:val="18"/>
                      <w:szCs w:val="18"/>
                      <w:highlight w:val="none"/>
                    </w:rPr>
                  </w:pPr>
                  <w:r>
                    <w:rPr>
                      <w:color w:val="auto"/>
                      <w:sz w:val="18"/>
                      <w:szCs w:val="18"/>
                      <w:highlight w:val="none"/>
                    </w:rPr>
                    <w:t>《山东省医疗机构污染物排放控制标准》（DB37/596-2020）二级标准</w:t>
                  </w:r>
                </w:p>
              </w:tc>
              <w:tc>
                <w:tcPr>
                  <w:tcW w:w="792" w:type="pct"/>
                  <w:vAlign w:val="center"/>
                </w:tcPr>
                <w:p>
                  <w:pPr>
                    <w:jc w:val="center"/>
                    <w:rPr>
                      <w:color w:val="auto"/>
                      <w:sz w:val="18"/>
                      <w:szCs w:val="18"/>
                      <w:highlight w:val="none"/>
                    </w:rPr>
                  </w:pPr>
                  <w:r>
                    <w:rPr>
                      <w:color w:val="auto"/>
                      <w:sz w:val="18"/>
                      <w:szCs w:val="18"/>
                      <w:highlight w:val="none"/>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86" w:type="pct"/>
                  <w:vMerge w:val="continue"/>
                  <w:vAlign w:val="center"/>
                </w:tcPr>
                <w:p>
                  <w:pPr>
                    <w:jc w:val="center"/>
                    <w:rPr>
                      <w:color w:val="auto"/>
                      <w:sz w:val="18"/>
                      <w:szCs w:val="18"/>
                      <w:highlight w:val="none"/>
                    </w:rPr>
                  </w:pPr>
                </w:p>
              </w:tc>
              <w:tc>
                <w:tcPr>
                  <w:tcW w:w="905" w:type="pct"/>
                  <w:vAlign w:val="center"/>
                </w:tcPr>
                <w:p>
                  <w:pPr>
                    <w:jc w:val="center"/>
                    <w:rPr>
                      <w:color w:val="auto"/>
                      <w:sz w:val="18"/>
                      <w:szCs w:val="18"/>
                      <w:highlight w:val="none"/>
                    </w:rPr>
                  </w:pPr>
                  <w:r>
                    <w:rPr>
                      <w:color w:val="auto"/>
                      <w:sz w:val="18"/>
                      <w:szCs w:val="18"/>
                      <w:highlight w:val="none"/>
                    </w:rPr>
                    <w:t>化学需氧量</w:t>
                  </w:r>
                </w:p>
              </w:tc>
              <w:tc>
                <w:tcPr>
                  <w:tcW w:w="855" w:type="pct"/>
                  <w:vAlign w:val="center"/>
                </w:tcPr>
                <w:p>
                  <w:pPr>
                    <w:jc w:val="center"/>
                    <w:rPr>
                      <w:color w:val="auto"/>
                      <w:sz w:val="18"/>
                      <w:szCs w:val="18"/>
                      <w:highlight w:val="none"/>
                    </w:rPr>
                  </w:pPr>
                  <w:r>
                    <w:rPr>
                      <w:color w:val="auto"/>
                      <w:sz w:val="18"/>
                      <w:szCs w:val="18"/>
                      <w:highlight w:val="none"/>
                    </w:rPr>
                    <w:t>每周</w:t>
                  </w:r>
                </w:p>
              </w:tc>
              <w:tc>
                <w:tcPr>
                  <w:tcW w:w="1658" w:type="pct"/>
                  <w:vMerge w:val="continue"/>
                  <w:vAlign w:val="center"/>
                </w:tcPr>
                <w:p>
                  <w:pPr>
                    <w:jc w:val="center"/>
                    <w:rPr>
                      <w:color w:val="auto"/>
                      <w:sz w:val="18"/>
                      <w:szCs w:val="18"/>
                      <w:highlight w:val="none"/>
                    </w:rPr>
                  </w:pPr>
                </w:p>
              </w:tc>
              <w:tc>
                <w:tcPr>
                  <w:tcW w:w="792" w:type="pct"/>
                  <w:vAlign w:val="center"/>
                </w:tcPr>
                <w:p>
                  <w:pPr>
                    <w:jc w:val="center"/>
                    <w:rPr>
                      <w:color w:val="auto"/>
                      <w:sz w:val="18"/>
                      <w:szCs w:val="18"/>
                      <w:highlight w:val="none"/>
                    </w:rPr>
                  </w:pPr>
                  <w:r>
                    <w:rPr>
                      <w:color w:val="auto"/>
                      <w:sz w:val="18"/>
                      <w:szCs w:val="18"/>
                      <w:highlight w:val="none"/>
                    </w:rPr>
                    <w:t>120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continue"/>
                  <w:vAlign w:val="center"/>
                </w:tcPr>
                <w:p>
                  <w:pPr>
                    <w:jc w:val="center"/>
                    <w:rPr>
                      <w:color w:val="auto"/>
                      <w:sz w:val="18"/>
                      <w:szCs w:val="18"/>
                      <w:highlight w:val="none"/>
                    </w:rPr>
                  </w:pPr>
                </w:p>
              </w:tc>
              <w:tc>
                <w:tcPr>
                  <w:tcW w:w="905" w:type="pct"/>
                  <w:vAlign w:val="center"/>
                </w:tcPr>
                <w:p>
                  <w:pPr>
                    <w:jc w:val="center"/>
                    <w:rPr>
                      <w:color w:val="auto"/>
                      <w:sz w:val="18"/>
                      <w:szCs w:val="18"/>
                      <w:highlight w:val="none"/>
                    </w:rPr>
                  </w:pPr>
                  <w:r>
                    <w:rPr>
                      <w:color w:val="auto"/>
                      <w:sz w:val="18"/>
                      <w:szCs w:val="18"/>
                      <w:highlight w:val="none"/>
                    </w:rPr>
                    <w:t>悬浮物</w:t>
                  </w:r>
                </w:p>
              </w:tc>
              <w:tc>
                <w:tcPr>
                  <w:tcW w:w="855" w:type="pct"/>
                  <w:vAlign w:val="center"/>
                </w:tcPr>
                <w:p>
                  <w:pPr>
                    <w:jc w:val="center"/>
                    <w:rPr>
                      <w:color w:val="auto"/>
                      <w:sz w:val="18"/>
                      <w:szCs w:val="18"/>
                      <w:highlight w:val="none"/>
                    </w:rPr>
                  </w:pPr>
                  <w:r>
                    <w:rPr>
                      <w:color w:val="auto"/>
                      <w:sz w:val="18"/>
                      <w:szCs w:val="18"/>
                      <w:highlight w:val="none"/>
                    </w:rPr>
                    <w:t>每周</w:t>
                  </w:r>
                </w:p>
              </w:tc>
              <w:tc>
                <w:tcPr>
                  <w:tcW w:w="1658" w:type="pct"/>
                  <w:vMerge w:val="continue"/>
                  <w:vAlign w:val="center"/>
                </w:tcPr>
                <w:p>
                  <w:pPr>
                    <w:jc w:val="center"/>
                    <w:rPr>
                      <w:color w:val="auto"/>
                      <w:sz w:val="18"/>
                      <w:szCs w:val="18"/>
                      <w:highlight w:val="none"/>
                    </w:rPr>
                  </w:pPr>
                </w:p>
              </w:tc>
              <w:tc>
                <w:tcPr>
                  <w:tcW w:w="792" w:type="pct"/>
                  <w:vAlign w:val="center"/>
                </w:tcPr>
                <w:p>
                  <w:pPr>
                    <w:jc w:val="center"/>
                    <w:rPr>
                      <w:color w:val="auto"/>
                      <w:sz w:val="18"/>
                      <w:szCs w:val="18"/>
                      <w:highlight w:val="none"/>
                    </w:rPr>
                  </w:pPr>
                  <w:r>
                    <w:rPr>
                      <w:color w:val="auto"/>
                      <w:sz w:val="18"/>
                      <w:szCs w:val="18"/>
                      <w:highlight w:val="none"/>
                    </w:rPr>
                    <w:t>60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continue"/>
                  <w:vAlign w:val="center"/>
                </w:tcPr>
                <w:p>
                  <w:pPr>
                    <w:jc w:val="center"/>
                    <w:rPr>
                      <w:color w:val="auto"/>
                      <w:sz w:val="18"/>
                      <w:szCs w:val="18"/>
                      <w:highlight w:val="none"/>
                    </w:rPr>
                  </w:pPr>
                </w:p>
              </w:tc>
              <w:tc>
                <w:tcPr>
                  <w:tcW w:w="905" w:type="pct"/>
                  <w:vAlign w:val="center"/>
                </w:tcPr>
                <w:p>
                  <w:pPr>
                    <w:jc w:val="center"/>
                    <w:rPr>
                      <w:color w:val="auto"/>
                      <w:sz w:val="18"/>
                      <w:szCs w:val="18"/>
                      <w:highlight w:val="none"/>
                    </w:rPr>
                  </w:pPr>
                  <w:r>
                    <w:rPr>
                      <w:color w:val="auto"/>
                      <w:sz w:val="18"/>
                      <w:szCs w:val="18"/>
                      <w:highlight w:val="none"/>
                    </w:rPr>
                    <w:t>粪大肠菌群数</w:t>
                  </w:r>
                </w:p>
              </w:tc>
              <w:tc>
                <w:tcPr>
                  <w:tcW w:w="855" w:type="pct"/>
                  <w:vAlign w:val="center"/>
                </w:tcPr>
                <w:p>
                  <w:pPr>
                    <w:jc w:val="center"/>
                    <w:rPr>
                      <w:color w:val="auto"/>
                      <w:sz w:val="18"/>
                      <w:szCs w:val="18"/>
                      <w:highlight w:val="none"/>
                    </w:rPr>
                  </w:pPr>
                  <w:r>
                    <w:rPr>
                      <w:color w:val="auto"/>
                      <w:sz w:val="18"/>
                      <w:szCs w:val="18"/>
                      <w:highlight w:val="none"/>
                    </w:rPr>
                    <w:t>每月</w:t>
                  </w:r>
                </w:p>
              </w:tc>
              <w:tc>
                <w:tcPr>
                  <w:tcW w:w="1658" w:type="pct"/>
                  <w:vMerge w:val="continue"/>
                  <w:vAlign w:val="center"/>
                </w:tcPr>
                <w:p>
                  <w:pPr>
                    <w:jc w:val="center"/>
                    <w:rPr>
                      <w:color w:val="auto"/>
                      <w:sz w:val="18"/>
                      <w:szCs w:val="18"/>
                      <w:highlight w:val="none"/>
                    </w:rPr>
                  </w:pPr>
                </w:p>
              </w:tc>
              <w:tc>
                <w:tcPr>
                  <w:tcW w:w="792" w:type="pct"/>
                  <w:vAlign w:val="center"/>
                </w:tcPr>
                <w:p>
                  <w:pPr>
                    <w:jc w:val="center"/>
                    <w:rPr>
                      <w:color w:val="auto"/>
                      <w:sz w:val="18"/>
                      <w:szCs w:val="18"/>
                      <w:highlight w:val="none"/>
                    </w:rPr>
                  </w:pPr>
                  <w:r>
                    <w:rPr>
                      <w:color w:val="auto"/>
                      <w:sz w:val="18"/>
                      <w:szCs w:val="18"/>
                      <w:highlight w:val="none"/>
                    </w:rPr>
                    <w:t>500（MPN/L）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continue"/>
                  <w:vAlign w:val="center"/>
                </w:tcPr>
                <w:p>
                  <w:pPr>
                    <w:jc w:val="center"/>
                    <w:rPr>
                      <w:color w:val="auto"/>
                      <w:sz w:val="18"/>
                      <w:szCs w:val="18"/>
                      <w:highlight w:val="none"/>
                    </w:rPr>
                  </w:pPr>
                </w:p>
              </w:tc>
              <w:tc>
                <w:tcPr>
                  <w:tcW w:w="905" w:type="pct"/>
                  <w:vAlign w:val="center"/>
                </w:tcPr>
                <w:p>
                  <w:pPr>
                    <w:jc w:val="center"/>
                    <w:rPr>
                      <w:color w:val="auto"/>
                      <w:sz w:val="18"/>
                      <w:szCs w:val="18"/>
                      <w:highlight w:val="none"/>
                    </w:rPr>
                  </w:pPr>
                  <w:r>
                    <w:rPr>
                      <w:color w:val="auto"/>
                      <w:sz w:val="18"/>
                      <w:szCs w:val="18"/>
                      <w:highlight w:val="none"/>
                    </w:rPr>
                    <w:t>五日生化需氧量</w:t>
                  </w:r>
                </w:p>
              </w:tc>
              <w:tc>
                <w:tcPr>
                  <w:tcW w:w="855" w:type="pct"/>
                  <w:vMerge w:val="restart"/>
                  <w:vAlign w:val="center"/>
                </w:tcPr>
                <w:p>
                  <w:pPr>
                    <w:jc w:val="center"/>
                    <w:rPr>
                      <w:color w:val="auto"/>
                      <w:sz w:val="18"/>
                      <w:szCs w:val="18"/>
                      <w:highlight w:val="none"/>
                    </w:rPr>
                  </w:pPr>
                  <w:r>
                    <w:rPr>
                      <w:color w:val="auto"/>
                      <w:sz w:val="18"/>
                      <w:szCs w:val="18"/>
                      <w:highlight w:val="none"/>
                    </w:rPr>
                    <w:t>季度</w:t>
                  </w:r>
                </w:p>
              </w:tc>
              <w:tc>
                <w:tcPr>
                  <w:tcW w:w="1658" w:type="pct"/>
                  <w:vMerge w:val="continue"/>
                  <w:vAlign w:val="center"/>
                </w:tcPr>
                <w:p>
                  <w:pPr>
                    <w:jc w:val="center"/>
                    <w:rPr>
                      <w:color w:val="auto"/>
                      <w:sz w:val="18"/>
                      <w:szCs w:val="18"/>
                      <w:highlight w:val="none"/>
                    </w:rPr>
                  </w:pPr>
                </w:p>
              </w:tc>
              <w:tc>
                <w:tcPr>
                  <w:tcW w:w="792" w:type="pct"/>
                  <w:vAlign w:val="center"/>
                </w:tcPr>
                <w:p>
                  <w:pPr>
                    <w:jc w:val="center"/>
                    <w:rPr>
                      <w:color w:val="auto"/>
                      <w:sz w:val="18"/>
                      <w:szCs w:val="18"/>
                      <w:highlight w:val="none"/>
                    </w:rPr>
                  </w:pPr>
                  <w:r>
                    <w:rPr>
                      <w:color w:val="auto"/>
                      <w:sz w:val="18"/>
                      <w:szCs w:val="18"/>
                      <w:highlight w:val="none"/>
                    </w:rPr>
                    <w:t>30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786" w:type="pct"/>
                  <w:vMerge w:val="continue"/>
                  <w:vAlign w:val="center"/>
                </w:tcPr>
                <w:p>
                  <w:pPr>
                    <w:jc w:val="center"/>
                    <w:rPr>
                      <w:b/>
                      <w:color w:val="auto"/>
                      <w:sz w:val="18"/>
                      <w:szCs w:val="18"/>
                      <w:highlight w:val="none"/>
                    </w:rPr>
                  </w:pPr>
                </w:p>
              </w:tc>
              <w:tc>
                <w:tcPr>
                  <w:tcW w:w="905" w:type="pct"/>
                  <w:vAlign w:val="center"/>
                </w:tcPr>
                <w:p>
                  <w:pPr>
                    <w:pStyle w:val="75"/>
                    <w:adjustRightInd w:val="0"/>
                    <w:snapToGrid w:val="0"/>
                    <w:jc w:val="center"/>
                    <w:rPr>
                      <w:rFonts w:ascii="Times New Roman" w:hAnsi="Times New Roman"/>
                      <w:color w:val="auto"/>
                      <w:sz w:val="18"/>
                      <w:szCs w:val="18"/>
                      <w:highlight w:val="none"/>
                    </w:rPr>
                  </w:pPr>
                  <w:r>
                    <w:rPr>
                      <w:rFonts w:ascii="Times New Roman" w:hAnsi="Times New Roman"/>
                      <w:color w:val="auto"/>
                      <w:sz w:val="18"/>
                      <w:szCs w:val="18"/>
                      <w:highlight w:val="none"/>
                    </w:rPr>
                    <w:t>石油类</w:t>
                  </w:r>
                </w:p>
              </w:tc>
              <w:tc>
                <w:tcPr>
                  <w:tcW w:w="855" w:type="pct"/>
                  <w:vMerge w:val="continue"/>
                  <w:vAlign w:val="center"/>
                </w:tcPr>
                <w:p>
                  <w:pPr>
                    <w:jc w:val="center"/>
                    <w:rPr>
                      <w:color w:val="auto"/>
                      <w:sz w:val="18"/>
                      <w:szCs w:val="18"/>
                      <w:highlight w:val="none"/>
                    </w:rPr>
                  </w:pPr>
                </w:p>
              </w:tc>
              <w:tc>
                <w:tcPr>
                  <w:tcW w:w="1658" w:type="pct"/>
                  <w:vMerge w:val="continue"/>
                  <w:vAlign w:val="center"/>
                </w:tcPr>
                <w:p>
                  <w:pPr>
                    <w:pStyle w:val="76"/>
                    <w:jc w:val="center"/>
                    <w:rPr>
                      <w:rFonts w:ascii="Times New Roman" w:hAnsi="Times New Roman"/>
                      <w:color w:val="auto"/>
                      <w:sz w:val="18"/>
                      <w:szCs w:val="18"/>
                      <w:highlight w:val="none"/>
                    </w:rPr>
                  </w:pPr>
                </w:p>
              </w:tc>
              <w:tc>
                <w:tcPr>
                  <w:tcW w:w="792" w:type="pct"/>
                  <w:vAlign w:val="center"/>
                </w:tcPr>
                <w:p>
                  <w:pPr>
                    <w:pStyle w:val="76"/>
                    <w:jc w:val="center"/>
                    <w:rPr>
                      <w:rFonts w:ascii="Times New Roman" w:hAnsi="Times New Roman"/>
                      <w:color w:val="auto"/>
                      <w:sz w:val="18"/>
                      <w:szCs w:val="18"/>
                      <w:highlight w:val="none"/>
                    </w:rPr>
                  </w:pPr>
                  <w:r>
                    <w:rPr>
                      <w:rFonts w:ascii="Times New Roman" w:hAnsi="Times New Roman"/>
                      <w:color w:val="auto"/>
                      <w:sz w:val="18"/>
                      <w:szCs w:val="18"/>
                      <w:highlight w:val="none"/>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continue"/>
                  <w:vAlign w:val="center"/>
                </w:tcPr>
                <w:p>
                  <w:pPr>
                    <w:jc w:val="center"/>
                    <w:rPr>
                      <w:b/>
                      <w:color w:val="auto"/>
                      <w:sz w:val="18"/>
                      <w:szCs w:val="18"/>
                      <w:highlight w:val="none"/>
                    </w:rPr>
                  </w:pPr>
                </w:p>
              </w:tc>
              <w:tc>
                <w:tcPr>
                  <w:tcW w:w="905" w:type="pct"/>
                  <w:vAlign w:val="center"/>
                </w:tcPr>
                <w:p>
                  <w:pPr>
                    <w:pStyle w:val="75"/>
                    <w:adjustRightInd w:val="0"/>
                    <w:snapToGrid w:val="0"/>
                    <w:jc w:val="center"/>
                    <w:rPr>
                      <w:rFonts w:ascii="Times New Roman" w:hAnsi="Times New Roman"/>
                      <w:color w:val="auto"/>
                      <w:sz w:val="18"/>
                      <w:szCs w:val="18"/>
                      <w:highlight w:val="none"/>
                    </w:rPr>
                  </w:pPr>
                  <w:r>
                    <w:rPr>
                      <w:rFonts w:ascii="Times New Roman" w:hAnsi="Times New Roman"/>
                      <w:color w:val="auto"/>
                      <w:sz w:val="18"/>
                      <w:szCs w:val="18"/>
                      <w:highlight w:val="none"/>
                    </w:rPr>
                    <w:t>动植物油</w:t>
                  </w:r>
                </w:p>
              </w:tc>
              <w:tc>
                <w:tcPr>
                  <w:tcW w:w="855" w:type="pct"/>
                  <w:vMerge w:val="continue"/>
                  <w:vAlign w:val="center"/>
                </w:tcPr>
                <w:p>
                  <w:pPr>
                    <w:jc w:val="center"/>
                    <w:rPr>
                      <w:color w:val="auto"/>
                      <w:sz w:val="18"/>
                      <w:szCs w:val="18"/>
                      <w:highlight w:val="none"/>
                    </w:rPr>
                  </w:pPr>
                </w:p>
              </w:tc>
              <w:tc>
                <w:tcPr>
                  <w:tcW w:w="1658" w:type="pct"/>
                  <w:vMerge w:val="continue"/>
                  <w:vAlign w:val="center"/>
                </w:tcPr>
                <w:p>
                  <w:pPr>
                    <w:pStyle w:val="74"/>
                    <w:jc w:val="center"/>
                    <w:rPr>
                      <w:rFonts w:ascii="Times New Roman" w:hAnsi="Times New Roman"/>
                      <w:color w:val="auto"/>
                      <w:sz w:val="18"/>
                      <w:szCs w:val="18"/>
                      <w:highlight w:val="none"/>
                    </w:rPr>
                  </w:pPr>
                </w:p>
              </w:tc>
              <w:tc>
                <w:tcPr>
                  <w:tcW w:w="792" w:type="pct"/>
                  <w:vAlign w:val="center"/>
                </w:tcPr>
                <w:p>
                  <w:pPr>
                    <w:pStyle w:val="74"/>
                    <w:jc w:val="center"/>
                    <w:rPr>
                      <w:rFonts w:ascii="Times New Roman" w:hAnsi="Times New Roman"/>
                      <w:b/>
                      <w:color w:val="auto"/>
                      <w:sz w:val="18"/>
                      <w:szCs w:val="18"/>
                      <w:highlight w:val="none"/>
                    </w:rPr>
                  </w:pPr>
                  <w:r>
                    <w:rPr>
                      <w:rFonts w:ascii="Times New Roman" w:hAnsi="Times New Roman"/>
                      <w:color w:val="auto"/>
                      <w:sz w:val="18"/>
                      <w:szCs w:val="18"/>
                      <w:highlight w:val="none"/>
                    </w:rPr>
                    <w:t>15mg/L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continue"/>
                  <w:vAlign w:val="center"/>
                </w:tcPr>
                <w:p>
                  <w:pPr>
                    <w:jc w:val="center"/>
                    <w:rPr>
                      <w:b/>
                      <w:color w:val="auto"/>
                      <w:sz w:val="18"/>
                      <w:szCs w:val="18"/>
                      <w:highlight w:val="none"/>
                    </w:rPr>
                  </w:pPr>
                </w:p>
              </w:tc>
              <w:tc>
                <w:tcPr>
                  <w:tcW w:w="905" w:type="pct"/>
                  <w:vAlign w:val="center"/>
                </w:tcPr>
                <w:p>
                  <w:pPr>
                    <w:pStyle w:val="75"/>
                    <w:adjustRightInd w:val="0"/>
                    <w:snapToGrid w:val="0"/>
                    <w:jc w:val="center"/>
                    <w:rPr>
                      <w:rFonts w:ascii="Times New Roman" w:hAnsi="Times New Roman"/>
                      <w:color w:val="auto"/>
                      <w:sz w:val="18"/>
                      <w:szCs w:val="18"/>
                      <w:highlight w:val="none"/>
                    </w:rPr>
                  </w:pPr>
                  <w:r>
                    <w:rPr>
                      <w:rFonts w:ascii="Times New Roman" w:hAnsi="Times New Roman"/>
                      <w:color w:val="auto"/>
                      <w:sz w:val="18"/>
                      <w:szCs w:val="18"/>
                      <w:highlight w:val="none"/>
                    </w:rPr>
                    <w:t>挥发酚</w:t>
                  </w:r>
                </w:p>
              </w:tc>
              <w:tc>
                <w:tcPr>
                  <w:tcW w:w="855" w:type="pct"/>
                  <w:vMerge w:val="continue"/>
                  <w:vAlign w:val="center"/>
                </w:tcPr>
                <w:p>
                  <w:pPr>
                    <w:jc w:val="center"/>
                    <w:rPr>
                      <w:color w:val="auto"/>
                      <w:sz w:val="18"/>
                      <w:szCs w:val="18"/>
                      <w:highlight w:val="none"/>
                    </w:rPr>
                  </w:pPr>
                </w:p>
              </w:tc>
              <w:tc>
                <w:tcPr>
                  <w:tcW w:w="1658" w:type="pct"/>
                  <w:vMerge w:val="continue"/>
                  <w:vAlign w:val="center"/>
                </w:tcPr>
                <w:p>
                  <w:pPr>
                    <w:pStyle w:val="74"/>
                    <w:jc w:val="center"/>
                    <w:rPr>
                      <w:rFonts w:ascii="Times New Roman" w:hAnsi="Times New Roman"/>
                      <w:color w:val="auto"/>
                      <w:sz w:val="18"/>
                      <w:szCs w:val="18"/>
                      <w:highlight w:val="none"/>
                    </w:rPr>
                  </w:pPr>
                </w:p>
              </w:tc>
              <w:tc>
                <w:tcPr>
                  <w:tcW w:w="792" w:type="pct"/>
                  <w:vAlign w:val="center"/>
                </w:tcPr>
                <w:p>
                  <w:pPr>
                    <w:pStyle w:val="74"/>
                    <w:jc w:val="center"/>
                    <w:rPr>
                      <w:rFonts w:ascii="Times New Roman" w:hAnsi="Times New Roman"/>
                      <w:color w:val="auto"/>
                      <w:sz w:val="18"/>
                      <w:szCs w:val="18"/>
                      <w:highlight w:val="none"/>
                    </w:rPr>
                  </w:pPr>
                  <w:r>
                    <w:rPr>
                      <w:rFonts w:ascii="Times New Roman" w:hAnsi="Times New Roman"/>
                      <w:color w:val="auto"/>
                      <w:sz w:val="18"/>
                      <w:szCs w:val="18"/>
                      <w:highlight w:val="none"/>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continue"/>
                  <w:vAlign w:val="center"/>
                </w:tcPr>
                <w:p>
                  <w:pPr>
                    <w:jc w:val="center"/>
                    <w:rPr>
                      <w:b/>
                      <w:color w:val="auto"/>
                      <w:sz w:val="18"/>
                      <w:szCs w:val="18"/>
                      <w:highlight w:val="none"/>
                    </w:rPr>
                  </w:pPr>
                </w:p>
              </w:tc>
              <w:tc>
                <w:tcPr>
                  <w:tcW w:w="905" w:type="pct"/>
                  <w:vAlign w:val="center"/>
                </w:tcPr>
                <w:p>
                  <w:pPr>
                    <w:pStyle w:val="75"/>
                    <w:adjustRightInd w:val="0"/>
                    <w:snapToGrid w:val="0"/>
                    <w:jc w:val="center"/>
                    <w:rPr>
                      <w:rFonts w:ascii="Times New Roman" w:hAnsi="Times New Roman"/>
                      <w:color w:val="auto"/>
                      <w:sz w:val="18"/>
                      <w:szCs w:val="18"/>
                      <w:highlight w:val="none"/>
                    </w:rPr>
                  </w:pPr>
                  <w:r>
                    <w:rPr>
                      <w:rFonts w:ascii="Times New Roman" w:hAnsi="Times New Roman"/>
                      <w:color w:val="auto"/>
                      <w:sz w:val="18"/>
                      <w:szCs w:val="18"/>
                      <w:highlight w:val="none"/>
                    </w:rPr>
                    <w:t>总氰化物</w:t>
                  </w:r>
                </w:p>
              </w:tc>
              <w:tc>
                <w:tcPr>
                  <w:tcW w:w="855" w:type="pct"/>
                  <w:vMerge w:val="continue"/>
                  <w:vAlign w:val="center"/>
                </w:tcPr>
                <w:p>
                  <w:pPr>
                    <w:jc w:val="center"/>
                    <w:rPr>
                      <w:color w:val="auto"/>
                      <w:sz w:val="18"/>
                      <w:szCs w:val="18"/>
                      <w:highlight w:val="none"/>
                    </w:rPr>
                  </w:pPr>
                </w:p>
              </w:tc>
              <w:tc>
                <w:tcPr>
                  <w:tcW w:w="1658" w:type="pct"/>
                  <w:vMerge w:val="continue"/>
                  <w:vAlign w:val="center"/>
                </w:tcPr>
                <w:p>
                  <w:pPr>
                    <w:pStyle w:val="76"/>
                    <w:jc w:val="center"/>
                    <w:rPr>
                      <w:rFonts w:ascii="Times New Roman" w:hAnsi="Times New Roman"/>
                      <w:color w:val="auto"/>
                      <w:sz w:val="18"/>
                      <w:szCs w:val="18"/>
                      <w:highlight w:val="none"/>
                    </w:rPr>
                  </w:pPr>
                </w:p>
              </w:tc>
              <w:tc>
                <w:tcPr>
                  <w:tcW w:w="792" w:type="pct"/>
                  <w:vAlign w:val="center"/>
                </w:tcPr>
                <w:p>
                  <w:pPr>
                    <w:pStyle w:val="76"/>
                    <w:jc w:val="center"/>
                    <w:rPr>
                      <w:rFonts w:ascii="Times New Roman" w:hAnsi="Times New Roman"/>
                      <w:color w:val="auto"/>
                      <w:sz w:val="18"/>
                      <w:szCs w:val="18"/>
                      <w:highlight w:val="none"/>
                    </w:rPr>
                  </w:pPr>
                  <w:r>
                    <w:rPr>
                      <w:rFonts w:ascii="Times New Roman" w:hAnsi="Times New Roman"/>
                      <w:color w:val="auto"/>
                      <w:sz w:val="18"/>
                      <w:szCs w:val="18"/>
                      <w:highlight w:val="none"/>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continue"/>
                  <w:vAlign w:val="center"/>
                </w:tcPr>
                <w:p>
                  <w:pPr>
                    <w:jc w:val="center"/>
                    <w:rPr>
                      <w:b/>
                      <w:color w:val="auto"/>
                      <w:sz w:val="18"/>
                      <w:szCs w:val="18"/>
                      <w:highlight w:val="none"/>
                    </w:rPr>
                  </w:pPr>
                </w:p>
              </w:tc>
              <w:tc>
                <w:tcPr>
                  <w:tcW w:w="905" w:type="pct"/>
                  <w:vAlign w:val="center"/>
                </w:tcPr>
                <w:p>
                  <w:pPr>
                    <w:pStyle w:val="75"/>
                    <w:adjustRightInd w:val="0"/>
                    <w:snapToGrid w:val="0"/>
                    <w:jc w:val="center"/>
                    <w:rPr>
                      <w:rFonts w:ascii="Times New Roman" w:hAnsi="Times New Roman"/>
                      <w:color w:val="auto"/>
                      <w:sz w:val="18"/>
                      <w:szCs w:val="18"/>
                      <w:highlight w:val="none"/>
                    </w:rPr>
                  </w:pPr>
                  <w:r>
                    <w:rPr>
                      <w:rFonts w:ascii="Times New Roman" w:hAnsi="Times New Roman"/>
                      <w:color w:val="auto"/>
                      <w:sz w:val="18"/>
                      <w:szCs w:val="18"/>
                      <w:highlight w:val="none"/>
                    </w:rPr>
                    <w:t>阴离子表面活性剂</w:t>
                  </w:r>
                </w:p>
              </w:tc>
              <w:tc>
                <w:tcPr>
                  <w:tcW w:w="855" w:type="pct"/>
                  <w:vMerge w:val="continue"/>
                  <w:vAlign w:val="center"/>
                </w:tcPr>
                <w:p>
                  <w:pPr>
                    <w:jc w:val="center"/>
                    <w:rPr>
                      <w:color w:val="auto"/>
                      <w:sz w:val="18"/>
                      <w:szCs w:val="18"/>
                      <w:highlight w:val="none"/>
                    </w:rPr>
                  </w:pPr>
                </w:p>
              </w:tc>
              <w:tc>
                <w:tcPr>
                  <w:tcW w:w="1658" w:type="pct"/>
                  <w:vMerge w:val="continue"/>
                  <w:vAlign w:val="center"/>
                </w:tcPr>
                <w:p>
                  <w:pPr>
                    <w:pStyle w:val="76"/>
                    <w:jc w:val="center"/>
                    <w:rPr>
                      <w:rFonts w:ascii="Times New Roman" w:hAnsi="Times New Roman"/>
                      <w:color w:val="auto"/>
                      <w:sz w:val="18"/>
                      <w:szCs w:val="18"/>
                      <w:highlight w:val="none"/>
                    </w:rPr>
                  </w:pPr>
                </w:p>
              </w:tc>
              <w:tc>
                <w:tcPr>
                  <w:tcW w:w="792" w:type="pct"/>
                  <w:vAlign w:val="center"/>
                </w:tcPr>
                <w:p>
                  <w:pPr>
                    <w:pStyle w:val="76"/>
                    <w:jc w:val="center"/>
                    <w:rPr>
                      <w:rFonts w:ascii="Times New Roman" w:hAnsi="Times New Roman"/>
                      <w:color w:val="auto"/>
                      <w:sz w:val="18"/>
                      <w:szCs w:val="18"/>
                      <w:highlight w:val="none"/>
                    </w:rPr>
                  </w:pPr>
                  <w:r>
                    <w:rPr>
                      <w:rFonts w:ascii="Times New Roman" w:hAnsi="Times New Roman"/>
                      <w:color w:val="auto"/>
                      <w:sz w:val="18"/>
                      <w:szCs w:val="18"/>
                      <w:highlight w:val="none"/>
                    </w:rPr>
                    <w:t>10mg/L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6" w:type="pct"/>
                  <w:vMerge w:val="continue"/>
                  <w:vAlign w:val="center"/>
                </w:tcPr>
                <w:p>
                  <w:pPr>
                    <w:jc w:val="center"/>
                    <w:rPr>
                      <w:b/>
                      <w:color w:val="auto"/>
                      <w:sz w:val="18"/>
                      <w:szCs w:val="18"/>
                      <w:highlight w:val="none"/>
                    </w:rPr>
                  </w:pPr>
                </w:p>
              </w:tc>
              <w:tc>
                <w:tcPr>
                  <w:tcW w:w="905" w:type="pct"/>
                  <w:vAlign w:val="center"/>
                </w:tcPr>
                <w:p>
                  <w:pPr>
                    <w:pStyle w:val="75"/>
                    <w:adjustRightInd w:val="0"/>
                    <w:snapToGrid w:val="0"/>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溶解性总固体</w:t>
                  </w:r>
                </w:p>
              </w:tc>
              <w:tc>
                <w:tcPr>
                  <w:tcW w:w="855" w:type="pct"/>
                  <w:vMerge w:val="continue"/>
                  <w:vAlign w:val="center"/>
                </w:tcPr>
                <w:p>
                  <w:pPr>
                    <w:jc w:val="center"/>
                    <w:rPr>
                      <w:color w:val="auto"/>
                      <w:sz w:val="18"/>
                      <w:szCs w:val="18"/>
                      <w:highlight w:val="none"/>
                    </w:rPr>
                  </w:pPr>
                </w:p>
              </w:tc>
              <w:tc>
                <w:tcPr>
                  <w:tcW w:w="1658" w:type="pct"/>
                  <w:vAlign w:val="center"/>
                </w:tcPr>
                <w:p>
                  <w:pPr>
                    <w:pStyle w:val="76"/>
                    <w:jc w:val="center"/>
                    <w:rPr>
                      <w:rFonts w:ascii="Times New Roman" w:hAnsi="Times New Roman"/>
                      <w:color w:val="auto"/>
                      <w:sz w:val="18"/>
                      <w:szCs w:val="18"/>
                      <w:highlight w:val="none"/>
                    </w:rPr>
                  </w:pPr>
                  <w:r>
                    <w:rPr>
                      <w:rFonts w:hint="eastAsia" w:ascii="Times New Roman" w:hAnsi="Times New Roman"/>
                      <w:color w:val="auto"/>
                      <w:sz w:val="18"/>
                      <w:szCs w:val="18"/>
                      <w:highlight w:val="none"/>
                      <w:lang w:val="en-US" w:eastAsia="zh-CN"/>
                    </w:rPr>
                    <w:t>《污水排入城镇下水道水质标准》（GB/T31962-2015）表1中B等级标准</w:t>
                  </w:r>
                </w:p>
              </w:tc>
              <w:tc>
                <w:tcPr>
                  <w:tcW w:w="792" w:type="pct"/>
                  <w:vAlign w:val="center"/>
                </w:tcPr>
                <w:p>
                  <w:pPr>
                    <w:pStyle w:val="76"/>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2000</w:t>
                  </w:r>
                  <w:r>
                    <w:rPr>
                      <w:rFonts w:ascii="Times New Roman" w:hAnsi="Times New Roman"/>
                      <w:color w:val="auto"/>
                      <w:sz w:val="18"/>
                      <w:szCs w:val="18"/>
                      <w:highlight w:val="none"/>
                    </w:rPr>
                    <w:t>mg/L</w:t>
                  </w:r>
                </w:p>
              </w:tc>
            </w:tr>
          </w:tbl>
          <w:p>
            <w:pPr>
              <w:spacing w:line="360" w:lineRule="auto"/>
              <w:ind w:firstLine="420"/>
              <w:rPr>
                <w:b/>
                <w:bCs/>
                <w:color w:val="auto"/>
                <w:spacing w:val="-10"/>
                <w:szCs w:val="21"/>
                <w:highlight w:val="none"/>
              </w:rPr>
            </w:pPr>
            <w:r>
              <w:rPr>
                <w:b/>
                <w:bCs/>
                <w:color w:val="auto"/>
                <w:spacing w:val="-10"/>
                <w:szCs w:val="21"/>
                <w:highlight w:val="none"/>
              </w:rPr>
              <w:t>二、废气</w:t>
            </w:r>
          </w:p>
          <w:p>
            <w:pPr>
              <w:snapToGrid w:val="0"/>
              <w:spacing w:line="360" w:lineRule="auto"/>
              <w:ind w:firstLine="420" w:firstLineChars="200"/>
              <w:rPr>
                <w:rFonts w:hint="eastAsia" w:ascii="Times New Roman" w:hAnsi="Times New Roman" w:eastAsia="宋体" w:cs="Times New Roman"/>
                <w:color w:val="auto"/>
                <w:highlight w:val="none"/>
                <w:lang w:eastAsia="zh-CN"/>
              </w:rPr>
            </w:pPr>
            <w:r>
              <w:rPr>
                <w:rFonts w:ascii="Times New Roman" w:hAnsi="Times New Roman" w:eastAsia="宋体" w:cs="Times New Roman"/>
                <w:color w:val="auto"/>
                <w:highlight w:val="none"/>
              </w:rPr>
              <w:t>拟建项目运营期产生的废气主要为油烟废气、污水处理站恶臭气体等</w:t>
            </w:r>
            <w:r>
              <w:rPr>
                <w:rFonts w:hint="eastAsia" w:cs="Times New Roman"/>
                <w:color w:val="auto"/>
                <w:highlight w:val="none"/>
                <w:lang w:eastAsia="zh-CN"/>
              </w:rPr>
              <w:t>。</w:t>
            </w:r>
          </w:p>
          <w:p>
            <w:pPr>
              <w:snapToGrid w:val="0"/>
              <w:spacing w:line="360" w:lineRule="auto"/>
              <w:ind w:firstLine="420" w:firstLineChars="200"/>
              <w:rPr>
                <w:rFonts w:ascii="Times New Roman" w:hAnsi="Times New Roman" w:eastAsia="宋体" w:cs="Times New Roman"/>
                <w:color w:val="auto"/>
                <w:highlight w:val="none"/>
              </w:rPr>
            </w:pPr>
          </w:p>
          <w:p>
            <w:pPr>
              <w:snapToGrid w:val="0"/>
              <w:spacing w:line="360" w:lineRule="auto"/>
              <w:ind w:firstLine="420" w:firstLineChars="200"/>
              <w:rPr>
                <w:rFonts w:ascii="Times New Roman" w:hAnsi="Times New Roman" w:eastAsia="宋体" w:cs="Times New Roman"/>
                <w:color w:val="auto"/>
                <w:highlight w:val="none"/>
              </w:rPr>
            </w:pPr>
          </w:p>
          <w:p>
            <w:pPr>
              <w:snapToGrid w:val="0"/>
              <w:spacing w:line="360" w:lineRule="auto"/>
              <w:ind w:firstLine="420" w:firstLineChars="200"/>
              <w:rPr>
                <w:rFonts w:ascii="Times New Roman" w:hAnsi="Times New Roman" w:eastAsia="宋体" w:cs="Times New Roman"/>
                <w:color w:val="auto"/>
                <w:highlight w:val="none"/>
              </w:rPr>
            </w:pPr>
          </w:p>
          <w:p>
            <w:pPr>
              <w:snapToGrid w:val="0"/>
              <w:spacing w:line="360" w:lineRule="auto"/>
              <w:ind w:firstLine="420" w:firstLineChars="200"/>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rPr>
                <w:rFonts w:ascii="Times New Roman" w:hAnsi="Times New Roman" w:eastAsia="宋体" w:cs="Times New Roman"/>
                <w:color w:val="auto"/>
                <w:highlight w:val="none"/>
              </w:rPr>
            </w:pPr>
          </w:p>
          <w:p>
            <w:pPr>
              <w:pStyle w:val="2"/>
              <w:ind w:left="0" w:leftChars="0" w:firstLine="0" w:firstLineChars="0"/>
              <w:rPr>
                <w:rFonts w:ascii="Times New Roman" w:hAnsi="Times New Roman" w:eastAsia="宋体" w:cs="Times New Roman"/>
                <w:color w:val="auto"/>
                <w:highlight w:val="none"/>
              </w:rPr>
            </w:pPr>
          </w:p>
          <w:p>
            <w:pPr>
              <w:snapToGrid w:val="0"/>
              <w:spacing w:line="360" w:lineRule="auto"/>
              <w:ind w:firstLine="420" w:firstLineChars="200"/>
              <w:rPr>
                <w:rFonts w:ascii="Times New Roman" w:hAnsi="Times New Roman" w:eastAsia="宋体" w:cs="Times New Roman"/>
                <w:color w:val="auto"/>
                <w:highlight w:val="none"/>
              </w:rPr>
            </w:pPr>
          </w:p>
          <w:p>
            <w:pPr>
              <w:spacing w:line="360" w:lineRule="auto"/>
              <w:rPr>
                <w:bCs/>
                <w:color w:val="auto"/>
                <w:spacing w:val="-10"/>
                <w:szCs w:val="21"/>
                <w:highlight w:val="none"/>
              </w:rPr>
            </w:pPr>
          </w:p>
        </w:tc>
      </w:tr>
    </w:tbl>
    <w:p>
      <w:pPr>
        <w:pStyle w:val="22"/>
        <w:jc w:val="both"/>
        <w:outlineLvl w:val="0"/>
        <w:rPr>
          <w:rFonts w:ascii="Times New Roman" w:hAnsi="Times New Roman" w:eastAsia="黑体"/>
          <w:snapToGrid w:val="0"/>
          <w:color w:val="auto"/>
          <w:sz w:val="30"/>
          <w:szCs w:val="30"/>
          <w:highlight w:val="none"/>
        </w:rPr>
        <w:sectPr>
          <w:pgSz w:w="11907" w:h="16840"/>
          <w:pgMar w:top="1701" w:right="1531" w:bottom="2127" w:left="1531" w:header="851" w:footer="851" w:gutter="0"/>
          <w:pgNumType w:fmt="numberInDash"/>
          <w:cols w:space="720" w:num="1"/>
          <w:docGrid w:linePitch="312" w:charSpace="0"/>
        </w:sect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center"/>
          </w:tcPr>
          <w:p>
            <w:pPr>
              <w:autoSpaceDE w:val="0"/>
              <w:autoSpaceDN w:val="0"/>
              <w:adjustRightInd w:val="0"/>
              <w:jc w:val="center"/>
              <w:rPr>
                <w:b/>
                <w:snapToGrid w:val="0"/>
                <w:color w:val="auto"/>
                <w:kern w:val="0"/>
                <w:szCs w:val="21"/>
                <w:highlight w:val="none"/>
              </w:rPr>
            </w:pPr>
            <w:r>
              <w:rPr>
                <w:b/>
                <w:snapToGrid w:val="0"/>
                <w:color w:val="auto"/>
                <w:kern w:val="0"/>
                <w:szCs w:val="21"/>
                <w:highlight w:val="none"/>
              </w:rPr>
              <w:t>表4-</w:t>
            </w:r>
            <w:r>
              <w:rPr>
                <w:rFonts w:hint="eastAsia"/>
                <w:b/>
                <w:snapToGrid w:val="0"/>
                <w:color w:val="auto"/>
                <w:kern w:val="0"/>
                <w:szCs w:val="21"/>
                <w:highlight w:val="none"/>
                <w:lang w:val="en-US" w:eastAsia="zh-CN"/>
              </w:rPr>
              <w:t>13</w:t>
            </w:r>
            <w:r>
              <w:rPr>
                <w:b/>
                <w:snapToGrid w:val="0"/>
                <w:color w:val="auto"/>
                <w:kern w:val="0"/>
                <w:szCs w:val="21"/>
                <w:highlight w:val="none"/>
              </w:rPr>
              <w:t xml:space="preserve">  有组织废气污染物排放源强核算结果一览表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
              <w:gridCol w:w="476"/>
              <w:gridCol w:w="608"/>
              <w:gridCol w:w="695"/>
              <w:gridCol w:w="695"/>
              <w:gridCol w:w="486"/>
              <w:gridCol w:w="363"/>
              <w:gridCol w:w="486"/>
              <w:gridCol w:w="363"/>
              <w:gridCol w:w="621"/>
              <w:gridCol w:w="768"/>
              <w:gridCol w:w="695"/>
              <w:gridCol w:w="650"/>
              <w:gridCol w:w="363"/>
              <w:gridCol w:w="363"/>
              <w:gridCol w:w="1153"/>
              <w:gridCol w:w="474"/>
              <w:gridCol w:w="400"/>
              <w:gridCol w:w="510"/>
              <w:gridCol w:w="510"/>
              <w:gridCol w:w="510"/>
              <w:gridCol w:w="608"/>
              <w:gridCol w:w="479"/>
              <w:gridCol w:w="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9" w:type="pct"/>
                  <w:vMerge w:val="restar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产污环节</w:t>
                  </w:r>
                </w:p>
              </w:tc>
              <w:tc>
                <w:tcPr>
                  <w:tcW w:w="227" w:type="pct"/>
                  <w:vMerge w:val="restar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污染物种类</w:t>
                  </w:r>
                </w:p>
              </w:tc>
              <w:tc>
                <w:tcPr>
                  <w:tcW w:w="705" w:type="pct"/>
                  <w:gridSpan w:val="3"/>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污染物产生情况</w:t>
                  </w:r>
                </w:p>
              </w:tc>
              <w:tc>
                <w:tcPr>
                  <w:tcW w:w="685" w:type="pct"/>
                  <w:gridSpan w:val="4"/>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治理设施</w:t>
                  </w:r>
                </w:p>
              </w:tc>
              <w:tc>
                <w:tcPr>
                  <w:tcW w:w="736" w:type="pct"/>
                  <w:gridSpan w:val="3"/>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污染物排放情况</w:t>
                  </w:r>
                </w:p>
              </w:tc>
              <w:tc>
                <w:tcPr>
                  <w:tcW w:w="1889" w:type="pct"/>
                  <w:gridSpan w:val="9"/>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排放口</w:t>
                  </w:r>
                </w:p>
              </w:tc>
              <w:tc>
                <w:tcPr>
                  <w:tcW w:w="421" w:type="pct"/>
                  <w:gridSpan w:val="2"/>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排放标准</w:t>
                  </w:r>
                </w:p>
              </w:tc>
              <w:tc>
                <w:tcPr>
                  <w:tcW w:w="134" w:type="pct"/>
                  <w:vMerge w:val="restar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9" w:type="pct"/>
                  <w:vMerge w:val="continue"/>
                  <w:noWrap w:val="0"/>
                  <w:vAlign w:val="center"/>
                </w:tcPr>
                <w:p>
                  <w:pPr>
                    <w:pStyle w:val="16"/>
                    <w:spacing w:line="240" w:lineRule="atLeast"/>
                    <w:jc w:val="center"/>
                    <w:rPr>
                      <w:rFonts w:ascii="Times New Roman" w:hAnsi="Times New Roman"/>
                      <w:color w:val="auto"/>
                      <w:kern w:val="0"/>
                      <w:sz w:val="18"/>
                      <w:szCs w:val="18"/>
                      <w:highlight w:val="none"/>
                    </w:rPr>
                  </w:pPr>
                </w:p>
              </w:tc>
              <w:tc>
                <w:tcPr>
                  <w:tcW w:w="227" w:type="pct"/>
                  <w:vMerge w:val="continue"/>
                  <w:noWrap w:val="0"/>
                  <w:vAlign w:val="center"/>
                </w:tcPr>
                <w:p>
                  <w:pPr>
                    <w:pStyle w:val="16"/>
                    <w:spacing w:line="240" w:lineRule="atLeast"/>
                    <w:jc w:val="center"/>
                    <w:rPr>
                      <w:rFonts w:ascii="Times New Roman" w:hAnsi="Times New Roman"/>
                      <w:color w:val="auto"/>
                      <w:kern w:val="0"/>
                      <w:sz w:val="18"/>
                      <w:szCs w:val="18"/>
                      <w:highlight w:val="none"/>
                    </w:rPr>
                  </w:pPr>
                </w:p>
              </w:tc>
              <w:tc>
                <w:tcPr>
                  <w:tcW w:w="241"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产生浓度mg/m</w:t>
                  </w:r>
                  <w:r>
                    <w:rPr>
                      <w:rFonts w:ascii="Times New Roman" w:hAnsi="Times New Roman"/>
                      <w:color w:val="auto"/>
                      <w:kern w:val="0"/>
                      <w:sz w:val="18"/>
                      <w:szCs w:val="18"/>
                      <w:highlight w:val="none"/>
                      <w:vertAlign w:val="superscript"/>
                    </w:rPr>
                    <w:t>3</w:t>
                  </w:r>
                </w:p>
              </w:tc>
              <w:tc>
                <w:tcPr>
                  <w:tcW w:w="216"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产生速率kg/h</w:t>
                  </w:r>
                </w:p>
              </w:tc>
              <w:tc>
                <w:tcPr>
                  <w:tcW w:w="247" w:type="pct"/>
                  <w:noWrap w:val="0"/>
                  <w:vAlign w:val="center"/>
                </w:tcPr>
                <w:p>
                  <w:pPr>
                    <w:pStyle w:val="16"/>
                    <w:spacing w:line="240" w:lineRule="atLeast"/>
                    <w:jc w:val="center"/>
                    <w:rPr>
                      <w:rFonts w:ascii="Times New Roman" w:hAnsi="Times New Roman"/>
                      <w:color w:val="auto"/>
                      <w:kern w:val="0"/>
                      <w:sz w:val="18"/>
                      <w:szCs w:val="18"/>
                      <w:highlight w:val="none"/>
                    </w:rPr>
                  </w:pPr>
                  <w:r>
                    <w:rPr>
                      <w:rFonts w:hint="eastAsia" w:ascii="Times New Roman" w:hAnsi="Times New Roman"/>
                      <w:color w:val="auto"/>
                      <w:kern w:val="0"/>
                      <w:sz w:val="18"/>
                      <w:szCs w:val="18"/>
                      <w:highlight w:val="none"/>
                      <w:lang w:val="en-US" w:eastAsia="zh-CN"/>
                    </w:rPr>
                    <w:t>收集</w:t>
                  </w:r>
                  <w:r>
                    <w:rPr>
                      <w:rFonts w:ascii="Times New Roman" w:hAnsi="Times New Roman"/>
                      <w:color w:val="auto"/>
                      <w:kern w:val="0"/>
                      <w:sz w:val="18"/>
                      <w:szCs w:val="18"/>
                      <w:highlight w:val="none"/>
                    </w:rPr>
                    <w:t>量t/a</w:t>
                  </w:r>
                </w:p>
              </w:tc>
              <w:tc>
                <w:tcPr>
                  <w:tcW w:w="218"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收集效率</w:t>
                  </w:r>
                  <w:r>
                    <w:rPr>
                      <w:rFonts w:hint="eastAsia" w:ascii="Times New Roman" w:hAnsi="Times New Roman"/>
                      <w:color w:val="auto"/>
                      <w:kern w:val="0"/>
                      <w:sz w:val="18"/>
                      <w:szCs w:val="18"/>
                      <w:highlight w:val="none"/>
                    </w:rPr>
                    <w:t>%</w:t>
                  </w:r>
                </w:p>
              </w:tc>
              <w:tc>
                <w:tcPr>
                  <w:tcW w:w="191"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治理设施</w:t>
                  </w:r>
                </w:p>
              </w:tc>
              <w:tc>
                <w:tcPr>
                  <w:tcW w:w="135"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处理效率</w:t>
                  </w:r>
                </w:p>
              </w:tc>
              <w:tc>
                <w:tcPr>
                  <w:tcW w:w="140"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是否为可行技术</w:t>
                  </w:r>
                </w:p>
              </w:tc>
              <w:tc>
                <w:tcPr>
                  <w:tcW w:w="244"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排放浓度mg/m</w:t>
                  </w:r>
                  <w:r>
                    <w:rPr>
                      <w:rFonts w:ascii="Times New Roman" w:hAnsi="Times New Roman"/>
                      <w:color w:val="auto"/>
                      <w:kern w:val="0"/>
                      <w:sz w:val="18"/>
                      <w:szCs w:val="18"/>
                      <w:highlight w:val="none"/>
                      <w:vertAlign w:val="superscript"/>
                    </w:rPr>
                    <w:t>3</w:t>
                  </w:r>
                </w:p>
              </w:tc>
              <w:tc>
                <w:tcPr>
                  <w:tcW w:w="243"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排放速率kg/h</w:t>
                  </w:r>
                </w:p>
              </w:tc>
              <w:tc>
                <w:tcPr>
                  <w:tcW w:w="248"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排放量t/a</w:t>
                  </w:r>
                </w:p>
              </w:tc>
              <w:tc>
                <w:tcPr>
                  <w:tcW w:w="203"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编号</w:t>
                  </w:r>
                </w:p>
              </w:tc>
              <w:tc>
                <w:tcPr>
                  <w:tcW w:w="136"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名称</w:t>
                  </w:r>
                </w:p>
              </w:tc>
              <w:tc>
                <w:tcPr>
                  <w:tcW w:w="137"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类型</w:t>
                  </w:r>
                </w:p>
              </w:tc>
              <w:tc>
                <w:tcPr>
                  <w:tcW w:w="471"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地理坐标</w:t>
                  </w:r>
                </w:p>
              </w:tc>
              <w:tc>
                <w:tcPr>
                  <w:tcW w:w="134"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高度m</w:t>
                  </w:r>
                </w:p>
              </w:tc>
              <w:tc>
                <w:tcPr>
                  <w:tcW w:w="173"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出口内径m</w:t>
                  </w:r>
                </w:p>
              </w:tc>
              <w:tc>
                <w:tcPr>
                  <w:tcW w:w="197"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风量m</w:t>
                  </w:r>
                  <w:r>
                    <w:rPr>
                      <w:rFonts w:ascii="Times New Roman" w:hAnsi="Times New Roman"/>
                      <w:color w:val="auto"/>
                      <w:kern w:val="0"/>
                      <w:sz w:val="18"/>
                      <w:szCs w:val="18"/>
                      <w:highlight w:val="none"/>
                      <w:vertAlign w:val="superscript"/>
                    </w:rPr>
                    <w:t>3</w:t>
                  </w:r>
                  <w:r>
                    <w:rPr>
                      <w:rFonts w:ascii="Times New Roman" w:hAnsi="Times New Roman"/>
                      <w:color w:val="auto"/>
                      <w:kern w:val="0"/>
                      <w:sz w:val="18"/>
                      <w:szCs w:val="18"/>
                      <w:highlight w:val="none"/>
                    </w:rPr>
                    <w:t>/h</w:t>
                  </w:r>
                </w:p>
              </w:tc>
              <w:tc>
                <w:tcPr>
                  <w:tcW w:w="196"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排气温度℃</w:t>
                  </w:r>
                </w:p>
              </w:tc>
              <w:tc>
                <w:tcPr>
                  <w:tcW w:w="235"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年排放时数/h</w:t>
                  </w:r>
                </w:p>
              </w:tc>
              <w:tc>
                <w:tcPr>
                  <w:tcW w:w="238"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浓度限值mg/m</w:t>
                  </w:r>
                  <w:r>
                    <w:rPr>
                      <w:rFonts w:ascii="Times New Roman" w:hAnsi="Times New Roman"/>
                      <w:color w:val="auto"/>
                      <w:kern w:val="0"/>
                      <w:sz w:val="18"/>
                      <w:szCs w:val="18"/>
                      <w:highlight w:val="none"/>
                      <w:vertAlign w:val="superscript"/>
                    </w:rPr>
                    <w:t>3</w:t>
                  </w:r>
                </w:p>
              </w:tc>
              <w:tc>
                <w:tcPr>
                  <w:tcW w:w="183"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速率限值kg/h</w:t>
                  </w:r>
                </w:p>
              </w:tc>
              <w:tc>
                <w:tcPr>
                  <w:tcW w:w="134" w:type="pct"/>
                  <w:vMerge w:val="continue"/>
                  <w:noWrap w:val="0"/>
                  <w:vAlign w:val="center"/>
                </w:tcPr>
                <w:p>
                  <w:pPr>
                    <w:pStyle w:val="16"/>
                    <w:spacing w:line="240" w:lineRule="atLeast"/>
                    <w:jc w:val="center"/>
                    <w:rPr>
                      <w:rFonts w:ascii="Times New Roman" w:hAnsi="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9" w:type="pct"/>
                  <w:vMerge w:val="restart"/>
                  <w:noWrap w:val="0"/>
                  <w:vAlign w:val="center"/>
                </w:tcPr>
                <w:p>
                  <w:pPr>
                    <w:pStyle w:val="16"/>
                    <w:spacing w:line="240" w:lineRule="atLeast"/>
                    <w:jc w:val="center"/>
                    <w:rPr>
                      <w:rFonts w:hint="eastAsia" w:ascii="Times New Roman" w:hAnsi="Times New Roman"/>
                      <w:color w:val="auto"/>
                      <w:kern w:val="0"/>
                      <w:sz w:val="18"/>
                      <w:szCs w:val="18"/>
                      <w:highlight w:val="none"/>
                    </w:rPr>
                  </w:pPr>
                  <w:r>
                    <w:rPr>
                      <w:rFonts w:hint="eastAsia" w:ascii="Times New Roman" w:hAnsi="Times New Roman"/>
                      <w:color w:val="auto"/>
                      <w:kern w:val="0"/>
                      <w:sz w:val="18"/>
                      <w:szCs w:val="18"/>
                      <w:highlight w:val="none"/>
                    </w:rPr>
                    <w:t>污水处理站</w:t>
                  </w:r>
                </w:p>
              </w:tc>
              <w:tc>
                <w:tcPr>
                  <w:tcW w:w="227" w:type="pct"/>
                  <w:noWrap w:val="0"/>
                  <w:vAlign w:val="center"/>
                </w:tcPr>
                <w:p>
                  <w:pPr>
                    <w:jc w:val="center"/>
                    <w:rPr>
                      <w:color w:val="auto"/>
                      <w:kern w:val="0"/>
                      <w:sz w:val="18"/>
                      <w:szCs w:val="18"/>
                      <w:highlight w:val="none"/>
                    </w:rPr>
                  </w:pPr>
                  <w:r>
                    <w:rPr>
                      <w:snapToGrid w:val="0"/>
                      <w:color w:val="auto"/>
                      <w:kern w:val="0"/>
                      <w:sz w:val="18"/>
                      <w:szCs w:val="18"/>
                      <w:highlight w:val="none"/>
                    </w:rPr>
                    <w:t>NH</w:t>
                  </w:r>
                  <w:r>
                    <w:rPr>
                      <w:snapToGrid w:val="0"/>
                      <w:color w:val="auto"/>
                      <w:kern w:val="0"/>
                      <w:sz w:val="18"/>
                      <w:szCs w:val="18"/>
                      <w:highlight w:val="none"/>
                      <w:vertAlign w:val="subscript"/>
                    </w:rPr>
                    <w:t>3</w:t>
                  </w:r>
                </w:p>
              </w:tc>
              <w:tc>
                <w:tcPr>
                  <w:tcW w:w="241"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eastAsia="宋体"/>
                      <w:color w:val="auto"/>
                      <w:kern w:val="0"/>
                      <w:sz w:val="18"/>
                      <w:szCs w:val="18"/>
                      <w:highlight w:val="none"/>
                      <w:lang w:val="en-US" w:eastAsia="zh-CN"/>
                    </w:rPr>
                    <w:t>0.5</w:t>
                  </w:r>
                  <w:r>
                    <w:rPr>
                      <w:rFonts w:hint="eastAsia" w:ascii="Times New Roman" w:hAnsi="Times New Roman"/>
                      <w:color w:val="auto"/>
                      <w:kern w:val="0"/>
                      <w:sz w:val="18"/>
                      <w:szCs w:val="18"/>
                      <w:highlight w:val="none"/>
                      <w:lang w:val="en-US" w:eastAsia="zh-CN"/>
                    </w:rPr>
                    <w:t>5</w:t>
                  </w:r>
                </w:p>
              </w:tc>
              <w:tc>
                <w:tcPr>
                  <w:tcW w:w="216"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eastAsia="宋体"/>
                      <w:color w:val="auto"/>
                      <w:kern w:val="0"/>
                      <w:sz w:val="18"/>
                      <w:szCs w:val="18"/>
                      <w:highlight w:val="none"/>
                      <w:lang w:val="en-US" w:eastAsia="zh-CN"/>
                    </w:rPr>
                    <w:t>0.00</w:t>
                  </w:r>
                  <w:r>
                    <w:rPr>
                      <w:rFonts w:hint="eastAsia" w:ascii="Times New Roman" w:hAnsi="Times New Roman"/>
                      <w:color w:val="auto"/>
                      <w:kern w:val="0"/>
                      <w:sz w:val="18"/>
                      <w:szCs w:val="18"/>
                      <w:highlight w:val="none"/>
                      <w:lang w:val="en-US" w:eastAsia="zh-CN"/>
                    </w:rPr>
                    <w:t>16</w:t>
                  </w:r>
                </w:p>
              </w:tc>
              <w:tc>
                <w:tcPr>
                  <w:tcW w:w="247"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0.0144</w:t>
                  </w:r>
                </w:p>
              </w:tc>
              <w:tc>
                <w:tcPr>
                  <w:tcW w:w="218" w:type="pct"/>
                  <w:vMerge w:val="restart"/>
                  <w:noWrap w:val="0"/>
                  <w:vAlign w:val="center"/>
                </w:tcPr>
                <w:p>
                  <w:pPr>
                    <w:pStyle w:val="16"/>
                    <w:spacing w:line="240" w:lineRule="atLeast"/>
                    <w:jc w:val="center"/>
                    <w:rPr>
                      <w:rFonts w:ascii="Times New Roman" w:hAnsi="Times New Roman"/>
                      <w:color w:val="auto"/>
                      <w:kern w:val="0"/>
                      <w:sz w:val="18"/>
                      <w:szCs w:val="18"/>
                      <w:highlight w:val="none"/>
                    </w:rPr>
                  </w:pPr>
                  <w:r>
                    <w:rPr>
                      <w:rFonts w:hint="eastAsia" w:ascii="Times New Roman" w:hAnsi="Times New Roman"/>
                      <w:color w:val="auto"/>
                      <w:kern w:val="0"/>
                      <w:sz w:val="18"/>
                      <w:szCs w:val="18"/>
                      <w:highlight w:val="none"/>
                      <w:lang w:val="en-US" w:eastAsia="zh-CN"/>
                    </w:rPr>
                    <w:t>90</w:t>
                  </w:r>
                  <w:r>
                    <w:rPr>
                      <w:rFonts w:hint="eastAsia" w:ascii="Times New Roman" w:hAnsi="Times New Roman"/>
                      <w:color w:val="auto"/>
                      <w:kern w:val="0"/>
                      <w:sz w:val="18"/>
                      <w:szCs w:val="18"/>
                      <w:highlight w:val="none"/>
                    </w:rPr>
                    <w:t>%</w:t>
                  </w:r>
                </w:p>
              </w:tc>
              <w:tc>
                <w:tcPr>
                  <w:tcW w:w="191" w:type="pct"/>
                  <w:vMerge w:val="restart"/>
                  <w:noWrap w:val="0"/>
                  <w:vAlign w:val="center"/>
                </w:tcPr>
                <w:p>
                  <w:pPr>
                    <w:pStyle w:val="16"/>
                    <w:spacing w:line="240" w:lineRule="atLeast"/>
                    <w:jc w:val="both"/>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生物除臭装置</w:t>
                  </w:r>
                </w:p>
              </w:tc>
              <w:tc>
                <w:tcPr>
                  <w:tcW w:w="135" w:type="pct"/>
                  <w:vMerge w:val="restart"/>
                  <w:noWrap w:val="0"/>
                  <w:vAlign w:val="center"/>
                </w:tcPr>
                <w:p>
                  <w:pPr>
                    <w:pStyle w:val="16"/>
                    <w:spacing w:line="240" w:lineRule="atLeast"/>
                    <w:jc w:val="center"/>
                    <w:rPr>
                      <w:rFonts w:hint="eastAsia"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8</w:t>
                  </w:r>
                  <w:r>
                    <w:rPr>
                      <w:rFonts w:hint="eastAsia" w:ascii="Times New Roman" w:hAnsi="Times New Roman"/>
                      <w:color w:val="auto"/>
                      <w:kern w:val="0"/>
                      <w:sz w:val="18"/>
                      <w:szCs w:val="18"/>
                      <w:highlight w:val="none"/>
                    </w:rPr>
                    <w:t>0</w:t>
                  </w:r>
                  <w:r>
                    <w:rPr>
                      <w:rFonts w:hint="eastAsia" w:ascii="Times New Roman" w:hAnsi="Times New Roman"/>
                      <w:color w:val="auto"/>
                      <w:kern w:val="0"/>
                      <w:sz w:val="18"/>
                      <w:szCs w:val="18"/>
                      <w:highlight w:val="none"/>
                      <w:lang w:val="en-US" w:eastAsia="zh-CN"/>
                    </w:rPr>
                    <w:t>%</w:t>
                  </w:r>
                </w:p>
              </w:tc>
              <w:tc>
                <w:tcPr>
                  <w:tcW w:w="140" w:type="pct"/>
                  <w:vMerge w:val="restar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是</w:t>
                  </w:r>
                </w:p>
              </w:tc>
              <w:tc>
                <w:tcPr>
                  <w:tcW w:w="244"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eastAsia="宋体"/>
                      <w:color w:val="auto"/>
                      <w:kern w:val="0"/>
                      <w:sz w:val="18"/>
                      <w:szCs w:val="18"/>
                      <w:highlight w:val="none"/>
                      <w:lang w:val="en-US" w:eastAsia="zh-CN"/>
                    </w:rPr>
                    <w:t>0.11</w:t>
                  </w:r>
                </w:p>
              </w:tc>
              <w:tc>
                <w:tcPr>
                  <w:tcW w:w="243" w:type="pct"/>
                  <w:noWrap w:val="0"/>
                  <w:vAlign w:val="center"/>
                </w:tcPr>
                <w:p>
                  <w:pPr>
                    <w:jc w:val="center"/>
                    <w:rPr>
                      <w:rFonts w:hint="eastAsia"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0.00033</w:t>
                  </w:r>
                </w:p>
              </w:tc>
              <w:tc>
                <w:tcPr>
                  <w:tcW w:w="248" w:type="pct"/>
                  <w:noWrap w:val="0"/>
                  <w:vAlign w:val="center"/>
                </w:tcPr>
                <w:p>
                  <w:pPr>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0.0029</w:t>
                  </w:r>
                </w:p>
              </w:tc>
              <w:tc>
                <w:tcPr>
                  <w:tcW w:w="203" w:type="pct"/>
                  <w:vMerge w:val="restart"/>
                  <w:noWrap w:val="0"/>
                  <w:vAlign w:val="center"/>
                </w:tcPr>
                <w:p>
                  <w:pPr>
                    <w:pStyle w:val="16"/>
                    <w:spacing w:line="240" w:lineRule="atLeast"/>
                    <w:jc w:val="center"/>
                    <w:rPr>
                      <w:rFonts w:hint="eastAsia" w:ascii="Times New Roman" w:hAnsi="Times New Roman"/>
                      <w:color w:val="auto"/>
                      <w:kern w:val="0"/>
                      <w:sz w:val="18"/>
                      <w:szCs w:val="18"/>
                      <w:highlight w:val="none"/>
                    </w:rPr>
                  </w:pPr>
                  <w:r>
                    <w:rPr>
                      <w:rFonts w:ascii="Times New Roman" w:hAnsi="Times New Roman"/>
                      <w:color w:val="auto"/>
                      <w:kern w:val="0"/>
                      <w:sz w:val="18"/>
                      <w:szCs w:val="18"/>
                      <w:highlight w:val="none"/>
                    </w:rPr>
                    <w:t>DA00</w:t>
                  </w:r>
                  <w:r>
                    <w:rPr>
                      <w:rFonts w:hint="eastAsia" w:ascii="Times New Roman" w:hAnsi="Times New Roman"/>
                      <w:color w:val="auto"/>
                      <w:kern w:val="0"/>
                      <w:sz w:val="18"/>
                      <w:szCs w:val="18"/>
                      <w:highlight w:val="none"/>
                    </w:rPr>
                    <w:t>1</w:t>
                  </w:r>
                </w:p>
              </w:tc>
              <w:tc>
                <w:tcPr>
                  <w:tcW w:w="136" w:type="pct"/>
                  <w:vMerge w:val="restart"/>
                  <w:noWrap w:val="0"/>
                  <w:vAlign w:val="center"/>
                </w:tcPr>
                <w:p>
                  <w:pPr>
                    <w:pStyle w:val="16"/>
                    <w:spacing w:line="240" w:lineRule="atLeast"/>
                    <w:jc w:val="center"/>
                    <w:rPr>
                      <w:rFonts w:hint="eastAsia" w:ascii="Times New Roman" w:hAnsi="Times New Roman"/>
                      <w:color w:val="auto"/>
                      <w:kern w:val="0"/>
                      <w:sz w:val="18"/>
                      <w:szCs w:val="18"/>
                      <w:highlight w:val="none"/>
                    </w:rPr>
                  </w:pPr>
                  <w:r>
                    <w:rPr>
                      <w:rFonts w:hint="eastAsia" w:ascii="Times New Roman" w:hAnsi="Times New Roman"/>
                      <w:color w:val="auto"/>
                      <w:kern w:val="0"/>
                      <w:sz w:val="18"/>
                      <w:szCs w:val="18"/>
                      <w:highlight w:val="none"/>
                    </w:rPr>
                    <w:t>污水站排气筒</w:t>
                  </w:r>
                </w:p>
              </w:tc>
              <w:tc>
                <w:tcPr>
                  <w:tcW w:w="137" w:type="pct"/>
                  <w:vMerge w:val="restar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一般排放口</w:t>
                  </w:r>
                </w:p>
              </w:tc>
              <w:tc>
                <w:tcPr>
                  <w:tcW w:w="471" w:type="pct"/>
                  <w:vMerge w:val="restart"/>
                  <w:noWrap w:val="0"/>
                  <w:vAlign w:val="center"/>
                </w:tcPr>
                <w:p>
                  <w:pPr>
                    <w:pStyle w:val="16"/>
                    <w:spacing w:line="240" w:lineRule="atLeast"/>
                    <w:jc w:val="center"/>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E117.958095°</w:t>
                  </w:r>
                </w:p>
                <w:p>
                  <w:pPr>
                    <w:pStyle w:val="16"/>
                    <w:spacing w:line="240" w:lineRule="atLeast"/>
                    <w:jc w:val="center"/>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N36.813759°</w:t>
                  </w:r>
                </w:p>
              </w:tc>
              <w:tc>
                <w:tcPr>
                  <w:tcW w:w="134" w:type="pct"/>
                  <w:vMerge w:val="restart"/>
                  <w:noWrap w:val="0"/>
                  <w:vAlign w:val="center"/>
                </w:tcPr>
                <w:p>
                  <w:pPr>
                    <w:pStyle w:val="16"/>
                    <w:spacing w:line="240" w:lineRule="atLeast"/>
                    <w:jc w:val="center"/>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15</w:t>
                  </w:r>
                </w:p>
              </w:tc>
              <w:tc>
                <w:tcPr>
                  <w:tcW w:w="173" w:type="pct"/>
                  <w:vMerge w:val="restart"/>
                  <w:noWrap w:val="0"/>
                  <w:vAlign w:val="center"/>
                </w:tcPr>
                <w:p>
                  <w:pPr>
                    <w:pStyle w:val="16"/>
                    <w:spacing w:line="240" w:lineRule="atLeast"/>
                    <w:jc w:val="center"/>
                    <w:rPr>
                      <w:rFonts w:hint="eastAsia" w:ascii="Times New Roman" w:hAnsi="Times New Roman"/>
                      <w:color w:val="auto"/>
                      <w:kern w:val="0"/>
                      <w:sz w:val="18"/>
                      <w:szCs w:val="18"/>
                      <w:highlight w:val="none"/>
                    </w:rPr>
                  </w:pPr>
                  <w:r>
                    <w:rPr>
                      <w:rFonts w:ascii="Times New Roman" w:hAnsi="Times New Roman"/>
                      <w:color w:val="auto"/>
                      <w:kern w:val="0"/>
                      <w:sz w:val="18"/>
                      <w:szCs w:val="18"/>
                      <w:highlight w:val="none"/>
                    </w:rPr>
                    <w:t>0.</w:t>
                  </w:r>
                  <w:r>
                    <w:rPr>
                      <w:rFonts w:hint="eastAsia" w:ascii="Times New Roman" w:hAnsi="Times New Roman"/>
                      <w:color w:val="auto"/>
                      <w:kern w:val="0"/>
                      <w:sz w:val="18"/>
                      <w:szCs w:val="18"/>
                      <w:highlight w:val="none"/>
                    </w:rPr>
                    <w:t>3</w:t>
                  </w:r>
                </w:p>
              </w:tc>
              <w:tc>
                <w:tcPr>
                  <w:tcW w:w="197" w:type="pct"/>
                  <w:vMerge w:val="restart"/>
                  <w:noWrap w:val="0"/>
                  <w:vAlign w:val="center"/>
                </w:tcPr>
                <w:p>
                  <w:pPr>
                    <w:pStyle w:val="16"/>
                    <w:spacing w:line="240" w:lineRule="atLeast"/>
                    <w:jc w:val="center"/>
                    <w:rPr>
                      <w:rFonts w:ascii="Times New Roman" w:hAnsi="Times New Roman"/>
                      <w:color w:val="auto"/>
                      <w:kern w:val="0"/>
                      <w:sz w:val="18"/>
                      <w:szCs w:val="18"/>
                      <w:highlight w:val="none"/>
                    </w:rPr>
                  </w:pPr>
                  <w:r>
                    <w:rPr>
                      <w:rFonts w:hint="eastAsia" w:ascii="Times New Roman" w:hAnsi="Times New Roman"/>
                      <w:color w:val="auto"/>
                      <w:kern w:val="0"/>
                      <w:sz w:val="18"/>
                      <w:szCs w:val="18"/>
                      <w:highlight w:val="none"/>
                      <w:lang w:val="en-US" w:eastAsia="zh-CN"/>
                    </w:rPr>
                    <w:t>3</w:t>
                  </w:r>
                  <w:r>
                    <w:rPr>
                      <w:rFonts w:ascii="Times New Roman" w:hAnsi="Times New Roman"/>
                      <w:color w:val="auto"/>
                      <w:kern w:val="0"/>
                      <w:sz w:val="18"/>
                      <w:szCs w:val="18"/>
                      <w:highlight w:val="none"/>
                    </w:rPr>
                    <w:t>000</w:t>
                  </w:r>
                </w:p>
              </w:tc>
              <w:tc>
                <w:tcPr>
                  <w:tcW w:w="196" w:type="pct"/>
                  <w:vMerge w:val="restar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25</w:t>
                  </w:r>
                </w:p>
              </w:tc>
              <w:tc>
                <w:tcPr>
                  <w:tcW w:w="235" w:type="pct"/>
                  <w:vMerge w:val="restart"/>
                  <w:noWrap w:val="0"/>
                  <w:vAlign w:val="center"/>
                </w:tcPr>
                <w:p>
                  <w:pPr>
                    <w:pStyle w:val="16"/>
                    <w:spacing w:line="240" w:lineRule="atLeast"/>
                    <w:jc w:val="center"/>
                    <w:rPr>
                      <w:rFonts w:ascii="Times New Roman" w:hAnsi="Times New Roman"/>
                      <w:color w:val="auto"/>
                      <w:kern w:val="0"/>
                      <w:sz w:val="18"/>
                      <w:szCs w:val="18"/>
                      <w:highlight w:val="none"/>
                    </w:rPr>
                  </w:pPr>
                  <w:r>
                    <w:rPr>
                      <w:rFonts w:hint="eastAsia" w:ascii="Times New Roman" w:hAnsi="Times New Roman"/>
                      <w:color w:val="auto"/>
                      <w:kern w:val="0"/>
                      <w:sz w:val="18"/>
                      <w:szCs w:val="18"/>
                      <w:highlight w:val="none"/>
                    </w:rPr>
                    <w:t>8760</w:t>
                  </w:r>
                </w:p>
              </w:tc>
              <w:tc>
                <w:tcPr>
                  <w:tcW w:w="238" w:type="pct"/>
                  <w:noWrap w:val="0"/>
                  <w:vAlign w:val="center"/>
                </w:tcPr>
                <w:p>
                  <w:pPr>
                    <w:pStyle w:val="16"/>
                    <w:spacing w:line="240" w:lineRule="atLeast"/>
                    <w:jc w:val="center"/>
                    <w:rPr>
                      <w:rFonts w:hint="eastAsia"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w:t>
                  </w:r>
                </w:p>
              </w:tc>
              <w:tc>
                <w:tcPr>
                  <w:tcW w:w="183"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4.9</w:t>
                  </w:r>
                </w:p>
              </w:tc>
              <w:tc>
                <w:tcPr>
                  <w:tcW w:w="134"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9" w:type="pct"/>
                  <w:vMerge w:val="continue"/>
                  <w:noWrap w:val="0"/>
                  <w:vAlign w:val="center"/>
                </w:tcPr>
                <w:p>
                  <w:pPr>
                    <w:pStyle w:val="16"/>
                    <w:spacing w:line="240" w:lineRule="atLeast"/>
                    <w:jc w:val="center"/>
                    <w:rPr>
                      <w:rFonts w:hint="eastAsia" w:ascii="Times New Roman" w:hAnsi="Times New Roman"/>
                      <w:color w:val="auto"/>
                      <w:kern w:val="0"/>
                      <w:sz w:val="18"/>
                      <w:szCs w:val="18"/>
                      <w:highlight w:val="none"/>
                    </w:rPr>
                  </w:pPr>
                </w:p>
              </w:tc>
              <w:tc>
                <w:tcPr>
                  <w:tcW w:w="227" w:type="pct"/>
                  <w:noWrap w:val="0"/>
                  <w:vAlign w:val="center"/>
                </w:tcPr>
                <w:p>
                  <w:pPr>
                    <w:jc w:val="center"/>
                    <w:rPr>
                      <w:color w:val="auto"/>
                      <w:kern w:val="0"/>
                      <w:sz w:val="18"/>
                      <w:szCs w:val="18"/>
                      <w:highlight w:val="none"/>
                    </w:rPr>
                  </w:pPr>
                  <w:r>
                    <w:rPr>
                      <w:snapToGrid w:val="0"/>
                      <w:color w:val="auto"/>
                      <w:kern w:val="0"/>
                      <w:sz w:val="18"/>
                      <w:szCs w:val="18"/>
                      <w:highlight w:val="none"/>
                    </w:rPr>
                    <w:t>H</w:t>
                  </w:r>
                  <w:r>
                    <w:rPr>
                      <w:snapToGrid w:val="0"/>
                      <w:color w:val="auto"/>
                      <w:kern w:val="0"/>
                      <w:sz w:val="18"/>
                      <w:szCs w:val="18"/>
                      <w:highlight w:val="none"/>
                      <w:vertAlign w:val="subscript"/>
                    </w:rPr>
                    <w:t>2</w:t>
                  </w:r>
                  <w:r>
                    <w:rPr>
                      <w:snapToGrid w:val="0"/>
                      <w:color w:val="auto"/>
                      <w:kern w:val="0"/>
                      <w:sz w:val="18"/>
                      <w:szCs w:val="18"/>
                      <w:highlight w:val="none"/>
                    </w:rPr>
                    <w:t>S</w:t>
                  </w:r>
                </w:p>
              </w:tc>
              <w:tc>
                <w:tcPr>
                  <w:tcW w:w="241"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eastAsia="宋体"/>
                      <w:color w:val="auto"/>
                      <w:kern w:val="0"/>
                      <w:sz w:val="18"/>
                      <w:szCs w:val="18"/>
                      <w:highlight w:val="none"/>
                      <w:lang w:val="en-US" w:eastAsia="zh-CN"/>
                    </w:rPr>
                    <w:t>0.02</w:t>
                  </w:r>
                  <w:r>
                    <w:rPr>
                      <w:rFonts w:hint="eastAsia" w:ascii="Times New Roman" w:hAnsi="Times New Roman"/>
                      <w:color w:val="auto"/>
                      <w:kern w:val="0"/>
                      <w:sz w:val="18"/>
                      <w:szCs w:val="18"/>
                      <w:highlight w:val="none"/>
                      <w:lang w:val="en-US" w:eastAsia="zh-CN"/>
                    </w:rPr>
                    <w:t>1</w:t>
                  </w:r>
                </w:p>
              </w:tc>
              <w:tc>
                <w:tcPr>
                  <w:tcW w:w="216"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eastAsia="宋体"/>
                      <w:color w:val="auto"/>
                      <w:kern w:val="0"/>
                      <w:sz w:val="18"/>
                      <w:szCs w:val="18"/>
                      <w:highlight w:val="none"/>
                      <w:lang w:val="en-US" w:eastAsia="zh-CN"/>
                    </w:rPr>
                    <w:t>0.0000</w:t>
                  </w:r>
                  <w:r>
                    <w:rPr>
                      <w:rFonts w:hint="eastAsia" w:ascii="Times New Roman" w:hAnsi="Times New Roman"/>
                      <w:color w:val="auto"/>
                      <w:kern w:val="0"/>
                      <w:sz w:val="18"/>
                      <w:szCs w:val="18"/>
                      <w:highlight w:val="none"/>
                      <w:lang w:val="en-US" w:eastAsia="zh-CN"/>
                    </w:rPr>
                    <w:t>6</w:t>
                  </w:r>
                </w:p>
              </w:tc>
              <w:tc>
                <w:tcPr>
                  <w:tcW w:w="247"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eastAsia="宋体"/>
                      <w:color w:val="auto"/>
                      <w:kern w:val="0"/>
                      <w:sz w:val="18"/>
                      <w:szCs w:val="18"/>
                      <w:highlight w:val="none"/>
                      <w:lang w:val="en-US" w:eastAsia="zh-CN"/>
                    </w:rPr>
                    <w:t>0.000</w:t>
                  </w:r>
                  <w:r>
                    <w:rPr>
                      <w:rFonts w:hint="eastAsia" w:ascii="Times New Roman" w:hAnsi="Times New Roman"/>
                      <w:color w:val="auto"/>
                      <w:kern w:val="0"/>
                      <w:sz w:val="18"/>
                      <w:szCs w:val="18"/>
                      <w:highlight w:val="none"/>
                      <w:lang w:val="en-US" w:eastAsia="zh-CN"/>
                    </w:rPr>
                    <w:t>55</w:t>
                  </w:r>
                </w:p>
              </w:tc>
              <w:tc>
                <w:tcPr>
                  <w:tcW w:w="218" w:type="pct"/>
                  <w:vMerge w:val="continue"/>
                  <w:noWrap w:val="0"/>
                  <w:vAlign w:val="center"/>
                </w:tcPr>
                <w:p>
                  <w:pPr>
                    <w:pStyle w:val="16"/>
                    <w:spacing w:line="240" w:lineRule="atLeast"/>
                    <w:jc w:val="center"/>
                    <w:rPr>
                      <w:rFonts w:hint="eastAsia" w:ascii="Times New Roman" w:hAnsi="Times New Roman"/>
                      <w:color w:val="auto"/>
                      <w:kern w:val="0"/>
                      <w:sz w:val="18"/>
                      <w:szCs w:val="18"/>
                      <w:highlight w:val="none"/>
                    </w:rPr>
                  </w:pPr>
                </w:p>
              </w:tc>
              <w:tc>
                <w:tcPr>
                  <w:tcW w:w="191" w:type="pct"/>
                  <w:vMerge w:val="continue"/>
                  <w:noWrap w:val="0"/>
                  <w:vAlign w:val="center"/>
                </w:tcPr>
                <w:p>
                  <w:pPr>
                    <w:pStyle w:val="16"/>
                    <w:spacing w:line="240" w:lineRule="atLeast"/>
                    <w:jc w:val="center"/>
                    <w:rPr>
                      <w:rFonts w:ascii="Times New Roman" w:hAnsi="Times New Roman"/>
                      <w:color w:val="auto"/>
                      <w:kern w:val="0"/>
                      <w:sz w:val="18"/>
                      <w:szCs w:val="18"/>
                      <w:highlight w:val="none"/>
                    </w:rPr>
                  </w:pPr>
                </w:p>
              </w:tc>
              <w:tc>
                <w:tcPr>
                  <w:tcW w:w="135" w:type="pct"/>
                  <w:vMerge w:val="continue"/>
                  <w:noWrap w:val="0"/>
                  <w:vAlign w:val="center"/>
                </w:tcPr>
                <w:p>
                  <w:pPr>
                    <w:pStyle w:val="16"/>
                    <w:spacing w:line="240" w:lineRule="atLeast"/>
                    <w:jc w:val="center"/>
                    <w:rPr>
                      <w:rFonts w:ascii="Times New Roman" w:hAnsi="Times New Roman"/>
                      <w:color w:val="auto"/>
                      <w:kern w:val="0"/>
                      <w:sz w:val="18"/>
                      <w:szCs w:val="18"/>
                      <w:highlight w:val="none"/>
                    </w:rPr>
                  </w:pPr>
                </w:p>
              </w:tc>
              <w:tc>
                <w:tcPr>
                  <w:tcW w:w="140" w:type="pct"/>
                  <w:vMerge w:val="continue"/>
                  <w:noWrap w:val="0"/>
                  <w:vAlign w:val="center"/>
                </w:tcPr>
                <w:p>
                  <w:pPr>
                    <w:pStyle w:val="16"/>
                    <w:spacing w:line="240" w:lineRule="atLeast"/>
                    <w:jc w:val="center"/>
                    <w:rPr>
                      <w:rFonts w:ascii="Times New Roman" w:hAnsi="Times New Roman"/>
                      <w:color w:val="auto"/>
                      <w:kern w:val="0"/>
                      <w:sz w:val="18"/>
                      <w:szCs w:val="18"/>
                      <w:highlight w:val="none"/>
                    </w:rPr>
                  </w:pPr>
                </w:p>
              </w:tc>
              <w:tc>
                <w:tcPr>
                  <w:tcW w:w="244"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eastAsia="宋体"/>
                      <w:color w:val="auto"/>
                      <w:kern w:val="0"/>
                      <w:sz w:val="18"/>
                      <w:szCs w:val="18"/>
                      <w:highlight w:val="none"/>
                      <w:lang w:val="en-US" w:eastAsia="zh-CN"/>
                    </w:rPr>
                    <w:t>0.0046</w:t>
                  </w:r>
                </w:p>
              </w:tc>
              <w:tc>
                <w:tcPr>
                  <w:tcW w:w="243" w:type="pct"/>
                  <w:noWrap w:val="0"/>
                  <w:vAlign w:val="center"/>
                </w:tcPr>
                <w:p>
                  <w:pPr>
                    <w:jc w:val="center"/>
                    <w:rPr>
                      <w:rFonts w:hint="default" w:ascii="Times New Roman" w:hAnsi="Times New Roman" w:eastAsia="宋体" w:cs="Times New Roman"/>
                      <w:color w:val="auto"/>
                      <w:kern w:val="0"/>
                      <w:sz w:val="18"/>
                      <w:szCs w:val="18"/>
                      <w:highlight w:val="none"/>
                      <w:lang w:val="en-US" w:eastAsia="zh-CN"/>
                    </w:rPr>
                  </w:pPr>
                  <w:r>
                    <w:rPr>
                      <w:rFonts w:hint="eastAsia" w:cs="Times New Roman"/>
                      <w:color w:val="auto"/>
                      <w:kern w:val="0"/>
                      <w:sz w:val="18"/>
                      <w:szCs w:val="18"/>
                      <w:highlight w:val="none"/>
                      <w:lang w:val="en-US" w:eastAsia="zh-CN"/>
                    </w:rPr>
                    <w:t>0.000013</w:t>
                  </w:r>
                </w:p>
              </w:tc>
              <w:tc>
                <w:tcPr>
                  <w:tcW w:w="248" w:type="pct"/>
                  <w:noWrap w:val="0"/>
                  <w:vAlign w:val="center"/>
                </w:tcPr>
                <w:p>
                  <w:pPr>
                    <w:jc w:val="center"/>
                    <w:rPr>
                      <w:rFonts w:hint="default" w:eastAsia="宋体"/>
                      <w:color w:val="auto"/>
                      <w:kern w:val="0"/>
                      <w:sz w:val="18"/>
                      <w:szCs w:val="18"/>
                      <w:highlight w:val="none"/>
                      <w:lang w:val="en-US" w:eastAsia="zh-CN"/>
                    </w:rPr>
                  </w:pPr>
                  <w:r>
                    <w:rPr>
                      <w:rFonts w:hint="eastAsia" w:eastAsia="宋体"/>
                      <w:color w:val="auto"/>
                      <w:kern w:val="0"/>
                      <w:sz w:val="18"/>
                      <w:szCs w:val="18"/>
                      <w:highlight w:val="none"/>
                      <w:lang w:val="en-US" w:eastAsia="zh-CN"/>
                    </w:rPr>
                    <w:t>0.000</w:t>
                  </w:r>
                  <w:r>
                    <w:rPr>
                      <w:rFonts w:hint="eastAsia"/>
                      <w:color w:val="auto"/>
                      <w:kern w:val="0"/>
                      <w:sz w:val="18"/>
                      <w:szCs w:val="18"/>
                      <w:highlight w:val="none"/>
                      <w:lang w:val="en-US" w:eastAsia="zh-CN"/>
                    </w:rPr>
                    <w:t>11</w:t>
                  </w:r>
                </w:p>
              </w:tc>
              <w:tc>
                <w:tcPr>
                  <w:tcW w:w="203" w:type="pct"/>
                  <w:vMerge w:val="continue"/>
                  <w:noWrap w:val="0"/>
                  <w:vAlign w:val="center"/>
                </w:tcPr>
                <w:p>
                  <w:pPr>
                    <w:pStyle w:val="16"/>
                    <w:spacing w:line="240" w:lineRule="atLeast"/>
                    <w:jc w:val="center"/>
                    <w:rPr>
                      <w:rFonts w:ascii="Times New Roman" w:hAnsi="Times New Roman"/>
                      <w:color w:val="auto"/>
                      <w:kern w:val="0"/>
                      <w:sz w:val="18"/>
                      <w:szCs w:val="18"/>
                      <w:highlight w:val="none"/>
                    </w:rPr>
                  </w:pPr>
                </w:p>
              </w:tc>
              <w:tc>
                <w:tcPr>
                  <w:tcW w:w="136" w:type="pct"/>
                  <w:vMerge w:val="continue"/>
                  <w:noWrap w:val="0"/>
                  <w:vAlign w:val="center"/>
                </w:tcPr>
                <w:p>
                  <w:pPr>
                    <w:pStyle w:val="16"/>
                    <w:spacing w:line="240" w:lineRule="atLeast"/>
                    <w:jc w:val="center"/>
                    <w:rPr>
                      <w:rFonts w:hint="eastAsia" w:ascii="Times New Roman" w:hAnsi="Times New Roman"/>
                      <w:color w:val="auto"/>
                      <w:sz w:val="18"/>
                      <w:szCs w:val="18"/>
                      <w:highlight w:val="none"/>
                    </w:rPr>
                  </w:pPr>
                </w:p>
              </w:tc>
              <w:tc>
                <w:tcPr>
                  <w:tcW w:w="137" w:type="pct"/>
                  <w:vMerge w:val="continue"/>
                  <w:noWrap w:val="0"/>
                  <w:vAlign w:val="center"/>
                </w:tcPr>
                <w:p>
                  <w:pPr>
                    <w:pStyle w:val="16"/>
                    <w:spacing w:line="240" w:lineRule="atLeast"/>
                    <w:jc w:val="center"/>
                    <w:rPr>
                      <w:rFonts w:ascii="Times New Roman" w:hAnsi="Times New Roman"/>
                      <w:color w:val="auto"/>
                      <w:kern w:val="0"/>
                      <w:sz w:val="18"/>
                      <w:szCs w:val="18"/>
                      <w:highlight w:val="none"/>
                    </w:rPr>
                  </w:pPr>
                </w:p>
              </w:tc>
              <w:tc>
                <w:tcPr>
                  <w:tcW w:w="471" w:type="pct"/>
                  <w:vMerge w:val="continue"/>
                  <w:noWrap w:val="0"/>
                  <w:vAlign w:val="center"/>
                </w:tcPr>
                <w:p>
                  <w:pPr>
                    <w:widowControl/>
                    <w:spacing w:line="240" w:lineRule="atLeast"/>
                    <w:jc w:val="center"/>
                    <w:rPr>
                      <w:color w:val="auto"/>
                      <w:sz w:val="18"/>
                      <w:szCs w:val="18"/>
                      <w:highlight w:val="none"/>
                    </w:rPr>
                  </w:pPr>
                </w:p>
              </w:tc>
              <w:tc>
                <w:tcPr>
                  <w:tcW w:w="134" w:type="pct"/>
                  <w:vMerge w:val="continue"/>
                  <w:noWrap w:val="0"/>
                  <w:vAlign w:val="center"/>
                </w:tcPr>
                <w:p>
                  <w:pPr>
                    <w:pStyle w:val="16"/>
                    <w:spacing w:line="240" w:lineRule="atLeast"/>
                    <w:jc w:val="center"/>
                    <w:rPr>
                      <w:rFonts w:hint="eastAsia" w:ascii="Times New Roman" w:hAnsi="Times New Roman"/>
                      <w:color w:val="auto"/>
                      <w:kern w:val="0"/>
                      <w:sz w:val="18"/>
                      <w:szCs w:val="18"/>
                      <w:highlight w:val="none"/>
                    </w:rPr>
                  </w:pPr>
                </w:p>
              </w:tc>
              <w:tc>
                <w:tcPr>
                  <w:tcW w:w="173" w:type="pct"/>
                  <w:vMerge w:val="continue"/>
                  <w:noWrap w:val="0"/>
                  <w:vAlign w:val="center"/>
                </w:tcPr>
                <w:p>
                  <w:pPr>
                    <w:pStyle w:val="16"/>
                    <w:spacing w:line="240" w:lineRule="atLeast"/>
                    <w:jc w:val="center"/>
                    <w:rPr>
                      <w:rFonts w:ascii="Times New Roman" w:hAnsi="Times New Roman"/>
                      <w:color w:val="auto"/>
                      <w:kern w:val="0"/>
                      <w:sz w:val="18"/>
                      <w:szCs w:val="18"/>
                      <w:highlight w:val="none"/>
                    </w:rPr>
                  </w:pPr>
                </w:p>
              </w:tc>
              <w:tc>
                <w:tcPr>
                  <w:tcW w:w="197" w:type="pct"/>
                  <w:vMerge w:val="continue"/>
                  <w:noWrap w:val="0"/>
                  <w:vAlign w:val="center"/>
                </w:tcPr>
                <w:p>
                  <w:pPr>
                    <w:pStyle w:val="16"/>
                    <w:spacing w:line="240" w:lineRule="atLeast"/>
                    <w:jc w:val="center"/>
                    <w:rPr>
                      <w:rFonts w:ascii="Times New Roman" w:hAnsi="Times New Roman"/>
                      <w:color w:val="auto"/>
                      <w:kern w:val="0"/>
                      <w:sz w:val="18"/>
                      <w:szCs w:val="18"/>
                      <w:highlight w:val="none"/>
                    </w:rPr>
                  </w:pPr>
                </w:p>
              </w:tc>
              <w:tc>
                <w:tcPr>
                  <w:tcW w:w="196" w:type="pct"/>
                  <w:vMerge w:val="continue"/>
                  <w:noWrap w:val="0"/>
                  <w:vAlign w:val="center"/>
                </w:tcPr>
                <w:p>
                  <w:pPr>
                    <w:pStyle w:val="16"/>
                    <w:spacing w:line="240" w:lineRule="atLeast"/>
                    <w:jc w:val="center"/>
                    <w:rPr>
                      <w:rFonts w:ascii="Times New Roman" w:hAnsi="Times New Roman"/>
                      <w:color w:val="auto"/>
                      <w:kern w:val="0"/>
                      <w:sz w:val="18"/>
                      <w:szCs w:val="18"/>
                      <w:highlight w:val="none"/>
                    </w:rPr>
                  </w:pPr>
                </w:p>
              </w:tc>
              <w:tc>
                <w:tcPr>
                  <w:tcW w:w="235" w:type="pct"/>
                  <w:vMerge w:val="continue"/>
                  <w:noWrap w:val="0"/>
                  <w:vAlign w:val="center"/>
                </w:tcPr>
                <w:p>
                  <w:pPr>
                    <w:pStyle w:val="16"/>
                    <w:spacing w:line="240" w:lineRule="atLeast"/>
                    <w:jc w:val="center"/>
                    <w:rPr>
                      <w:rFonts w:hint="eastAsia" w:ascii="Times New Roman" w:hAnsi="Times New Roman"/>
                      <w:color w:val="auto"/>
                      <w:kern w:val="0"/>
                      <w:sz w:val="18"/>
                      <w:szCs w:val="18"/>
                      <w:highlight w:val="none"/>
                    </w:rPr>
                  </w:pPr>
                </w:p>
              </w:tc>
              <w:tc>
                <w:tcPr>
                  <w:tcW w:w="238" w:type="pct"/>
                  <w:noWrap w:val="0"/>
                  <w:vAlign w:val="center"/>
                </w:tcPr>
                <w:p>
                  <w:pPr>
                    <w:pStyle w:val="16"/>
                    <w:spacing w:line="240" w:lineRule="atLeast"/>
                    <w:jc w:val="center"/>
                    <w:rPr>
                      <w:rFonts w:hint="eastAsia"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w:t>
                  </w:r>
                </w:p>
              </w:tc>
              <w:tc>
                <w:tcPr>
                  <w:tcW w:w="183"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0.33</w:t>
                  </w:r>
                </w:p>
              </w:tc>
              <w:tc>
                <w:tcPr>
                  <w:tcW w:w="134"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9" w:type="pct"/>
                  <w:noWrap w:val="0"/>
                  <w:vAlign w:val="center"/>
                </w:tcPr>
                <w:p>
                  <w:pPr>
                    <w:pStyle w:val="16"/>
                    <w:spacing w:line="240" w:lineRule="atLeast"/>
                    <w:jc w:val="center"/>
                    <w:rPr>
                      <w:rFonts w:hint="eastAsia"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食堂</w:t>
                  </w:r>
                </w:p>
              </w:tc>
              <w:tc>
                <w:tcPr>
                  <w:tcW w:w="227" w:type="pct"/>
                  <w:noWrap w:val="0"/>
                  <w:vAlign w:val="center"/>
                </w:tcPr>
                <w:p>
                  <w:pPr>
                    <w:jc w:val="center"/>
                    <w:rPr>
                      <w:rFonts w:hint="eastAsia" w:eastAsia="宋体"/>
                      <w:snapToGrid w:val="0"/>
                      <w:color w:val="auto"/>
                      <w:kern w:val="0"/>
                      <w:sz w:val="18"/>
                      <w:szCs w:val="18"/>
                      <w:highlight w:val="none"/>
                      <w:lang w:val="en-US" w:eastAsia="zh-CN"/>
                    </w:rPr>
                  </w:pPr>
                  <w:r>
                    <w:rPr>
                      <w:rFonts w:hint="eastAsia"/>
                      <w:snapToGrid w:val="0"/>
                      <w:color w:val="auto"/>
                      <w:kern w:val="0"/>
                      <w:sz w:val="18"/>
                      <w:szCs w:val="18"/>
                      <w:highlight w:val="none"/>
                      <w:lang w:val="en-US" w:eastAsia="zh-CN"/>
                    </w:rPr>
                    <w:t>油烟</w:t>
                  </w:r>
                </w:p>
              </w:tc>
              <w:tc>
                <w:tcPr>
                  <w:tcW w:w="241"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eastAsia="宋体"/>
                      <w:color w:val="auto"/>
                      <w:kern w:val="0"/>
                      <w:sz w:val="18"/>
                      <w:szCs w:val="18"/>
                      <w:highlight w:val="none"/>
                      <w:lang w:val="en-US" w:eastAsia="zh-CN"/>
                    </w:rPr>
                    <w:t>3.96</w:t>
                  </w:r>
                </w:p>
              </w:tc>
              <w:tc>
                <w:tcPr>
                  <w:tcW w:w="216"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eastAsia="宋体"/>
                      <w:color w:val="auto"/>
                      <w:kern w:val="0"/>
                      <w:sz w:val="18"/>
                      <w:szCs w:val="18"/>
                      <w:highlight w:val="none"/>
                      <w:lang w:val="en-US" w:eastAsia="zh-CN"/>
                    </w:rPr>
                    <w:t>0.0198</w:t>
                  </w:r>
                </w:p>
              </w:tc>
              <w:tc>
                <w:tcPr>
                  <w:tcW w:w="247"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eastAsia="宋体"/>
                      <w:color w:val="auto"/>
                      <w:kern w:val="0"/>
                      <w:sz w:val="18"/>
                      <w:szCs w:val="18"/>
                      <w:highlight w:val="none"/>
                      <w:lang w:val="en-US" w:eastAsia="zh-CN"/>
                    </w:rPr>
                    <w:t>0.07227</w:t>
                  </w:r>
                </w:p>
              </w:tc>
              <w:tc>
                <w:tcPr>
                  <w:tcW w:w="218"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100</w:t>
                  </w:r>
                </w:p>
              </w:tc>
              <w:tc>
                <w:tcPr>
                  <w:tcW w:w="191" w:type="pct"/>
                  <w:noWrap w:val="0"/>
                  <w:vAlign w:val="center"/>
                </w:tcPr>
                <w:p>
                  <w:pPr>
                    <w:pStyle w:val="16"/>
                    <w:spacing w:line="240" w:lineRule="atLeast"/>
                    <w:jc w:val="center"/>
                    <w:rPr>
                      <w:rFonts w:hint="eastAsia"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油烟净化器</w:t>
                  </w:r>
                </w:p>
              </w:tc>
              <w:tc>
                <w:tcPr>
                  <w:tcW w:w="135"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90</w:t>
                  </w:r>
                </w:p>
              </w:tc>
              <w:tc>
                <w:tcPr>
                  <w:tcW w:w="140"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是</w:t>
                  </w:r>
                </w:p>
              </w:tc>
              <w:tc>
                <w:tcPr>
                  <w:tcW w:w="244"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eastAsia="宋体"/>
                      <w:color w:val="auto"/>
                      <w:kern w:val="0"/>
                      <w:sz w:val="18"/>
                      <w:szCs w:val="18"/>
                      <w:highlight w:val="none"/>
                      <w:lang w:val="en-US" w:eastAsia="zh-CN"/>
                    </w:rPr>
                    <w:t>0.4</w:t>
                  </w:r>
                </w:p>
              </w:tc>
              <w:tc>
                <w:tcPr>
                  <w:tcW w:w="243" w:type="pct"/>
                  <w:noWrap w:val="0"/>
                  <w:vAlign w:val="center"/>
                </w:tcPr>
                <w:p>
                  <w:pPr>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0.002</w:t>
                  </w:r>
                </w:p>
              </w:tc>
              <w:tc>
                <w:tcPr>
                  <w:tcW w:w="248" w:type="pct"/>
                  <w:noWrap w:val="0"/>
                  <w:vAlign w:val="center"/>
                </w:tcPr>
                <w:p>
                  <w:pPr>
                    <w:jc w:val="center"/>
                    <w:rPr>
                      <w:rFonts w:hint="default" w:eastAsia="宋体"/>
                      <w:color w:val="auto"/>
                      <w:kern w:val="0"/>
                      <w:sz w:val="18"/>
                      <w:szCs w:val="18"/>
                      <w:highlight w:val="none"/>
                      <w:lang w:val="en-US" w:eastAsia="zh-CN"/>
                    </w:rPr>
                  </w:pPr>
                  <w:r>
                    <w:rPr>
                      <w:rFonts w:hint="eastAsia" w:eastAsia="宋体"/>
                      <w:color w:val="auto"/>
                      <w:kern w:val="0"/>
                      <w:sz w:val="18"/>
                      <w:szCs w:val="18"/>
                      <w:highlight w:val="none"/>
                      <w:lang w:val="en-US" w:eastAsia="zh-CN"/>
                    </w:rPr>
                    <w:t>0.00723</w:t>
                  </w:r>
                </w:p>
              </w:tc>
              <w:tc>
                <w:tcPr>
                  <w:tcW w:w="203"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DA002</w:t>
                  </w:r>
                </w:p>
              </w:tc>
              <w:tc>
                <w:tcPr>
                  <w:tcW w:w="136" w:type="pct"/>
                  <w:noWrap w:val="0"/>
                  <w:vAlign w:val="center"/>
                </w:tcPr>
                <w:p>
                  <w:pPr>
                    <w:pStyle w:val="16"/>
                    <w:spacing w:line="240" w:lineRule="atLeast"/>
                    <w:jc w:val="center"/>
                    <w:rPr>
                      <w:rFonts w:hint="default" w:ascii="Times New Roman" w:hAnsi="Times New Roman" w:eastAsia="宋体"/>
                      <w:color w:val="auto"/>
                      <w:sz w:val="18"/>
                      <w:szCs w:val="18"/>
                      <w:highlight w:val="none"/>
                      <w:lang w:val="en-US" w:eastAsia="zh-CN"/>
                    </w:rPr>
                  </w:pPr>
                  <w:r>
                    <w:rPr>
                      <w:rFonts w:hint="eastAsia" w:ascii="Times New Roman" w:hAnsi="Times New Roman"/>
                      <w:color w:val="auto"/>
                      <w:sz w:val="18"/>
                      <w:szCs w:val="18"/>
                      <w:highlight w:val="none"/>
                      <w:lang w:val="en-US" w:eastAsia="zh-CN"/>
                    </w:rPr>
                    <w:t>食堂排口</w:t>
                  </w:r>
                </w:p>
              </w:tc>
              <w:tc>
                <w:tcPr>
                  <w:tcW w:w="137"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一般排放口</w:t>
                  </w:r>
                </w:p>
              </w:tc>
              <w:tc>
                <w:tcPr>
                  <w:tcW w:w="471" w:type="pct"/>
                  <w:noWrap w:val="0"/>
                  <w:vAlign w:val="center"/>
                </w:tcPr>
                <w:p>
                  <w:pPr>
                    <w:jc w:val="center"/>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E117.959361°</w:t>
                  </w:r>
                </w:p>
                <w:p>
                  <w:pPr>
                    <w:jc w:val="center"/>
                    <w:rPr>
                      <w:color w:val="auto"/>
                      <w:sz w:val="18"/>
                      <w:szCs w:val="18"/>
                      <w:highlight w:val="none"/>
                    </w:rPr>
                  </w:pPr>
                  <w:r>
                    <w:rPr>
                      <w:rFonts w:hint="eastAsia" w:ascii="Times New Roman" w:hAnsi="Times New Roman" w:eastAsia="宋体" w:cs="Times New Roman"/>
                      <w:color w:val="auto"/>
                      <w:kern w:val="0"/>
                      <w:sz w:val="18"/>
                      <w:szCs w:val="18"/>
                      <w:highlight w:val="none"/>
                      <w:lang w:val="en-US" w:eastAsia="zh-CN"/>
                    </w:rPr>
                    <w:t>N36.813228°</w:t>
                  </w:r>
                </w:p>
              </w:tc>
              <w:tc>
                <w:tcPr>
                  <w:tcW w:w="134"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15.9</w:t>
                  </w:r>
                </w:p>
              </w:tc>
              <w:tc>
                <w:tcPr>
                  <w:tcW w:w="173"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0.4</w:t>
                  </w:r>
                </w:p>
              </w:tc>
              <w:tc>
                <w:tcPr>
                  <w:tcW w:w="197"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5000</w:t>
                  </w:r>
                </w:p>
              </w:tc>
              <w:tc>
                <w:tcPr>
                  <w:tcW w:w="196"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40</w:t>
                  </w:r>
                </w:p>
              </w:tc>
              <w:tc>
                <w:tcPr>
                  <w:tcW w:w="235" w:type="pct"/>
                  <w:noWrap w:val="0"/>
                  <w:vAlign w:val="center"/>
                </w:tcPr>
                <w:p>
                  <w:pPr>
                    <w:pStyle w:val="16"/>
                    <w:spacing w:line="240" w:lineRule="atLeas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3650</w:t>
                  </w:r>
                </w:p>
              </w:tc>
              <w:tc>
                <w:tcPr>
                  <w:tcW w:w="238" w:type="pct"/>
                  <w:noWrap w:val="0"/>
                  <w:vAlign w:val="center"/>
                </w:tcPr>
                <w:p>
                  <w:pPr>
                    <w:pStyle w:val="16"/>
                    <w:spacing w:line="240" w:lineRule="atLeast"/>
                    <w:jc w:val="center"/>
                    <w:rPr>
                      <w:rFonts w:hint="eastAsia"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1</w:t>
                  </w:r>
                </w:p>
              </w:tc>
              <w:tc>
                <w:tcPr>
                  <w:tcW w:w="183" w:type="pct"/>
                  <w:noWrap w:val="0"/>
                  <w:vAlign w:val="center"/>
                </w:tcPr>
                <w:p>
                  <w:pPr>
                    <w:pStyle w:val="16"/>
                    <w:spacing w:line="240" w:lineRule="atLeast"/>
                    <w:jc w:val="center"/>
                    <w:rPr>
                      <w:rFonts w:hint="eastAsia"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w:t>
                  </w:r>
                </w:p>
              </w:tc>
              <w:tc>
                <w:tcPr>
                  <w:tcW w:w="134" w:type="pct"/>
                  <w:noWrap w:val="0"/>
                  <w:vAlign w:val="center"/>
                </w:tcPr>
                <w:p>
                  <w:pPr>
                    <w:pStyle w:val="16"/>
                    <w:spacing w:line="240" w:lineRule="atLeast"/>
                    <w:jc w:val="center"/>
                    <w:rPr>
                      <w:rFonts w:ascii="Times New Roman" w:hAnsi="Times New Roman"/>
                      <w:color w:val="auto"/>
                      <w:kern w:val="0"/>
                      <w:sz w:val="18"/>
                      <w:szCs w:val="18"/>
                      <w:highlight w:val="none"/>
                    </w:rPr>
                  </w:pPr>
                  <w:r>
                    <w:rPr>
                      <w:rFonts w:ascii="Times New Roman" w:hAnsi="Times New Roman"/>
                      <w:color w:val="auto"/>
                      <w:kern w:val="0"/>
                      <w:sz w:val="18"/>
                      <w:szCs w:val="18"/>
                      <w:highlight w:val="none"/>
                    </w:rPr>
                    <w:t>是</w:t>
                  </w:r>
                </w:p>
              </w:tc>
            </w:tr>
          </w:tbl>
          <w:p>
            <w:pPr>
              <w:pStyle w:val="6"/>
              <w:jc w:val="center"/>
              <w:rPr>
                <w:color w:val="auto"/>
                <w:highlight w:val="none"/>
              </w:rPr>
            </w:pPr>
            <w:r>
              <w:rPr>
                <w:b/>
                <w:snapToGrid w:val="0"/>
                <w:color w:val="auto"/>
                <w:sz w:val="21"/>
                <w:szCs w:val="21"/>
                <w:highlight w:val="none"/>
              </w:rPr>
              <w:t>表4-</w:t>
            </w:r>
            <w:r>
              <w:rPr>
                <w:rFonts w:hint="eastAsia"/>
                <w:b/>
                <w:snapToGrid w:val="0"/>
                <w:color w:val="auto"/>
                <w:sz w:val="21"/>
                <w:szCs w:val="21"/>
                <w:highlight w:val="none"/>
                <w:lang w:val="en-US" w:eastAsia="zh-CN"/>
              </w:rPr>
              <w:t>15</w:t>
            </w:r>
            <w:r>
              <w:rPr>
                <w:b/>
                <w:snapToGrid w:val="0"/>
                <w:color w:val="auto"/>
                <w:sz w:val="21"/>
                <w:szCs w:val="21"/>
                <w:highlight w:val="none"/>
              </w:rPr>
              <w:t xml:space="preserve">  无组织废气污染物排放情况一览表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665"/>
              <w:gridCol w:w="1688"/>
              <w:gridCol w:w="1410"/>
              <w:gridCol w:w="1667"/>
              <w:gridCol w:w="1410"/>
              <w:gridCol w:w="1943"/>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44" w:type="pct"/>
                  <w:vMerge w:val="restart"/>
                  <w:noWrap w:val="0"/>
                  <w:vAlign w:val="center"/>
                </w:tcPr>
                <w:p>
                  <w:pPr>
                    <w:pStyle w:val="7"/>
                    <w:numPr>
                      <w:ilvl w:val="0"/>
                      <w:numId w:val="0"/>
                    </w:numPr>
                    <w:jc w:val="center"/>
                    <w:rPr>
                      <w:color w:val="auto"/>
                      <w:sz w:val="18"/>
                      <w:szCs w:val="18"/>
                      <w:highlight w:val="none"/>
                    </w:rPr>
                  </w:pPr>
                  <w:r>
                    <w:rPr>
                      <w:color w:val="auto"/>
                      <w:sz w:val="18"/>
                      <w:szCs w:val="18"/>
                      <w:highlight w:val="none"/>
                    </w:rPr>
                    <w:t>面源名称</w:t>
                  </w:r>
                </w:p>
              </w:tc>
              <w:tc>
                <w:tcPr>
                  <w:tcW w:w="640" w:type="pct"/>
                  <w:vMerge w:val="restart"/>
                  <w:noWrap w:val="0"/>
                  <w:vAlign w:val="center"/>
                </w:tcPr>
                <w:p>
                  <w:pPr>
                    <w:pStyle w:val="7"/>
                    <w:numPr>
                      <w:ilvl w:val="0"/>
                      <w:numId w:val="0"/>
                    </w:numPr>
                    <w:jc w:val="center"/>
                    <w:rPr>
                      <w:color w:val="auto"/>
                      <w:sz w:val="18"/>
                      <w:szCs w:val="18"/>
                      <w:highlight w:val="none"/>
                    </w:rPr>
                  </w:pPr>
                  <w:r>
                    <w:rPr>
                      <w:color w:val="auto"/>
                      <w:sz w:val="18"/>
                      <w:szCs w:val="18"/>
                      <w:highlight w:val="none"/>
                    </w:rPr>
                    <w:t>面源中心坐标</w:t>
                  </w:r>
                </w:p>
              </w:tc>
              <w:tc>
                <w:tcPr>
                  <w:tcW w:w="649" w:type="pct"/>
                  <w:vMerge w:val="restart"/>
                  <w:noWrap w:val="0"/>
                  <w:vAlign w:val="center"/>
                </w:tcPr>
                <w:p>
                  <w:pPr>
                    <w:pStyle w:val="7"/>
                    <w:numPr>
                      <w:ilvl w:val="0"/>
                      <w:numId w:val="0"/>
                    </w:numPr>
                    <w:jc w:val="center"/>
                    <w:rPr>
                      <w:color w:val="auto"/>
                      <w:sz w:val="18"/>
                      <w:szCs w:val="18"/>
                      <w:highlight w:val="none"/>
                    </w:rPr>
                  </w:pPr>
                  <w:r>
                    <w:rPr>
                      <w:color w:val="auto"/>
                      <w:sz w:val="18"/>
                      <w:szCs w:val="18"/>
                      <w:highlight w:val="none"/>
                    </w:rPr>
                    <w:t>面源海拔高度/m</w:t>
                  </w:r>
                </w:p>
              </w:tc>
              <w:tc>
                <w:tcPr>
                  <w:tcW w:w="542" w:type="pct"/>
                  <w:vMerge w:val="restart"/>
                  <w:noWrap w:val="0"/>
                  <w:vAlign w:val="center"/>
                </w:tcPr>
                <w:p>
                  <w:pPr>
                    <w:pStyle w:val="7"/>
                    <w:numPr>
                      <w:ilvl w:val="0"/>
                      <w:numId w:val="0"/>
                    </w:numPr>
                    <w:jc w:val="center"/>
                    <w:rPr>
                      <w:color w:val="auto"/>
                      <w:sz w:val="18"/>
                      <w:szCs w:val="18"/>
                      <w:highlight w:val="none"/>
                    </w:rPr>
                  </w:pPr>
                  <w:r>
                    <w:rPr>
                      <w:color w:val="auto"/>
                      <w:sz w:val="18"/>
                      <w:szCs w:val="18"/>
                      <w:highlight w:val="none"/>
                    </w:rPr>
                    <w:t>面源有效排放高度/m</w:t>
                  </w:r>
                </w:p>
              </w:tc>
              <w:tc>
                <w:tcPr>
                  <w:tcW w:w="641" w:type="pct"/>
                  <w:noWrap w:val="0"/>
                  <w:vAlign w:val="center"/>
                </w:tcPr>
                <w:p>
                  <w:pPr>
                    <w:pStyle w:val="7"/>
                    <w:numPr>
                      <w:ilvl w:val="0"/>
                      <w:numId w:val="0"/>
                    </w:numPr>
                    <w:jc w:val="center"/>
                    <w:rPr>
                      <w:color w:val="auto"/>
                      <w:sz w:val="18"/>
                      <w:szCs w:val="18"/>
                      <w:highlight w:val="none"/>
                    </w:rPr>
                  </w:pPr>
                  <w:r>
                    <w:rPr>
                      <w:color w:val="auto"/>
                      <w:sz w:val="18"/>
                      <w:szCs w:val="18"/>
                      <w:highlight w:val="none"/>
                    </w:rPr>
                    <w:t>年排放小时数/h</w:t>
                  </w:r>
                </w:p>
              </w:tc>
              <w:tc>
                <w:tcPr>
                  <w:tcW w:w="542" w:type="pct"/>
                  <w:noWrap w:val="0"/>
                  <w:vAlign w:val="center"/>
                </w:tcPr>
                <w:p>
                  <w:pPr>
                    <w:pStyle w:val="7"/>
                    <w:numPr>
                      <w:ilvl w:val="0"/>
                      <w:numId w:val="0"/>
                    </w:numPr>
                    <w:jc w:val="center"/>
                    <w:rPr>
                      <w:color w:val="auto"/>
                      <w:sz w:val="18"/>
                      <w:szCs w:val="18"/>
                      <w:highlight w:val="none"/>
                    </w:rPr>
                  </w:pPr>
                  <w:r>
                    <w:rPr>
                      <w:color w:val="auto"/>
                      <w:sz w:val="18"/>
                      <w:szCs w:val="18"/>
                      <w:highlight w:val="none"/>
                    </w:rPr>
                    <w:t>排放工况</w:t>
                  </w:r>
                </w:p>
              </w:tc>
              <w:tc>
                <w:tcPr>
                  <w:tcW w:w="747" w:type="pct"/>
                  <w:noWrap w:val="0"/>
                  <w:vAlign w:val="center"/>
                </w:tcPr>
                <w:p>
                  <w:pPr>
                    <w:pStyle w:val="7"/>
                    <w:numPr>
                      <w:ilvl w:val="0"/>
                      <w:numId w:val="0"/>
                    </w:numPr>
                    <w:jc w:val="center"/>
                    <w:rPr>
                      <w:rFonts w:hint="eastAsia"/>
                      <w:color w:val="auto"/>
                      <w:sz w:val="18"/>
                      <w:szCs w:val="18"/>
                      <w:highlight w:val="none"/>
                    </w:rPr>
                  </w:pPr>
                  <w:r>
                    <w:rPr>
                      <w:rFonts w:hint="eastAsia"/>
                      <w:color w:val="auto"/>
                      <w:sz w:val="18"/>
                      <w:szCs w:val="18"/>
                      <w:highlight w:val="none"/>
                    </w:rPr>
                    <w:t>污染物种类</w:t>
                  </w:r>
                </w:p>
              </w:tc>
              <w:tc>
                <w:tcPr>
                  <w:tcW w:w="693" w:type="pct"/>
                  <w:noWrap w:val="0"/>
                  <w:vAlign w:val="center"/>
                </w:tcPr>
                <w:p>
                  <w:pPr>
                    <w:pStyle w:val="7"/>
                    <w:numPr>
                      <w:ilvl w:val="0"/>
                      <w:numId w:val="0"/>
                    </w:numPr>
                    <w:jc w:val="center"/>
                    <w:rPr>
                      <w:color w:val="auto"/>
                      <w:sz w:val="18"/>
                      <w:szCs w:val="18"/>
                      <w:highlight w:val="none"/>
                    </w:rPr>
                  </w:pPr>
                  <w:r>
                    <w:rPr>
                      <w:rFonts w:hint="eastAsia"/>
                      <w:color w:val="auto"/>
                      <w:sz w:val="18"/>
                      <w:szCs w:val="18"/>
                      <w:highlight w:val="none"/>
                    </w:rPr>
                    <w:t>产生量</w:t>
                  </w:r>
                  <w:r>
                    <w:rPr>
                      <w:color w:val="auto"/>
                      <w:sz w:val="18"/>
                      <w:szCs w:val="18"/>
                      <w:highlight w:val="none"/>
                    </w:rPr>
                    <w:t>（</w:t>
                  </w:r>
                  <w:r>
                    <w:rPr>
                      <w:rFonts w:hint="eastAsia"/>
                      <w:color w:val="auto"/>
                      <w:sz w:val="18"/>
                      <w:szCs w:val="18"/>
                      <w:highlight w:val="none"/>
                    </w:rPr>
                    <w:t>t/a</w:t>
                  </w:r>
                  <w:r>
                    <w:rPr>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4" w:type="pct"/>
                  <w:vMerge w:val="restart"/>
                  <w:noWrap w:val="0"/>
                  <w:vAlign w:val="center"/>
                </w:tcPr>
                <w:p>
                  <w:pPr>
                    <w:pStyle w:val="7"/>
                    <w:numPr>
                      <w:ilvl w:val="0"/>
                      <w:numId w:val="0"/>
                    </w:numPr>
                    <w:jc w:val="center"/>
                    <w:rPr>
                      <w:rFonts w:hint="eastAsia"/>
                      <w:color w:val="auto"/>
                      <w:sz w:val="18"/>
                      <w:szCs w:val="18"/>
                      <w:highlight w:val="none"/>
                    </w:rPr>
                  </w:pPr>
                  <w:r>
                    <w:rPr>
                      <w:rFonts w:hint="eastAsia"/>
                      <w:color w:val="auto"/>
                      <w:sz w:val="18"/>
                      <w:szCs w:val="18"/>
                      <w:highlight w:val="none"/>
                      <w:lang w:val="zh-CN"/>
                    </w:rPr>
                    <w:t>污水处理站</w:t>
                  </w:r>
                </w:p>
              </w:tc>
              <w:tc>
                <w:tcPr>
                  <w:tcW w:w="640" w:type="pct"/>
                  <w:vMerge w:val="restart"/>
                  <w:noWrap w:val="0"/>
                  <w:vAlign w:val="center"/>
                </w:tcPr>
                <w:p>
                  <w:pPr>
                    <w:widowControl/>
                    <w:spacing w:line="240" w:lineRule="atLeast"/>
                    <w:jc w:val="center"/>
                    <w:rPr>
                      <w:color w:val="auto"/>
                      <w:sz w:val="18"/>
                      <w:szCs w:val="18"/>
                      <w:highlight w:val="none"/>
                    </w:rPr>
                  </w:pPr>
                  <w:r>
                    <w:rPr>
                      <w:color w:val="auto"/>
                      <w:sz w:val="18"/>
                      <w:szCs w:val="18"/>
                      <w:highlight w:val="none"/>
                    </w:rPr>
                    <w:t>E</w:t>
                  </w:r>
                  <w:r>
                    <w:rPr>
                      <w:rFonts w:hint="eastAsia"/>
                      <w:color w:val="auto"/>
                      <w:sz w:val="18"/>
                      <w:szCs w:val="18"/>
                      <w:highlight w:val="none"/>
                    </w:rPr>
                    <w:t>117.958009</w:t>
                  </w:r>
                  <w:r>
                    <w:rPr>
                      <w:color w:val="auto"/>
                      <w:sz w:val="18"/>
                      <w:szCs w:val="18"/>
                      <w:highlight w:val="none"/>
                    </w:rPr>
                    <w:t>°</w:t>
                  </w:r>
                </w:p>
                <w:p>
                  <w:pPr>
                    <w:pStyle w:val="7"/>
                    <w:numPr>
                      <w:ilvl w:val="0"/>
                      <w:numId w:val="0"/>
                    </w:numPr>
                    <w:jc w:val="center"/>
                    <w:rPr>
                      <w:color w:val="auto"/>
                      <w:sz w:val="18"/>
                      <w:szCs w:val="18"/>
                      <w:highlight w:val="none"/>
                    </w:rPr>
                  </w:pPr>
                  <w:r>
                    <w:rPr>
                      <w:color w:val="auto"/>
                      <w:sz w:val="18"/>
                      <w:szCs w:val="18"/>
                      <w:highlight w:val="none"/>
                    </w:rPr>
                    <w:t>N</w:t>
                  </w:r>
                  <w:r>
                    <w:rPr>
                      <w:rFonts w:hint="eastAsia"/>
                      <w:color w:val="auto"/>
                      <w:sz w:val="18"/>
                      <w:szCs w:val="18"/>
                      <w:highlight w:val="none"/>
                    </w:rPr>
                    <w:t>36.813732</w:t>
                  </w:r>
                  <w:r>
                    <w:rPr>
                      <w:color w:val="auto"/>
                      <w:sz w:val="18"/>
                      <w:szCs w:val="18"/>
                      <w:highlight w:val="none"/>
                    </w:rPr>
                    <w:t>°</w:t>
                  </w:r>
                </w:p>
              </w:tc>
              <w:tc>
                <w:tcPr>
                  <w:tcW w:w="649" w:type="pct"/>
                  <w:vMerge w:val="restart"/>
                  <w:noWrap w:val="0"/>
                  <w:vAlign w:val="center"/>
                </w:tcPr>
                <w:p>
                  <w:pPr>
                    <w:pStyle w:val="7"/>
                    <w:numPr>
                      <w:ilvl w:val="0"/>
                      <w:numId w:val="0"/>
                    </w:numPr>
                    <w:jc w:val="center"/>
                    <w:rPr>
                      <w:color w:val="auto"/>
                      <w:sz w:val="18"/>
                      <w:szCs w:val="18"/>
                      <w:highlight w:val="none"/>
                    </w:rPr>
                  </w:pPr>
                  <w:r>
                    <w:rPr>
                      <w:color w:val="auto"/>
                      <w:sz w:val="18"/>
                      <w:szCs w:val="18"/>
                      <w:highlight w:val="none"/>
                    </w:rPr>
                    <w:t>49</w:t>
                  </w:r>
                </w:p>
              </w:tc>
              <w:tc>
                <w:tcPr>
                  <w:tcW w:w="542" w:type="pct"/>
                  <w:vMerge w:val="restart"/>
                  <w:noWrap w:val="0"/>
                  <w:vAlign w:val="center"/>
                </w:tcPr>
                <w:p>
                  <w:pPr>
                    <w:pStyle w:val="7"/>
                    <w:numPr>
                      <w:ilvl w:val="0"/>
                      <w:numId w:val="0"/>
                    </w:numPr>
                    <w:jc w:val="center"/>
                    <w:rPr>
                      <w:rFonts w:hint="eastAsia" w:eastAsia="宋体"/>
                      <w:color w:val="auto"/>
                      <w:sz w:val="18"/>
                      <w:szCs w:val="18"/>
                      <w:highlight w:val="none"/>
                      <w:lang w:eastAsia="zh-CN"/>
                    </w:rPr>
                  </w:pPr>
                  <w:r>
                    <w:rPr>
                      <w:rFonts w:hint="eastAsia"/>
                      <w:color w:val="auto"/>
                      <w:sz w:val="18"/>
                      <w:szCs w:val="18"/>
                      <w:highlight w:val="none"/>
                      <w:lang w:val="en-US" w:eastAsia="zh-CN"/>
                    </w:rPr>
                    <w:t>0</w:t>
                  </w:r>
                </w:p>
              </w:tc>
              <w:tc>
                <w:tcPr>
                  <w:tcW w:w="641" w:type="pct"/>
                  <w:vMerge w:val="restart"/>
                  <w:noWrap w:val="0"/>
                  <w:vAlign w:val="center"/>
                </w:tcPr>
                <w:p>
                  <w:pPr>
                    <w:pStyle w:val="7"/>
                    <w:numPr>
                      <w:ilvl w:val="0"/>
                      <w:numId w:val="0"/>
                    </w:numPr>
                    <w:jc w:val="center"/>
                    <w:rPr>
                      <w:color w:val="auto"/>
                      <w:sz w:val="18"/>
                      <w:szCs w:val="18"/>
                      <w:highlight w:val="none"/>
                    </w:rPr>
                  </w:pPr>
                  <w:r>
                    <w:rPr>
                      <w:rFonts w:hint="eastAsia"/>
                      <w:color w:val="auto"/>
                      <w:sz w:val="18"/>
                      <w:szCs w:val="18"/>
                      <w:highlight w:val="none"/>
                    </w:rPr>
                    <w:t>8760</w:t>
                  </w:r>
                </w:p>
              </w:tc>
              <w:tc>
                <w:tcPr>
                  <w:tcW w:w="542" w:type="pct"/>
                  <w:noWrap w:val="0"/>
                  <w:vAlign w:val="center"/>
                </w:tcPr>
                <w:p>
                  <w:pPr>
                    <w:pStyle w:val="7"/>
                    <w:numPr>
                      <w:ilvl w:val="0"/>
                      <w:numId w:val="0"/>
                    </w:numPr>
                    <w:jc w:val="center"/>
                    <w:rPr>
                      <w:color w:val="auto"/>
                      <w:sz w:val="18"/>
                      <w:szCs w:val="18"/>
                      <w:highlight w:val="none"/>
                    </w:rPr>
                  </w:pPr>
                  <w:r>
                    <w:rPr>
                      <w:color w:val="auto"/>
                      <w:sz w:val="18"/>
                      <w:szCs w:val="18"/>
                      <w:highlight w:val="none"/>
                    </w:rPr>
                    <w:t>正常</w:t>
                  </w:r>
                </w:p>
              </w:tc>
              <w:tc>
                <w:tcPr>
                  <w:tcW w:w="747" w:type="pct"/>
                  <w:noWrap w:val="0"/>
                  <w:vAlign w:val="center"/>
                </w:tcPr>
                <w:p>
                  <w:pPr>
                    <w:jc w:val="center"/>
                    <w:rPr>
                      <w:color w:val="auto"/>
                      <w:sz w:val="18"/>
                      <w:szCs w:val="18"/>
                      <w:highlight w:val="none"/>
                    </w:rPr>
                  </w:pPr>
                  <w:r>
                    <w:rPr>
                      <w:snapToGrid w:val="0"/>
                      <w:color w:val="auto"/>
                      <w:kern w:val="0"/>
                      <w:sz w:val="18"/>
                      <w:szCs w:val="18"/>
                      <w:highlight w:val="none"/>
                    </w:rPr>
                    <w:t>NH</w:t>
                  </w:r>
                  <w:r>
                    <w:rPr>
                      <w:snapToGrid w:val="0"/>
                      <w:color w:val="auto"/>
                      <w:kern w:val="0"/>
                      <w:sz w:val="18"/>
                      <w:szCs w:val="18"/>
                      <w:highlight w:val="none"/>
                      <w:vertAlign w:val="subscript"/>
                    </w:rPr>
                    <w:t>3</w:t>
                  </w:r>
                </w:p>
              </w:tc>
              <w:tc>
                <w:tcPr>
                  <w:tcW w:w="1802" w:type="dxa"/>
                  <w:noWrap w:val="0"/>
                  <w:vAlign w:val="center"/>
                </w:tcPr>
                <w:p>
                  <w:pPr>
                    <w:jc w:val="center"/>
                    <w:rPr>
                      <w:rFonts w:hint="eastAsia" w:eastAsia="宋体"/>
                      <w:color w:val="auto"/>
                      <w:sz w:val="18"/>
                      <w:szCs w:val="18"/>
                      <w:highlight w:val="none"/>
                      <w:lang w:eastAsia="zh-CN"/>
                    </w:rPr>
                  </w:pPr>
                  <w:r>
                    <w:rPr>
                      <w:rFonts w:hint="eastAsia"/>
                      <w:color w:val="auto"/>
                      <w:sz w:val="18"/>
                      <w:szCs w:val="18"/>
                      <w:highlight w:val="none"/>
                      <w:lang w:val="en-US" w:eastAsia="zh-CN"/>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4" w:type="pct"/>
                  <w:vMerge w:val="continue"/>
                  <w:noWrap w:val="0"/>
                  <w:vAlign w:val="center"/>
                </w:tcPr>
                <w:p>
                  <w:pPr>
                    <w:pStyle w:val="7"/>
                    <w:numPr>
                      <w:ilvl w:val="0"/>
                      <w:numId w:val="0"/>
                    </w:numPr>
                    <w:jc w:val="center"/>
                    <w:rPr>
                      <w:rFonts w:hint="eastAsia"/>
                      <w:color w:val="auto"/>
                      <w:sz w:val="18"/>
                      <w:szCs w:val="18"/>
                      <w:highlight w:val="none"/>
                      <w:lang w:val="zh-CN"/>
                    </w:rPr>
                  </w:pPr>
                </w:p>
              </w:tc>
              <w:tc>
                <w:tcPr>
                  <w:tcW w:w="640" w:type="pct"/>
                  <w:vMerge w:val="continue"/>
                  <w:noWrap w:val="0"/>
                  <w:vAlign w:val="center"/>
                </w:tcPr>
                <w:p>
                  <w:pPr>
                    <w:pStyle w:val="7"/>
                    <w:numPr>
                      <w:ilvl w:val="0"/>
                      <w:numId w:val="0"/>
                    </w:numPr>
                    <w:jc w:val="center"/>
                    <w:rPr>
                      <w:color w:val="auto"/>
                      <w:sz w:val="18"/>
                      <w:szCs w:val="18"/>
                      <w:highlight w:val="none"/>
                    </w:rPr>
                  </w:pPr>
                </w:p>
              </w:tc>
              <w:tc>
                <w:tcPr>
                  <w:tcW w:w="649" w:type="pct"/>
                  <w:vMerge w:val="continue"/>
                  <w:noWrap w:val="0"/>
                  <w:vAlign w:val="center"/>
                </w:tcPr>
                <w:p>
                  <w:pPr>
                    <w:pStyle w:val="7"/>
                    <w:numPr>
                      <w:ilvl w:val="0"/>
                      <w:numId w:val="0"/>
                    </w:numPr>
                    <w:jc w:val="center"/>
                    <w:rPr>
                      <w:color w:val="auto"/>
                      <w:sz w:val="18"/>
                      <w:szCs w:val="18"/>
                      <w:highlight w:val="none"/>
                    </w:rPr>
                  </w:pPr>
                </w:p>
              </w:tc>
              <w:tc>
                <w:tcPr>
                  <w:tcW w:w="542" w:type="pct"/>
                  <w:vMerge w:val="continue"/>
                  <w:noWrap w:val="0"/>
                  <w:vAlign w:val="center"/>
                </w:tcPr>
                <w:p>
                  <w:pPr>
                    <w:pStyle w:val="7"/>
                    <w:numPr>
                      <w:ilvl w:val="0"/>
                      <w:numId w:val="0"/>
                    </w:numPr>
                    <w:jc w:val="center"/>
                    <w:rPr>
                      <w:color w:val="auto"/>
                      <w:sz w:val="18"/>
                      <w:szCs w:val="18"/>
                      <w:highlight w:val="none"/>
                    </w:rPr>
                  </w:pPr>
                </w:p>
              </w:tc>
              <w:tc>
                <w:tcPr>
                  <w:tcW w:w="641" w:type="pct"/>
                  <w:vMerge w:val="continue"/>
                  <w:noWrap w:val="0"/>
                  <w:vAlign w:val="center"/>
                </w:tcPr>
                <w:p>
                  <w:pPr>
                    <w:pStyle w:val="7"/>
                    <w:numPr>
                      <w:ilvl w:val="0"/>
                      <w:numId w:val="0"/>
                    </w:numPr>
                    <w:jc w:val="center"/>
                    <w:rPr>
                      <w:rFonts w:hint="eastAsia"/>
                      <w:color w:val="auto"/>
                      <w:sz w:val="18"/>
                      <w:szCs w:val="18"/>
                      <w:highlight w:val="none"/>
                    </w:rPr>
                  </w:pPr>
                </w:p>
              </w:tc>
              <w:tc>
                <w:tcPr>
                  <w:tcW w:w="542" w:type="pct"/>
                  <w:noWrap w:val="0"/>
                  <w:vAlign w:val="center"/>
                </w:tcPr>
                <w:p>
                  <w:pPr>
                    <w:pStyle w:val="7"/>
                    <w:numPr>
                      <w:ilvl w:val="0"/>
                      <w:numId w:val="0"/>
                    </w:numPr>
                    <w:jc w:val="center"/>
                    <w:rPr>
                      <w:color w:val="auto"/>
                      <w:sz w:val="18"/>
                      <w:szCs w:val="18"/>
                      <w:highlight w:val="none"/>
                    </w:rPr>
                  </w:pPr>
                  <w:r>
                    <w:rPr>
                      <w:color w:val="auto"/>
                      <w:sz w:val="18"/>
                      <w:szCs w:val="18"/>
                      <w:highlight w:val="none"/>
                    </w:rPr>
                    <w:t>正常</w:t>
                  </w:r>
                </w:p>
              </w:tc>
              <w:tc>
                <w:tcPr>
                  <w:tcW w:w="747" w:type="pct"/>
                  <w:noWrap w:val="0"/>
                  <w:vAlign w:val="center"/>
                </w:tcPr>
                <w:p>
                  <w:pPr>
                    <w:jc w:val="center"/>
                    <w:rPr>
                      <w:color w:val="auto"/>
                      <w:sz w:val="18"/>
                      <w:szCs w:val="18"/>
                      <w:highlight w:val="none"/>
                    </w:rPr>
                  </w:pPr>
                  <w:r>
                    <w:rPr>
                      <w:snapToGrid w:val="0"/>
                      <w:color w:val="auto"/>
                      <w:kern w:val="0"/>
                      <w:sz w:val="18"/>
                      <w:szCs w:val="18"/>
                      <w:highlight w:val="none"/>
                    </w:rPr>
                    <w:t>H</w:t>
                  </w:r>
                  <w:r>
                    <w:rPr>
                      <w:snapToGrid w:val="0"/>
                      <w:color w:val="auto"/>
                      <w:kern w:val="0"/>
                      <w:sz w:val="18"/>
                      <w:szCs w:val="18"/>
                      <w:highlight w:val="none"/>
                      <w:vertAlign w:val="subscript"/>
                    </w:rPr>
                    <w:t>2</w:t>
                  </w:r>
                  <w:r>
                    <w:rPr>
                      <w:snapToGrid w:val="0"/>
                      <w:color w:val="auto"/>
                      <w:kern w:val="0"/>
                      <w:sz w:val="18"/>
                      <w:szCs w:val="18"/>
                      <w:highlight w:val="none"/>
                    </w:rPr>
                    <w:t>S</w:t>
                  </w:r>
                </w:p>
              </w:tc>
              <w:tc>
                <w:tcPr>
                  <w:tcW w:w="1802" w:type="dxa"/>
                  <w:noWrap w:val="0"/>
                  <w:vAlign w:val="center"/>
                </w:tcPr>
                <w:p>
                  <w:pPr>
                    <w:jc w:val="center"/>
                    <w:rPr>
                      <w:rFonts w:hint="eastAsia" w:eastAsia="宋体"/>
                      <w:color w:val="auto"/>
                      <w:sz w:val="18"/>
                      <w:szCs w:val="18"/>
                      <w:highlight w:val="none"/>
                      <w:lang w:eastAsia="zh-CN"/>
                    </w:rPr>
                  </w:pPr>
                  <w:r>
                    <w:rPr>
                      <w:rFonts w:hint="eastAsia"/>
                      <w:color w:val="auto"/>
                      <w:sz w:val="18"/>
                      <w:szCs w:val="18"/>
                      <w:highlight w:val="none"/>
                      <w:lang w:val="en-US" w:eastAsia="zh-CN"/>
                    </w:rPr>
                    <w:t>0.00003</w:t>
                  </w:r>
                </w:p>
              </w:tc>
            </w:tr>
          </w:tbl>
          <w:p>
            <w:pPr>
              <w:pStyle w:val="26"/>
              <w:ind w:firstLine="482"/>
              <w:rPr>
                <w:b/>
                <w:snapToGrid w:val="0"/>
                <w:color w:val="auto"/>
                <w:szCs w:val="21"/>
                <w:highlight w:val="none"/>
              </w:rPr>
            </w:pPr>
          </w:p>
          <w:p>
            <w:pPr>
              <w:rPr>
                <w:rFonts w:hint="eastAsia"/>
                <w:b/>
                <w:snapToGrid w:val="0"/>
                <w:color w:val="auto"/>
                <w:kern w:val="0"/>
                <w:szCs w:val="21"/>
                <w:highlight w:val="none"/>
              </w:rPr>
            </w:pPr>
          </w:p>
          <w:p>
            <w:pPr>
              <w:pStyle w:val="7"/>
              <w:numPr>
                <w:ilvl w:val="0"/>
                <w:numId w:val="0"/>
              </w:numPr>
              <w:rPr>
                <w:rFonts w:hint="eastAsia"/>
                <w:color w:val="auto"/>
                <w:highlight w:val="none"/>
              </w:rPr>
            </w:pPr>
          </w:p>
        </w:tc>
      </w:tr>
    </w:tbl>
    <w:p>
      <w:pPr>
        <w:pStyle w:val="22"/>
        <w:jc w:val="both"/>
        <w:outlineLvl w:val="0"/>
        <w:rPr>
          <w:rFonts w:ascii="Times New Roman" w:hAnsi="Times New Roman" w:eastAsia="黑体"/>
          <w:snapToGrid w:val="0"/>
          <w:color w:val="auto"/>
          <w:sz w:val="30"/>
          <w:szCs w:val="30"/>
          <w:highlight w:val="none"/>
        </w:rPr>
        <w:sectPr>
          <w:pgSz w:w="16840" w:h="11907" w:orient="landscape"/>
          <w:pgMar w:top="1531" w:right="1701" w:bottom="1531" w:left="2127" w:header="851" w:footer="851" w:gutter="0"/>
          <w:pgNumType w:fmt="numberInDash"/>
          <w:cols w:space="720" w:num="1"/>
          <w:docGrid w:linePitch="312" w:charSpace="0"/>
        </w:sectPr>
      </w:pPr>
    </w:p>
    <w:tbl>
      <w:tblPr>
        <w:tblStyle w:val="2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8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11" w:type="dxa"/>
            <w:tcMar>
              <w:left w:w="28" w:type="dxa"/>
              <w:right w:w="28" w:type="dxa"/>
            </w:tcMar>
            <w:vAlign w:val="center"/>
          </w:tcPr>
          <w:p>
            <w:pPr>
              <w:adjustRightInd w:val="0"/>
              <w:snapToGrid w:val="0"/>
              <w:jc w:val="center"/>
              <w:rPr>
                <w:bCs/>
                <w:color w:val="auto"/>
                <w:szCs w:val="21"/>
                <w:highlight w:val="none"/>
              </w:rPr>
            </w:pPr>
            <w:r>
              <w:rPr>
                <w:bCs/>
                <w:color w:val="auto"/>
                <w:szCs w:val="21"/>
                <w:highlight w:val="none"/>
              </w:rPr>
              <w:t>运</w:t>
            </w:r>
          </w:p>
          <w:p>
            <w:pPr>
              <w:adjustRightInd w:val="0"/>
              <w:snapToGrid w:val="0"/>
              <w:jc w:val="center"/>
              <w:rPr>
                <w:bCs/>
                <w:color w:val="auto"/>
                <w:szCs w:val="21"/>
                <w:highlight w:val="none"/>
              </w:rPr>
            </w:pPr>
            <w:r>
              <w:rPr>
                <w:bCs/>
                <w:color w:val="auto"/>
                <w:szCs w:val="21"/>
                <w:highlight w:val="none"/>
              </w:rPr>
              <w:t>营</w:t>
            </w:r>
          </w:p>
          <w:p>
            <w:pPr>
              <w:adjustRightInd w:val="0"/>
              <w:snapToGrid w:val="0"/>
              <w:jc w:val="center"/>
              <w:rPr>
                <w:bCs/>
                <w:color w:val="auto"/>
                <w:szCs w:val="21"/>
                <w:highlight w:val="none"/>
              </w:rPr>
            </w:pPr>
            <w:r>
              <w:rPr>
                <w:bCs/>
                <w:color w:val="auto"/>
                <w:szCs w:val="21"/>
                <w:highlight w:val="none"/>
              </w:rPr>
              <w:t>期</w:t>
            </w:r>
          </w:p>
          <w:p>
            <w:pPr>
              <w:adjustRightInd w:val="0"/>
              <w:snapToGrid w:val="0"/>
              <w:jc w:val="center"/>
              <w:rPr>
                <w:bCs/>
                <w:color w:val="auto"/>
                <w:szCs w:val="21"/>
                <w:highlight w:val="none"/>
              </w:rPr>
            </w:pPr>
            <w:r>
              <w:rPr>
                <w:bCs/>
                <w:color w:val="auto"/>
                <w:szCs w:val="21"/>
                <w:highlight w:val="none"/>
              </w:rPr>
              <w:t>环</w:t>
            </w:r>
          </w:p>
          <w:p>
            <w:pPr>
              <w:adjustRightInd w:val="0"/>
              <w:snapToGrid w:val="0"/>
              <w:jc w:val="center"/>
              <w:rPr>
                <w:bCs/>
                <w:color w:val="auto"/>
                <w:szCs w:val="21"/>
                <w:highlight w:val="none"/>
              </w:rPr>
            </w:pPr>
            <w:r>
              <w:rPr>
                <w:bCs/>
                <w:color w:val="auto"/>
                <w:szCs w:val="21"/>
                <w:highlight w:val="none"/>
              </w:rPr>
              <w:t>境</w:t>
            </w:r>
          </w:p>
          <w:p>
            <w:pPr>
              <w:adjustRightInd w:val="0"/>
              <w:snapToGrid w:val="0"/>
              <w:jc w:val="center"/>
              <w:rPr>
                <w:bCs/>
                <w:color w:val="auto"/>
                <w:szCs w:val="21"/>
                <w:highlight w:val="none"/>
              </w:rPr>
            </w:pPr>
            <w:r>
              <w:rPr>
                <w:bCs/>
                <w:color w:val="auto"/>
                <w:szCs w:val="21"/>
                <w:highlight w:val="none"/>
              </w:rPr>
              <w:t>影</w:t>
            </w:r>
          </w:p>
          <w:p>
            <w:pPr>
              <w:adjustRightInd w:val="0"/>
              <w:snapToGrid w:val="0"/>
              <w:jc w:val="center"/>
              <w:rPr>
                <w:bCs/>
                <w:color w:val="auto"/>
                <w:szCs w:val="21"/>
                <w:highlight w:val="none"/>
              </w:rPr>
            </w:pPr>
            <w:r>
              <w:rPr>
                <w:bCs/>
                <w:color w:val="auto"/>
                <w:szCs w:val="21"/>
                <w:highlight w:val="none"/>
              </w:rPr>
              <w:t>响</w:t>
            </w:r>
          </w:p>
          <w:p>
            <w:pPr>
              <w:adjustRightInd w:val="0"/>
              <w:snapToGrid w:val="0"/>
              <w:jc w:val="center"/>
              <w:rPr>
                <w:bCs/>
                <w:color w:val="auto"/>
                <w:szCs w:val="21"/>
                <w:highlight w:val="none"/>
              </w:rPr>
            </w:pPr>
            <w:r>
              <w:rPr>
                <w:bCs/>
                <w:color w:val="auto"/>
                <w:szCs w:val="21"/>
                <w:highlight w:val="none"/>
              </w:rPr>
              <w:t>和</w:t>
            </w:r>
          </w:p>
          <w:p>
            <w:pPr>
              <w:adjustRightInd w:val="0"/>
              <w:snapToGrid w:val="0"/>
              <w:jc w:val="center"/>
              <w:rPr>
                <w:bCs/>
                <w:color w:val="auto"/>
                <w:szCs w:val="21"/>
                <w:highlight w:val="none"/>
              </w:rPr>
            </w:pPr>
            <w:r>
              <w:rPr>
                <w:bCs/>
                <w:color w:val="auto"/>
                <w:szCs w:val="21"/>
                <w:highlight w:val="none"/>
              </w:rPr>
              <w:t>保</w:t>
            </w:r>
          </w:p>
          <w:p>
            <w:pPr>
              <w:adjustRightInd w:val="0"/>
              <w:snapToGrid w:val="0"/>
              <w:jc w:val="center"/>
              <w:rPr>
                <w:bCs/>
                <w:color w:val="auto"/>
                <w:szCs w:val="21"/>
                <w:highlight w:val="none"/>
              </w:rPr>
            </w:pPr>
            <w:r>
              <w:rPr>
                <w:bCs/>
                <w:color w:val="auto"/>
                <w:szCs w:val="21"/>
                <w:highlight w:val="none"/>
              </w:rPr>
              <w:t>护</w:t>
            </w:r>
          </w:p>
          <w:p>
            <w:pPr>
              <w:pStyle w:val="22"/>
              <w:adjustRightInd w:val="0"/>
              <w:snapToGrid w:val="0"/>
              <w:spacing w:before="0" w:beforeAutospacing="0" w:after="0" w:afterAutospacing="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措</w:t>
            </w:r>
          </w:p>
          <w:p>
            <w:pPr>
              <w:pStyle w:val="22"/>
              <w:adjustRightInd w:val="0"/>
              <w:snapToGrid w:val="0"/>
              <w:spacing w:before="0" w:beforeAutospacing="0" w:after="0" w:afterAutospacing="0"/>
              <w:jc w:val="center"/>
              <w:rPr>
                <w:rFonts w:ascii="Times New Roman" w:hAnsi="Times New Roman"/>
                <w:bCs/>
                <w:color w:val="auto"/>
                <w:kern w:val="2"/>
                <w:sz w:val="21"/>
                <w:szCs w:val="21"/>
                <w:highlight w:val="none"/>
              </w:rPr>
            </w:pPr>
            <w:r>
              <w:rPr>
                <w:rFonts w:ascii="Times New Roman" w:hAnsi="Times New Roman"/>
                <w:bCs/>
                <w:color w:val="auto"/>
                <w:sz w:val="21"/>
                <w:szCs w:val="21"/>
                <w:highlight w:val="none"/>
              </w:rPr>
              <w:t>施</w:t>
            </w:r>
          </w:p>
        </w:tc>
        <w:tc>
          <w:tcPr>
            <w:tcW w:w="8497" w:type="dxa"/>
            <w:vAlign w:val="center"/>
          </w:tcPr>
          <w:p>
            <w:pPr>
              <w:spacing w:line="360" w:lineRule="auto"/>
              <w:ind w:firstLine="420"/>
              <w:rPr>
                <w:b/>
                <w:bCs/>
                <w:color w:val="auto"/>
                <w:kern w:val="0"/>
                <w:szCs w:val="21"/>
                <w:highlight w:val="none"/>
              </w:rPr>
            </w:pPr>
            <w:r>
              <w:rPr>
                <w:b/>
                <w:bCs/>
                <w:color w:val="auto"/>
                <w:spacing w:val="-10"/>
                <w:szCs w:val="21"/>
                <w:highlight w:val="none"/>
              </w:rPr>
              <w:t>2.1 废气源强估算</w:t>
            </w:r>
          </w:p>
          <w:p>
            <w:pPr>
              <w:snapToGrid w:val="0"/>
              <w:spacing w:line="360" w:lineRule="auto"/>
              <w:ind w:firstLine="420" w:firstLineChars="200"/>
              <w:rPr>
                <w:color w:val="auto"/>
                <w:highlight w:val="none"/>
              </w:rPr>
            </w:pPr>
            <w:r>
              <w:rPr>
                <w:color w:val="auto"/>
                <w:highlight w:val="none"/>
              </w:rPr>
              <w:t>本次环评废气产生源强依据如下</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表4-</w:t>
            </w:r>
            <w:r>
              <w:rPr>
                <w:rFonts w:hint="eastAsia"/>
                <w:b/>
                <w:bCs/>
                <w:color w:val="auto"/>
                <w:kern w:val="0"/>
                <w:szCs w:val="21"/>
                <w:highlight w:val="none"/>
                <w:lang w:val="en-US" w:eastAsia="zh-CN"/>
              </w:rPr>
              <w:t>14</w:t>
            </w:r>
            <w:r>
              <w:rPr>
                <w:b/>
                <w:bCs/>
                <w:color w:val="auto"/>
                <w:kern w:val="0"/>
                <w:szCs w:val="21"/>
                <w:highlight w:val="none"/>
              </w:rPr>
              <w:t xml:space="preserve">  废气产生源强计算依据</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1615"/>
              <w:gridCol w:w="2622"/>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64" w:type="dxa"/>
                  <w:gridSpan w:val="2"/>
                  <w:vAlign w:val="center"/>
                </w:tcPr>
                <w:p>
                  <w:pPr>
                    <w:jc w:val="center"/>
                    <w:rPr>
                      <w:bCs/>
                      <w:snapToGrid w:val="0"/>
                      <w:color w:val="auto"/>
                      <w:kern w:val="0"/>
                      <w:sz w:val="18"/>
                      <w:szCs w:val="18"/>
                      <w:highlight w:val="none"/>
                    </w:rPr>
                  </w:pPr>
                  <w:r>
                    <w:rPr>
                      <w:bCs/>
                      <w:snapToGrid w:val="0"/>
                      <w:color w:val="auto"/>
                      <w:kern w:val="0"/>
                      <w:sz w:val="18"/>
                      <w:szCs w:val="18"/>
                      <w:highlight w:val="none"/>
                    </w:rPr>
                    <w:t>废气</w:t>
                  </w:r>
                </w:p>
              </w:tc>
              <w:tc>
                <w:tcPr>
                  <w:tcW w:w="2651" w:type="dxa"/>
                  <w:vAlign w:val="center"/>
                </w:tcPr>
                <w:p>
                  <w:pPr>
                    <w:jc w:val="center"/>
                    <w:rPr>
                      <w:bCs/>
                      <w:snapToGrid w:val="0"/>
                      <w:color w:val="auto"/>
                      <w:kern w:val="0"/>
                      <w:sz w:val="18"/>
                      <w:szCs w:val="18"/>
                      <w:highlight w:val="none"/>
                    </w:rPr>
                  </w:pPr>
                  <w:r>
                    <w:rPr>
                      <w:bCs/>
                      <w:snapToGrid w:val="0"/>
                      <w:color w:val="auto"/>
                      <w:kern w:val="0"/>
                      <w:sz w:val="18"/>
                      <w:szCs w:val="18"/>
                      <w:highlight w:val="none"/>
                    </w:rPr>
                    <w:t>源强</w:t>
                  </w:r>
                </w:p>
              </w:tc>
              <w:tc>
                <w:tcPr>
                  <w:tcW w:w="2692" w:type="dxa"/>
                  <w:vAlign w:val="center"/>
                </w:tcPr>
                <w:p>
                  <w:pPr>
                    <w:jc w:val="center"/>
                    <w:rPr>
                      <w:bCs/>
                      <w:snapToGrid w:val="0"/>
                      <w:color w:val="auto"/>
                      <w:kern w:val="0"/>
                      <w:sz w:val="18"/>
                      <w:szCs w:val="18"/>
                      <w:highlight w:val="none"/>
                    </w:rPr>
                  </w:pPr>
                  <w:r>
                    <w:rPr>
                      <w:bCs/>
                      <w:snapToGrid w:val="0"/>
                      <w:color w:val="auto"/>
                      <w:kern w:val="0"/>
                      <w:sz w:val="18"/>
                      <w:szCs w:val="18"/>
                      <w:highlight w:val="non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dxa"/>
                  <w:vMerge w:val="restart"/>
                  <w:vAlign w:val="center"/>
                </w:tcPr>
                <w:p>
                  <w:pPr>
                    <w:jc w:val="center"/>
                    <w:rPr>
                      <w:snapToGrid w:val="0"/>
                      <w:color w:val="auto"/>
                      <w:kern w:val="0"/>
                      <w:sz w:val="18"/>
                      <w:szCs w:val="18"/>
                      <w:highlight w:val="none"/>
                    </w:rPr>
                  </w:pPr>
                  <w:r>
                    <w:rPr>
                      <w:snapToGrid w:val="0"/>
                      <w:color w:val="auto"/>
                      <w:kern w:val="0"/>
                      <w:sz w:val="18"/>
                      <w:szCs w:val="18"/>
                      <w:highlight w:val="none"/>
                    </w:rPr>
                    <w:t>污水处理站废气</w:t>
                  </w:r>
                </w:p>
              </w:tc>
              <w:tc>
                <w:tcPr>
                  <w:tcW w:w="1643" w:type="dxa"/>
                  <w:vAlign w:val="center"/>
                </w:tcPr>
                <w:p>
                  <w:pPr>
                    <w:jc w:val="center"/>
                    <w:rPr>
                      <w:snapToGrid w:val="0"/>
                      <w:color w:val="auto"/>
                      <w:kern w:val="0"/>
                      <w:sz w:val="18"/>
                      <w:szCs w:val="18"/>
                      <w:highlight w:val="none"/>
                    </w:rPr>
                  </w:pPr>
                  <w:r>
                    <w:rPr>
                      <w:snapToGrid w:val="0"/>
                      <w:color w:val="auto"/>
                      <w:kern w:val="0"/>
                      <w:sz w:val="18"/>
                      <w:szCs w:val="18"/>
                      <w:highlight w:val="none"/>
                    </w:rPr>
                    <w:t>NH</w:t>
                  </w:r>
                  <w:r>
                    <w:rPr>
                      <w:snapToGrid w:val="0"/>
                      <w:color w:val="auto"/>
                      <w:kern w:val="0"/>
                      <w:sz w:val="18"/>
                      <w:szCs w:val="18"/>
                      <w:highlight w:val="none"/>
                      <w:vertAlign w:val="subscript"/>
                    </w:rPr>
                    <w:t>3</w:t>
                  </w:r>
                </w:p>
              </w:tc>
              <w:tc>
                <w:tcPr>
                  <w:tcW w:w="2651" w:type="dxa"/>
                  <w:vAlign w:val="center"/>
                </w:tcPr>
                <w:p>
                  <w:pPr>
                    <w:jc w:val="center"/>
                    <w:rPr>
                      <w:snapToGrid w:val="0"/>
                      <w:color w:val="auto"/>
                      <w:kern w:val="0"/>
                      <w:sz w:val="18"/>
                      <w:szCs w:val="18"/>
                      <w:highlight w:val="none"/>
                    </w:rPr>
                  </w:pPr>
                  <w:r>
                    <w:rPr>
                      <w:rFonts w:hint="eastAsia"/>
                      <w:snapToGrid w:val="0"/>
                      <w:color w:val="auto"/>
                      <w:kern w:val="0"/>
                      <w:sz w:val="18"/>
                      <w:szCs w:val="18"/>
                      <w:highlight w:val="none"/>
                      <w:lang w:eastAsia="zh-CN"/>
                    </w:rPr>
                    <w:t>0.0038</w:t>
                  </w:r>
                  <w:r>
                    <w:rPr>
                      <w:snapToGrid w:val="0"/>
                      <w:color w:val="auto"/>
                      <w:kern w:val="0"/>
                      <w:sz w:val="18"/>
                      <w:szCs w:val="18"/>
                      <w:highlight w:val="none"/>
                    </w:rPr>
                    <w:t>g/gBOD</w:t>
                  </w:r>
                  <w:r>
                    <w:rPr>
                      <w:snapToGrid w:val="0"/>
                      <w:color w:val="auto"/>
                      <w:kern w:val="0"/>
                      <w:sz w:val="18"/>
                      <w:szCs w:val="18"/>
                      <w:highlight w:val="none"/>
                      <w:vertAlign w:val="subscript"/>
                    </w:rPr>
                    <w:t>5</w:t>
                  </w:r>
                </w:p>
              </w:tc>
              <w:tc>
                <w:tcPr>
                  <w:tcW w:w="2692" w:type="dxa"/>
                  <w:vMerge w:val="restart"/>
                  <w:vAlign w:val="center"/>
                </w:tcPr>
                <w:p>
                  <w:pPr>
                    <w:jc w:val="center"/>
                    <w:rPr>
                      <w:snapToGrid w:val="0"/>
                      <w:color w:val="auto"/>
                      <w:kern w:val="0"/>
                      <w:sz w:val="18"/>
                      <w:szCs w:val="18"/>
                      <w:highlight w:val="none"/>
                    </w:rPr>
                  </w:pPr>
                  <w:r>
                    <w:rPr>
                      <w:snapToGrid w:val="0"/>
                      <w:color w:val="auto"/>
                      <w:kern w:val="0"/>
                      <w:sz w:val="18"/>
                      <w:szCs w:val="18"/>
                      <w:highlight w:val="none"/>
                    </w:rPr>
                    <w:t>美国EPA对城市污水处理厂恶臭污染物产生情况的研究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1" w:type="dxa"/>
                  <w:vMerge w:val="continue"/>
                  <w:vAlign w:val="center"/>
                </w:tcPr>
                <w:p>
                  <w:pPr>
                    <w:jc w:val="center"/>
                    <w:rPr>
                      <w:snapToGrid w:val="0"/>
                      <w:color w:val="auto"/>
                      <w:kern w:val="0"/>
                      <w:sz w:val="18"/>
                      <w:szCs w:val="18"/>
                      <w:highlight w:val="none"/>
                    </w:rPr>
                  </w:pPr>
                </w:p>
              </w:tc>
              <w:tc>
                <w:tcPr>
                  <w:tcW w:w="1643" w:type="dxa"/>
                  <w:vAlign w:val="center"/>
                </w:tcPr>
                <w:p>
                  <w:pPr>
                    <w:jc w:val="center"/>
                    <w:rPr>
                      <w:snapToGrid w:val="0"/>
                      <w:color w:val="auto"/>
                      <w:kern w:val="0"/>
                      <w:sz w:val="18"/>
                      <w:szCs w:val="18"/>
                      <w:highlight w:val="none"/>
                    </w:rPr>
                  </w:pPr>
                  <w:r>
                    <w:rPr>
                      <w:snapToGrid w:val="0"/>
                      <w:color w:val="auto"/>
                      <w:kern w:val="0"/>
                      <w:sz w:val="18"/>
                      <w:szCs w:val="18"/>
                      <w:highlight w:val="none"/>
                    </w:rPr>
                    <w:t>H</w:t>
                  </w:r>
                  <w:r>
                    <w:rPr>
                      <w:snapToGrid w:val="0"/>
                      <w:color w:val="auto"/>
                      <w:kern w:val="0"/>
                      <w:sz w:val="18"/>
                      <w:szCs w:val="18"/>
                      <w:highlight w:val="none"/>
                      <w:vertAlign w:val="subscript"/>
                    </w:rPr>
                    <w:t>2</w:t>
                  </w:r>
                  <w:r>
                    <w:rPr>
                      <w:snapToGrid w:val="0"/>
                      <w:color w:val="auto"/>
                      <w:kern w:val="0"/>
                      <w:sz w:val="18"/>
                      <w:szCs w:val="18"/>
                      <w:highlight w:val="none"/>
                    </w:rPr>
                    <w:t>S</w:t>
                  </w:r>
                </w:p>
              </w:tc>
              <w:tc>
                <w:tcPr>
                  <w:tcW w:w="2651" w:type="dxa"/>
                  <w:vAlign w:val="center"/>
                </w:tcPr>
                <w:p>
                  <w:pPr>
                    <w:jc w:val="center"/>
                    <w:rPr>
                      <w:snapToGrid w:val="0"/>
                      <w:color w:val="auto"/>
                      <w:kern w:val="0"/>
                      <w:sz w:val="18"/>
                      <w:szCs w:val="18"/>
                      <w:highlight w:val="none"/>
                    </w:rPr>
                  </w:pPr>
                  <w:r>
                    <w:rPr>
                      <w:snapToGrid w:val="0"/>
                      <w:color w:val="auto"/>
                      <w:kern w:val="0"/>
                      <w:sz w:val="18"/>
                      <w:szCs w:val="18"/>
                      <w:highlight w:val="none"/>
                    </w:rPr>
                    <w:t>0.00012g/gBOD</w:t>
                  </w:r>
                  <w:r>
                    <w:rPr>
                      <w:snapToGrid w:val="0"/>
                      <w:color w:val="auto"/>
                      <w:kern w:val="0"/>
                      <w:sz w:val="18"/>
                      <w:szCs w:val="18"/>
                      <w:highlight w:val="none"/>
                      <w:vertAlign w:val="subscript"/>
                    </w:rPr>
                    <w:t>5</w:t>
                  </w:r>
                </w:p>
              </w:tc>
              <w:tc>
                <w:tcPr>
                  <w:tcW w:w="2692" w:type="dxa"/>
                  <w:vMerge w:val="continue"/>
                  <w:vAlign w:val="center"/>
                </w:tcPr>
                <w:p>
                  <w:pPr>
                    <w:jc w:val="center"/>
                    <w:rPr>
                      <w:color w:val="auto"/>
                      <w:sz w:val="18"/>
                      <w:szCs w:val="18"/>
                      <w:highlight w:val="none"/>
                    </w:rPr>
                  </w:pPr>
                </w:p>
              </w:tc>
            </w:tr>
          </w:tbl>
          <w:p>
            <w:pPr>
              <w:snapToGrid w:val="0"/>
              <w:spacing w:line="360" w:lineRule="auto"/>
              <w:ind w:firstLine="420" w:firstLineChars="200"/>
              <w:rPr>
                <w:rFonts w:hint="default"/>
                <w:color w:val="auto"/>
                <w:szCs w:val="21"/>
                <w:highlight w:val="none"/>
                <w:lang w:val="en-US" w:eastAsia="zh-CN"/>
              </w:rPr>
            </w:pPr>
            <w:r>
              <w:rPr>
                <w:rFonts w:hint="eastAsia"/>
                <w:color w:val="auto"/>
                <w:szCs w:val="21"/>
                <w:highlight w:val="none"/>
                <w:lang w:val="en-US" w:eastAsia="zh-CN"/>
              </w:rPr>
              <w:t>1、有组织废气</w:t>
            </w:r>
          </w:p>
          <w:p>
            <w:pPr>
              <w:snapToGrid w:val="0"/>
              <w:spacing w:line="360" w:lineRule="auto"/>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（1）污水处理站废气</w:t>
            </w:r>
          </w:p>
          <w:p>
            <w:pPr>
              <w:snapToGrid w:val="0"/>
              <w:spacing w:line="360" w:lineRule="auto"/>
              <w:ind w:firstLine="420" w:firstLineChars="200"/>
              <w:rPr>
                <w:color w:val="auto"/>
                <w:szCs w:val="21"/>
                <w:highlight w:val="none"/>
              </w:rPr>
            </w:pPr>
            <w:r>
              <w:rPr>
                <w:color w:val="auto"/>
                <w:szCs w:val="21"/>
                <w:highlight w:val="none"/>
              </w:rPr>
              <w:t>根据美国EPA对城市污水处理厂恶臭污染物产生情况的研究，按每处理1g的BOD</w:t>
            </w:r>
            <w:r>
              <w:rPr>
                <w:color w:val="auto"/>
                <w:szCs w:val="21"/>
                <w:highlight w:val="none"/>
                <w:vertAlign w:val="subscript"/>
              </w:rPr>
              <w:t>5</w:t>
            </w:r>
            <w:r>
              <w:rPr>
                <w:color w:val="auto"/>
                <w:szCs w:val="21"/>
                <w:highlight w:val="none"/>
              </w:rPr>
              <w:t>产生</w:t>
            </w:r>
            <w:r>
              <w:rPr>
                <w:rFonts w:hint="eastAsia"/>
                <w:color w:val="auto"/>
                <w:szCs w:val="21"/>
                <w:highlight w:val="none"/>
                <w:lang w:eastAsia="zh-CN"/>
              </w:rPr>
              <w:t>0.0038</w:t>
            </w:r>
            <w:r>
              <w:rPr>
                <w:color w:val="auto"/>
                <w:szCs w:val="21"/>
                <w:highlight w:val="none"/>
              </w:rPr>
              <w:t>g的NH</w:t>
            </w:r>
            <w:r>
              <w:rPr>
                <w:color w:val="auto"/>
                <w:szCs w:val="21"/>
                <w:highlight w:val="none"/>
                <w:vertAlign w:val="subscript"/>
              </w:rPr>
              <w:t>3</w:t>
            </w:r>
            <w:r>
              <w:rPr>
                <w:color w:val="auto"/>
                <w:szCs w:val="21"/>
                <w:highlight w:val="none"/>
              </w:rPr>
              <w:t>和0.00012g的H</w:t>
            </w:r>
            <w:r>
              <w:rPr>
                <w:color w:val="auto"/>
                <w:szCs w:val="21"/>
                <w:highlight w:val="none"/>
                <w:vertAlign w:val="subscript"/>
              </w:rPr>
              <w:t>2</w:t>
            </w:r>
            <w:r>
              <w:rPr>
                <w:color w:val="auto"/>
                <w:szCs w:val="21"/>
                <w:highlight w:val="none"/>
              </w:rPr>
              <w:t>S进行估算，根据前述核算的本项目废水处理量，本项目院区废水中的BOD</w:t>
            </w:r>
            <w:r>
              <w:rPr>
                <w:color w:val="auto"/>
                <w:szCs w:val="21"/>
                <w:highlight w:val="none"/>
                <w:vertAlign w:val="subscript"/>
              </w:rPr>
              <w:t>5</w:t>
            </w:r>
            <w:r>
              <w:rPr>
                <w:color w:val="auto"/>
                <w:szCs w:val="21"/>
                <w:highlight w:val="none"/>
              </w:rPr>
              <w:t>处理量为</w:t>
            </w:r>
            <w:r>
              <w:rPr>
                <w:rFonts w:hint="eastAsia"/>
                <w:color w:val="auto"/>
                <w:szCs w:val="21"/>
                <w:highlight w:val="none"/>
                <w:lang w:val="en-US" w:eastAsia="zh-CN"/>
              </w:rPr>
              <w:t>5.11</w:t>
            </w:r>
            <w:r>
              <w:rPr>
                <w:color w:val="auto"/>
                <w:szCs w:val="21"/>
                <w:highlight w:val="none"/>
              </w:rPr>
              <w:t>t/a，依此来估算恶臭因子产生的源强，经计算NH</w:t>
            </w:r>
            <w:r>
              <w:rPr>
                <w:color w:val="auto"/>
                <w:szCs w:val="21"/>
                <w:highlight w:val="none"/>
                <w:vertAlign w:val="subscript"/>
              </w:rPr>
              <w:t>3</w:t>
            </w:r>
            <w:r>
              <w:rPr>
                <w:color w:val="auto"/>
                <w:szCs w:val="21"/>
                <w:highlight w:val="none"/>
              </w:rPr>
              <w:t>产生量为</w:t>
            </w:r>
            <w:r>
              <w:rPr>
                <w:rFonts w:hint="eastAsia"/>
                <w:color w:val="auto"/>
                <w:szCs w:val="21"/>
                <w:highlight w:val="none"/>
                <w:lang w:val="en-US" w:eastAsia="zh-CN"/>
              </w:rPr>
              <w:t>0.016</w:t>
            </w:r>
            <w:r>
              <w:rPr>
                <w:color w:val="auto"/>
                <w:szCs w:val="21"/>
                <w:highlight w:val="none"/>
              </w:rPr>
              <w:t>t/a，H</w:t>
            </w:r>
            <w:r>
              <w:rPr>
                <w:color w:val="auto"/>
                <w:szCs w:val="21"/>
                <w:highlight w:val="none"/>
                <w:vertAlign w:val="subscript"/>
              </w:rPr>
              <w:t>2</w:t>
            </w:r>
            <w:r>
              <w:rPr>
                <w:color w:val="auto"/>
                <w:szCs w:val="21"/>
                <w:highlight w:val="none"/>
              </w:rPr>
              <w:t>S产生量为</w:t>
            </w:r>
            <w:r>
              <w:rPr>
                <w:rFonts w:hint="eastAsia"/>
                <w:color w:val="auto"/>
                <w:szCs w:val="21"/>
                <w:highlight w:val="none"/>
              </w:rPr>
              <w:t>0.000</w:t>
            </w:r>
            <w:r>
              <w:rPr>
                <w:rFonts w:hint="eastAsia"/>
                <w:color w:val="auto"/>
                <w:szCs w:val="21"/>
                <w:highlight w:val="none"/>
                <w:lang w:val="en-US" w:eastAsia="zh-CN"/>
              </w:rPr>
              <w:t>61</w:t>
            </w:r>
            <w:r>
              <w:rPr>
                <w:color w:val="auto"/>
                <w:szCs w:val="21"/>
                <w:highlight w:val="none"/>
              </w:rPr>
              <w:t>t/a。</w:t>
            </w:r>
          </w:p>
          <w:p>
            <w:pPr>
              <w:spacing w:line="360" w:lineRule="auto"/>
              <w:ind w:firstLine="420" w:firstLineChars="200"/>
              <w:jc w:val="both"/>
              <w:rPr>
                <w:color w:val="auto"/>
                <w:highlight w:val="none"/>
              </w:rPr>
            </w:pPr>
            <w:r>
              <w:rPr>
                <w:color w:val="auto"/>
                <w:highlight w:val="none"/>
              </w:rPr>
              <w:t>污水处理站恶臭通过</w:t>
            </w:r>
            <w:r>
              <w:rPr>
                <w:rFonts w:hint="eastAsia"/>
                <w:color w:val="auto"/>
                <w:highlight w:val="none"/>
                <w:lang w:val="en-US" w:eastAsia="zh-CN"/>
              </w:rPr>
              <w:t>管线</w:t>
            </w:r>
            <w:r>
              <w:rPr>
                <w:color w:val="auto"/>
                <w:highlight w:val="none"/>
              </w:rPr>
              <w:t>收集后经生物除臭</w:t>
            </w:r>
            <w:r>
              <w:rPr>
                <w:rFonts w:hint="eastAsia"/>
                <w:color w:val="auto"/>
                <w:highlight w:val="none"/>
                <w:lang w:val="en-US" w:eastAsia="zh-CN"/>
              </w:rPr>
              <w:t>装置</w:t>
            </w:r>
            <w:r>
              <w:rPr>
                <w:color w:val="auto"/>
                <w:highlight w:val="none"/>
              </w:rPr>
              <w:t>处理后通过15m高排气筒</w:t>
            </w:r>
            <w:r>
              <w:rPr>
                <w:rFonts w:hint="eastAsia"/>
                <w:color w:val="auto"/>
                <w:highlight w:val="none"/>
                <w:lang w:val="en-US" w:eastAsia="zh-CN"/>
              </w:rPr>
              <w:t>DA001</w:t>
            </w:r>
            <w:r>
              <w:rPr>
                <w:color w:val="auto"/>
                <w:highlight w:val="none"/>
              </w:rPr>
              <w:t>排放，收集效率按</w:t>
            </w:r>
            <w:r>
              <w:rPr>
                <w:rFonts w:hint="eastAsia"/>
                <w:color w:val="auto"/>
                <w:highlight w:val="none"/>
                <w:lang w:val="en-US" w:eastAsia="zh-CN"/>
              </w:rPr>
              <w:t>90</w:t>
            </w:r>
            <w:r>
              <w:rPr>
                <w:color w:val="auto"/>
                <w:highlight w:val="none"/>
              </w:rPr>
              <w:t>%，去除率约为80%，则污水处理站有组织NH</w:t>
            </w:r>
            <w:r>
              <w:rPr>
                <w:color w:val="auto"/>
                <w:highlight w:val="none"/>
                <w:vertAlign w:val="subscript"/>
              </w:rPr>
              <w:t>3</w:t>
            </w:r>
            <w:r>
              <w:rPr>
                <w:color w:val="auto"/>
                <w:highlight w:val="none"/>
              </w:rPr>
              <w:t>、H</w:t>
            </w:r>
            <w:r>
              <w:rPr>
                <w:color w:val="auto"/>
                <w:highlight w:val="none"/>
                <w:vertAlign w:val="subscript"/>
              </w:rPr>
              <w:t>2</w:t>
            </w:r>
            <w:r>
              <w:rPr>
                <w:color w:val="auto"/>
                <w:highlight w:val="none"/>
              </w:rPr>
              <w:t>S排放量分别为</w:t>
            </w:r>
            <w:r>
              <w:rPr>
                <w:rFonts w:hint="eastAsia"/>
                <w:color w:val="auto"/>
                <w:highlight w:val="none"/>
                <w:lang w:val="en-US" w:eastAsia="zh-CN"/>
              </w:rPr>
              <w:t>0.0029</w:t>
            </w:r>
            <w:r>
              <w:rPr>
                <w:color w:val="auto"/>
                <w:highlight w:val="none"/>
              </w:rPr>
              <w:t>t/a、0.000</w:t>
            </w:r>
            <w:r>
              <w:rPr>
                <w:rFonts w:hint="eastAsia"/>
                <w:color w:val="auto"/>
                <w:highlight w:val="none"/>
                <w:lang w:val="en-US" w:eastAsia="zh-CN"/>
              </w:rPr>
              <w:t>11</w:t>
            </w:r>
            <w:r>
              <w:rPr>
                <w:color w:val="auto"/>
                <w:highlight w:val="none"/>
              </w:rPr>
              <w:t>t/a，排放速率分别为</w:t>
            </w:r>
            <w:r>
              <w:rPr>
                <w:rFonts w:hint="eastAsia"/>
                <w:color w:val="auto"/>
                <w:highlight w:val="none"/>
                <w:lang w:eastAsia="zh-CN"/>
              </w:rPr>
              <w:t>0.00033</w:t>
            </w:r>
            <w:r>
              <w:rPr>
                <w:color w:val="auto"/>
                <w:highlight w:val="none"/>
              </w:rPr>
              <w:t>kg/h、</w:t>
            </w:r>
            <w:r>
              <w:rPr>
                <w:rFonts w:hint="eastAsia"/>
                <w:color w:val="auto"/>
                <w:highlight w:val="none"/>
                <w:lang w:eastAsia="zh-CN"/>
              </w:rPr>
              <w:t>0.000013</w:t>
            </w:r>
            <w:r>
              <w:rPr>
                <w:color w:val="auto"/>
                <w:highlight w:val="none"/>
              </w:rPr>
              <w:t>kg/h，能够满足《恶臭污染物排放标准》（GB14554-93）表1二级新扩改建标准要求。</w:t>
            </w:r>
          </w:p>
          <w:p>
            <w:pPr>
              <w:snapToGrid w:val="0"/>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（2）食堂油烟废气</w:t>
            </w:r>
          </w:p>
          <w:p>
            <w:pPr>
              <w:spacing w:line="360" w:lineRule="auto"/>
              <w:ind w:firstLine="420" w:firstLineChars="200"/>
              <w:jc w:val="both"/>
              <w:rPr>
                <w:color w:val="auto"/>
                <w:highlight w:val="none"/>
              </w:rPr>
            </w:pPr>
            <w:r>
              <w:rPr>
                <w:color w:val="auto"/>
                <w:highlight w:val="none"/>
              </w:rPr>
              <w:t>食堂就餐人数共约</w:t>
            </w:r>
            <w:r>
              <w:rPr>
                <w:rFonts w:hint="eastAsia"/>
                <w:color w:val="auto"/>
                <w:highlight w:val="none"/>
                <w:lang w:val="en-US" w:eastAsia="zh-CN"/>
              </w:rPr>
              <w:t>220</w:t>
            </w:r>
            <w:r>
              <w:rPr>
                <w:color w:val="auto"/>
                <w:highlight w:val="none"/>
              </w:rPr>
              <w:t>人次/d，</w:t>
            </w:r>
            <w:r>
              <w:rPr>
                <w:color w:val="auto"/>
                <w:kern w:val="0"/>
                <w:highlight w:val="none"/>
              </w:rPr>
              <w:t>食堂所用燃料为清洁能源天然气，食堂排放废气主要为餐饮油烟。</w:t>
            </w:r>
            <w:r>
              <w:rPr>
                <w:color w:val="auto"/>
                <w:highlight w:val="none"/>
              </w:rPr>
              <w:t>根据上海市环科院相关统计资料，人均食用油用量约30g/人·d，油烟转化率平均为2.83%。</w:t>
            </w:r>
          </w:p>
          <w:p>
            <w:pPr>
              <w:spacing w:line="360" w:lineRule="auto"/>
              <w:ind w:firstLine="420" w:firstLineChars="200"/>
              <w:jc w:val="both"/>
              <w:rPr>
                <w:color w:val="auto"/>
                <w:highlight w:val="none"/>
              </w:rPr>
            </w:pPr>
            <w:r>
              <w:rPr>
                <w:color w:val="auto"/>
                <w:kern w:val="0"/>
                <w:highlight w:val="none"/>
              </w:rPr>
              <w:t>食堂就餐人数为</w:t>
            </w:r>
            <w:r>
              <w:rPr>
                <w:rFonts w:hint="eastAsia"/>
                <w:color w:val="auto"/>
                <w:kern w:val="0"/>
                <w:highlight w:val="none"/>
                <w:lang w:val="en-US" w:eastAsia="zh-CN"/>
              </w:rPr>
              <w:t>220</w:t>
            </w:r>
            <w:r>
              <w:rPr>
                <w:color w:val="auto"/>
                <w:kern w:val="0"/>
                <w:highlight w:val="none"/>
              </w:rPr>
              <w:t>人/d，按照人均日摄入食用油量约30g计算，则食堂耗油量为</w:t>
            </w:r>
            <w:r>
              <w:rPr>
                <w:rFonts w:hint="eastAsia"/>
                <w:color w:val="auto"/>
                <w:kern w:val="0"/>
                <w:highlight w:val="none"/>
                <w:lang w:val="en-US" w:eastAsia="zh-CN"/>
              </w:rPr>
              <w:t>6.6</w:t>
            </w:r>
            <w:r>
              <w:rPr>
                <w:color w:val="auto"/>
                <w:kern w:val="0"/>
                <w:highlight w:val="none"/>
              </w:rPr>
              <w:t>kg/d。食品在炒作时油的挥发量约为3%，油烟产生量为</w:t>
            </w:r>
            <w:r>
              <w:rPr>
                <w:rFonts w:hint="eastAsia"/>
                <w:color w:val="auto"/>
                <w:kern w:val="0"/>
                <w:highlight w:val="none"/>
                <w:lang w:val="en-US" w:eastAsia="zh-CN"/>
              </w:rPr>
              <w:t>0.198</w:t>
            </w:r>
            <w:r>
              <w:rPr>
                <w:color w:val="auto"/>
                <w:kern w:val="0"/>
                <w:highlight w:val="none"/>
              </w:rPr>
              <w:t>kg/d（合计</w:t>
            </w:r>
            <w:r>
              <w:rPr>
                <w:rFonts w:hint="eastAsia"/>
                <w:color w:val="auto"/>
                <w:kern w:val="0"/>
                <w:highlight w:val="none"/>
                <w:lang w:val="en-US" w:eastAsia="zh-CN"/>
              </w:rPr>
              <w:t>72.27</w:t>
            </w:r>
            <w:r>
              <w:rPr>
                <w:color w:val="auto"/>
                <w:kern w:val="0"/>
                <w:highlight w:val="none"/>
              </w:rPr>
              <w:t>kg/a），油烟经过油烟净化器处理后经过专用烟道引至高于</w:t>
            </w:r>
            <w:r>
              <w:rPr>
                <w:rFonts w:hint="eastAsia"/>
                <w:color w:val="auto"/>
                <w:kern w:val="0"/>
                <w:highlight w:val="none"/>
                <w:lang w:val="en-US" w:eastAsia="zh-CN"/>
              </w:rPr>
              <w:t>食堂</w:t>
            </w:r>
            <w:r>
              <w:rPr>
                <w:color w:val="auto"/>
                <w:kern w:val="0"/>
                <w:highlight w:val="none"/>
              </w:rPr>
              <w:t>顶部1.5m烟囱排放。</w:t>
            </w:r>
            <w:r>
              <w:rPr>
                <w:rFonts w:hint="eastAsia"/>
                <w:color w:val="auto"/>
                <w:kern w:val="0"/>
                <w:highlight w:val="none"/>
              </w:rPr>
              <w:t>油烟</w:t>
            </w:r>
            <w:r>
              <w:rPr>
                <w:color w:val="auto"/>
                <w:kern w:val="0"/>
                <w:highlight w:val="none"/>
              </w:rPr>
              <w:t>净化器处理效率达到90%以上，因此，油烟排放量为0.</w:t>
            </w:r>
            <w:r>
              <w:rPr>
                <w:rFonts w:hint="eastAsia"/>
                <w:color w:val="auto"/>
                <w:kern w:val="0"/>
                <w:highlight w:val="none"/>
                <w:lang w:val="en-US" w:eastAsia="zh-CN"/>
              </w:rPr>
              <w:t>02</w:t>
            </w:r>
            <w:r>
              <w:rPr>
                <w:color w:val="auto"/>
                <w:kern w:val="0"/>
                <w:highlight w:val="none"/>
              </w:rPr>
              <w:t>kg/d（</w:t>
            </w:r>
            <w:r>
              <w:rPr>
                <w:rFonts w:hint="eastAsia"/>
                <w:color w:val="auto"/>
                <w:kern w:val="0"/>
                <w:highlight w:val="none"/>
                <w:lang w:val="en-US" w:eastAsia="zh-CN"/>
              </w:rPr>
              <w:t>7.23</w:t>
            </w:r>
            <w:r>
              <w:rPr>
                <w:color w:val="auto"/>
                <w:kern w:val="0"/>
                <w:highlight w:val="none"/>
              </w:rPr>
              <w:t>kg/a），</w:t>
            </w:r>
            <w:r>
              <w:rPr>
                <w:color w:val="auto"/>
                <w:highlight w:val="none"/>
              </w:rPr>
              <w:t>油烟废气量按</w:t>
            </w:r>
            <w:r>
              <w:rPr>
                <w:rFonts w:hint="eastAsia"/>
                <w:color w:val="auto"/>
                <w:highlight w:val="none"/>
                <w:lang w:val="en-US" w:eastAsia="zh-CN"/>
              </w:rPr>
              <w:t>5000</w:t>
            </w:r>
            <w:r>
              <w:rPr>
                <w:color w:val="auto"/>
                <w:highlight w:val="none"/>
              </w:rPr>
              <w:t>m</w:t>
            </w:r>
            <w:r>
              <w:rPr>
                <w:color w:val="auto"/>
                <w:highlight w:val="none"/>
                <w:vertAlign w:val="superscript"/>
              </w:rPr>
              <w:t>3</w:t>
            </w:r>
            <w:r>
              <w:rPr>
                <w:color w:val="auto"/>
                <w:highlight w:val="none"/>
              </w:rPr>
              <w:t>/h，食堂按</w:t>
            </w:r>
            <w:r>
              <w:rPr>
                <w:rFonts w:hint="eastAsia"/>
                <w:color w:val="auto"/>
                <w:highlight w:val="none"/>
                <w:lang w:val="en-US" w:eastAsia="zh-CN"/>
              </w:rPr>
              <w:t>10</w:t>
            </w:r>
            <w:r>
              <w:rPr>
                <w:color w:val="auto"/>
                <w:highlight w:val="none"/>
              </w:rPr>
              <w:t>h/d运行计算，则油烟排放浓度为</w:t>
            </w:r>
            <w:r>
              <w:rPr>
                <w:rFonts w:hint="eastAsia"/>
                <w:color w:val="auto"/>
                <w:highlight w:val="none"/>
                <w:lang w:val="en-US" w:eastAsia="zh-CN"/>
              </w:rPr>
              <w:t>0.4</w:t>
            </w:r>
            <w:r>
              <w:rPr>
                <w:color w:val="auto"/>
                <w:highlight w:val="none"/>
              </w:rPr>
              <w:t>mg/m</w:t>
            </w:r>
            <w:r>
              <w:rPr>
                <w:color w:val="auto"/>
                <w:highlight w:val="none"/>
                <w:vertAlign w:val="superscript"/>
              </w:rPr>
              <w:t>3</w:t>
            </w:r>
            <w:r>
              <w:rPr>
                <w:color w:val="auto"/>
                <w:highlight w:val="none"/>
              </w:rPr>
              <w:t>，能够满足《山东省饮食油烟排放标准》（DB37/597-2006）表</w:t>
            </w:r>
            <w:r>
              <w:rPr>
                <w:rFonts w:hint="eastAsia"/>
                <w:color w:val="auto"/>
                <w:highlight w:val="none"/>
              </w:rPr>
              <w:t>2</w:t>
            </w:r>
            <w:r>
              <w:rPr>
                <w:rFonts w:hint="eastAsia"/>
                <w:color w:val="auto"/>
                <w:highlight w:val="none"/>
                <w:lang w:val="en-US" w:eastAsia="zh-CN"/>
              </w:rPr>
              <w:t>大型</w:t>
            </w:r>
            <w:r>
              <w:rPr>
                <w:color w:val="auto"/>
                <w:highlight w:val="none"/>
              </w:rPr>
              <w:t>标准要求。</w:t>
            </w:r>
          </w:p>
          <w:p>
            <w:pPr>
              <w:tabs>
                <w:tab w:val="left" w:pos="900"/>
                <w:tab w:val="left" w:pos="1080"/>
              </w:tabs>
              <w:spacing w:line="360" w:lineRule="auto"/>
              <w:ind w:firstLine="480"/>
              <w:jc w:val="both"/>
              <w:rPr>
                <w:color w:val="auto"/>
                <w:kern w:val="0"/>
                <w:highlight w:val="none"/>
              </w:rPr>
            </w:pPr>
            <w:r>
              <w:rPr>
                <w:color w:val="auto"/>
                <w:kern w:val="0"/>
                <w:highlight w:val="none"/>
              </w:rPr>
              <w:t>（</w:t>
            </w:r>
            <w:r>
              <w:rPr>
                <w:rFonts w:hint="eastAsia"/>
                <w:color w:val="auto"/>
                <w:kern w:val="0"/>
                <w:highlight w:val="none"/>
                <w:lang w:val="en-US" w:eastAsia="zh-CN"/>
              </w:rPr>
              <w:t>3</w:t>
            </w:r>
            <w:r>
              <w:rPr>
                <w:color w:val="auto"/>
                <w:kern w:val="0"/>
                <w:highlight w:val="none"/>
              </w:rPr>
              <w:t>）备用柴油发电机尾气</w:t>
            </w:r>
          </w:p>
          <w:p>
            <w:pPr>
              <w:snapToGrid w:val="0"/>
              <w:spacing w:line="360" w:lineRule="auto"/>
              <w:ind w:firstLine="420" w:firstLineChars="200"/>
              <w:rPr>
                <w:rFonts w:hint="eastAsia" w:cs="Times New Roman"/>
                <w:color w:val="auto"/>
                <w:szCs w:val="21"/>
                <w:highlight w:val="none"/>
                <w:lang w:val="en-US" w:eastAsia="zh-CN"/>
              </w:rPr>
            </w:pPr>
            <w:r>
              <w:rPr>
                <w:color w:val="auto"/>
                <w:kern w:val="0"/>
                <w:highlight w:val="none"/>
              </w:rPr>
              <w:t>本项目设置1台备用柴油发电机组，位于</w:t>
            </w:r>
            <w:r>
              <w:rPr>
                <w:rFonts w:hint="eastAsia"/>
                <w:color w:val="auto"/>
                <w:kern w:val="0"/>
                <w:highlight w:val="none"/>
                <w:lang w:val="en-US" w:eastAsia="zh-CN"/>
              </w:rPr>
              <w:t>综合楼</w:t>
            </w:r>
            <w:r>
              <w:rPr>
                <w:color w:val="auto"/>
                <w:kern w:val="0"/>
                <w:highlight w:val="none"/>
              </w:rPr>
              <w:t>地下一层，仅在停电及保养期间（每</w:t>
            </w:r>
            <w:r>
              <w:rPr>
                <w:rFonts w:hint="eastAsia"/>
                <w:color w:val="auto"/>
                <w:kern w:val="0"/>
                <w:highlight w:val="none"/>
                <w:lang w:val="en-US" w:eastAsia="zh-CN"/>
              </w:rPr>
              <w:t>季度</w:t>
            </w:r>
            <w:r>
              <w:rPr>
                <w:color w:val="auto"/>
                <w:kern w:val="0"/>
                <w:highlight w:val="none"/>
              </w:rPr>
              <w:t>运转一次）启用。备用柴油发电机组产生的尾气是间断产生的，废气产生量较小，由专用烟道引至所在楼顶并高出楼顶3m排放。发电机位于地下，运转时间较少，运行噪声对周围环境的影响较小，可忽略不计。</w:t>
            </w:r>
          </w:p>
          <w:p>
            <w:pPr>
              <w:snapToGrid w:val="0"/>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无组织废气</w:t>
            </w:r>
          </w:p>
          <w:p>
            <w:pPr>
              <w:spacing w:line="360" w:lineRule="auto"/>
              <w:ind w:firstLine="420" w:firstLineChars="200"/>
              <w:jc w:val="both"/>
              <w:rPr>
                <w:rFonts w:hint="default" w:ascii="Times New Roman" w:hAnsi="Times New Roman" w:eastAsia="宋体" w:cs="Times New Roman"/>
                <w:color w:val="auto"/>
                <w:kern w:val="0"/>
                <w:highlight w:val="none"/>
                <w:lang w:val="en-US" w:eastAsia="zh-CN"/>
              </w:rPr>
            </w:pPr>
            <w:r>
              <w:rPr>
                <w:rFonts w:hint="eastAsia" w:cs="Times New Roman"/>
                <w:color w:val="auto"/>
                <w:kern w:val="0"/>
                <w:highlight w:val="none"/>
                <w:lang w:val="en-US" w:eastAsia="zh-CN"/>
              </w:rPr>
              <w:t>（1）未收集废气</w:t>
            </w:r>
          </w:p>
          <w:p>
            <w:pPr>
              <w:spacing w:line="360" w:lineRule="auto"/>
              <w:ind w:firstLine="420" w:firstLineChars="200"/>
              <w:jc w:val="both"/>
              <w:rPr>
                <w:rFonts w:hint="default" w:ascii="Times New Roman" w:hAnsi="Times New Roman" w:eastAsia="宋体" w:cs="Times New Roman"/>
                <w:color w:val="auto"/>
                <w:kern w:val="0"/>
                <w:highlight w:val="none"/>
                <w:lang w:val="en-US" w:eastAsia="zh-CN"/>
              </w:rPr>
            </w:pPr>
            <w:r>
              <w:rPr>
                <w:rFonts w:hint="eastAsia" w:ascii="Times New Roman" w:hAnsi="Times New Roman" w:eastAsia="宋体" w:cs="Times New Roman"/>
                <w:color w:val="auto"/>
                <w:kern w:val="0"/>
                <w:highlight w:val="none"/>
                <w:lang w:val="en-US" w:eastAsia="zh-CN"/>
              </w:rPr>
              <w:t>本项目无组织废气主要为污水处理站未收集废气，经计算可知，</w:t>
            </w:r>
            <w:r>
              <w:rPr>
                <w:color w:val="auto"/>
                <w:highlight w:val="none"/>
              </w:rPr>
              <w:t>NH</w:t>
            </w:r>
            <w:r>
              <w:rPr>
                <w:color w:val="auto"/>
                <w:highlight w:val="none"/>
                <w:vertAlign w:val="subscript"/>
              </w:rPr>
              <w:t>3</w:t>
            </w:r>
            <w:r>
              <w:rPr>
                <w:color w:val="auto"/>
                <w:highlight w:val="none"/>
              </w:rPr>
              <w:t>、H</w:t>
            </w:r>
            <w:r>
              <w:rPr>
                <w:color w:val="auto"/>
                <w:highlight w:val="none"/>
                <w:vertAlign w:val="subscript"/>
              </w:rPr>
              <w:t>2</w:t>
            </w:r>
            <w:r>
              <w:rPr>
                <w:color w:val="auto"/>
                <w:highlight w:val="none"/>
              </w:rPr>
              <w:t>S</w:t>
            </w:r>
            <w:r>
              <w:rPr>
                <w:rFonts w:hint="eastAsia"/>
                <w:color w:val="auto"/>
                <w:highlight w:val="none"/>
                <w:lang w:val="en-US" w:eastAsia="zh-CN"/>
              </w:rPr>
              <w:t>无组织</w:t>
            </w:r>
            <w:r>
              <w:rPr>
                <w:color w:val="auto"/>
                <w:highlight w:val="none"/>
              </w:rPr>
              <w:t>排放量分别为</w:t>
            </w:r>
            <w:r>
              <w:rPr>
                <w:rFonts w:hint="eastAsia"/>
                <w:color w:val="auto"/>
                <w:highlight w:val="none"/>
                <w:lang w:val="en-US" w:eastAsia="zh-CN"/>
              </w:rPr>
              <w:t>0.0016</w:t>
            </w:r>
            <w:r>
              <w:rPr>
                <w:color w:val="auto"/>
                <w:highlight w:val="none"/>
              </w:rPr>
              <w:t>t/a、</w:t>
            </w:r>
            <w:r>
              <w:rPr>
                <w:rFonts w:hint="eastAsia"/>
                <w:color w:val="auto"/>
                <w:highlight w:val="none"/>
                <w:lang w:val="en-US" w:eastAsia="zh-CN"/>
              </w:rPr>
              <w:t>0.00006</w:t>
            </w:r>
            <w:r>
              <w:rPr>
                <w:color w:val="auto"/>
                <w:highlight w:val="none"/>
              </w:rPr>
              <w:t>t/a</w:t>
            </w:r>
          </w:p>
          <w:p>
            <w:pPr>
              <w:snapToGrid w:val="0"/>
              <w:spacing w:line="360" w:lineRule="auto"/>
              <w:ind w:firstLine="420" w:firstLineChars="20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（2）入院车辆汽车尾气</w:t>
            </w:r>
          </w:p>
          <w:p>
            <w:pPr>
              <w:spacing w:line="360" w:lineRule="auto"/>
              <w:ind w:firstLine="420" w:firstLineChars="200"/>
              <w:jc w:val="both"/>
              <w:rPr>
                <w:color w:val="auto"/>
                <w:highlight w:val="none"/>
              </w:rPr>
            </w:pPr>
            <w:r>
              <w:rPr>
                <w:color w:val="auto"/>
                <w:highlight w:val="none"/>
              </w:rPr>
              <w:t>拟建项目区停车采取地下车库的方式，地下停车位</w:t>
            </w:r>
            <w:r>
              <w:rPr>
                <w:rFonts w:hint="eastAsia"/>
                <w:color w:val="auto"/>
                <w:highlight w:val="none"/>
                <w:lang w:val="en-US" w:eastAsia="zh-CN"/>
              </w:rPr>
              <w:t>286</w:t>
            </w:r>
            <w:r>
              <w:rPr>
                <w:color w:val="auto"/>
                <w:highlight w:val="none"/>
              </w:rPr>
              <w:t>个。</w:t>
            </w:r>
          </w:p>
          <w:p>
            <w:pPr>
              <w:spacing w:line="360" w:lineRule="auto"/>
              <w:ind w:firstLine="420" w:firstLineChars="200"/>
              <w:jc w:val="both"/>
              <w:rPr>
                <w:color w:val="auto"/>
                <w:highlight w:val="none"/>
              </w:rPr>
            </w:pPr>
            <w:r>
              <w:rPr>
                <w:color w:val="auto"/>
                <w:highlight w:val="none"/>
              </w:rPr>
              <w:t>汽车在行驶过程中排放尾气含有CO、NO</w:t>
            </w:r>
            <w:r>
              <w:rPr>
                <w:color w:val="auto"/>
                <w:highlight w:val="none"/>
                <w:vertAlign w:val="subscript"/>
              </w:rPr>
              <w:t>X</w:t>
            </w:r>
            <w:r>
              <w:rPr>
                <w:color w:val="auto"/>
                <w:highlight w:val="none"/>
              </w:rPr>
              <w:t>和碳氢化合物等有害气体，一般在启动时污染的浓度更高，污染物排放为间歇、不定时排放。车种大多为小型车，地上停车位及院区内行驶过程中汽车排气口距地面高度平均35cm，属于无组织排放。地下停车场采用机械排风，汽车尾气由排气口排入环境。由于在地面停车位及院区内行驶过程中排放的汽车尾气能够迅速被环境空气稀释、扩散，因此本次评价重点分析、计算地下停车场汽车尾气产生、排放情况。</w:t>
            </w:r>
          </w:p>
          <w:p>
            <w:pPr>
              <w:spacing w:line="360" w:lineRule="auto"/>
              <w:ind w:firstLine="420" w:firstLineChars="200"/>
              <w:rPr>
                <w:color w:val="auto"/>
                <w:highlight w:val="none"/>
              </w:rPr>
            </w:pPr>
            <w:r>
              <w:rPr>
                <w:color w:val="auto"/>
                <w:highlight w:val="none"/>
              </w:rPr>
              <w:t>一般汽车出入停车场的行驶速度要求不大于5km/h，出入口到车库内汽车泊位的平均距离按照0.5km计算，汽车出入停车场与在停车场内的运行时间约为5min。根据调查，车辆进出停车场的平均耗油速率为0.2L/km，则每辆汽车进出停车场产生的废气污染物量可由下式计算：</w:t>
            </w:r>
          </w:p>
          <w:p>
            <w:pPr>
              <w:spacing w:line="360" w:lineRule="auto"/>
              <w:jc w:val="center"/>
              <w:rPr>
                <w:color w:val="auto"/>
                <w:highlight w:val="none"/>
              </w:rPr>
            </w:pPr>
            <w:r>
              <w:rPr>
                <w:color w:val="auto"/>
                <w:highlight w:val="none"/>
              </w:rPr>
              <w:t>g=f·M</w:t>
            </w:r>
          </w:p>
          <w:p>
            <w:pPr>
              <w:spacing w:line="360" w:lineRule="auto"/>
              <w:ind w:firstLine="420" w:firstLineChars="200"/>
              <w:rPr>
                <w:color w:val="auto"/>
                <w:highlight w:val="none"/>
              </w:rPr>
            </w:pPr>
            <w:r>
              <w:rPr>
                <w:color w:val="auto"/>
                <w:highlight w:val="none"/>
              </w:rPr>
              <w:t>其中：M=m·t</w:t>
            </w:r>
          </w:p>
          <w:p>
            <w:pPr>
              <w:spacing w:line="360" w:lineRule="auto"/>
              <w:ind w:firstLine="420" w:firstLineChars="200"/>
              <w:rPr>
                <w:color w:val="auto"/>
                <w:highlight w:val="none"/>
              </w:rPr>
            </w:pPr>
            <w:r>
              <w:rPr>
                <w:color w:val="auto"/>
                <w:highlight w:val="none"/>
              </w:rPr>
              <w:t>式中：f—大气污染物排放系数（f/L汽油）；</w:t>
            </w:r>
          </w:p>
          <w:p>
            <w:pPr>
              <w:spacing w:line="360" w:lineRule="auto"/>
              <w:ind w:firstLine="420" w:firstLineChars="200"/>
              <w:rPr>
                <w:color w:val="auto"/>
                <w:highlight w:val="none"/>
              </w:rPr>
            </w:pPr>
            <w:r>
              <w:rPr>
                <w:color w:val="auto"/>
                <w:highlight w:val="none"/>
              </w:rPr>
              <w:t>M—每辆汽车进出停车场耗油量；</w:t>
            </w:r>
          </w:p>
          <w:p>
            <w:pPr>
              <w:spacing w:line="360" w:lineRule="auto"/>
              <w:ind w:firstLine="420" w:firstLineChars="200"/>
              <w:rPr>
                <w:color w:val="auto"/>
                <w:highlight w:val="none"/>
              </w:rPr>
            </w:pPr>
            <w:r>
              <w:rPr>
                <w:color w:val="auto"/>
                <w:highlight w:val="none"/>
              </w:rPr>
              <w:t>t—汽车出入停车场与在停车场内的运行时间总和，s；</w:t>
            </w:r>
          </w:p>
          <w:p>
            <w:pPr>
              <w:spacing w:line="360" w:lineRule="auto"/>
              <w:ind w:firstLine="420" w:firstLineChars="200"/>
              <w:rPr>
                <w:color w:val="auto"/>
                <w:highlight w:val="none"/>
              </w:rPr>
            </w:pPr>
            <w:r>
              <w:rPr>
                <w:color w:val="auto"/>
                <w:highlight w:val="none"/>
              </w:rPr>
              <w:t>m—车辆进出停车场的平均耗油速率，约为0.2L/km。</w:t>
            </w:r>
          </w:p>
          <w:p>
            <w:pPr>
              <w:spacing w:line="360" w:lineRule="auto"/>
              <w:ind w:firstLine="420" w:firstLineChars="200"/>
              <w:rPr>
                <w:color w:val="auto"/>
                <w:highlight w:val="none"/>
              </w:rPr>
            </w:pPr>
            <w:r>
              <w:rPr>
                <w:color w:val="auto"/>
                <w:highlight w:val="none"/>
              </w:rPr>
              <w:t>平均每辆汽车进出停车场一次耗油量约0.1L，各污染物排放系数</w:t>
            </w:r>
            <w:r>
              <w:rPr>
                <w:rFonts w:hint="eastAsia"/>
                <w:color w:val="auto"/>
                <w:highlight w:val="none"/>
                <w:lang w:val="en-US" w:eastAsia="zh-CN"/>
              </w:rPr>
              <w:t>参照《环境影响评价工程师职业资格登记培训教材</w:t>
            </w:r>
            <w:r>
              <w:rPr>
                <w:rFonts w:hint="default"/>
                <w:color w:val="auto"/>
                <w:highlight w:val="none"/>
                <w:lang w:val="en-US" w:eastAsia="zh-CN"/>
              </w:rPr>
              <w:t>—</w:t>
            </w:r>
            <w:r>
              <w:rPr>
                <w:rFonts w:hint="eastAsia"/>
                <w:color w:val="auto"/>
                <w:highlight w:val="none"/>
                <w:lang w:val="en-US" w:eastAsia="zh-CN"/>
              </w:rPr>
              <w:t>社会区域类环境影响评价》</w:t>
            </w:r>
            <w:r>
              <w:rPr>
                <w:color w:val="auto"/>
                <w:highlight w:val="none"/>
              </w:rPr>
              <w:t>，汽车尾气污染物排放系数见</w:t>
            </w:r>
            <w:r>
              <w:rPr>
                <w:rFonts w:hint="eastAsia"/>
                <w:color w:val="auto"/>
                <w:highlight w:val="none"/>
                <w:lang w:val="en-US" w:eastAsia="zh-CN"/>
              </w:rPr>
              <w:t>下</w:t>
            </w:r>
            <w:r>
              <w:rPr>
                <w:color w:val="auto"/>
                <w:highlight w:val="none"/>
              </w:rPr>
              <w:t>表。</w:t>
            </w:r>
          </w:p>
          <w:p>
            <w:pPr>
              <w:autoSpaceDE w:val="0"/>
              <w:autoSpaceDN w:val="0"/>
              <w:adjustRightInd w:val="0"/>
              <w:snapToGrid w:val="0"/>
              <w:jc w:val="center"/>
              <w:rPr>
                <w:rFonts w:ascii="Times New Roman" w:hAnsi="Times New Roman" w:eastAsia="宋体" w:cs="Times New Roman"/>
                <w:b/>
                <w:bCs/>
                <w:color w:val="auto"/>
                <w:kern w:val="0"/>
                <w:szCs w:val="21"/>
                <w:highlight w:val="none"/>
              </w:rPr>
            </w:pPr>
            <w:r>
              <w:rPr>
                <w:rFonts w:ascii="Times New Roman" w:hAnsi="Times New Roman" w:eastAsia="宋体" w:cs="Times New Roman"/>
                <w:b/>
                <w:bCs/>
                <w:color w:val="auto"/>
                <w:kern w:val="0"/>
                <w:szCs w:val="21"/>
                <w:highlight w:val="none"/>
              </w:rPr>
              <w:t>表</w:t>
            </w:r>
            <w:r>
              <w:rPr>
                <w:rFonts w:hint="eastAsia" w:ascii="Times New Roman" w:hAnsi="Times New Roman" w:eastAsia="宋体" w:cs="Times New Roman"/>
                <w:b/>
                <w:bCs/>
                <w:color w:val="auto"/>
                <w:kern w:val="0"/>
                <w:szCs w:val="21"/>
                <w:highlight w:val="none"/>
                <w:lang w:val="en-US" w:eastAsia="zh-CN"/>
              </w:rPr>
              <w:t>4-15</w:t>
            </w:r>
            <w:r>
              <w:rPr>
                <w:rFonts w:ascii="Times New Roman" w:hAnsi="Times New Roman" w:eastAsia="宋体" w:cs="Times New Roman"/>
                <w:b/>
                <w:bCs/>
                <w:color w:val="auto"/>
                <w:kern w:val="0"/>
                <w:szCs w:val="21"/>
                <w:highlight w:val="none"/>
              </w:rPr>
              <w:t xml:space="preserve">  轿车（汽油）大气污染物排放系数  单位：</w:t>
            </w:r>
            <w:r>
              <w:rPr>
                <w:rFonts w:hint="default" w:ascii="Times New Roman" w:hAnsi="Times New Roman" w:eastAsia="宋体" w:cs="Times New Roman"/>
                <w:b/>
                <w:bCs/>
                <w:color w:val="auto"/>
                <w:kern w:val="0"/>
                <w:szCs w:val="21"/>
                <w:highlight w:val="none"/>
                <w:lang w:val="en-US" w:eastAsia="zh-CN"/>
              </w:rPr>
              <w:t>g/km</w:t>
            </w:r>
          </w:p>
          <w:tbl>
            <w:tblPr>
              <w:tblStyle w:val="2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2081"/>
              <w:gridCol w:w="207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blHeader/>
              </w:trPr>
              <w:tc>
                <w:tcPr>
                  <w:tcW w:w="1227" w:type="pct"/>
                  <w:shd w:val="clear" w:color="auto" w:fill="auto"/>
                  <w:vAlign w:val="center"/>
                </w:tcPr>
                <w:p>
                  <w:pPr>
                    <w:tabs>
                      <w:tab w:val="left" w:pos="900"/>
                      <w:tab w:val="left" w:pos="1080"/>
                    </w:tabs>
                    <w:spacing w:line="240" w:lineRule="auto"/>
                    <w:jc w:val="center"/>
                    <w:rPr>
                      <w:color w:val="auto"/>
                      <w:sz w:val="18"/>
                      <w:szCs w:val="18"/>
                      <w:highlight w:val="none"/>
                    </w:rPr>
                  </w:pPr>
                  <w:r>
                    <w:rPr>
                      <w:color w:val="auto"/>
                      <w:sz w:val="18"/>
                      <w:szCs w:val="18"/>
                      <w:highlight w:val="none"/>
                    </w:rPr>
                    <w:t>污染物种类</w:t>
                  </w:r>
                </w:p>
              </w:tc>
              <w:tc>
                <w:tcPr>
                  <w:tcW w:w="1258" w:type="pct"/>
                  <w:shd w:val="clear" w:color="auto" w:fill="auto"/>
                  <w:vAlign w:val="center"/>
                </w:tcPr>
                <w:p>
                  <w:pPr>
                    <w:tabs>
                      <w:tab w:val="left" w:pos="900"/>
                      <w:tab w:val="left" w:pos="1080"/>
                    </w:tabs>
                    <w:spacing w:line="240" w:lineRule="auto"/>
                    <w:jc w:val="center"/>
                    <w:rPr>
                      <w:color w:val="auto"/>
                      <w:sz w:val="18"/>
                      <w:szCs w:val="18"/>
                      <w:highlight w:val="none"/>
                    </w:rPr>
                  </w:pPr>
                  <w:r>
                    <w:rPr>
                      <w:color w:val="auto"/>
                      <w:sz w:val="18"/>
                      <w:szCs w:val="18"/>
                      <w:highlight w:val="none"/>
                    </w:rPr>
                    <w:t>CO</w:t>
                  </w:r>
                </w:p>
              </w:tc>
              <w:tc>
                <w:tcPr>
                  <w:tcW w:w="1256" w:type="pct"/>
                  <w:shd w:val="clear" w:color="auto" w:fill="auto"/>
                  <w:vAlign w:val="center"/>
                </w:tcPr>
                <w:p>
                  <w:pPr>
                    <w:tabs>
                      <w:tab w:val="left" w:pos="900"/>
                      <w:tab w:val="left" w:pos="1080"/>
                    </w:tabs>
                    <w:spacing w:line="240" w:lineRule="auto"/>
                    <w:jc w:val="center"/>
                    <w:rPr>
                      <w:color w:val="auto"/>
                      <w:sz w:val="18"/>
                      <w:szCs w:val="18"/>
                      <w:highlight w:val="none"/>
                    </w:rPr>
                  </w:pPr>
                  <w:r>
                    <w:rPr>
                      <w:color w:val="auto"/>
                      <w:sz w:val="18"/>
                      <w:szCs w:val="18"/>
                      <w:highlight w:val="none"/>
                    </w:rPr>
                    <w:t>HC</w:t>
                  </w:r>
                </w:p>
              </w:tc>
              <w:tc>
                <w:tcPr>
                  <w:tcW w:w="1256" w:type="pct"/>
                  <w:shd w:val="clear" w:color="auto" w:fill="auto"/>
                  <w:vAlign w:val="center"/>
                </w:tcPr>
                <w:p>
                  <w:pPr>
                    <w:tabs>
                      <w:tab w:val="left" w:pos="900"/>
                      <w:tab w:val="left" w:pos="1080"/>
                    </w:tabs>
                    <w:spacing w:line="240" w:lineRule="auto"/>
                    <w:jc w:val="center"/>
                    <w:rPr>
                      <w:color w:val="auto"/>
                      <w:sz w:val="18"/>
                      <w:szCs w:val="18"/>
                      <w:highlight w:val="none"/>
                    </w:rPr>
                  </w:pPr>
                  <w:r>
                    <w:rPr>
                      <w:color w:val="auto"/>
                      <w:sz w:val="18"/>
                      <w:szCs w:val="18"/>
                      <w:highlight w:val="none"/>
                    </w:rPr>
                    <w:t>NOx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27" w:type="pct"/>
                  <w:shd w:val="clear" w:color="auto" w:fill="auto"/>
                  <w:vAlign w:val="center"/>
                </w:tcPr>
                <w:p>
                  <w:pPr>
                    <w:tabs>
                      <w:tab w:val="left" w:pos="900"/>
                      <w:tab w:val="left" w:pos="1080"/>
                    </w:tabs>
                    <w:spacing w:line="240" w:lineRule="auto"/>
                    <w:jc w:val="center"/>
                    <w:rPr>
                      <w:color w:val="auto"/>
                      <w:sz w:val="18"/>
                      <w:szCs w:val="18"/>
                      <w:highlight w:val="none"/>
                    </w:rPr>
                  </w:pPr>
                  <w:r>
                    <w:rPr>
                      <w:color w:val="auto"/>
                      <w:sz w:val="18"/>
                      <w:szCs w:val="18"/>
                      <w:highlight w:val="none"/>
                    </w:rPr>
                    <w:t>污染物产生量</w:t>
                  </w:r>
                </w:p>
              </w:tc>
              <w:tc>
                <w:tcPr>
                  <w:tcW w:w="1258" w:type="pct"/>
                  <w:shd w:val="clear" w:color="auto" w:fill="auto"/>
                  <w:vAlign w:val="center"/>
                </w:tcPr>
                <w:p>
                  <w:pPr>
                    <w:tabs>
                      <w:tab w:val="left" w:pos="900"/>
                      <w:tab w:val="left" w:pos="1080"/>
                    </w:tabs>
                    <w:spacing w:line="240" w:lineRule="auto"/>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9.13</w:t>
                  </w:r>
                </w:p>
              </w:tc>
              <w:tc>
                <w:tcPr>
                  <w:tcW w:w="1256" w:type="pct"/>
                  <w:shd w:val="clear" w:color="auto" w:fill="auto"/>
                  <w:vAlign w:val="center"/>
                </w:tcPr>
                <w:p>
                  <w:pPr>
                    <w:tabs>
                      <w:tab w:val="left" w:pos="900"/>
                      <w:tab w:val="left" w:pos="1080"/>
                    </w:tabs>
                    <w:spacing w:line="240" w:lineRule="auto"/>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0.91</w:t>
                  </w:r>
                </w:p>
              </w:tc>
              <w:tc>
                <w:tcPr>
                  <w:tcW w:w="1256" w:type="pct"/>
                  <w:vAlign w:val="center"/>
                </w:tcPr>
                <w:p>
                  <w:pPr>
                    <w:tabs>
                      <w:tab w:val="left" w:pos="900"/>
                      <w:tab w:val="left" w:pos="1080"/>
                    </w:tabs>
                    <w:spacing w:line="240" w:lineRule="auto"/>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1.14</w:t>
                  </w:r>
                </w:p>
              </w:tc>
            </w:tr>
          </w:tbl>
          <w:p>
            <w:pPr>
              <w:spacing w:line="360" w:lineRule="auto"/>
              <w:ind w:firstLine="420" w:firstLineChars="200"/>
              <w:jc w:val="both"/>
              <w:rPr>
                <w:color w:val="auto"/>
                <w:highlight w:val="none"/>
              </w:rPr>
            </w:pPr>
            <w:r>
              <w:rPr>
                <w:rFonts w:hint="eastAsia"/>
                <w:color w:val="auto"/>
                <w:highlight w:val="none"/>
                <w:lang w:eastAsia="zh-CN"/>
              </w:rPr>
              <w:t>医院</w:t>
            </w:r>
            <w:r>
              <w:rPr>
                <w:color w:val="auto"/>
                <w:highlight w:val="none"/>
              </w:rPr>
              <w:t>设地下车位</w:t>
            </w:r>
            <w:r>
              <w:rPr>
                <w:rFonts w:hint="eastAsia"/>
                <w:color w:val="auto"/>
                <w:highlight w:val="none"/>
                <w:lang w:val="en-US" w:eastAsia="zh-CN"/>
              </w:rPr>
              <w:t>286</w:t>
            </w:r>
            <w:r>
              <w:rPr>
                <w:color w:val="auto"/>
                <w:highlight w:val="none"/>
              </w:rPr>
              <w:t>个</w:t>
            </w:r>
            <w:r>
              <w:rPr>
                <w:rFonts w:hint="eastAsia"/>
                <w:color w:val="auto"/>
                <w:highlight w:val="none"/>
                <w:lang w:val="en-US" w:eastAsia="zh-CN"/>
              </w:rPr>
              <w:t>，</w:t>
            </w:r>
            <w:r>
              <w:rPr>
                <w:color w:val="auto"/>
                <w:highlight w:val="none"/>
              </w:rPr>
              <w:t>按照最大100%负荷计算，按每天出入2次计算</w:t>
            </w:r>
            <w:r>
              <w:rPr>
                <w:rFonts w:hint="eastAsia"/>
                <w:color w:val="auto"/>
                <w:highlight w:val="none"/>
                <w:lang w:eastAsia="zh-CN"/>
              </w:rPr>
              <w:t>，</w:t>
            </w:r>
            <w:r>
              <w:rPr>
                <w:rFonts w:hint="eastAsia"/>
                <w:color w:val="auto"/>
                <w:highlight w:val="none"/>
                <w:lang w:val="en-US" w:eastAsia="zh-CN"/>
              </w:rPr>
              <w:t>停车位每趟车行驶的距离平均为75m，每个停车位每天更换次数取 2 次</w:t>
            </w:r>
            <w:r>
              <w:rPr>
                <w:color w:val="auto"/>
                <w:highlight w:val="none"/>
              </w:rPr>
              <w:t>。则车辆进出停车场排放的汽车尾气中污染物的排放量为CO：</w:t>
            </w:r>
            <w:r>
              <w:rPr>
                <w:rFonts w:hint="eastAsia"/>
                <w:color w:val="auto"/>
                <w:highlight w:val="none"/>
                <w:lang w:val="en-US" w:eastAsia="zh-CN"/>
              </w:rPr>
              <w:t>0.39</w:t>
            </w:r>
            <w:r>
              <w:rPr>
                <w:color w:val="auto"/>
                <w:highlight w:val="none"/>
              </w:rPr>
              <w:t>t/a、HC：</w:t>
            </w:r>
            <w:r>
              <w:rPr>
                <w:rFonts w:hint="eastAsia"/>
                <w:color w:val="auto"/>
                <w:highlight w:val="none"/>
                <w:lang w:val="en-US" w:eastAsia="zh-CN"/>
              </w:rPr>
              <w:t>0.04</w:t>
            </w:r>
            <w:r>
              <w:rPr>
                <w:color w:val="auto"/>
                <w:highlight w:val="none"/>
              </w:rPr>
              <w:t>t/a、NOx：0.</w:t>
            </w:r>
            <w:r>
              <w:rPr>
                <w:rFonts w:hint="eastAsia"/>
                <w:color w:val="auto"/>
                <w:highlight w:val="none"/>
                <w:lang w:val="en-US" w:eastAsia="zh-CN"/>
              </w:rPr>
              <w:t>049</w:t>
            </w:r>
            <w:r>
              <w:rPr>
                <w:color w:val="auto"/>
                <w:highlight w:val="none"/>
              </w:rPr>
              <w:t>t/a。</w:t>
            </w:r>
          </w:p>
          <w:p>
            <w:pPr>
              <w:spacing w:line="360" w:lineRule="auto"/>
              <w:ind w:firstLine="420" w:firstLineChars="200"/>
              <w:jc w:val="both"/>
              <w:rPr>
                <w:color w:val="auto"/>
                <w:highlight w:val="none"/>
              </w:rPr>
            </w:pPr>
            <w:r>
              <w:rPr>
                <w:color w:val="auto"/>
                <w:highlight w:val="none"/>
              </w:rPr>
              <w:t>在地面停车位及院区内行驶过程中排放的汽车尾气能够迅速被环境空气稀释、扩散，地下汽车库设置机械排风系统，排风尽可能向对人群影响最小的方向排入大气。因此，汽车尾气对周围环境影响较小。</w:t>
            </w:r>
          </w:p>
          <w:p>
            <w:pPr>
              <w:pageBreakBefore/>
              <w:widowControl/>
              <w:spacing w:line="360" w:lineRule="auto"/>
              <w:ind w:firstLine="420" w:firstLineChars="200"/>
              <w:rPr>
                <w:rFonts w:hint="eastAsia"/>
                <w:b w:val="0"/>
                <w:bCs/>
                <w:color w:val="auto"/>
                <w:szCs w:val="21"/>
                <w:highlight w:val="none"/>
              </w:rPr>
            </w:pPr>
            <w:r>
              <w:rPr>
                <w:rFonts w:hint="eastAsia"/>
                <w:b w:val="0"/>
                <w:bCs/>
                <w:color w:val="auto"/>
                <w:szCs w:val="21"/>
                <w:highlight w:val="none"/>
                <w:lang w:val="en-US" w:eastAsia="zh-CN"/>
              </w:rPr>
              <w:t>3、</w:t>
            </w:r>
            <w:r>
              <w:rPr>
                <w:b w:val="0"/>
                <w:bCs/>
                <w:color w:val="auto"/>
                <w:szCs w:val="21"/>
                <w:highlight w:val="none"/>
              </w:rPr>
              <w:t>废气排放情况汇总</w:t>
            </w:r>
          </w:p>
          <w:p>
            <w:pPr>
              <w:autoSpaceDE w:val="0"/>
              <w:autoSpaceDN w:val="0"/>
              <w:adjustRightInd w:val="0"/>
              <w:jc w:val="center"/>
              <w:rPr>
                <w:b/>
                <w:snapToGrid w:val="0"/>
                <w:color w:val="auto"/>
                <w:kern w:val="0"/>
                <w:szCs w:val="21"/>
                <w:highlight w:val="none"/>
              </w:rPr>
            </w:pPr>
            <w:r>
              <w:rPr>
                <w:b/>
                <w:snapToGrid w:val="0"/>
                <w:color w:val="auto"/>
                <w:kern w:val="0"/>
                <w:szCs w:val="21"/>
                <w:highlight w:val="none"/>
              </w:rPr>
              <w:t>表4-</w:t>
            </w:r>
            <w:r>
              <w:rPr>
                <w:rFonts w:hint="eastAsia"/>
                <w:b/>
                <w:snapToGrid w:val="0"/>
                <w:color w:val="auto"/>
                <w:kern w:val="0"/>
                <w:szCs w:val="21"/>
                <w:highlight w:val="none"/>
                <w:lang w:val="en-US" w:eastAsia="zh-CN"/>
              </w:rPr>
              <w:t>16</w:t>
            </w:r>
            <w:r>
              <w:rPr>
                <w:b/>
                <w:snapToGrid w:val="0"/>
                <w:color w:val="auto"/>
                <w:kern w:val="0"/>
                <w:szCs w:val="21"/>
                <w:highlight w:val="none"/>
              </w:rPr>
              <w:t xml:space="preserve">  项目大气污染物</w:t>
            </w:r>
            <w:r>
              <w:rPr>
                <w:rFonts w:hint="eastAsia"/>
                <w:b/>
                <w:snapToGrid w:val="0"/>
                <w:color w:val="auto"/>
                <w:kern w:val="0"/>
                <w:szCs w:val="21"/>
                <w:highlight w:val="none"/>
              </w:rPr>
              <w:t>排放</w:t>
            </w:r>
            <w:r>
              <w:rPr>
                <w:b/>
                <w:snapToGrid w:val="0"/>
                <w:color w:val="auto"/>
                <w:kern w:val="0"/>
                <w:szCs w:val="21"/>
                <w:highlight w:val="none"/>
              </w:rPr>
              <w:t>情况汇总</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618"/>
              <w:gridCol w:w="2419"/>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pct"/>
                  <w:gridSpan w:val="2"/>
                  <w:noWrap w:val="0"/>
                  <w:vAlign w:val="center"/>
                </w:tcPr>
                <w:p>
                  <w:pPr>
                    <w:jc w:val="center"/>
                    <w:rPr>
                      <w:color w:val="auto"/>
                      <w:sz w:val="18"/>
                      <w:szCs w:val="18"/>
                      <w:highlight w:val="none"/>
                    </w:rPr>
                  </w:pPr>
                  <w:r>
                    <w:rPr>
                      <w:color w:val="auto"/>
                      <w:sz w:val="18"/>
                      <w:szCs w:val="18"/>
                      <w:highlight w:val="none"/>
                    </w:rPr>
                    <w:t>污染物</w:t>
                  </w:r>
                </w:p>
              </w:tc>
              <w:tc>
                <w:tcPr>
                  <w:tcW w:w="1462" w:type="pct"/>
                  <w:noWrap w:val="0"/>
                  <w:vAlign w:val="center"/>
                </w:tcPr>
                <w:p>
                  <w:pPr>
                    <w:jc w:val="center"/>
                    <w:rPr>
                      <w:color w:val="auto"/>
                      <w:sz w:val="18"/>
                      <w:szCs w:val="18"/>
                      <w:highlight w:val="none"/>
                    </w:rPr>
                  </w:pPr>
                  <w:r>
                    <w:rPr>
                      <w:rFonts w:hint="eastAsia"/>
                      <w:color w:val="auto"/>
                      <w:sz w:val="18"/>
                      <w:szCs w:val="18"/>
                      <w:highlight w:val="none"/>
                      <w:lang w:eastAsia="zh-CN"/>
                    </w:rPr>
                    <w:t>有组织</w:t>
                  </w:r>
                  <w:r>
                    <w:rPr>
                      <w:rFonts w:hint="eastAsia"/>
                      <w:color w:val="auto"/>
                      <w:sz w:val="18"/>
                      <w:szCs w:val="18"/>
                      <w:highlight w:val="none"/>
                    </w:rPr>
                    <w:t>排放量</w:t>
                  </w:r>
                  <w:r>
                    <w:rPr>
                      <w:color w:val="auto"/>
                      <w:sz w:val="18"/>
                      <w:szCs w:val="18"/>
                      <w:highlight w:val="none"/>
                    </w:rPr>
                    <w:t>（t/a）</w:t>
                  </w:r>
                </w:p>
              </w:tc>
              <w:tc>
                <w:tcPr>
                  <w:tcW w:w="1462" w:type="pct"/>
                  <w:noWrap w:val="0"/>
                  <w:vAlign w:val="center"/>
                </w:tcPr>
                <w:p>
                  <w:pPr>
                    <w:jc w:val="center"/>
                    <w:rPr>
                      <w:rFonts w:hint="eastAsia"/>
                      <w:color w:val="auto"/>
                      <w:sz w:val="18"/>
                      <w:szCs w:val="18"/>
                      <w:highlight w:val="none"/>
                    </w:rPr>
                  </w:pPr>
                  <w:r>
                    <w:rPr>
                      <w:rFonts w:hint="eastAsia"/>
                      <w:color w:val="auto"/>
                      <w:sz w:val="18"/>
                      <w:szCs w:val="18"/>
                      <w:highlight w:val="none"/>
                      <w:lang w:eastAsia="zh-CN"/>
                    </w:rPr>
                    <w:t>无组织</w:t>
                  </w:r>
                  <w:r>
                    <w:rPr>
                      <w:rFonts w:hint="eastAsia"/>
                      <w:color w:val="auto"/>
                      <w:sz w:val="18"/>
                      <w:szCs w:val="18"/>
                      <w:highlight w:val="none"/>
                    </w:rPr>
                    <w:t>排放量</w:t>
                  </w:r>
                  <w:r>
                    <w:rPr>
                      <w:color w:val="auto"/>
                      <w:sz w:val="18"/>
                      <w:szCs w:val="18"/>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pct"/>
                  <w:gridSpan w:val="2"/>
                  <w:noWrap w:val="0"/>
                  <w:vAlign w:val="center"/>
                </w:tcPr>
                <w:p>
                  <w:pPr>
                    <w:adjustRightInd w:val="0"/>
                    <w:snapToGrid w:val="0"/>
                    <w:spacing w:line="280" w:lineRule="exact"/>
                    <w:jc w:val="center"/>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NH</w:t>
                  </w:r>
                  <w:r>
                    <w:rPr>
                      <w:rFonts w:hint="eastAsia" w:ascii="Times New Roman" w:hAnsi="Times New Roman" w:eastAsia="宋体" w:cs="Times New Roman"/>
                      <w:color w:val="auto"/>
                      <w:kern w:val="0"/>
                      <w:sz w:val="18"/>
                      <w:szCs w:val="18"/>
                      <w:highlight w:val="none"/>
                      <w:vertAlign w:val="subscript"/>
                      <w:lang w:val="en-US" w:eastAsia="zh-CN"/>
                    </w:rPr>
                    <w:t>3</w:t>
                  </w:r>
                </w:p>
              </w:tc>
              <w:tc>
                <w:tcPr>
                  <w:tcW w:w="2462" w:type="dxa"/>
                  <w:noWrap w:val="0"/>
                  <w:vAlign w:val="center"/>
                </w:tcPr>
                <w:p>
                  <w:pPr>
                    <w:adjustRightInd w:val="0"/>
                    <w:snapToGrid w:val="0"/>
                    <w:spacing w:line="280" w:lineRule="exact"/>
                    <w:jc w:val="center"/>
                    <w:rPr>
                      <w:rFonts w:hint="default" w:eastAsia="宋体"/>
                      <w:color w:val="auto"/>
                      <w:sz w:val="18"/>
                      <w:szCs w:val="18"/>
                      <w:highlight w:val="none"/>
                      <w:lang w:val="en-US" w:eastAsia="zh-CN"/>
                    </w:rPr>
                  </w:pPr>
                  <w:r>
                    <w:rPr>
                      <w:rFonts w:hint="eastAsia" w:ascii="Times New Roman" w:hAnsi="Times New Roman"/>
                      <w:color w:val="auto"/>
                      <w:kern w:val="0"/>
                      <w:sz w:val="18"/>
                      <w:szCs w:val="18"/>
                      <w:highlight w:val="none"/>
                      <w:lang w:val="en-US" w:eastAsia="zh-CN"/>
                    </w:rPr>
                    <w:t>0.0029</w:t>
                  </w:r>
                </w:p>
              </w:tc>
              <w:tc>
                <w:tcPr>
                  <w:tcW w:w="1462" w:type="pct"/>
                  <w:noWrap w:val="0"/>
                  <w:vAlign w:val="center"/>
                </w:tcPr>
                <w:p>
                  <w:pPr>
                    <w:adjustRightInd w:val="0"/>
                    <w:snapToGrid w:val="0"/>
                    <w:spacing w:line="280" w:lineRule="exact"/>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pct"/>
                  <w:gridSpan w:val="2"/>
                  <w:noWrap w:val="0"/>
                  <w:vAlign w:val="center"/>
                </w:tcPr>
                <w:p>
                  <w:pPr>
                    <w:adjustRightInd w:val="0"/>
                    <w:snapToGrid w:val="0"/>
                    <w:spacing w:line="280" w:lineRule="exact"/>
                    <w:jc w:val="center"/>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H</w:t>
                  </w:r>
                  <w:r>
                    <w:rPr>
                      <w:rFonts w:hint="eastAsia" w:ascii="Times New Roman" w:hAnsi="Times New Roman" w:eastAsia="宋体" w:cs="Times New Roman"/>
                      <w:color w:val="auto"/>
                      <w:kern w:val="0"/>
                      <w:sz w:val="18"/>
                      <w:szCs w:val="18"/>
                      <w:highlight w:val="none"/>
                      <w:vertAlign w:val="subscript"/>
                      <w:lang w:val="en-US" w:eastAsia="zh-CN"/>
                    </w:rPr>
                    <w:t>2</w:t>
                  </w:r>
                  <w:r>
                    <w:rPr>
                      <w:rFonts w:hint="eastAsia" w:ascii="Times New Roman" w:hAnsi="Times New Roman" w:eastAsia="宋体" w:cs="Times New Roman"/>
                      <w:color w:val="auto"/>
                      <w:kern w:val="0"/>
                      <w:sz w:val="18"/>
                      <w:szCs w:val="18"/>
                      <w:highlight w:val="none"/>
                      <w:lang w:val="en-US" w:eastAsia="zh-CN"/>
                    </w:rPr>
                    <w:t>S</w:t>
                  </w:r>
                </w:p>
              </w:tc>
              <w:tc>
                <w:tcPr>
                  <w:tcW w:w="2462" w:type="dxa"/>
                  <w:noWrap w:val="0"/>
                  <w:vAlign w:val="center"/>
                </w:tcPr>
                <w:p>
                  <w:pPr>
                    <w:adjustRightInd w:val="0"/>
                    <w:snapToGrid w:val="0"/>
                    <w:spacing w:line="280" w:lineRule="exact"/>
                    <w:jc w:val="center"/>
                    <w:rPr>
                      <w:rFonts w:hint="default" w:ascii="Times New Roman" w:hAnsi="Times New Roman" w:eastAsia="宋体"/>
                      <w:color w:val="auto"/>
                      <w:kern w:val="0"/>
                      <w:sz w:val="18"/>
                      <w:szCs w:val="18"/>
                      <w:highlight w:val="none"/>
                      <w:lang w:val="en-US" w:eastAsia="zh-CN"/>
                    </w:rPr>
                  </w:pPr>
                  <w:r>
                    <w:rPr>
                      <w:rFonts w:hint="eastAsia" w:ascii="Times New Roman" w:hAnsi="Times New Roman"/>
                      <w:color w:val="auto"/>
                      <w:kern w:val="0"/>
                      <w:sz w:val="18"/>
                      <w:szCs w:val="18"/>
                      <w:highlight w:val="none"/>
                      <w:lang w:val="en-US" w:eastAsia="zh-CN"/>
                    </w:rPr>
                    <w:t>0.00011</w:t>
                  </w:r>
                </w:p>
              </w:tc>
              <w:tc>
                <w:tcPr>
                  <w:tcW w:w="1462" w:type="pct"/>
                  <w:noWrap w:val="0"/>
                  <w:vAlign w:val="center"/>
                </w:tcPr>
                <w:p>
                  <w:pPr>
                    <w:adjustRightInd w:val="0"/>
                    <w:snapToGrid w:val="0"/>
                    <w:spacing w:line="280" w:lineRule="exact"/>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pct"/>
                  <w:gridSpan w:val="2"/>
                  <w:noWrap w:val="0"/>
                  <w:vAlign w:val="center"/>
                </w:tcPr>
                <w:p>
                  <w:pPr>
                    <w:adjustRightInd w:val="0"/>
                    <w:snapToGrid w:val="0"/>
                    <w:spacing w:line="280" w:lineRule="exact"/>
                    <w:jc w:val="center"/>
                    <w:rPr>
                      <w:rFonts w:hint="default" w:ascii="Times New Roman" w:hAnsi="Times New Roman" w:eastAsia="宋体" w:cs="Times New Roman"/>
                      <w:snapToGrid w:val="0"/>
                      <w:color w:val="auto"/>
                      <w:kern w:val="0"/>
                      <w:sz w:val="18"/>
                      <w:szCs w:val="18"/>
                      <w:highlight w:val="none"/>
                      <w:lang w:val="en-US" w:eastAsia="zh-CN" w:bidi="ar-SA"/>
                    </w:rPr>
                  </w:pPr>
                  <w:r>
                    <w:rPr>
                      <w:rFonts w:hint="eastAsia" w:ascii="Times New Roman" w:hAnsi="Times New Roman" w:cs="Times New Roman"/>
                      <w:snapToGrid w:val="0"/>
                      <w:color w:val="auto"/>
                      <w:kern w:val="0"/>
                      <w:sz w:val="18"/>
                      <w:szCs w:val="18"/>
                      <w:highlight w:val="none"/>
                      <w:lang w:val="en-US" w:eastAsia="zh-CN" w:bidi="ar-SA"/>
                    </w:rPr>
                    <w:t>油烟</w:t>
                  </w:r>
                </w:p>
              </w:tc>
              <w:tc>
                <w:tcPr>
                  <w:tcW w:w="2462" w:type="dxa"/>
                  <w:noWrap w:val="0"/>
                  <w:vAlign w:val="center"/>
                </w:tcPr>
                <w:p>
                  <w:pPr>
                    <w:adjustRightInd w:val="0"/>
                    <w:snapToGrid w:val="0"/>
                    <w:spacing w:line="280" w:lineRule="exact"/>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0.00723</w:t>
                  </w:r>
                </w:p>
              </w:tc>
              <w:tc>
                <w:tcPr>
                  <w:tcW w:w="1462" w:type="pct"/>
                  <w:noWrap w:val="0"/>
                  <w:vAlign w:val="center"/>
                </w:tcPr>
                <w:p>
                  <w:pPr>
                    <w:adjustRightInd w:val="0"/>
                    <w:snapToGrid w:val="0"/>
                    <w:spacing w:line="280" w:lineRule="exact"/>
                    <w:jc w:val="center"/>
                    <w:rPr>
                      <w:rFonts w:hint="default"/>
                      <w:color w:val="auto"/>
                      <w:sz w:val="18"/>
                      <w:szCs w:val="18"/>
                      <w:highlight w:val="none"/>
                      <w:lang w:val="en-US" w:eastAsia="zh-CN"/>
                    </w:rPr>
                  </w:pPr>
                  <w:r>
                    <w:rPr>
                      <w:rFonts w:hint="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74" w:type="pct"/>
                  <w:gridSpan w:val="2"/>
                  <w:noWrap w:val="0"/>
                  <w:vAlign w:val="center"/>
                </w:tcPr>
                <w:p>
                  <w:pPr>
                    <w:adjustRightInd w:val="0"/>
                    <w:snapToGrid w:val="0"/>
                    <w:spacing w:line="280" w:lineRule="exact"/>
                    <w:jc w:val="center"/>
                    <w:rPr>
                      <w:rFonts w:hint="eastAsia" w:ascii="Times New Roman" w:hAnsi="Times New Roman" w:cs="Times New Roman"/>
                      <w:snapToGrid w:val="0"/>
                      <w:color w:val="auto"/>
                      <w:kern w:val="0"/>
                      <w:sz w:val="18"/>
                      <w:szCs w:val="18"/>
                      <w:highlight w:val="none"/>
                      <w:lang w:val="en-US" w:eastAsia="zh-CN" w:bidi="ar-SA"/>
                    </w:rPr>
                  </w:pPr>
                  <w:r>
                    <w:rPr>
                      <w:rFonts w:hint="eastAsia" w:ascii="Times New Roman" w:hAnsi="Times New Roman" w:cs="Times New Roman"/>
                      <w:snapToGrid w:val="0"/>
                      <w:color w:val="auto"/>
                      <w:kern w:val="0"/>
                      <w:sz w:val="18"/>
                      <w:szCs w:val="18"/>
                      <w:highlight w:val="none"/>
                      <w:lang w:val="en-US" w:eastAsia="zh-CN" w:bidi="ar-SA"/>
                    </w:rPr>
                    <w:t>NOx、CO、HC</w:t>
                  </w:r>
                </w:p>
              </w:tc>
              <w:tc>
                <w:tcPr>
                  <w:tcW w:w="2462" w:type="dxa"/>
                  <w:noWrap w:val="0"/>
                  <w:vAlign w:val="center"/>
                </w:tcPr>
                <w:p>
                  <w:pPr>
                    <w:adjustRightInd w:val="0"/>
                    <w:snapToGrid w:val="0"/>
                    <w:spacing w:line="280" w:lineRule="exact"/>
                    <w:jc w:val="center"/>
                    <w:rPr>
                      <w:rFonts w:hint="default"/>
                      <w:color w:val="auto"/>
                      <w:sz w:val="18"/>
                      <w:szCs w:val="18"/>
                      <w:highlight w:val="none"/>
                      <w:lang w:val="en-US" w:eastAsia="zh-CN"/>
                    </w:rPr>
                  </w:pPr>
                  <w:r>
                    <w:rPr>
                      <w:rFonts w:hint="eastAsia"/>
                      <w:color w:val="auto"/>
                      <w:sz w:val="18"/>
                      <w:szCs w:val="18"/>
                      <w:highlight w:val="none"/>
                      <w:lang w:val="en-US" w:eastAsia="zh-CN"/>
                    </w:rPr>
                    <w:t>--</w:t>
                  </w:r>
                </w:p>
              </w:tc>
              <w:tc>
                <w:tcPr>
                  <w:tcW w:w="1462" w:type="pct"/>
                  <w:noWrap w:val="0"/>
                  <w:vAlign w:val="center"/>
                </w:tcPr>
                <w:p>
                  <w:pPr>
                    <w:adjustRightInd w:val="0"/>
                    <w:snapToGrid w:val="0"/>
                    <w:spacing w:line="280" w:lineRule="exact"/>
                    <w:jc w:val="center"/>
                    <w:rPr>
                      <w:rFonts w:hint="default"/>
                      <w:color w:val="auto"/>
                      <w:sz w:val="18"/>
                      <w:szCs w:val="18"/>
                      <w:highlight w:val="none"/>
                      <w:lang w:val="en-US" w:eastAsia="zh-CN"/>
                    </w:rPr>
                  </w:pPr>
                  <w:r>
                    <w:rPr>
                      <w:rFonts w:hint="eastAsia"/>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pct"/>
                  <w:vMerge w:val="restart"/>
                  <w:noWrap w:val="0"/>
                  <w:vAlign w:val="center"/>
                </w:tcPr>
                <w:p>
                  <w:pPr>
                    <w:jc w:val="center"/>
                    <w:rPr>
                      <w:rFonts w:hint="eastAsia" w:eastAsia="宋体"/>
                      <w:color w:val="auto"/>
                      <w:sz w:val="18"/>
                      <w:szCs w:val="18"/>
                      <w:highlight w:val="none"/>
                      <w:lang w:eastAsia="zh-CN"/>
                    </w:rPr>
                  </w:pPr>
                  <w:r>
                    <w:rPr>
                      <w:rFonts w:hint="eastAsia"/>
                      <w:color w:val="auto"/>
                      <w:sz w:val="18"/>
                      <w:szCs w:val="18"/>
                      <w:highlight w:val="none"/>
                      <w:lang w:eastAsia="zh-CN"/>
                    </w:rPr>
                    <w:t>合计</w:t>
                  </w:r>
                </w:p>
              </w:tc>
              <w:tc>
                <w:tcPr>
                  <w:tcW w:w="2618" w:type="dxa"/>
                  <w:noWrap w:val="0"/>
                  <w:vAlign w:val="center"/>
                </w:tcPr>
                <w:p>
                  <w:pPr>
                    <w:adjustRightInd w:val="0"/>
                    <w:snapToGrid w:val="0"/>
                    <w:spacing w:line="280" w:lineRule="exact"/>
                    <w:jc w:val="center"/>
                    <w:rPr>
                      <w:rFonts w:hint="eastAsia"/>
                      <w:color w:val="auto"/>
                      <w:sz w:val="18"/>
                      <w:szCs w:val="18"/>
                      <w:highlight w:val="none"/>
                    </w:rPr>
                  </w:pPr>
                  <w:r>
                    <w:rPr>
                      <w:rFonts w:hint="eastAsia" w:ascii="Times New Roman" w:hAnsi="Times New Roman" w:eastAsia="宋体" w:cs="Times New Roman"/>
                      <w:color w:val="auto"/>
                      <w:kern w:val="0"/>
                      <w:sz w:val="18"/>
                      <w:szCs w:val="18"/>
                      <w:highlight w:val="none"/>
                      <w:lang w:val="en-US" w:eastAsia="zh-CN"/>
                    </w:rPr>
                    <w:t>NH</w:t>
                  </w:r>
                  <w:r>
                    <w:rPr>
                      <w:rFonts w:hint="eastAsia" w:ascii="Times New Roman" w:hAnsi="Times New Roman" w:eastAsia="宋体" w:cs="Times New Roman"/>
                      <w:color w:val="auto"/>
                      <w:kern w:val="0"/>
                      <w:sz w:val="18"/>
                      <w:szCs w:val="18"/>
                      <w:highlight w:val="none"/>
                      <w:vertAlign w:val="subscript"/>
                      <w:lang w:val="en-US" w:eastAsia="zh-CN"/>
                    </w:rPr>
                    <w:t>3</w:t>
                  </w:r>
                </w:p>
              </w:tc>
              <w:tc>
                <w:tcPr>
                  <w:tcW w:w="2925" w:type="pct"/>
                  <w:gridSpan w:val="2"/>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pct"/>
                  <w:vMerge w:val="continue"/>
                  <w:noWrap w:val="0"/>
                  <w:vAlign w:val="center"/>
                </w:tcPr>
                <w:p>
                  <w:pPr>
                    <w:jc w:val="center"/>
                    <w:rPr>
                      <w:rFonts w:hint="eastAsia"/>
                      <w:color w:val="auto"/>
                      <w:sz w:val="18"/>
                      <w:szCs w:val="18"/>
                      <w:highlight w:val="none"/>
                      <w:lang w:eastAsia="zh-CN"/>
                    </w:rPr>
                  </w:pPr>
                </w:p>
              </w:tc>
              <w:tc>
                <w:tcPr>
                  <w:tcW w:w="2618" w:type="dxa"/>
                  <w:noWrap w:val="0"/>
                  <w:vAlign w:val="center"/>
                </w:tcPr>
                <w:p>
                  <w:pPr>
                    <w:adjustRightInd w:val="0"/>
                    <w:snapToGrid w:val="0"/>
                    <w:spacing w:line="280" w:lineRule="exact"/>
                    <w:jc w:val="center"/>
                    <w:rPr>
                      <w:rFonts w:hint="default" w:ascii="Times New Roman" w:hAnsi="Times New Roman"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H</w:t>
                  </w:r>
                  <w:r>
                    <w:rPr>
                      <w:rFonts w:hint="eastAsia" w:ascii="Times New Roman" w:hAnsi="Times New Roman" w:eastAsia="宋体" w:cs="Times New Roman"/>
                      <w:color w:val="auto"/>
                      <w:kern w:val="0"/>
                      <w:sz w:val="18"/>
                      <w:szCs w:val="18"/>
                      <w:highlight w:val="none"/>
                      <w:vertAlign w:val="subscript"/>
                      <w:lang w:val="en-US" w:eastAsia="zh-CN"/>
                    </w:rPr>
                    <w:t>2</w:t>
                  </w:r>
                  <w:r>
                    <w:rPr>
                      <w:rFonts w:hint="eastAsia" w:ascii="Times New Roman" w:hAnsi="Times New Roman" w:eastAsia="宋体" w:cs="Times New Roman"/>
                      <w:color w:val="auto"/>
                      <w:kern w:val="0"/>
                      <w:sz w:val="18"/>
                      <w:szCs w:val="18"/>
                      <w:highlight w:val="none"/>
                      <w:lang w:val="en-US" w:eastAsia="zh-CN"/>
                    </w:rPr>
                    <w:t>S</w:t>
                  </w:r>
                </w:p>
              </w:tc>
              <w:tc>
                <w:tcPr>
                  <w:tcW w:w="2925" w:type="pct"/>
                  <w:gridSpan w:val="2"/>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2" w:type="pct"/>
                  <w:vMerge w:val="continue"/>
                  <w:noWrap w:val="0"/>
                  <w:vAlign w:val="center"/>
                </w:tcPr>
                <w:p>
                  <w:pPr>
                    <w:jc w:val="center"/>
                    <w:rPr>
                      <w:color w:val="auto"/>
                      <w:sz w:val="18"/>
                      <w:szCs w:val="18"/>
                      <w:highlight w:val="none"/>
                    </w:rPr>
                  </w:pPr>
                </w:p>
              </w:tc>
              <w:tc>
                <w:tcPr>
                  <w:tcW w:w="2618" w:type="dxa"/>
                  <w:noWrap w:val="0"/>
                  <w:vAlign w:val="center"/>
                </w:tcPr>
                <w:p>
                  <w:pPr>
                    <w:adjustRightInd w:val="0"/>
                    <w:snapToGrid w:val="0"/>
                    <w:spacing w:line="280" w:lineRule="exact"/>
                    <w:jc w:val="center"/>
                    <w:rPr>
                      <w:rFonts w:hint="eastAsia" w:ascii="Times New Roman" w:hAnsi="Times New Roman" w:eastAsia="宋体" w:cs="Times New Roman"/>
                      <w:snapToGrid w:val="0"/>
                      <w:color w:val="auto"/>
                      <w:kern w:val="0"/>
                      <w:sz w:val="18"/>
                      <w:szCs w:val="18"/>
                      <w:highlight w:val="none"/>
                      <w:lang w:val="en-US" w:eastAsia="zh-CN" w:bidi="ar-SA"/>
                    </w:rPr>
                  </w:pPr>
                  <w:r>
                    <w:rPr>
                      <w:rFonts w:hint="eastAsia" w:ascii="Times New Roman" w:hAnsi="Times New Roman" w:cs="Times New Roman"/>
                      <w:snapToGrid w:val="0"/>
                      <w:color w:val="auto"/>
                      <w:kern w:val="0"/>
                      <w:sz w:val="18"/>
                      <w:szCs w:val="18"/>
                      <w:highlight w:val="none"/>
                      <w:lang w:val="en-US" w:eastAsia="zh-CN" w:bidi="ar-SA"/>
                    </w:rPr>
                    <w:t>油烟</w:t>
                  </w:r>
                </w:p>
              </w:tc>
              <w:tc>
                <w:tcPr>
                  <w:tcW w:w="2925" w:type="pct"/>
                  <w:gridSpan w:val="2"/>
                  <w:noWrap w:val="0"/>
                  <w:vAlign w:val="center"/>
                </w:tcPr>
                <w:p>
                  <w:pPr>
                    <w:adjustRightInd w:val="0"/>
                    <w:snapToGrid w:val="0"/>
                    <w:spacing w:line="280" w:lineRule="exact"/>
                    <w:jc w:val="center"/>
                    <w:rPr>
                      <w:rFonts w:hint="default" w:eastAsia="宋体"/>
                      <w:color w:val="auto"/>
                      <w:kern w:val="2"/>
                      <w:sz w:val="18"/>
                      <w:szCs w:val="18"/>
                      <w:highlight w:val="none"/>
                      <w:lang w:val="en-US" w:eastAsia="zh-CN" w:bidi="ar-SA"/>
                    </w:rPr>
                  </w:pPr>
                  <w:r>
                    <w:rPr>
                      <w:rFonts w:hint="eastAsia"/>
                      <w:color w:val="auto"/>
                      <w:sz w:val="18"/>
                      <w:szCs w:val="18"/>
                      <w:highlight w:val="none"/>
                      <w:lang w:val="en-US" w:eastAsia="zh-CN"/>
                    </w:rPr>
                    <w:t>0.00723</w:t>
                  </w:r>
                </w:p>
              </w:tc>
            </w:tr>
          </w:tbl>
          <w:p>
            <w:pPr>
              <w:snapToGrid w:val="0"/>
              <w:spacing w:line="360" w:lineRule="auto"/>
              <w:ind w:firstLine="382" w:firstLineChars="200"/>
              <w:rPr>
                <w:b/>
                <w:color w:val="auto"/>
                <w:spacing w:val="-10"/>
                <w:szCs w:val="21"/>
                <w:highlight w:val="none"/>
              </w:rPr>
            </w:pPr>
            <w:r>
              <w:rPr>
                <w:b/>
                <w:color w:val="auto"/>
                <w:spacing w:val="-10"/>
                <w:szCs w:val="21"/>
                <w:highlight w:val="none"/>
              </w:rPr>
              <w:t>2.2废气防治措施可行技术分析</w:t>
            </w:r>
          </w:p>
          <w:p>
            <w:pPr>
              <w:pageBreakBefore/>
              <w:widowControl/>
              <w:spacing w:line="360" w:lineRule="auto"/>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本项目污水处理站恶臭气体采用管道收集+生物除臭装置处理后有组织排放。</w:t>
            </w:r>
          </w:p>
          <w:p>
            <w:pPr>
              <w:spacing w:line="360" w:lineRule="auto"/>
              <w:ind w:firstLine="420" w:firstLineChars="200"/>
              <w:jc w:val="both"/>
              <w:rPr>
                <w:color w:val="auto"/>
                <w:highlight w:val="none"/>
                <w:lang w:val="zh-CN"/>
              </w:rPr>
            </w:pPr>
            <w:r>
              <w:rPr>
                <w:rFonts w:hint="eastAsia"/>
                <w:color w:val="auto"/>
                <w:szCs w:val="21"/>
                <w:highlight w:val="none"/>
                <w:lang w:val="en-US" w:eastAsia="zh-CN"/>
              </w:rPr>
              <w:t>生物除臭装置原理：</w:t>
            </w:r>
            <w:r>
              <w:rPr>
                <w:color w:val="auto"/>
                <w:highlight w:val="none"/>
                <w:lang w:val="zh-CN"/>
              </w:rPr>
              <w:t>生物除臭装置原理</w:t>
            </w:r>
            <w:r>
              <w:rPr>
                <w:rFonts w:hint="eastAsia"/>
                <w:color w:val="auto"/>
                <w:highlight w:val="none"/>
                <w:lang w:val="zh-CN"/>
              </w:rPr>
              <w:t>：</w:t>
            </w:r>
          </w:p>
          <w:p>
            <w:pPr>
              <w:spacing w:line="360" w:lineRule="auto"/>
              <w:ind w:firstLine="420" w:firstLineChars="200"/>
              <w:jc w:val="both"/>
              <w:rPr>
                <w:color w:val="auto"/>
                <w:highlight w:val="none"/>
                <w:lang w:val="zh-CN"/>
              </w:rPr>
            </w:pPr>
            <w:r>
              <w:rPr>
                <w:color w:val="auto"/>
                <w:highlight w:val="none"/>
                <w:lang w:val="zh-CN"/>
              </w:rPr>
              <w:t>生物除臭是采用生物法通过专门培养在生物滤池内生物填料上的微生物膜对废臭气分子进行除臭的生物废气处理技术。</w:t>
            </w:r>
          </w:p>
          <w:p>
            <w:pPr>
              <w:spacing w:line="360" w:lineRule="auto"/>
              <w:ind w:firstLine="420" w:firstLineChars="200"/>
              <w:jc w:val="both"/>
              <w:rPr>
                <w:color w:val="auto"/>
                <w:highlight w:val="none"/>
                <w:lang w:val="zh-CN"/>
              </w:rPr>
            </w:pPr>
            <w:r>
              <w:rPr>
                <w:rFonts w:hint="eastAsia"/>
                <w:color w:val="auto"/>
                <w:highlight w:val="none"/>
                <w:lang w:val="zh-CN"/>
              </w:rPr>
              <w:t>微生物在生长过程中能使外界物质转化成代谢产物、二氧化碳和水，或使外界物质转化为细胞物质。因此，可以用生化反应，使污染物转化为非污染或少污染的物质。自然界中存在着分解恶臭或经诱导能产生分介酶的微生物，但由于通常气相物质的密集度过低，一般很难实现生物化学反应，所以臭气的生物净化过程要经过以下三个阶段：</w:t>
            </w:r>
          </w:p>
          <w:p>
            <w:pPr>
              <w:spacing w:line="360" w:lineRule="auto"/>
              <w:ind w:firstLine="420" w:firstLineChars="200"/>
              <w:jc w:val="both"/>
              <w:rPr>
                <w:color w:val="auto"/>
                <w:highlight w:val="none"/>
                <w:lang w:val="zh-CN"/>
              </w:rPr>
            </w:pPr>
            <w:r>
              <w:rPr>
                <w:rFonts w:hint="eastAsia"/>
                <w:color w:val="auto"/>
                <w:highlight w:val="none"/>
                <w:lang w:val="zh-CN"/>
              </w:rPr>
              <w:t>第一阶段：臭气同水接触并溶解到水中，即由气相转入液相或固相表面的液膜中，与微生物充分接触；</w:t>
            </w:r>
          </w:p>
          <w:p>
            <w:pPr>
              <w:spacing w:line="360" w:lineRule="auto"/>
              <w:ind w:firstLine="420" w:firstLineChars="200"/>
              <w:jc w:val="both"/>
              <w:rPr>
                <w:color w:val="auto"/>
                <w:highlight w:val="none"/>
                <w:lang w:val="zh-CN"/>
              </w:rPr>
            </w:pPr>
            <w:r>
              <w:rPr>
                <w:rFonts w:hint="eastAsia"/>
                <w:color w:val="auto"/>
                <w:highlight w:val="none"/>
                <w:lang w:val="zh-CN"/>
              </w:rPr>
              <w:t>第二阶段：液相或固相表面液膜中的恶臭物质被微生物吸附、吸收，恶臭成分从水中转移至微生物体内；</w:t>
            </w:r>
          </w:p>
          <w:p>
            <w:pPr>
              <w:spacing w:line="360" w:lineRule="auto"/>
              <w:ind w:firstLine="420" w:firstLineChars="200"/>
              <w:jc w:val="both"/>
              <w:rPr>
                <w:color w:val="auto"/>
                <w:highlight w:val="none"/>
                <w:lang w:val="zh-CN"/>
              </w:rPr>
            </w:pPr>
            <w:r>
              <w:rPr>
                <w:rFonts w:hint="eastAsia"/>
                <w:color w:val="auto"/>
                <w:highlight w:val="none"/>
                <w:lang w:val="zh-CN"/>
              </w:rPr>
              <w:t>第三阶段：进入微生物细胞的恶臭成分在微生物代谢过程中作为能源和营养物质被分解、转化成无害的化合物。</w:t>
            </w:r>
          </w:p>
          <w:p>
            <w:pPr>
              <w:spacing w:line="360" w:lineRule="auto"/>
              <w:ind w:firstLine="420" w:firstLineChars="200"/>
              <w:jc w:val="both"/>
              <w:rPr>
                <w:color w:val="auto"/>
                <w:spacing w:val="-10"/>
                <w:szCs w:val="21"/>
                <w:highlight w:val="none"/>
              </w:rPr>
            </w:pPr>
            <w:r>
              <w:rPr>
                <w:color w:val="auto"/>
                <w:highlight w:val="none"/>
                <w:lang w:val="zh-CN"/>
              </w:rPr>
              <w:t>目前</w:t>
            </w:r>
            <w:r>
              <w:rPr>
                <w:rFonts w:hint="eastAsia"/>
                <w:color w:val="auto"/>
                <w:highlight w:val="none"/>
                <w:lang w:val="zh-CN"/>
              </w:rPr>
              <w:t>，</w:t>
            </w:r>
            <w:r>
              <w:rPr>
                <w:color w:val="auto"/>
                <w:highlight w:val="none"/>
                <w:lang w:val="zh-CN"/>
              </w:rPr>
              <w:t>该技术广泛应用于城市污水站（泵站臭气、预处理臭气、污泥处理臭气）</w:t>
            </w:r>
            <w:r>
              <w:rPr>
                <w:rFonts w:hint="eastAsia"/>
                <w:color w:val="auto"/>
                <w:highlight w:val="none"/>
                <w:lang w:val="zh-CN"/>
              </w:rPr>
              <w:t>、</w:t>
            </w:r>
            <w:r>
              <w:rPr>
                <w:color w:val="auto"/>
                <w:highlight w:val="none"/>
                <w:lang w:val="zh-CN"/>
              </w:rPr>
              <w:t>垃圾处理厂（收集站臭气、分选车间臭气）</w:t>
            </w:r>
            <w:r>
              <w:rPr>
                <w:rFonts w:hint="eastAsia"/>
                <w:color w:val="auto"/>
                <w:highlight w:val="none"/>
                <w:lang w:val="zh-CN"/>
              </w:rPr>
              <w:t>、</w:t>
            </w:r>
            <w:r>
              <w:rPr>
                <w:color w:val="auto"/>
                <w:highlight w:val="none"/>
                <w:lang w:val="zh-CN"/>
              </w:rPr>
              <w:t>涂料厂除臭/异味</w:t>
            </w:r>
            <w:r>
              <w:rPr>
                <w:rFonts w:hint="eastAsia"/>
                <w:color w:val="auto"/>
                <w:highlight w:val="none"/>
                <w:lang w:val="zh-CN"/>
              </w:rPr>
              <w:t>、</w:t>
            </w:r>
            <w:r>
              <w:rPr>
                <w:color w:val="auto"/>
                <w:highlight w:val="none"/>
                <w:lang w:val="zh-CN"/>
              </w:rPr>
              <w:t>塑料、橡胶厂生产废气</w:t>
            </w:r>
            <w:r>
              <w:rPr>
                <w:rFonts w:hint="eastAsia"/>
                <w:color w:val="auto"/>
                <w:highlight w:val="none"/>
                <w:lang w:val="zh-CN"/>
              </w:rPr>
              <w:t>、</w:t>
            </w:r>
            <w:r>
              <w:rPr>
                <w:color w:val="auto"/>
                <w:highlight w:val="none"/>
                <w:lang w:val="zh-CN"/>
              </w:rPr>
              <w:t>制药企业除臭等</w:t>
            </w:r>
            <w:r>
              <w:rPr>
                <w:rFonts w:hint="eastAsia"/>
                <w:color w:val="auto"/>
                <w:highlight w:val="none"/>
                <w:lang w:val="zh-CN"/>
              </w:rPr>
              <w:t>，应用广泛，处理效果好，</w:t>
            </w:r>
            <w:r>
              <w:rPr>
                <w:rFonts w:hint="eastAsia"/>
                <w:color w:val="auto"/>
                <w:highlight w:val="none"/>
                <w:lang w:val="en-US" w:eastAsia="zh-CN"/>
              </w:rPr>
              <w:t>属于</w:t>
            </w:r>
            <w:r>
              <w:rPr>
                <w:rFonts w:hint="eastAsia"/>
                <w:color w:val="auto"/>
                <w:highlight w:val="none"/>
                <w:lang w:val="zh-CN"/>
              </w:rPr>
              <w:t>《排污许可证申请与核发技术规范 医疗机构》(HJ1105-2020)</w:t>
            </w:r>
            <w:r>
              <w:rPr>
                <w:rFonts w:hint="eastAsia"/>
                <w:color w:val="auto"/>
                <w:highlight w:val="none"/>
                <w:lang w:val="zh-CN" w:eastAsia="zh-CN"/>
              </w:rPr>
              <w:t>可行技术附录 A</w:t>
            </w:r>
            <w:r>
              <w:rPr>
                <w:rFonts w:hint="eastAsia"/>
                <w:color w:val="auto"/>
                <w:highlight w:val="none"/>
                <w:lang w:val="en-US" w:eastAsia="zh-CN"/>
              </w:rPr>
              <w:t>中的</w:t>
            </w:r>
            <w:r>
              <w:rPr>
                <w:color w:val="auto"/>
                <w:szCs w:val="21"/>
                <w:highlight w:val="none"/>
              </w:rPr>
              <w:t>可行技术。</w:t>
            </w:r>
          </w:p>
          <w:p>
            <w:pPr>
              <w:snapToGrid w:val="0"/>
              <w:spacing w:line="360" w:lineRule="auto"/>
              <w:ind w:firstLine="382" w:firstLineChars="200"/>
              <w:rPr>
                <w:rFonts w:ascii="Times New Roman" w:hAnsi="Times New Roman" w:eastAsia="宋体" w:cs="Times New Roman"/>
                <w:b/>
                <w:bCs/>
                <w:color w:val="auto"/>
                <w:spacing w:val="-10"/>
                <w:szCs w:val="21"/>
                <w:highlight w:val="none"/>
              </w:rPr>
            </w:pPr>
            <w:r>
              <w:rPr>
                <w:rFonts w:hint="eastAsia" w:ascii="Times New Roman" w:hAnsi="Times New Roman" w:eastAsia="宋体" w:cs="Times New Roman"/>
                <w:b/>
                <w:bCs/>
                <w:color w:val="auto"/>
                <w:spacing w:val="-10"/>
                <w:szCs w:val="21"/>
                <w:highlight w:val="none"/>
                <w:lang w:val="en-US" w:eastAsia="zh-CN"/>
              </w:rPr>
              <w:t>2</w:t>
            </w:r>
            <w:r>
              <w:rPr>
                <w:rFonts w:ascii="Times New Roman" w:hAnsi="Times New Roman" w:eastAsia="宋体" w:cs="Times New Roman"/>
                <w:b/>
                <w:bCs/>
                <w:color w:val="auto"/>
                <w:spacing w:val="-10"/>
                <w:szCs w:val="21"/>
                <w:highlight w:val="none"/>
              </w:rPr>
              <w:t>.4 非正常工况</w:t>
            </w:r>
          </w:p>
          <w:p>
            <w:pPr>
              <w:spacing w:line="360" w:lineRule="auto"/>
              <w:ind w:firstLine="420" w:firstLineChars="200"/>
              <w:jc w:val="both"/>
              <w:rPr>
                <w:rFonts w:hint="eastAsia" w:ascii="Times New Roman" w:hAnsi="Times New Roman" w:eastAsia="宋体" w:cs="Times New Roman"/>
                <w:color w:val="auto"/>
                <w:highlight w:val="none"/>
                <w:lang w:val="zh-CN"/>
              </w:rPr>
            </w:pPr>
            <w:r>
              <w:rPr>
                <w:rFonts w:hint="eastAsia" w:ascii="Times New Roman" w:hAnsi="Times New Roman" w:eastAsia="宋体" w:cs="Times New Roman"/>
                <w:color w:val="auto"/>
                <w:highlight w:val="none"/>
                <w:lang w:val="zh-CN"/>
              </w:rPr>
              <w:t>本项目非正常工况的污染物排放是由于生产不正常或净化系统的设备运行管理等环节存在问题，出现的短时间污染治理效果下降、污染物排放量增加的情况。</w:t>
            </w:r>
          </w:p>
          <w:p>
            <w:pPr>
              <w:autoSpaceDE w:val="0"/>
              <w:autoSpaceDN w:val="0"/>
              <w:adjustRightInd w:val="0"/>
              <w:jc w:val="center"/>
              <w:rPr>
                <w:b/>
                <w:snapToGrid w:val="0"/>
                <w:color w:val="auto"/>
                <w:kern w:val="0"/>
                <w:szCs w:val="21"/>
                <w:highlight w:val="none"/>
              </w:rPr>
            </w:pPr>
            <w:r>
              <w:rPr>
                <w:b/>
                <w:snapToGrid w:val="0"/>
                <w:color w:val="auto"/>
                <w:kern w:val="0"/>
                <w:szCs w:val="21"/>
                <w:highlight w:val="none"/>
              </w:rPr>
              <w:t>表4-</w:t>
            </w:r>
            <w:r>
              <w:rPr>
                <w:rFonts w:hint="eastAsia"/>
                <w:b/>
                <w:snapToGrid w:val="0"/>
                <w:color w:val="auto"/>
                <w:kern w:val="0"/>
                <w:szCs w:val="21"/>
                <w:highlight w:val="none"/>
                <w:lang w:val="en-US" w:eastAsia="zh-CN"/>
              </w:rPr>
              <w:t>17</w:t>
            </w:r>
            <w:r>
              <w:rPr>
                <w:b/>
                <w:snapToGrid w:val="0"/>
                <w:color w:val="auto"/>
                <w:kern w:val="0"/>
                <w:szCs w:val="21"/>
                <w:highlight w:val="none"/>
              </w:rPr>
              <w:t xml:space="preserve">  非正常排放源强参数一览表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836"/>
              <w:gridCol w:w="1521"/>
              <w:gridCol w:w="773"/>
              <w:gridCol w:w="801"/>
              <w:gridCol w:w="922"/>
              <w:gridCol w:w="842"/>
              <w:gridCol w:w="748"/>
              <w:gridCol w:w="571"/>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restart"/>
                  <w:noWrap w:val="0"/>
                  <w:vAlign w:val="center"/>
                </w:tcPr>
                <w:p>
                  <w:pPr>
                    <w:jc w:val="center"/>
                    <w:rPr>
                      <w:color w:val="auto"/>
                      <w:sz w:val="18"/>
                      <w:szCs w:val="18"/>
                      <w:highlight w:val="none"/>
                    </w:rPr>
                  </w:pPr>
                  <w:r>
                    <w:rPr>
                      <w:color w:val="auto"/>
                      <w:sz w:val="18"/>
                      <w:szCs w:val="18"/>
                      <w:highlight w:val="none"/>
                    </w:rPr>
                    <w:t>污染源</w:t>
                  </w:r>
                </w:p>
              </w:tc>
              <w:tc>
                <w:tcPr>
                  <w:tcW w:w="505" w:type="pct"/>
                  <w:vMerge w:val="restart"/>
                  <w:noWrap w:val="0"/>
                  <w:vAlign w:val="center"/>
                </w:tcPr>
                <w:p>
                  <w:pPr>
                    <w:jc w:val="center"/>
                    <w:rPr>
                      <w:color w:val="auto"/>
                      <w:sz w:val="18"/>
                      <w:szCs w:val="18"/>
                      <w:highlight w:val="none"/>
                    </w:rPr>
                  </w:pPr>
                  <w:r>
                    <w:rPr>
                      <w:color w:val="auto"/>
                      <w:sz w:val="18"/>
                      <w:szCs w:val="18"/>
                      <w:highlight w:val="none"/>
                    </w:rPr>
                    <w:t>污染物</w:t>
                  </w:r>
                </w:p>
              </w:tc>
              <w:tc>
                <w:tcPr>
                  <w:tcW w:w="919" w:type="pct"/>
                  <w:vMerge w:val="restart"/>
                  <w:noWrap w:val="0"/>
                  <w:vAlign w:val="center"/>
                </w:tcPr>
                <w:p>
                  <w:pPr>
                    <w:jc w:val="center"/>
                    <w:rPr>
                      <w:color w:val="auto"/>
                      <w:sz w:val="18"/>
                      <w:szCs w:val="18"/>
                      <w:highlight w:val="none"/>
                    </w:rPr>
                  </w:pPr>
                  <w:r>
                    <w:rPr>
                      <w:color w:val="auto"/>
                      <w:sz w:val="18"/>
                      <w:szCs w:val="18"/>
                      <w:highlight w:val="none"/>
                    </w:rPr>
                    <w:t>非正常排放原因</w:t>
                  </w:r>
                </w:p>
              </w:tc>
              <w:tc>
                <w:tcPr>
                  <w:tcW w:w="2017" w:type="pct"/>
                  <w:gridSpan w:val="4"/>
                  <w:noWrap w:val="0"/>
                  <w:vAlign w:val="center"/>
                </w:tcPr>
                <w:p>
                  <w:pPr>
                    <w:jc w:val="center"/>
                    <w:rPr>
                      <w:color w:val="auto"/>
                      <w:sz w:val="18"/>
                      <w:szCs w:val="18"/>
                      <w:highlight w:val="none"/>
                    </w:rPr>
                  </w:pPr>
                  <w:r>
                    <w:rPr>
                      <w:color w:val="auto"/>
                      <w:sz w:val="18"/>
                      <w:szCs w:val="18"/>
                      <w:highlight w:val="none"/>
                    </w:rPr>
                    <w:t>非正常排放情况</w:t>
                  </w:r>
                </w:p>
              </w:tc>
              <w:tc>
                <w:tcPr>
                  <w:tcW w:w="797" w:type="pct"/>
                  <w:gridSpan w:val="2"/>
                  <w:noWrap w:val="0"/>
                  <w:vAlign w:val="center"/>
                </w:tcPr>
                <w:p>
                  <w:pPr>
                    <w:jc w:val="center"/>
                    <w:rPr>
                      <w:color w:val="auto"/>
                      <w:sz w:val="18"/>
                      <w:szCs w:val="18"/>
                      <w:highlight w:val="none"/>
                    </w:rPr>
                  </w:pPr>
                  <w:r>
                    <w:rPr>
                      <w:color w:val="auto"/>
                      <w:sz w:val="18"/>
                      <w:szCs w:val="18"/>
                      <w:highlight w:val="none"/>
                    </w:rPr>
                    <w:t>执行标准</w:t>
                  </w:r>
                </w:p>
              </w:tc>
              <w:tc>
                <w:tcPr>
                  <w:tcW w:w="278" w:type="pct"/>
                  <w:vMerge w:val="restart"/>
                  <w:noWrap w:val="0"/>
                  <w:vAlign w:val="center"/>
                </w:tcPr>
                <w:p>
                  <w:pPr>
                    <w:jc w:val="center"/>
                    <w:rPr>
                      <w:color w:val="auto"/>
                      <w:sz w:val="18"/>
                      <w:szCs w:val="18"/>
                      <w:highlight w:val="none"/>
                    </w:rPr>
                  </w:pPr>
                  <w:r>
                    <w:rPr>
                      <w:color w:val="auto"/>
                      <w:sz w:val="18"/>
                      <w:szCs w:val="18"/>
                      <w:highlight w:val="none"/>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continue"/>
                  <w:noWrap w:val="0"/>
                  <w:vAlign w:val="center"/>
                </w:tcPr>
                <w:p>
                  <w:pPr>
                    <w:jc w:val="center"/>
                    <w:rPr>
                      <w:color w:val="auto"/>
                      <w:sz w:val="18"/>
                      <w:szCs w:val="18"/>
                      <w:highlight w:val="none"/>
                    </w:rPr>
                  </w:pPr>
                </w:p>
              </w:tc>
              <w:tc>
                <w:tcPr>
                  <w:tcW w:w="505" w:type="pct"/>
                  <w:vMerge w:val="continue"/>
                  <w:noWrap w:val="0"/>
                  <w:vAlign w:val="center"/>
                </w:tcPr>
                <w:p>
                  <w:pPr>
                    <w:jc w:val="center"/>
                    <w:rPr>
                      <w:color w:val="auto"/>
                      <w:sz w:val="18"/>
                      <w:szCs w:val="18"/>
                      <w:highlight w:val="none"/>
                    </w:rPr>
                  </w:pPr>
                </w:p>
              </w:tc>
              <w:tc>
                <w:tcPr>
                  <w:tcW w:w="919" w:type="pct"/>
                  <w:vMerge w:val="continue"/>
                  <w:noWrap w:val="0"/>
                  <w:vAlign w:val="center"/>
                </w:tcPr>
                <w:p>
                  <w:pPr>
                    <w:jc w:val="center"/>
                    <w:rPr>
                      <w:color w:val="auto"/>
                      <w:sz w:val="18"/>
                      <w:szCs w:val="18"/>
                      <w:highlight w:val="none"/>
                    </w:rPr>
                  </w:pPr>
                </w:p>
              </w:tc>
              <w:tc>
                <w:tcPr>
                  <w:tcW w:w="467" w:type="pct"/>
                  <w:noWrap w:val="0"/>
                  <w:vAlign w:val="center"/>
                </w:tcPr>
                <w:p>
                  <w:pPr>
                    <w:jc w:val="center"/>
                    <w:rPr>
                      <w:color w:val="auto"/>
                      <w:sz w:val="18"/>
                      <w:szCs w:val="18"/>
                      <w:highlight w:val="none"/>
                    </w:rPr>
                  </w:pPr>
                  <w:r>
                    <w:rPr>
                      <w:color w:val="auto"/>
                      <w:sz w:val="18"/>
                      <w:szCs w:val="18"/>
                      <w:highlight w:val="none"/>
                    </w:rPr>
                    <w:t>浓度mg/m</w:t>
                  </w:r>
                  <w:r>
                    <w:rPr>
                      <w:color w:val="auto"/>
                      <w:sz w:val="18"/>
                      <w:szCs w:val="18"/>
                      <w:highlight w:val="none"/>
                      <w:vertAlign w:val="superscript"/>
                    </w:rPr>
                    <w:t>3</w:t>
                  </w:r>
                </w:p>
              </w:tc>
              <w:tc>
                <w:tcPr>
                  <w:tcW w:w="484" w:type="pct"/>
                  <w:noWrap w:val="0"/>
                  <w:vAlign w:val="center"/>
                </w:tcPr>
                <w:p>
                  <w:pPr>
                    <w:jc w:val="center"/>
                    <w:rPr>
                      <w:color w:val="auto"/>
                      <w:sz w:val="18"/>
                      <w:szCs w:val="18"/>
                      <w:highlight w:val="none"/>
                    </w:rPr>
                  </w:pPr>
                  <w:r>
                    <w:rPr>
                      <w:color w:val="auto"/>
                      <w:sz w:val="18"/>
                      <w:szCs w:val="18"/>
                      <w:highlight w:val="none"/>
                    </w:rPr>
                    <w:t>速率kg/h</w:t>
                  </w:r>
                </w:p>
              </w:tc>
              <w:tc>
                <w:tcPr>
                  <w:tcW w:w="557" w:type="pct"/>
                  <w:noWrap w:val="0"/>
                  <w:vAlign w:val="center"/>
                </w:tcPr>
                <w:p>
                  <w:pPr>
                    <w:jc w:val="center"/>
                    <w:rPr>
                      <w:color w:val="auto"/>
                      <w:sz w:val="18"/>
                      <w:szCs w:val="18"/>
                      <w:highlight w:val="none"/>
                    </w:rPr>
                  </w:pPr>
                  <w:r>
                    <w:rPr>
                      <w:color w:val="auto"/>
                      <w:sz w:val="18"/>
                      <w:szCs w:val="18"/>
                      <w:highlight w:val="none"/>
                    </w:rPr>
                    <w:t>频次及持续时间</w:t>
                  </w:r>
                </w:p>
              </w:tc>
              <w:tc>
                <w:tcPr>
                  <w:tcW w:w="508" w:type="pct"/>
                  <w:noWrap w:val="0"/>
                  <w:vAlign w:val="center"/>
                </w:tcPr>
                <w:p>
                  <w:pPr>
                    <w:jc w:val="center"/>
                    <w:rPr>
                      <w:color w:val="auto"/>
                      <w:sz w:val="18"/>
                      <w:szCs w:val="18"/>
                      <w:highlight w:val="none"/>
                    </w:rPr>
                  </w:pPr>
                  <w:r>
                    <w:rPr>
                      <w:color w:val="auto"/>
                      <w:sz w:val="18"/>
                      <w:szCs w:val="21"/>
                      <w:highlight w:val="none"/>
                    </w:rPr>
                    <w:t>排放量kg/a</w:t>
                  </w:r>
                </w:p>
              </w:tc>
              <w:tc>
                <w:tcPr>
                  <w:tcW w:w="452" w:type="pct"/>
                  <w:noWrap w:val="0"/>
                  <w:vAlign w:val="center"/>
                </w:tcPr>
                <w:p>
                  <w:pPr>
                    <w:jc w:val="center"/>
                    <w:rPr>
                      <w:color w:val="auto"/>
                      <w:sz w:val="18"/>
                      <w:szCs w:val="18"/>
                      <w:highlight w:val="none"/>
                    </w:rPr>
                  </w:pPr>
                  <w:r>
                    <w:rPr>
                      <w:color w:val="auto"/>
                      <w:sz w:val="18"/>
                      <w:szCs w:val="18"/>
                      <w:highlight w:val="none"/>
                    </w:rPr>
                    <w:t>浓度mg/m</w:t>
                  </w:r>
                  <w:r>
                    <w:rPr>
                      <w:color w:val="auto"/>
                      <w:sz w:val="18"/>
                      <w:szCs w:val="18"/>
                      <w:highlight w:val="none"/>
                      <w:vertAlign w:val="superscript"/>
                    </w:rPr>
                    <w:t>3</w:t>
                  </w:r>
                </w:p>
              </w:tc>
              <w:tc>
                <w:tcPr>
                  <w:tcW w:w="345" w:type="pct"/>
                  <w:noWrap w:val="0"/>
                  <w:vAlign w:val="center"/>
                </w:tcPr>
                <w:p>
                  <w:pPr>
                    <w:jc w:val="center"/>
                    <w:rPr>
                      <w:color w:val="auto"/>
                      <w:sz w:val="18"/>
                      <w:szCs w:val="18"/>
                      <w:highlight w:val="none"/>
                    </w:rPr>
                  </w:pPr>
                  <w:r>
                    <w:rPr>
                      <w:color w:val="auto"/>
                      <w:sz w:val="18"/>
                      <w:szCs w:val="18"/>
                      <w:highlight w:val="none"/>
                    </w:rPr>
                    <w:t>速率kg/h</w:t>
                  </w:r>
                </w:p>
              </w:tc>
              <w:tc>
                <w:tcPr>
                  <w:tcW w:w="278" w:type="pct"/>
                  <w:vMerge w:val="continue"/>
                  <w:noWrap w:val="0"/>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restart"/>
                  <w:noWrap w:val="0"/>
                  <w:vAlign w:val="center"/>
                </w:tcPr>
                <w:p>
                  <w:pPr>
                    <w:jc w:val="center"/>
                    <w:rPr>
                      <w:rFonts w:hint="eastAsia"/>
                      <w:color w:val="auto"/>
                      <w:sz w:val="18"/>
                      <w:szCs w:val="18"/>
                      <w:highlight w:val="none"/>
                    </w:rPr>
                  </w:pPr>
                  <w:r>
                    <w:rPr>
                      <w:color w:val="auto"/>
                      <w:sz w:val="18"/>
                      <w:szCs w:val="18"/>
                      <w:highlight w:val="none"/>
                    </w:rPr>
                    <w:t>DA00</w:t>
                  </w:r>
                  <w:r>
                    <w:rPr>
                      <w:rFonts w:hint="eastAsia"/>
                      <w:color w:val="auto"/>
                      <w:sz w:val="18"/>
                      <w:szCs w:val="18"/>
                      <w:highlight w:val="none"/>
                    </w:rPr>
                    <w:t>1</w:t>
                  </w:r>
                </w:p>
              </w:tc>
              <w:tc>
                <w:tcPr>
                  <w:tcW w:w="505" w:type="pct"/>
                  <w:noWrap w:val="0"/>
                  <w:vAlign w:val="center"/>
                </w:tcPr>
                <w:p>
                  <w:pPr>
                    <w:adjustRightInd w:val="0"/>
                    <w:snapToGrid w:val="0"/>
                    <w:spacing w:line="280" w:lineRule="exact"/>
                    <w:jc w:val="center"/>
                    <w:rPr>
                      <w:rFonts w:hint="default" w:eastAsia="宋体"/>
                      <w:color w:val="auto"/>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NH</w:t>
                  </w:r>
                  <w:r>
                    <w:rPr>
                      <w:rFonts w:hint="eastAsia" w:ascii="Times New Roman" w:hAnsi="Times New Roman" w:eastAsia="宋体" w:cs="Times New Roman"/>
                      <w:color w:val="auto"/>
                      <w:kern w:val="0"/>
                      <w:sz w:val="18"/>
                      <w:szCs w:val="18"/>
                      <w:highlight w:val="none"/>
                      <w:vertAlign w:val="subscript"/>
                      <w:lang w:val="en-US" w:eastAsia="zh-CN"/>
                    </w:rPr>
                    <w:t>3</w:t>
                  </w:r>
                </w:p>
              </w:tc>
              <w:tc>
                <w:tcPr>
                  <w:tcW w:w="919" w:type="pct"/>
                  <w:vMerge w:val="restart"/>
                  <w:noWrap w:val="0"/>
                  <w:vAlign w:val="center"/>
                </w:tcPr>
                <w:p>
                  <w:pPr>
                    <w:jc w:val="center"/>
                    <w:rPr>
                      <w:color w:val="auto"/>
                      <w:sz w:val="18"/>
                      <w:szCs w:val="18"/>
                      <w:highlight w:val="none"/>
                    </w:rPr>
                  </w:pPr>
                  <w:r>
                    <w:rPr>
                      <w:rFonts w:hint="eastAsia"/>
                      <w:color w:val="auto"/>
                      <w:sz w:val="18"/>
                      <w:szCs w:val="18"/>
                      <w:highlight w:val="none"/>
                      <w:lang w:eastAsia="zh-CN"/>
                    </w:rPr>
                    <w:t>环保设备</w:t>
                  </w:r>
                  <w:r>
                    <w:rPr>
                      <w:color w:val="auto"/>
                      <w:sz w:val="18"/>
                      <w:szCs w:val="18"/>
                      <w:highlight w:val="none"/>
                    </w:rPr>
                    <w:t>故障，吸附效率按</w:t>
                  </w:r>
                  <w:r>
                    <w:rPr>
                      <w:rFonts w:hint="eastAsia"/>
                      <w:color w:val="auto"/>
                      <w:sz w:val="18"/>
                      <w:szCs w:val="18"/>
                      <w:highlight w:val="none"/>
                    </w:rPr>
                    <w:t>0</w:t>
                  </w:r>
                  <w:r>
                    <w:rPr>
                      <w:color w:val="auto"/>
                      <w:sz w:val="18"/>
                      <w:szCs w:val="18"/>
                      <w:highlight w:val="none"/>
                    </w:rPr>
                    <w:t>%计</w:t>
                  </w:r>
                </w:p>
              </w:tc>
              <w:tc>
                <w:tcPr>
                  <w:tcW w:w="467" w:type="pct"/>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0.55</w:t>
                  </w:r>
                </w:p>
              </w:tc>
              <w:tc>
                <w:tcPr>
                  <w:tcW w:w="484" w:type="pct"/>
                  <w:noWrap w:val="0"/>
                  <w:vAlign w:val="center"/>
                </w:tcPr>
                <w:p>
                  <w:pPr>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0.0016</w:t>
                  </w:r>
                </w:p>
              </w:tc>
              <w:tc>
                <w:tcPr>
                  <w:tcW w:w="557" w:type="pct"/>
                  <w:vMerge w:val="restart"/>
                  <w:noWrap w:val="0"/>
                  <w:vAlign w:val="center"/>
                </w:tcPr>
                <w:p>
                  <w:pPr>
                    <w:jc w:val="center"/>
                    <w:rPr>
                      <w:color w:val="auto"/>
                      <w:sz w:val="18"/>
                      <w:szCs w:val="21"/>
                      <w:highlight w:val="none"/>
                    </w:rPr>
                  </w:pPr>
                  <w:r>
                    <w:rPr>
                      <w:color w:val="auto"/>
                      <w:sz w:val="18"/>
                      <w:szCs w:val="21"/>
                      <w:highlight w:val="none"/>
                    </w:rPr>
                    <w:t>2次/a</w:t>
                  </w:r>
                </w:p>
                <w:p>
                  <w:pPr>
                    <w:jc w:val="center"/>
                    <w:rPr>
                      <w:color w:val="auto"/>
                      <w:sz w:val="18"/>
                      <w:szCs w:val="21"/>
                      <w:highlight w:val="none"/>
                    </w:rPr>
                  </w:pPr>
                  <w:r>
                    <w:rPr>
                      <w:color w:val="auto"/>
                      <w:sz w:val="18"/>
                      <w:szCs w:val="21"/>
                      <w:highlight w:val="none"/>
                    </w:rPr>
                    <w:t>1h/次</w:t>
                  </w:r>
                </w:p>
              </w:tc>
              <w:tc>
                <w:tcPr>
                  <w:tcW w:w="508" w:type="pc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0.0032</w:t>
                  </w:r>
                </w:p>
              </w:tc>
              <w:tc>
                <w:tcPr>
                  <w:tcW w:w="452" w:type="pc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w:t>
                  </w:r>
                </w:p>
              </w:tc>
              <w:tc>
                <w:tcPr>
                  <w:tcW w:w="345" w:type="pc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4.9</w:t>
                  </w:r>
                </w:p>
              </w:tc>
              <w:tc>
                <w:tcPr>
                  <w:tcW w:w="278" w:type="pct"/>
                  <w:vMerge w:val="restart"/>
                  <w:noWrap w:val="0"/>
                  <w:vAlign w:val="center"/>
                </w:tcPr>
                <w:p>
                  <w:pPr>
                    <w:jc w:val="center"/>
                    <w:rPr>
                      <w:color w:val="auto"/>
                      <w:sz w:val="18"/>
                      <w:szCs w:val="18"/>
                      <w:highlight w:val="none"/>
                    </w:rPr>
                  </w:pPr>
                  <w:r>
                    <w:rPr>
                      <w:rFonts w:hint="eastAsia"/>
                      <w:color w:val="auto"/>
                      <w:sz w:val="18"/>
                      <w:szCs w:val="18"/>
                      <w:highlight w:val="none"/>
                      <w:lang w:val="en-US" w:eastAsia="zh-CN"/>
                    </w:rPr>
                    <w:t>不</w:t>
                  </w:r>
                  <w:r>
                    <w:rPr>
                      <w:color w:val="auto"/>
                      <w:sz w:val="18"/>
                      <w:szCs w:val="18"/>
                      <w:highlight w:val="none"/>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vMerge w:val="continue"/>
                  <w:noWrap w:val="0"/>
                  <w:vAlign w:val="center"/>
                </w:tcPr>
                <w:p>
                  <w:pPr>
                    <w:jc w:val="center"/>
                    <w:rPr>
                      <w:color w:val="auto"/>
                      <w:sz w:val="18"/>
                      <w:szCs w:val="18"/>
                      <w:highlight w:val="none"/>
                    </w:rPr>
                  </w:pPr>
                </w:p>
              </w:tc>
              <w:tc>
                <w:tcPr>
                  <w:tcW w:w="505" w:type="pct"/>
                  <w:noWrap w:val="0"/>
                  <w:vAlign w:val="center"/>
                </w:tcPr>
                <w:p>
                  <w:pPr>
                    <w:adjustRightInd w:val="0"/>
                    <w:snapToGrid w:val="0"/>
                    <w:spacing w:line="280" w:lineRule="exact"/>
                    <w:jc w:val="center"/>
                    <w:rPr>
                      <w:rFonts w:hint="eastAsia"/>
                      <w:color w:val="auto"/>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H</w:t>
                  </w:r>
                  <w:r>
                    <w:rPr>
                      <w:rFonts w:hint="eastAsia" w:ascii="Times New Roman" w:hAnsi="Times New Roman" w:eastAsia="宋体" w:cs="Times New Roman"/>
                      <w:color w:val="auto"/>
                      <w:kern w:val="0"/>
                      <w:sz w:val="18"/>
                      <w:szCs w:val="18"/>
                      <w:highlight w:val="none"/>
                      <w:vertAlign w:val="subscript"/>
                      <w:lang w:val="en-US" w:eastAsia="zh-CN"/>
                    </w:rPr>
                    <w:t>2</w:t>
                  </w:r>
                  <w:r>
                    <w:rPr>
                      <w:rFonts w:hint="eastAsia" w:ascii="Times New Roman" w:hAnsi="Times New Roman" w:eastAsia="宋体" w:cs="Times New Roman"/>
                      <w:color w:val="auto"/>
                      <w:kern w:val="0"/>
                      <w:sz w:val="18"/>
                      <w:szCs w:val="18"/>
                      <w:highlight w:val="none"/>
                      <w:lang w:val="en-US" w:eastAsia="zh-CN"/>
                    </w:rPr>
                    <w:t>S</w:t>
                  </w:r>
                </w:p>
              </w:tc>
              <w:tc>
                <w:tcPr>
                  <w:tcW w:w="919" w:type="pct"/>
                  <w:vMerge w:val="continue"/>
                  <w:noWrap w:val="0"/>
                  <w:vAlign w:val="center"/>
                </w:tcPr>
                <w:p>
                  <w:pPr>
                    <w:jc w:val="center"/>
                    <w:rPr>
                      <w:rFonts w:hint="eastAsia"/>
                      <w:color w:val="auto"/>
                      <w:sz w:val="18"/>
                      <w:szCs w:val="18"/>
                      <w:highlight w:val="none"/>
                      <w:lang w:eastAsia="zh-CN"/>
                    </w:rPr>
                  </w:pPr>
                </w:p>
              </w:tc>
              <w:tc>
                <w:tcPr>
                  <w:tcW w:w="467" w:type="pct"/>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0.021</w:t>
                  </w:r>
                </w:p>
              </w:tc>
              <w:tc>
                <w:tcPr>
                  <w:tcW w:w="484" w:type="pct"/>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0.00006</w:t>
                  </w:r>
                </w:p>
              </w:tc>
              <w:tc>
                <w:tcPr>
                  <w:tcW w:w="557" w:type="pct"/>
                  <w:vMerge w:val="continue"/>
                  <w:noWrap w:val="0"/>
                  <w:vAlign w:val="center"/>
                </w:tcPr>
                <w:p>
                  <w:pPr>
                    <w:jc w:val="center"/>
                    <w:rPr>
                      <w:color w:val="auto"/>
                      <w:sz w:val="18"/>
                      <w:szCs w:val="21"/>
                      <w:highlight w:val="none"/>
                    </w:rPr>
                  </w:pPr>
                </w:p>
              </w:tc>
              <w:tc>
                <w:tcPr>
                  <w:tcW w:w="508" w:type="pc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0.00012</w:t>
                  </w:r>
                </w:p>
              </w:tc>
              <w:tc>
                <w:tcPr>
                  <w:tcW w:w="452" w:type="pc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w:t>
                  </w:r>
                </w:p>
              </w:tc>
              <w:tc>
                <w:tcPr>
                  <w:tcW w:w="345" w:type="pc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0.33</w:t>
                  </w:r>
                </w:p>
              </w:tc>
              <w:tc>
                <w:tcPr>
                  <w:tcW w:w="278" w:type="pct"/>
                  <w:vMerge w:val="continue"/>
                  <w:noWrap w:val="0"/>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81" w:type="pct"/>
                  <w:noWrap w:val="0"/>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DA002</w:t>
                  </w:r>
                </w:p>
              </w:tc>
              <w:tc>
                <w:tcPr>
                  <w:tcW w:w="505" w:type="pct"/>
                  <w:noWrap w:val="0"/>
                  <w:vAlign w:val="center"/>
                </w:tcPr>
                <w:p>
                  <w:pPr>
                    <w:adjustRightInd w:val="0"/>
                    <w:snapToGrid w:val="0"/>
                    <w:spacing w:line="280" w:lineRule="exact"/>
                    <w:jc w:val="center"/>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cs="Times New Roman"/>
                      <w:color w:val="auto"/>
                      <w:kern w:val="0"/>
                      <w:sz w:val="18"/>
                      <w:szCs w:val="18"/>
                      <w:highlight w:val="none"/>
                      <w:lang w:val="en-US" w:eastAsia="zh-CN"/>
                    </w:rPr>
                    <w:t>油烟</w:t>
                  </w:r>
                </w:p>
              </w:tc>
              <w:tc>
                <w:tcPr>
                  <w:tcW w:w="919" w:type="pct"/>
                  <w:vMerge w:val="continue"/>
                  <w:noWrap w:val="0"/>
                  <w:vAlign w:val="center"/>
                </w:tcPr>
                <w:p>
                  <w:pPr>
                    <w:jc w:val="center"/>
                    <w:rPr>
                      <w:rFonts w:hint="eastAsia"/>
                      <w:color w:val="auto"/>
                      <w:sz w:val="18"/>
                      <w:szCs w:val="18"/>
                      <w:highlight w:val="none"/>
                      <w:lang w:eastAsia="zh-CN"/>
                    </w:rPr>
                  </w:pPr>
                </w:p>
              </w:tc>
              <w:tc>
                <w:tcPr>
                  <w:tcW w:w="467" w:type="pct"/>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3.96</w:t>
                  </w:r>
                </w:p>
              </w:tc>
              <w:tc>
                <w:tcPr>
                  <w:tcW w:w="484" w:type="pct"/>
                  <w:noWrap w:val="0"/>
                  <w:vAlign w:val="center"/>
                </w:tcPr>
                <w:p>
                  <w:pPr>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0.0198</w:t>
                  </w:r>
                </w:p>
              </w:tc>
              <w:tc>
                <w:tcPr>
                  <w:tcW w:w="557" w:type="pct"/>
                  <w:vMerge w:val="continue"/>
                  <w:noWrap w:val="0"/>
                  <w:vAlign w:val="center"/>
                </w:tcPr>
                <w:p>
                  <w:pPr>
                    <w:adjustRightInd w:val="0"/>
                    <w:snapToGrid w:val="0"/>
                    <w:spacing w:line="280" w:lineRule="exact"/>
                    <w:jc w:val="center"/>
                    <w:rPr>
                      <w:rFonts w:hint="eastAsia" w:ascii="Times New Roman" w:hAnsi="Times New Roman" w:eastAsia="宋体"/>
                      <w:color w:val="auto"/>
                      <w:kern w:val="0"/>
                      <w:sz w:val="18"/>
                      <w:szCs w:val="18"/>
                      <w:highlight w:val="none"/>
                      <w:lang w:val="en-US" w:eastAsia="zh-CN" w:bidi="ar-SA"/>
                    </w:rPr>
                  </w:pPr>
                </w:p>
              </w:tc>
              <w:tc>
                <w:tcPr>
                  <w:tcW w:w="508" w:type="pct"/>
                  <w:noWrap w:val="0"/>
                  <w:vAlign w:val="center"/>
                </w:tcPr>
                <w:p>
                  <w:pPr>
                    <w:adjustRightInd w:val="0"/>
                    <w:snapToGrid w:val="0"/>
                    <w:spacing w:line="280" w:lineRule="exact"/>
                    <w:jc w:val="center"/>
                    <w:rPr>
                      <w:rFonts w:hint="default" w:ascii="Times New Roman" w:hAnsi="Times New Roman" w:eastAsia="宋体" w:cs="Times New Roman"/>
                      <w:snapToGrid w:val="0"/>
                      <w:color w:val="auto"/>
                      <w:kern w:val="0"/>
                      <w:sz w:val="18"/>
                      <w:szCs w:val="18"/>
                      <w:highlight w:val="none"/>
                      <w:lang w:val="en-US" w:eastAsia="zh-CN" w:bidi="ar-SA"/>
                    </w:rPr>
                  </w:pPr>
                  <w:r>
                    <w:rPr>
                      <w:rFonts w:hint="eastAsia" w:ascii="Times New Roman" w:hAnsi="Times New Roman" w:cs="Times New Roman"/>
                      <w:snapToGrid w:val="0"/>
                      <w:color w:val="auto"/>
                      <w:kern w:val="0"/>
                      <w:sz w:val="18"/>
                      <w:szCs w:val="18"/>
                      <w:highlight w:val="none"/>
                      <w:lang w:val="en-US" w:eastAsia="zh-CN" w:bidi="ar-SA"/>
                    </w:rPr>
                    <w:t>0.0396</w:t>
                  </w:r>
                </w:p>
              </w:tc>
              <w:tc>
                <w:tcPr>
                  <w:tcW w:w="452" w:type="pct"/>
                  <w:noWrap w:val="0"/>
                  <w:vAlign w:val="center"/>
                </w:tcPr>
                <w:p>
                  <w:pPr>
                    <w:jc w:val="center"/>
                    <w:rPr>
                      <w:rFonts w:hint="eastAsia" w:eastAsia="宋体"/>
                      <w:color w:val="auto"/>
                      <w:kern w:val="2"/>
                      <w:sz w:val="18"/>
                      <w:szCs w:val="18"/>
                      <w:highlight w:val="none"/>
                      <w:lang w:val="en-US" w:eastAsia="zh-CN" w:bidi="ar-SA"/>
                    </w:rPr>
                  </w:pPr>
                  <w:r>
                    <w:rPr>
                      <w:rFonts w:hint="eastAsia"/>
                      <w:color w:val="auto"/>
                      <w:sz w:val="18"/>
                      <w:szCs w:val="18"/>
                      <w:highlight w:val="none"/>
                      <w:lang w:val="en-US" w:eastAsia="zh-CN"/>
                    </w:rPr>
                    <w:t>1</w:t>
                  </w:r>
                </w:p>
              </w:tc>
              <w:tc>
                <w:tcPr>
                  <w:tcW w:w="345" w:type="pct"/>
                  <w:noWrap w:val="0"/>
                  <w:vAlign w:val="center"/>
                </w:tcPr>
                <w:p>
                  <w:pPr>
                    <w:jc w:val="center"/>
                    <w:rPr>
                      <w:rFonts w:hint="eastAsia" w:eastAsia="宋体"/>
                      <w:color w:val="auto"/>
                      <w:kern w:val="2"/>
                      <w:sz w:val="18"/>
                      <w:szCs w:val="18"/>
                      <w:highlight w:val="none"/>
                      <w:lang w:val="en-US" w:eastAsia="zh-CN" w:bidi="ar-SA"/>
                    </w:rPr>
                  </w:pPr>
                  <w:r>
                    <w:rPr>
                      <w:rFonts w:hint="eastAsia"/>
                      <w:color w:val="auto"/>
                      <w:sz w:val="18"/>
                      <w:szCs w:val="18"/>
                      <w:highlight w:val="none"/>
                      <w:lang w:val="en-US" w:eastAsia="zh-CN"/>
                    </w:rPr>
                    <w:t>/</w:t>
                  </w:r>
                </w:p>
              </w:tc>
              <w:tc>
                <w:tcPr>
                  <w:tcW w:w="278" w:type="pct"/>
                  <w:noWrap w:val="0"/>
                  <w:vAlign w:val="center"/>
                </w:tcPr>
                <w:p>
                  <w:pPr>
                    <w:jc w:val="center"/>
                    <w:rPr>
                      <w:color w:val="auto"/>
                      <w:sz w:val="18"/>
                      <w:szCs w:val="18"/>
                      <w:highlight w:val="none"/>
                    </w:rPr>
                  </w:pPr>
                  <w:r>
                    <w:rPr>
                      <w:color w:val="auto"/>
                      <w:sz w:val="18"/>
                      <w:szCs w:val="18"/>
                      <w:highlight w:val="none"/>
                    </w:rPr>
                    <w:t>超标</w:t>
                  </w:r>
                </w:p>
              </w:tc>
            </w:tr>
          </w:tbl>
          <w:p>
            <w:pPr>
              <w:pageBreakBefore/>
              <w:widowControl/>
              <w:spacing w:line="360" w:lineRule="auto"/>
              <w:ind w:firstLine="420" w:firstLineChars="200"/>
              <w:rPr>
                <w:rFonts w:hint="eastAsia"/>
                <w:color w:val="auto"/>
                <w:highlight w:val="none"/>
              </w:rPr>
            </w:pPr>
            <w:r>
              <w:rPr>
                <w:color w:val="auto"/>
                <w:highlight w:val="none"/>
              </w:rPr>
              <w:t>由上表可知，非正常工况下，排气筒</w:t>
            </w:r>
            <w:r>
              <w:rPr>
                <w:rFonts w:hint="eastAsia"/>
                <w:color w:val="auto"/>
                <w:highlight w:val="none"/>
                <w:lang w:val="en-US" w:eastAsia="zh-CN"/>
              </w:rPr>
              <w:t>DA002</w:t>
            </w:r>
            <w:r>
              <w:rPr>
                <w:color w:val="auto"/>
                <w:highlight w:val="none"/>
              </w:rPr>
              <w:t>排放的</w:t>
            </w:r>
            <w:r>
              <w:rPr>
                <w:rFonts w:hint="eastAsia"/>
                <w:color w:val="auto"/>
                <w:highlight w:val="none"/>
                <w:lang w:val="en-US" w:eastAsia="zh-CN"/>
              </w:rPr>
              <w:t>油烟</w:t>
            </w:r>
            <w:r>
              <w:rPr>
                <w:color w:val="auto"/>
                <w:highlight w:val="none"/>
              </w:rPr>
              <w:t>浓度超标。</w:t>
            </w:r>
            <w:r>
              <w:rPr>
                <w:rFonts w:hint="eastAsia"/>
                <w:color w:val="auto"/>
                <w:highlight w:val="none"/>
              </w:rPr>
              <w:t>由此可见，项目废气治理设施出现故障等非正常工况下，污染物排放对环境影响较大。</w:t>
            </w:r>
          </w:p>
          <w:p>
            <w:pPr>
              <w:pageBreakBefore/>
              <w:widowControl/>
              <w:spacing w:line="360" w:lineRule="auto"/>
              <w:ind w:firstLine="420" w:firstLineChars="200"/>
              <w:rPr>
                <w:color w:val="auto"/>
                <w:highlight w:val="none"/>
              </w:rPr>
            </w:pPr>
            <w:r>
              <w:rPr>
                <w:rFonts w:hint="eastAsia"/>
                <w:color w:val="auto"/>
                <w:highlight w:val="none"/>
              </w:rPr>
              <w:t>针对非正常工况，企业应定期对废气收集设施、</w:t>
            </w:r>
            <w:r>
              <w:rPr>
                <w:rFonts w:hint="eastAsia"/>
                <w:color w:val="auto"/>
                <w:highlight w:val="none"/>
                <w:lang w:val="en-US" w:eastAsia="zh-CN"/>
              </w:rPr>
              <w:t>生物除臭装置、油烟净化器</w:t>
            </w:r>
            <w:r>
              <w:rPr>
                <w:rFonts w:hint="eastAsia"/>
                <w:color w:val="auto"/>
                <w:highlight w:val="none"/>
              </w:rPr>
              <w:t>进行检查，确保其正常工作状态；设置专人负责，保证正常去除效率。检查、核查等工作做好记录，一旦发现问题，应立即停止生产工序，待处理设施等恢复正常工作并具有稳定废气去除效率后，再开工生产，杜绝废气排放事故发生。加强企业的运行管理，设立专门人员负责厂内环保设施管理、监测等工作。</w:t>
            </w:r>
          </w:p>
          <w:p>
            <w:pPr>
              <w:snapToGrid w:val="0"/>
              <w:spacing w:line="360" w:lineRule="auto"/>
              <w:ind w:firstLine="382" w:firstLineChars="200"/>
              <w:rPr>
                <w:b/>
                <w:bCs/>
                <w:color w:val="auto"/>
                <w:spacing w:val="-10"/>
                <w:szCs w:val="21"/>
                <w:highlight w:val="none"/>
              </w:rPr>
            </w:pPr>
            <w:r>
              <w:rPr>
                <w:b/>
                <w:bCs/>
                <w:color w:val="auto"/>
                <w:spacing w:val="-10"/>
                <w:szCs w:val="21"/>
                <w:highlight w:val="none"/>
              </w:rPr>
              <w:t>2.4大气环境影响分析</w:t>
            </w:r>
          </w:p>
          <w:p>
            <w:pPr>
              <w:pageBreakBefore/>
              <w:widowControl/>
              <w:spacing w:line="360" w:lineRule="auto"/>
              <w:ind w:firstLine="420" w:firstLineChars="200"/>
              <w:rPr>
                <w:color w:val="auto"/>
                <w:highlight w:val="none"/>
              </w:rPr>
            </w:pPr>
            <w:r>
              <w:rPr>
                <w:color w:val="auto"/>
                <w:highlight w:val="none"/>
                <w:lang w:val="zh-CN"/>
              </w:rPr>
              <w:t>建设项目所在区域环境质量为不达标区，大气环境质量中超标的因子主要是PM</w:t>
            </w:r>
            <w:r>
              <w:rPr>
                <w:color w:val="auto"/>
                <w:highlight w:val="none"/>
                <w:vertAlign w:val="subscript"/>
                <w:lang w:val="zh-CN"/>
              </w:rPr>
              <w:t>10</w:t>
            </w:r>
            <w:r>
              <w:rPr>
                <w:color w:val="auto"/>
                <w:highlight w:val="none"/>
                <w:lang w:val="zh-CN"/>
              </w:rPr>
              <w:t>、PM</w:t>
            </w:r>
            <w:r>
              <w:rPr>
                <w:color w:val="auto"/>
                <w:highlight w:val="none"/>
                <w:vertAlign w:val="subscript"/>
                <w:lang w:val="zh-CN"/>
              </w:rPr>
              <w:t>2</w:t>
            </w:r>
            <w:r>
              <w:rPr>
                <w:color w:val="auto"/>
                <w:highlight w:val="none"/>
                <w:vertAlign w:val="subscript"/>
              </w:rPr>
              <w:t>.</w:t>
            </w:r>
            <w:r>
              <w:rPr>
                <w:color w:val="auto"/>
                <w:highlight w:val="none"/>
                <w:vertAlign w:val="subscript"/>
                <w:lang w:val="zh-CN"/>
              </w:rPr>
              <w:t>5</w:t>
            </w:r>
            <w:r>
              <w:rPr>
                <w:color w:val="auto"/>
                <w:highlight w:val="none"/>
                <w:lang w:val="zh-CN"/>
              </w:rPr>
              <w:t>，项目污染物主要为污水处理站处理过程中产生的硫化氢、氨、臭气等，污水处理站</w:t>
            </w:r>
            <w:r>
              <w:rPr>
                <w:rFonts w:hint="eastAsia"/>
                <w:color w:val="auto"/>
                <w:szCs w:val="21"/>
                <w:highlight w:val="none"/>
                <w:lang w:val="en-US" w:eastAsia="zh-CN"/>
              </w:rPr>
              <w:t>管道收集+生物除臭装置处理后有组织排放</w:t>
            </w:r>
            <w:r>
              <w:rPr>
                <w:color w:val="auto"/>
                <w:highlight w:val="none"/>
                <w:lang w:val="zh-CN"/>
              </w:rPr>
              <w:t>，本项目对周围大气环境影响较小，污染物排放</w:t>
            </w:r>
            <w:r>
              <w:rPr>
                <w:rFonts w:hint="eastAsia"/>
                <w:color w:val="auto"/>
                <w:highlight w:val="none"/>
                <w:lang w:val="en-US" w:eastAsia="zh-CN"/>
              </w:rPr>
              <w:t>速率</w:t>
            </w:r>
            <w:r>
              <w:rPr>
                <w:color w:val="auto"/>
                <w:highlight w:val="none"/>
                <w:lang w:val="zh-CN"/>
              </w:rPr>
              <w:t>满足</w:t>
            </w:r>
            <w:r>
              <w:rPr>
                <w:color w:val="auto"/>
                <w:highlight w:val="none"/>
              </w:rPr>
              <w:t>《恶臭污染物排放标准》（GB14554-93）表2中标准要求，污水处理站周边能够满足《山东省医疗机构污染物排放控制标准》(DB37/596-2020)表2污水处理站周边大气污染物最高浓度要求，</w:t>
            </w:r>
            <w:r>
              <w:rPr>
                <w:rFonts w:hint="eastAsia"/>
                <w:color w:val="auto"/>
                <w:highlight w:val="none"/>
                <w:lang w:val="en-US" w:eastAsia="zh-CN"/>
              </w:rPr>
              <w:t>食堂油烟经管线收集+油烟净化器处理后通过楼顶15.9m的排气筒DA002有组织排放，</w:t>
            </w:r>
            <w:r>
              <w:rPr>
                <w:color w:val="auto"/>
                <w:highlight w:val="none"/>
              </w:rPr>
              <w:t>对周围环境影响较小</w:t>
            </w:r>
            <w:r>
              <w:rPr>
                <w:color w:val="auto"/>
                <w:highlight w:val="none"/>
                <w:lang w:val="zh-CN"/>
              </w:rPr>
              <w:t>，因此废气的排放可以为周边环境接受。</w:t>
            </w:r>
          </w:p>
          <w:p>
            <w:pPr>
              <w:snapToGrid w:val="0"/>
              <w:spacing w:line="360" w:lineRule="auto"/>
              <w:ind w:firstLine="382" w:firstLineChars="200"/>
              <w:rPr>
                <w:b/>
                <w:bCs/>
                <w:color w:val="auto"/>
                <w:spacing w:val="-10"/>
                <w:szCs w:val="21"/>
                <w:highlight w:val="none"/>
              </w:rPr>
            </w:pPr>
            <w:r>
              <w:rPr>
                <w:b/>
                <w:bCs/>
                <w:color w:val="auto"/>
                <w:spacing w:val="-10"/>
                <w:szCs w:val="21"/>
                <w:highlight w:val="none"/>
              </w:rPr>
              <w:t>2.5 废气污染物监测计划</w:t>
            </w:r>
          </w:p>
          <w:p>
            <w:pPr>
              <w:pageBreakBefore/>
              <w:widowControl/>
              <w:spacing w:line="360" w:lineRule="auto"/>
              <w:ind w:firstLine="420" w:firstLineChars="200"/>
              <w:rPr>
                <w:color w:val="auto"/>
                <w:highlight w:val="none"/>
              </w:rPr>
            </w:pPr>
            <w:r>
              <w:rPr>
                <w:color w:val="auto"/>
                <w:highlight w:val="none"/>
              </w:rPr>
              <w:t>根</w:t>
            </w:r>
            <w:r>
              <w:rPr>
                <w:color w:val="auto"/>
                <w:szCs w:val="21"/>
                <w:highlight w:val="none"/>
              </w:rPr>
              <w:t>据《排污单位自行监测技术指南 总则》（HJ819-2017）、《排污许可证申请与核发技术规范 医疗机构》(HJ1105-2020)相关规定，制定本企业自行监测方案</w:t>
            </w:r>
            <w:r>
              <w:rPr>
                <w:color w:val="auto"/>
                <w:highlight w:val="none"/>
              </w:rPr>
              <w:t>。</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表4-1</w:t>
            </w:r>
            <w:r>
              <w:rPr>
                <w:rFonts w:hint="eastAsia"/>
                <w:b/>
                <w:bCs/>
                <w:color w:val="auto"/>
                <w:kern w:val="0"/>
                <w:szCs w:val="21"/>
                <w:highlight w:val="none"/>
                <w:lang w:val="en-US" w:eastAsia="zh-CN"/>
              </w:rPr>
              <w:t>8</w:t>
            </w:r>
            <w:r>
              <w:rPr>
                <w:b/>
                <w:bCs/>
                <w:color w:val="auto"/>
                <w:kern w:val="0"/>
                <w:szCs w:val="21"/>
                <w:highlight w:val="none"/>
              </w:rPr>
              <w:t xml:space="preserve">  营运期大气检测计划一览表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188"/>
              <w:gridCol w:w="1433"/>
              <w:gridCol w:w="309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Align w:val="center"/>
                </w:tcPr>
                <w:p>
                  <w:pPr>
                    <w:jc w:val="center"/>
                    <w:rPr>
                      <w:color w:val="auto"/>
                      <w:szCs w:val="21"/>
                      <w:highlight w:val="none"/>
                    </w:rPr>
                  </w:pPr>
                  <w:r>
                    <w:rPr>
                      <w:color w:val="auto"/>
                      <w:szCs w:val="21"/>
                      <w:highlight w:val="none"/>
                    </w:rPr>
                    <w:t>监测点位</w:t>
                  </w:r>
                </w:p>
              </w:tc>
              <w:tc>
                <w:tcPr>
                  <w:tcW w:w="718" w:type="pct"/>
                  <w:vAlign w:val="center"/>
                </w:tcPr>
                <w:p>
                  <w:pPr>
                    <w:jc w:val="center"/>
                    <w:rPr>
                      <w:color w:val="auto"/>
                      <w:szCs w:val="21"/>
                      <w:highlight w:val="none"/>
                    </w:rPr>
                  </w:pPr>
                  <w:r>
                    <w:rPr>
                      <w:color w:val="auto"/>
                      <w:szCs w:val="21"/>
                      <w:highlight w:val="none"/>
                    </w:rPr>
                    <w:t>监测项目</w:t>
                  </w:r>
                </w:p>
              </w:tc>
              <w:tc>
                <w:tcPr>
                  <w:tcW w:w="866" w:type="pct"/>
                  <w:vAlign w:val="center"/>
                </w:tcPr>
                <w:p>
                  <w:pPr>
                    <w:jc w:val="center"/>
                    <w:rPr>
                      <w:color w:val="auto"/>
                      <w:szCs w:val="21"/>
                      <w:highlight w:val="none"/>
                    </w:rPr>
                  </w:pPr>
                  <w:r>
                    <w:rPr>
                      <w:color w:val="auto"/>
                      <w:szCs w:val="21"/>
                      <w:highlight w:val="none"/>
                    </w:rPr>
                    <w:t>监测频次</w:t>
                  </w:r>
                </w:p>
              </w:tc>
              <w:tc>
                <w:tcPr>
                  <w:tcW w:w="1868" w:type="pct"/>
                  <w:vAlign w:val="center"/>
                </w:tcPr>
                <w:p>
                  <w:pPr>
                    <w:jc w:val="center"/>
                    <w:rPr>
                      <w:color w:val="auto"/>
                      <w:szCs w:val="21"/>
                      <w:highlight w:val="none"/>
                    </w:rPr>
                  </w:pPr>
                  <w:r>
                    <w:rPr>
                      <w:color w:val="auto"/>
                      <w:szCs w:val="21"/>
                      <w:highlight w:val="none"/>
                    </w:rPr>
                    <w:t>执行标准</w:t>
                  </w:r>
                </w:p>
              </w:tc>
              <w:tc>
                <w:tcPr>
                  <w:tcW w:w="773" w:type="pct"/>
                  <w:vAlign w:val="center"/>
                </w:tcPr>
                <w:p>
                  <w:pPr>
                    <w:jc w:val="center"/>
                    <w:rPr>
                      <w:color w:val="auto"/>
                      <w:szCs w:val="21"/>
                      <w:highlight w:val="none"/>
                    </w:rPr>
                  </w:pPr>
                  <w:r>
                    <w:rPr>
                      <w:color w:val="auto"/>
                      <w:szCs w:val="21"/>
                      <w:highlight w:val="none"/>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restart"/>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DA001</w:t>
                  </w:r>
                </w:p>
              </w:tc>
              <w:tc>
                <w:tcPr>
                  <w:tcW w:w="718" w:type="pct"/>
                  <w:vAlign w:val="center"/>
                </w:tcPr>
                <w:p>
                  <w:pPr>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臭气浓度</w:t>
                  </w:r>
                </w:p>
              </w:tc>
              <w:tc>
                <w:tcPr>
                  <w:tcW w:w="866" w:type="pct"/>
                  <w:vAlign w:val="center"/>
                </w:tcPr>
                <w:p>
                  <w:pPr>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1次/季</w:t>
                  </w:r>
                </w:p>
              </w:tc>
              <w:tc>
                <w:tcPr>
                  <w:tcW w:w="1868" w:type="pct"/>
                  <w:vMerge w:val="restart"/>
                  <w:vAlign w:val="center"/>
                </w:tcPr>
                <w:p>
                  <w:pPr>
                    <w:jc w:val="center"/>
                    <w:rPr>
                      <w:color w:val="auto"/>
                      <w:sz w:val="18"/>
                      <w:szCs w:val="18"/>
                      <w:highlight w:val="none"/>
                    </w:rPr>
                  </w:pPr>
                  <w:r>
                    <w:rPr>
                      <w:color w:val="auto"/>
                      <w:sz w:val="18"/>
                      <w:szCs w:val="18"/>
                      <w:highlight w:val="none"/>
                    </w:rPr>
                    <w:t>《恶臭污染物排放标准》（GB14554-93）</w:t>
                  </w:r>
                </w:p>
              </w:tc>
              <w:tc>
                <w:tcPr>
                  <w:tcW w:w="773" w:type="pct"/>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2000</w:t>
                  </w:r>
                  <w:r>
                    <w:rPr>
                      <w:color w:val="auto"/>
                      <w:sz w:val="18"/>
                      <w:szCs w:val="18"/>
                      <w:highlight w:val="none"/>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vAlign w:val="center"/>
                </w:tcPr>
                <w:p>
                  <w:pPr>
                    <w:jc w:val="center"/>
                    <w:rPr>
                      <w:color w:val="auto"/>
                      <w:sz w:val="18"/>
                      <w:szCs w:val="18"/>
                      <w:highlight w:val="none"/>
                    </w:rPr>
                  </w:pPr>
                </w:p>
              </w:tc>
              <w:tc>
                <w:tcPr>
                  <w:tcW w:w="718" w:type="pct"/>
                  <w:vAlign w:val="center"/>
                </w:tcPr>
                <w:p>
                  <w:pPr>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氨（氨气）</w:t>
                  </w:r>
                </w:p>
              </w:tc>
              <w:tc>
                <w:tcPr>
                  <w:tcW w:w="866" w:type="pct"/>
                  <w:vAlign w:val="center"/>
                </w:tcPr>
                <w:p>
                  <w:pPr>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1次/季</w:t>
                  </w:r>
                </w:p>
              </w:tc>
              <w:tc>
                <w:tcPr>
                  <w:tcW w:w="1868" w:type="pct"/>
                  <w:vMerge w:val="continue"/>
                  <w:vAlign w:val="center"/>
                </w:tcPr>
                <w:p>
                  <w:pPr>
                    <w:jc w:val="center"/>
                    <w:rPr>
                      <w:color w:val="auto"/>
                      <w:sz w:val="18"/>
                      <w:szCs w:val="18"/>
                      <w:highlight w:val="none"/>
                    </w:rPr>
                  </w:pPr>
                </w:p>
              </w:tc>
              <w:tc>
                <w:tcPr>
                  <w:tcW w:w="773" w:type="pct"/>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4.9kg/h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vAlign w:val="center"/>
                </w:tcPr>
                <w:p>
                  <w:pPr>
                    <w:jc w:val="center"/>
                    <w:rPr>
                      <w:color w:val="auto"/>
                      <w:sz w:val="18"/>
                      <w:szCs w:val="18"/>
                      <w:highlight w:val="none"/>
                    </w:rPr>
                  </w:pPr>
                </w:p>
              </w:tc>
              <w:tc>
                <w:tcPr>
                  <w:tcW w:w="718" w:type="pct"/>
                  <w:vAlign w:val="center"/>
                </w:tcPr>
                <w:p>
                  <w:pPr>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硫化氢</w:t>
                  </w:r>
                </w:p>
              </w:tc>
              <w:tc>
                <w:tcPr>
                  <w:tcW w:w="866" w:type="pct"/>
                  <w:vAlign w:val="center"/>
                </w:tcPr>
                <w:p>
                  <w:pPr>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1次/季</w:t>
                  </w:r>
                </w:p>
              </w:tc>
              <w:tc>
                <w:tcPr>
                  <w:tcW w:w="1868" w:type="pct"/>
                  <w:vMerge w:val="continue"/>
                  <w:vAlign w:val="center"/>
                </w:tcPr>
                <w:p>
                  <w:pPr>
                    <w:jc w:val="center"/>
                    <w:rPr>
                      <w:color w:val="auto"/>
                      <w:sz w:val="18"/>
                      <w:szCs w:val="18"/>
                      <w:highlight w:val="none"/>
                    </w:rPr>
                  </w:pPr>
                </w:p>
              </w:tc>
              <w:tc>
                <w:tcPr>
                  <w:tcW w:w="773" w:type="pct"/>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0.33kg/h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restart"/>
                  <w:vAlign w:val="center"/>
                </w:tcPr>
                <w:p>
                  <w:pPr>
                    <w:jc w:val="center"/>
                    <w:rPr>
                      <w:color w:val="auto"/>
                      <w:sz w:val="18"/>
                      <w:szCs w:val="18"/>
                      <w:highlight w:val="none"/>
                    </w:rPr>
                  </w:pPr>
                  <w:r>
                    <w:rPr>
                      <w:color w:val="auto"/>
                      <w:sz w:val="18"/>
                      <w:szCs w:val="18"/>
                      <w:highlight w:val="none"/>
                    </w:rPr>
                    <w:t>污水处理站</w:t>
                  </w:r>
                </w:p>
                <w:p>
                  <w:pPr>
                    <w:jc w:val="center"/>
                    <w:rPr>
                      <w:color w:val="auto"/>
                      <w:sz w:val="18"/>
                      <w:szCs w:val="18"/>
                      <w:highlight w:val="none"/>
                    </w:rPr>
                  </w:pPr>
                  <w:r>
                    <w:rPr>
                      <w:color w:val="auto"/>
                      <w:sz w:val="18"/>
                      <w:szCs w:val="18"/>
                      <w:highlight w:val="none"/>
                    </w:rPr>
                    <w:t>周界</w:t>
                  </w:r>
                </w:p>
              </w:tc>
              <w:tc>
                <w:tcPr>
                  <w:tcW w:w="718" w:type="pct"/>
                  <w:vAlign w:val="center"/>
                </w:tcPr>
                <w:p>
                  <w:pPr>
                    <w:jc w:val="center"/>
                    <w:rPr>
                      <w:color w:val="auto"/>
                      <w:sz w:val="18"/>
                      <w:szCs w:val="18"/>
                      <w:highlight w:val="none"/>
                    </w:rPr>
                  </w:pPr>
                  <w:r>
                    <w:rPr>
                      <w:color w:val="auto"/>
                      <w:sz w:val="18"/>
                      <w:szCs w:val="18"/>
                      <w:highlight w:val="none"/>
                    </w:rPr>
                    <w:t>臭气浓度</w:t>
                  </w:r>
                </w:p>
              </w:tc>
              <w:tc>
                <w:tcPr>
                  <w:tcW w:w="866" w:type="pct"/>
                  <w:vAlign w:val="center"/>
                </w:tcPr>
                <w:p>
                  <w:pPr>
                    <w:jc w:val="center"/>
                    <w:rPr>
                      <w:color w:val="auto"/>
                      <w:sz w:val="18"/>
                      <w:szCs w:val="18"/>
                      <w:highlight w:val="none"/>
                    </w:rPr>
                  </w:pPr>
                  <w:r>
                    <w:rPr>
                      <w:color w:val="auto"/>
                      <w:sz w:val="18"/>
                      <w:szCs w:val="18"/>
                      <w:highlight w:val="none"/>
                    </w:rPr>
                    <w:t>1次/季</w:t>
                  </w:r>
                </w:p>
              </w:tc>
              <w:tc>
                <w:tcPr>
                  <w:tcW w:w="1868" w:type="pct"/>
                  <w:vMerge w:val="restart"/>
                  <w:vAlign w:val="center"/>
                </w:tcPr>
                <w:p>
                  <w:pPr>
                    <w:jc w:val="center"/>
                    <w:rPr>
                      <w:color w:val="auto"/>
                      <w:sz w:val="18"/>
                      <w:szCs w:val="18"/>
                      <w:highlight w:val="none"/>
                    </w:rPr>
                  </w:pPr>
                  <w:r>
                    <w:rPr>
                      <w:color w:val="auto"/>
                      <w:sz w:val="18"/>
                      <w:szCs w:val="18"/>
                      <w:highlight w:val="none"/>
                    </w:rPr>
                    <w:t>《山东省医疗机构污染物排放控制标准》（DB37/596-2020）表2</w:t>
                  </w:r>
                </w:p>
              </w:tc>
              <w:tc>
                <w:tcPr>
                  <w:tcW w:w="773" w:type="pct"/>
                  <w:vAlign w:val="center"/>
                </w:tcPr>
                <w:p>
                  <w:pPr>
                    <w:jc w:val="center"/>
                    <w:rPr>
                      <w:color w:val="auto"/>
                      <w:sz w:val="18"/>
                      <w:szCs w:val="18"/>
                      <w:highlight w:val="none"/>
                    </w:rPr>
                  </w:pPr>
                  <w:r>
                    <w:rPr>
                      <w:color w:val="auto"/>
                      <w:sz w:val="18"/>
                      <w:szCs w:val="18"/>
                      <w:highlight w:val="none"/>
                    </w:rPr>
                    <w:t>10（无量纲）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vAlign w:val="center"/>
                </w:tcPr>
                <w:p>
                  <w:pPr>
                    <w:jc w:val="center"/>
                    <w:rPr>
                      <w:color w:val="auto"/>
                      <w:sz w:val="18"/>
                      <w:szCs w:val="18"/>
                      <w:highlight w:val="none"/>
                    </w:rPr>
                  </w:pPr>
                </w:p>
              </w:tc>
              <w:tc>
                <w:tcPr>
                  <w:tcW w:w="718" w:type="pct"/>
                  <w:vAlign w:val="center"/>
                </w:tcPr>
                <w:p>
                  <w:pPr>
                    <w:jc w:val="center"/>
                    <w:rPr>
                      <w:color w:val="auto"/>
                      <w:sz w:val="18"/>
                      <w:szCs w:val="18"/>
                      <w:highlight w:val="none"/>
                    </w:rPr>
                  </w:pPr>
                  <w:r>
                    <w:rPr>
                      <w:color w:val="auto"/>
                      <w:sz w:val="18"/>
                      <w:szCs w:val="18"/>
                      <w:highlight w:val="none"/>
                    </w:rPr>
                    <w:t>氨（氨气）</w:t>
                  </w:r>
                </w:p>
              </w:tc>
              <w:tc>
                <w:tcPr>
                  <w:tcW w:w="866" w:type="pct"/>
                  <w:vAlign w:val="center"/>
                </w:tcPr>
                <w:p>
                  <w:pPr>
                    <w:jc w:val="center"/>
                    <w:rPr>
                      <w:color w:val="auto"/>
                      <w:sz w:val="18"/>
                      <w:szCs w:val="18"/>
                      <w:highlight w:val="none"/>
                    </w:rPr>
                  </w:pPr>
                  <w:r>
                    <w:rPr>
                      <w:color w:val="auto"/>
                      <w:sz w:val="18"/>
                      <w:szCs w:val="18"/>
                      <w:highlight w:val="none"/>
                    </w:rPr>
                    <w:t>1次/季</w:t>
                  </w:r>
                </w:p>
              </w:tc>
              <w:tc>
                <w:tcPr>
                  <w:tcW w:w="1868" w:type="pct"/>
                  <w:vMerge w:val="continue"/>
                </w:tcPr>
                <w:p>
                  <w:pPr>
                    <w:jc w:val="center"/>
                    <w:rPr>
                      <w:color w:val="auto"/>
                      <w:sz w:val="18"/>
                      <w:szCs w:val="18"/>
                      <w:highlight w:val="none"/>
                    </w:rPr>
                  </w:pPr>
                </w:p>
              </w:tc>
              <w:tc>
                <w:tcPr>
                  <w:tcW w:w="773" w:type="pct"/>
                  <w:vAlign w:val="center"/>
                </w:tcPr>
                <w:p>
                  <w:pPr>
                    <w:jc w:val="center"/>
                    <w:rPr>
                      <w:color w:val="auto"/>
                      <w:sz w:val="18"/>
                      <w:szCs w:val="18"/>
                      <w:highlight w:val="none"/>
                    </w:rPr>
                  </w:pPr>
                  <w:r>
                    <w:rPr>
                      <w:color w:val="auto"/>
                      <w:sz w:val="18"/>
                      <w:szCs w:val="18"/>
                      <w:highlight w:val="none"/>
                    </w:rPr>
                    <w:t>0.2mg/m</w:t>
                  </w:r>
                  <w:r>
                    <w:rPr>
                      <w:color w:val="auto"/>
                      <w:sz w:val="18"/>
                      <w:szCs w:val="18"/>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3" w:type="pct"/>
                  <w:vMerge w:val="continue"/>
                  <w:vAlign w:val="center"/>
                </w:tcPr>
                <w:p>
                  <w:pPr>
                    <w:jc w:val="center"/>
                    <w:rPr>
                      <w:color w:val="auto"/>
                      <w:sz w:val="18"/>
                      <w:szCs w:val="18"/>
                      <w:highlight w:val="none"/>
                    </w:rPr>
                  </w:pPr>
                </w:p>
              </w:tc>
              <w:tc>
                <w:tcPr>
                  <w:tcW w:w="718" w:type="pct"/>
                  <w:vAlign w:val="center"/>
                </w:tcPr>
                <w:p>
                  <w:pPr>
                    <w:jc w:val="center"/>
                    <w:rPr>
                      <w:color w:val="auto"/>
                      <w:sz w:val="18"/>
                      <w:szCs w:val="18"/>
                      <w:highlight w:val="none"/>
                    </w:rPr>
                  </w:pPr>
                  <w:r>
                    <w:rPr>
                      <w:color w:val="auto"/>
                      <w:sz w:val="18"/>
                      <w:szCs w:val="18"/>
                      <w:highlight w:val="none"/>
                    </w:rPr>
                    <w:t>硫化氢</w:t>
                  </w:r>
                </w:p>
              </w:tc>
              <w:tc>
                <w:tcPr>
                  <w:tcW w:w="866" w:type="pct"/>
                  <w:vAlign w:val="center"/>
                </w:tcPr>
                <w:p>
                  <w:pPr>
                    <w:jc w:val="center"/>
                    <w:rPr>
                      <w:color w:val="auto"/>
                      <w:sz w:val="18"/>
                      <w:szCs w:val="18"/>
                      <w:highlight w:val="none"/>
                    </w:rPr>
                  </w:pPr>
                  <w:r>
                    <w:rPr>
                      <w:color w:val="auto"/>
                      <w:sz w:val="18"/>
                      <w:szCs w:val="18"/>
                      <w:highlight w:val="none"/>
                    </w:rPr>
                    <w:t>1次/季</w:t>
                  </w:r>
                </w:p>
              </w:tc>
              <w:tc>
                <w:tcPr>
                  <w:tcW w:w="1868" w:type="pct"/>
                  <w:vMerge w:val="continue"/>
                </w:tcPr>
                <w:p>
                  <w:pPr>
                    <w:jc w:val="center"/>
                    <w:rPr>
                      <w:color w:val="auto"/>
                      <w:sz w:val="18"/>
                      <w:szCs w:val="18"/>
                      <w:highlight w:val="none"/>
                    </w:rPr>
                  </w:pPr>
                </w:p>
              </w:tc>
              <w:tc>
                <w:tcPr>
                  <w:tcW w:w="773" w:type="pct"/>
                  <w:vAlign w:val="center"/>
                </w:tcPr>
                <w:p>
                  <w:pPr>
                    <w:jc w:val="center"/>
                    <w:rPr>
                      <w:color w:val="auto"/>
                      <w:sz w:val="18"/>
                      <w:szCs w:val="18"/>
                      <w:highlight w:val="none"/>
                    </w:rPr>
                  </w:pPr>
                  <w:r>
                    <w:rPr>
                      <w:color w:val="auto"/>
                      <w:sz w:val="18"/>
                      <w:szCs w:val="18"/>
                      <w:highlight w:val="none"/>
                    </w:rPr>
                    <w:t>0.02mg/m</w:t>
                  </w:r>
                  <w:r>
                    <w:rPr>
                      <w:color w:val="auto"/>
                      <w:sz w:val="18"/>
                      <w:szCs w:val="18"/>
                      <w:highlight w:val="none"/>
                      <w:vertAlign w:val="superscript"/>
                    </w:rPr>
                    <w:t>3</w:t>
                  </w:r>
                </w:p>
              </w:tc>
            </w:tr>
          </w:tbl>
          <w:p>
            <w:pPr>
              <w:snapToGrid w:val="0"/>
              <w:spacing w:line="360" w:lineRule="auto"/>
              <w:ind w:firstLine="382" w:firstLineChars="200"/>
              <w:rPr>
                <w:b/>
                <w:bCs/>
                <w:color w:val="auto"/>
                <w:spacing w:val="-10"/>
                <w:szCs w:val="21"/>
                <w:highlight w:val="none"/>
              </w:rPr>
            </w:pPr>
            <w:r>
              <w:rPr>
                <w:b/>
                <w:bCs/>
                <w:color w:val="auto"/>
                <w:spacing w:val="-10"/>
                <w:szCs w:val="21"/>
                <w:highlight w:val="none"/>
              </w:rPr>
              <w:t>三、噪声</w:t>
            </w:r>
          </w:p>
          <w:p>
            <w:pPr>
              <w:spacing w:line="360" w:lineRule="auto"/>
              <w:ind w:firstLine="482"/>
              <w:rPr>
                <w:b/>
                <w:bCs/>
                <w:color w:val="auto"/>
                <w:spacing w:val="-10"/>
                <w:szCs w:val="21"/>
                <w:highlight w:val="none"/>
              </w:rPr>
            </w:pPr>
            <w:r>
              <w:rPr>
                <w:b/>
                <w:bCs/>
                <w:color w:val="auto"/>
                <w:spacing w:val="-10"/>
                <w:szCs w:val="21"/>
                <w:highlight w:val="none"/>
              </w:rPr>
              <w:t>3.1噪声产生情况</w:t>
            </w:r>
          </w:p>
          <w:p>
            <w:pPr>
              <w:spacing w:line="360" w:lineRule="auto"/>
              <w:ind w:firstLine="420" w:firstLineChars="200"/>
              <w:rPr>
                <w:color w:val="auto"/>
                <w:highlight w:val="none"/>
              </w:rPr>
            </w:pPr>
            <w:r>
              <w:rPr>
                <w:color w:val="auto"/>
                <w:highlight w:val="none"/>
              </w:rPr>
              <w:t>本项目营运期产生的噪声主要来源于</w:t>
            </w:r>
            <w:r>
              <w:rPr>
                <w:rFonts w:hint="eastAsia"/>
                <w:color w:val="auto"/>
                <w:highlight w:val="none"/>
                <w:lang w:val="en-US" w:eastAsia="zh-CN"/>
              </w:rPr>
              <w:t>交通及</w:t>
            </w:r>
            <w:r>
              <w:rPr>
                <w:color w:val="auto"/>
                <w:highlight w:val="none"/>
              </w:rPr>
              <w:t>污水处理设施设备噪声。</w:t>
            </w:r>
          </w:p>
          <w:p>
            <w:pPr>
              <w:spacing w:line="360" w:lineRule="auto"/>
              <w:ind w:firstLine="420" w:firstLineChars="200"/>
              <w:rPr>
                <w:rFonts w:hint="default" w:eastAsia="宋体"/>
                <w:color w:val="auto"/>
                <w:szCs w:val="21"/>
                <w:highlight w:val="none"/>
                <w:lang w:val="en-US" w:eastAsia="zh-CN"/>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rFonts w:hint="eastAsia"/>
                <w:color w:val="auto"/>
                <w:szCs w:val="21"/>
                <w:highlight w:val="none"/>
                <w:lang w:val="en-US" w:eastAsia="zh-CN"/>
              </w:rPr>
              <w:t>交通噪音</w:t>
            </w:r>
          </w:p>
          <w:p>
            <w:pPr>
              <w:spacing w:line="360" w:lineRule="auto"/>
              <w:ind w:firstLine="420" w:firstLineChars="200"/>
              <w:rPr>
                <w:color w:val="auto"/>
                <w:szCs w:val="21"/>
                <w:highlight w:val="none"/>
              </w:rPr>
            </w:pPr>
            <w:r>
              <w:rPr>
                <w:color w:val="auto"/>
                <w:szCs w:val="21"/>
                <w:highlight w:val="none"/>
              </w:rPr>
              <w:t>交通噪声与车辆的类型、构造、行驶速度、车流量以及道路的结构、宽度、坡度等密切相关，其中又以行驶速度为关键因素。根据调查，车辆在进出停车场时会产生一定的噪声，其源强一般在59～84dB（A），影响范围主要为靠近出入口的周边声环境。进出医院的车辆噪声对周边环境的影响具有短时性特点，而且与环境噪声背景值密切相关，昼间由于人群活动以及周边道路来往车辆等综合影响，环境噪声背景值较大， 其影响不太明显；到了夜间，随着交通流量及人群活动量的减少，环境噪声背景值较低， 其影响较为突出。</w:t>
            </w:r>
          </w:p>
          <w:p>
            <w:pPr>
              <w:spacing w:line="360" w:lineRule="auto"/>
              <w:ind w:firstLine="420" w:firstLineChars="200"/>
              <w:rPr>
                <w:color w:val="auto"/>
                <w:szCs w:val="21"/>
                <w:highlight w:val="none"/>
              </w:rPr>
            </w:pPr>
            <w:r>
              <w:rPr>
                <w:color w:val="auto"/>
                <w:szCs w:val="21"/>
                <w:highlight w:val="none"/>
              </w:rPr>
              <w:t>汽车进出时怠速行驶产生的噪声源强为59～70dB（A），鸣笛的噪声源强为 78～84dB（A），对出入口附近低层的办公和住院环境产生一定影响。由于车辆进出时间随机，一般都是单独车辆进出，因此本评价预测某一车辆进出车库时噪声对周围环境的影响。</w:t>
            </w:r>
          </w:p>
          <w:p>
            <w:pPr>
              <w:spacing w:line="360" w:lineRule="auto"/>
              <w:ind w:firstLine="420" w:firstLineChars="200"/>
              <w:rPr>
                <w:color w:val="auto"/>
                <w:szCs w:val="21"/>
                <w:highlight w:val="none"/>
              </w:rPr>
            </w:pPr>
            <w:r>
              <w:rPr>
                <w:color w:val="auto"/>
                <w:szCs w:val="21"/>
                <w:highlight w:val="none"/>
              </w:rPr>
              <w:t>预测模式：</w:t>
            </w:r>
          </w:p>
          <w:p>
            <w:pPr>
              <w:spacing w:line="360" w:lineRule="auto"/>
              <w:ind w:firstLine="420" w:firstLineChars="200"/>
              <w:rPr>
                <w:color w:val="auto"/>
                <w:szCs w:val="21"/>
                <w:highlight w:val="none"/>
              </w:rPr>
            </w:pPr>
            <w:r>
              <w:rPr>
                <w:color w:val="auto"/>
                <w:highlight w:val="none"/>
              </w:rPr>
              <w:t>不考虑空气吸收、地面效应，其点声源噪声影响预测模式为：</w:t>
            </w:r>
          </w:p>
          <w:p>
            <w:pPr>
              <w:spacing w:line="360" w:lineRule="auto"/>
              <w:ind w:firstLine="420" w:firstLineChars="200"/>
              <w:rPr>
                <w:color w:val="auto"/>
                <w:szCs w:val="21"/>
                <w:highlight w:val="none"/>
              </w:rPr>
            </w:pPr>
            <w:r>
              <w:rPr>
                <w:color w:val="auto"/>
                <w:szCs w:val="21"/>
                <w:highlight w:val="none"/>
              </w:rPr>
              <w:t>L</w:t>
            </w:r>
            <w:r>
              <w:rPr>
                <w:color w:val="auto"/>
                <w:szCs w:val="21"/>
                <w:highlight w:val="none"/>
                <w:vertAlign w:val="subscript"/>
              </w:rPr>
              <w:t>（r）</w:t>
            </w:r>
            <w:r>
              <w:rPr>
                <w:color w:val="auto"/>
                <w:szCs w:val="21"/>
                <w:highlight w:val="none"/>
              </w:rPr>
              <w:t>=L</w:t>
            </w:r>
            <w:r>
              <w:rPr>
                <w:color w:val="auto"/>
                <w:szCs w:val="21"/>
                <w:highlight w:val="none"/>
                <w:vertAlign w:val="subscript"/>
              </w:rPr>
              <w:t>（r0）</w:t>
            </w:r>
            <w:r>
              <w:rPr>
                <w:color w:val="auto"/>
                <w:szCs w:val="21"/>
                <w:highlight w:val="none"/>
              </w:rPr>
              <w:t>-20lg（r/r</w:t>
            </w:r>
            <w:r>
              <w:rPr>
                <w:color w:val="auto"/>
                <w:szCs w:val="21"/>
                <w:highlight w:val="none"/>
                <w:vertAlign w:val="subscript"/>
              </w:rPr>
              <w:t>0</w:t>
            </w:r>
            <w:r>
              <w:rPr>
                <w:color w:val="auto"/>
                <w:szCs w:val="21"/>
                <w:highlight w:val="none"/>
              </w:rPr>
              <w:t>）</w:t>
            </w:r>
          </w:p>
          <w:p>
            <w:pPr>
              <w:spacing w:line="360" w:lineRule="auto"/>
              <w:ind w:firstLine="420" w:firstLineChars="200"/>
              <w:rPr>
                <w:color w:val="auto"/>
                <w:szCs w:val="21"/>
                <w:highlight w:val="none"/>
              </w:rPr>
            </w:pPr>
            <w:r>
              <w:rPr>
                <w:color w:val="auto"/>
                <w:highlight w:val="none"/>
              </w:rPr>
              <w:t>式中，</w:t>
            </w:r>
            <w:r>
              <w:rPr>
                <w:rFonts w:eastAsia="Times New Roman"/>
                <w:color w:val="auto"/>
                <w:highlight w:val="none"/>
              </w:rPr>
              <w:t>L</w:t>
            </w:r>
            <w:r>
              <w:rPr>
                <w:color w:val="auto"/>
                <w:highlight w:val="none"/>
                <w:vertAlign w:val="subscript"/>
              </w:rPr>
              <w:t>（</w:t>
            </w:r>
            <w:r>
              <w:rPr>
                <w:rFonts w:eastAsia="Times New Roman"/>
                <w:color w:val="auto"/>
                <w:highlight w:val="none"/>
                <w:vertAlign w:val="subscript"/>
              </w:rPr>
              <w:t>r</w:t>
            </w:r>
            <w:r>
              <w:rPr>
                <w:color w:val="auto"/>
                <w:highlight w:val="none"/>
                <w:vertAlign w:val="subscript"/>
              </w:rPr>
              <w:t>）</w:t>
            </w:r>
            <w:r>
              <w:rPr>
                <w:rFonts w:eastAsia="Times New Roman"/>
                <w:color w:val="auto"/>
                <w:highlight w:val="none"/>
              </w:rPr>
              <w:t>——</w:t>
            </w:r>
            <w:r>
              <w:rPr>
                <w:color w:val="auto"/>
                <w:highlight w:val="none"/>
              </w:rPr>
              <w:t xml:space="preserve">距离声源 </w:t>
            </w:r>
            <w:r>
              <w:rPr>
                <w:rFonts w:eastAsia="Times New Roman"/>
                <w:color w:val="auto"/>
                <w:highlight w:val="none"/>
              </w:rPr>
              <w:t xml:space="preserve">r m </w:t>
            </w:r>
            <w:r>
              <w:rPr>
                <w:color w:val="auto"/>
                <w:highlight w:val="none"/>
              </w:rPr>
              <w:t>处噪声预测值，</w:t>
            </w:r>
            <w:r>
              <w:rPr>
                <w:rFonts w:eastAsia="Times New Roman"/>
                <w:color w:val="auto"/>
                <w:highlight w:val="none"/>
              </w:rPr>
              <w:t>dB(A)</w:t>
            </w:r>
            <w:r>
              <w:rPr>
                <w:color w:val="auto"/>
                <w:highlight w:val="none"/>
              </w:rPr>
              <w:t>；</w:t>
            </w:r>
          </w:p>
          <w:p>
            <w:pPr>
              <w:spacing w:line="360" w:lineRule="auto"/>
              <w:ind w:firstLine="1050" w:firstLineChars="500"/>
              <w:rPr>
                <w:color w:val="auto"/>
                <w:szCs w:val="21"/>
                <w:highlight w:val="none"/>
              </w:rPr>
            </w:pPr>
            <w:r>
              <w:rPr>
                <w:rFonts w:eastAsia="Times New Roman"/>
                <w:color w:val="auto"/>
                <w:position w:val="1"/>
                <w:highlight w:val="none"/>
              </w:rPr>
              <w:t>L</w:t>
            </w:r>
            <w:r>
              <w:rPr>
                <w:rFonts w:eastAsia="Times New Roman"/>
                <w:color w:val="auto"/>
                <w:position w:val="1"/>
                <w:highlight w:val="none"/>
                <w:vertAlign w:val="subscript"/>
              </w:rPr>
              <w:t>(r</w:t>
            </w:r>
            <w:r>
              <w:rPr>
                <w:rFonts w:eastAsia="Times New Roman"/>
                <w:color w:val="auto"/>
                <w:sz w:val="16"/>
                <w:highlight w:val="none"/>
                <w:vertAlign w:val="subscript"/>
              </w:rPr>
              <w:t>0</w:t>
            </w:r>
            <w:r>
              <w:rPr>
                <w:rFonts w:eastAsia="Times New Roman"/>
                <w:color w:val="auto"/>
                <w:position w:val="1"/>
                <w:highlight w:val="none"/>
                <w:vertAlign w:val="subscript"/>
              </w:rPr>
              <w:t xml:space="preserve">) </w:t>
            </w:r>
            <w:r>
              <w:rPr>
                <w:rFonts w:eastAsia="Times New Roman"/>
                <w:color w:val="auto"/>
                <w:position w:val="1"/>
                <w:highlight w:val="none"/>
              </w:rPr>
              <w:t>——</w:t>
            </w:r>
            <w:r>
              <w:rPr>
                <w:color w:val="auto"/>
                <w:position w:val="1"/>
                <w:highlight w:val="none"/>
              </w:rPr>
              <w:t xml:space="preserve">声源 </w:t>
            </w:r>
            <w:r>
              <w:rPr>
                <w:rFonts w:eastAsia="Times New Roman"/>
                <w:color w:val="auto"/>
                <w:position w:val="1"/>
                <w:highlight w:val="none"/>
              </w:rPr>
              <w:t xml:space="preserve">r0 m </w:t>
            </w:r>
            <w:r>
              <w:rPr>
                <w:color w:val="auto"/>
                <w:position w:val="1"/>
                <w:highlight w:val="none"/>
              </w:rPr>
              <w:t>处的参考声级，</w:t>
            </w:r>
            <w:r>
              <w:rPr>
                <w:rFonts w:eastAsia="Times New Roman"/>
                <w:color w:val="auto"/>
                <w:position w:val="1"/>
                <w:highlight w:val="none"/>
              </w:rPr>
              <w:t>dB(A)</w:t>
            </w:r>
            <w:r>
              <w:rPr>
                <w:color w:val="auto"/>
                <w:position w:val="1"/>
                <w:highlight w:val="none"/>
              </w:rPr>
              <w:t>；</w:t>
            </w:r>
          </w:p>
          <w:p>
            <w:pPr>
              <w:spacing w:line="360" w:lineRule="auto"/>
              <w:ind w:firstLine="1050" w:firstLineChars="500"/>
              <w:rPr>
                <w:color w:val="auto"/>
                <w:highlight w:val="none"/>
              </w:rPr>
            </w:pPr>
            <w:r>
              <w:rPr>
                <w:rFonts w:eastAsia="Times New Roman"/>
                <w:color w:val="auto"/>
                <w:highlight w:val="none"/>
              </w:rPr>
              <w:t>r ——</w:t>
            </w:r>
            <w:r>
              <w:rPr>
                <w:color w:val="auto"/>
                <w:highlight w:val="none"/>
              </w:rPr>
              <w:t>预测点与声源之间的距离，</w:t>
            </w:r>
            <w:r>
              <w:rPr>
                <w:rFonts w:eastAsia="Times New Roman"/>
                <w:color w:val="auto"/>
                <w:highlight w:val="none"/>
              </w:rPr>
              <w:t>m</w:t>
            </w:r>
            <w:r>
              <w:rPr>
                <w:color w:val="auto"/>
                <w:highlight w:val="none"/>
              </w:rPr>
              <w:t>；</w:t>
            </w:r>
          </w:p>
          <w:p>
            <w:pPr>
              <w:spacing w:line="360" w:lineRule="auto"/>
              <w:ind w:firstLine="1050" w:firstLineChars="500"/>
              <w:rPr>
                <w:color w:val="auto"/>
                <w:highlight w:val="none"/>
              </w:rPr>
            </w:pPr>
            <w:r>
              <w:rPr>
                <w:rFonts w:eastAsia="Times New Roman"/>
                <w:color w:val="auto"/>
                <w:highlight w:val="none"/>
              </w:rPr>
              <w:t>r</w:t>
            </w:r>
            <w:r>
              <w:rPr>
                <w:rFonts w:eastAsia="Times New Roman"/>
                <w:color w:val="auto"/>
                <w:highlight w:val="none"/>
                <w:vertAlign w:val="subscript"/>
              </w:rPr>
              <w:t>0</w:t>
            </w:r>
            <w:r>
              <w:rPr>
                <w:rFonts w:eastAsia="Times New Roman"/>
                <w:color w:val="auto"/>
                <w:highlight w:val="none"/>
              </w:rPr>
              <w:t>——</w:t>
            </w:r>
            <w:r>
              <w:rPr>
                <w:color w:val="auto"/>
                <w:highlight w:val="none"/>
              </w:rPr>
              <w:t>为参考点距离，</w:t>
            </w:r>
            <w:r>
              <w:rPr>
                <w:rFonts w:eastAsia="Times New Roman"/>
                <w:color w:val="auto"/>
                <w:highlight w:val="none"/>
              </w:rPr>
              <w:t>m</w:t>
            </w:r>
            <w:r>
              <w:rPr>
                <w:color w:val="auto"/>
                <w:highlight w:val="none"/>
              </w:rPr>
              <w:t>；</w:t>
            </w:r>
          </w:p>
          <w:p>
            <w:pPr>
              <w:spacing w:line="360" w:lineRule="auto"/>
              <w:ind w:firstLine="420" w:firstLineChars="200"/>
              <w:rPr>
                <w:color w:val="auto"/>
                <w:szCs w:val="21"/>
                <w:highlight w:val="none"/>
              </w:rPr>
            </w:pPr>
            <w:r>
              <w:rPr>
                <w:color w:val="auto"/>
                <w:highlight w:val="none"/>
              </w:rPr>
              <w:t>汽车进出时怠速产生的噪声源强取</w:t>
            </w:r>
            <w:r>
              <w:rPr>
                <w:rFonts w:eastAsia="Times New Roman"/>
                <w:color w:val="auto"/>
                <w:highlight w:val="none"/>
              </w:rPr>
              <w:t>70dB(A)</w:t>
            </w:r>
            <w:r>
              <w:rPr>
                <w:color w:val="auto"/>
                <w:highlight w:val="none"/>
              </w:rPr>
              <w:t>，噪声随距离衰减计算结果见</w:t>
            </w:r>
            <w:r>
              <w:rPr>
                <w:rFonts w:hint="eastAsia"/>
                <w:color w:val="auto"/>
                <w:highlight w:val="none"/>
                <w:lang w:val="en-US" w:eastAsia="zh-CN"/>
              </w:rPr>
              <w:t>下</w:t>
            </w:r>
            <w:r>
              <w:rPr>
                <w:color w:val="auto"/>
                <w:highlight w:val="none"/>
              </w:rPr>
              <w:t>表。</w:t>
            </w:r>
          </w:p>
          <w:p>
            <w:pPr>
              <w:jc w:val="center"/>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表4</w:t>
            </w:r>
            <w:r>
              <w:rPr>
                <w:rFonts w:hint="eastAsia" w:ascii="Times New Roman" w:hAnsi="Times New Roman" w:eastAsia="宋体" w:cs="Times New Roman"/>
                <w:b/>
                <w:bCs/>
                <w:color w:val="auto"/>
                <w:highlight w:val="none"/>
              </w:rPr>
              <w:t>-</w:t>
            </w:r>
            <w:r>
              <w:rPr>
                <w:rFonts w:hint="eastAsia" w:cs="Times New Roman"/>
                <w:b/>
                <w:bCs/>
                <w:color w:val="auto"/>
                <w:highlight w:val="none"/>
                <w:lang w:val="en-US" w:eastAsia="zh-CN"/>
              </w:rPr>
              <w:t>19</w:t>
            </w:r>
            <w:r>
              <w:rPr>
                <w:rFonts w:ascii="Times New Roman" w:hAnsi="Times New Roman" w:eastAsia="宋体" w:cs="Times New Roman"/>
                <w:b/>
                <w:bCs/>
                <w:color w:val="auto"/>
                <w:highlight w:val="none"/>
              </w:rPr>
              <w:t xml:space="preserve">  地下车库汽车行驶噪声随距离衰减计算结果  单位：dB(A)</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766"/>
              <w:gridCol w:w="767"/>
              <w:gridCol w:w="767"/>
              <w:gridCol w:w="767"/>
              <w:gridCol w:w="767"/>
              <w:gridCol w:w="767"/>
              <w:gridCol w:w="767"/>
              <w:gridCol w:w="767"/>
              <w:gridCol w:w="7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tcBorders>
                    <w:top w:val="single" w:color="auto" w:sz="4" w:space="0"/>
                    <w:left w:val="single" w:color="auto" w:sz="0" w:space="0"/>
                  </w:tcBorders>
                  <w:shd w:val="clear" w:color="auto" w:fill="auto"/>
                  <w:vAlign w:val="center"/>
                </w:tcPr>
                <w:p>
                  <w:pPr>
                    <w:jc w:val="center"/>
                    <w:rPr>
                      <w:color w:val="auto"/>
                      <w:szCs w:val="21"/>
                      <w:highlight w:val="none"/>
                    </w:rPr>
                  </w:pPr>
                  <w:r>
                    <w:rPr>
                      <w:color w:val="auto"/>
                      <w:szCs w:val="21"/>
                      <w:highlight w:val="none"/>
                    </w:rPr>
                    <w:t>距离</w:t>
                  </w:r>
                </w:p>
              </w:tc>
              <w:tc>
                <w:tcPr>
                  <w:tcW w:w="463" w:type="pct"/>
                  <w:tcBorders>
                    <w:top w:val="single" w:color="auto" w:sz="4" w:space="0"/>
                  </w:tcBorders>
                  <w:shd w:val="clear" w:color="auto" w:fill="auto"/>
                  <w:vAlign w:val="center"/>
                </w:tcPr>
                <w:p>
                  <w:pPr>
                    <w:jc w:val="center"/>
                    <w:rPr>
                      <w:color w:val="auto"/>
                      <w:szCs w:val="21"/>
                      <w:highlight w:val="none"/>
                    </w:rPr>
                  </w:pPr>
                  <w:r>
                    <w:rPr>
                      <w:color w:val="auto"/>
                      <w:szCs w:val="21"/>
                      <w:highlight w:val="none"/>
                    </w:rPr>
                    <w:t>源强</w:t>
                  </w:r>
                </w:p>
              </w:tc>
              <w:tc>
                <w:tcPr>
                  <w:tcW w:w="463" w:type="pct"/>
                  <w:tcBorders>
                    <w:top w:val="single" w:color="auto" w:sz="4" w:space="0"/>
                  </w:tcBorders>
                  <w:shd w:val="clear" w:color="auto" w:fill="auto"/>
                  <w:vAlign w:val="center"/>
                </w:tcPr>
                <w:p>
                  <w:pPr>
                    <w:jc w:val="center"/>
                    <w:rPr>
                      <w:color w:val="auto"/>
                      <w:szCs w:val="21"/>
                      <w:highlight w:val="none"/>
                    </w:rPr>
                  </w:pPr>
                  <w:r>
                    <w:rPr>
                      <w:color w:val="auto"/>
                      <w:szCs w:val="21"/>
                      <w:highlight w:val="none"/>
                    </w:rPr>
                    <w:t>5m</w:t>
                  </w:r>
                </w:p>
              </w:tc>
              <w:tc>
                <w:tcPr>
                  <w:tcW w:w="463" w:type="pct"/>
                  <w:tcBorders>
                    <w:top w:val="single" w:color="auto" w:sz="4" w:space="0"/>
                  </w:tcBorders>
                  <w:shd w:val="clear" w:color="auto" w:fill="auto"/>
                  <w:vAlign w:val="center"/>
                </w:tcPr>
                <w:p>
                  <w:pPr>
                    <w:jc w:val="center"/>
                    <w:rPr>
                      <w:color w:val="auto"/>
                      <w:szCs w:val="21"/>
                      <w:highlight w:val="none"/>
                    </w:rPr>
                  </w:pPr>
                  <w:r>
                    <w:rPr>
                      <w:color w:val="auto"/>
                      <w:szCs w:val="21"/>
                      <w:highlight w:val="none"/>
                    </w:rPr>
                    <w:t>10m</w:t>
                  </w:r>
                </w:p>
              </w:tc>
              <w:tc>
                <w:tcPr>
                  <w:tcW w:w="463" w:type="pct"/>
                  <w:tcBorders>
                    <w:top w:val="single" w:color="auto" w:sz="4" w:space="0"/>
                  </w:tcBorders>
                  <w:shd w:val="clear" w:color="auto" w:fill="auto"/>
                  <w:vAlign w:val="center"/>
                </w:tcPr>
                <w:p>
                  <w:pPr>
                    <w:jc w:val="center"/>
                    <w:rPr>
                      <w:color w:val="auto"/>
                      <w:szCs w:val="21"/>
                      <w:highlight w:val="none"/>
                    </w:rPr>
                  </w:pPr>
                  <w:r>
                    <w:rPr>
                      <w:color w:val="auto"/>
                      <w:szCs w:val="21"/>
                      <w:highlight w:val="none"/>
                    </w:rPr>
                    <w:t>15m</w:t>
                  </w:r>
                </w:p>
              </w:tc>
              <w:tc>
                <w:tcPr>
                  <w:tcW w:w="463" w:type="pct"/>
                  <w:tcBorders>
                    <w:top w:val="single" w:color="auto" w:sz="4" w:space="0"/>
                  </w:tcBorders>
                  <w:shd w:val="clear" w:color="auto" w:fill="auto"/>
                  <w:vAlign w:val="center"/>
                </w:tcPr>
                <w:p>
                  <w:pPr>
                    <w:jc w:val="center"/>
                    <w:rPr>
                      <w:color w:val="auto"/>
                      <w:szCs w:val="21"/>
                      <w:highlight w:val="none"/>
                    </w:rPr>
                  </w:pPr>
                  <w:r>
                    <w:rPr>
                      <w:color w:val="auto"/>
                      <w:szCs w:val="21"/>
                      <w:highlight w:val="none"/>
                    </w:rPr>
                    <w:t>20m</w:t>
                  </w:r>
                </w:p>
              </w:tc>
              <w:tc>
                <w:tcPr>
                  <w:tcW w:w="463" w:type="pct"/>
                  <w:tcBorders>
                    <w:top w:val="single" w:color="auto" w:sz="4" w:space="0"/>
                  </w:tcBorders>
                  <w:shd w:val="clear" w:color="auto" w:fill="auto"/>
                  <w:vAlign w:val="center"/>
                </w:tcPr>
                <w:p>
                  <w:pPr>
                    <w:jc w:val="center"/>
                    <w:rPr>
                      <w:color w:val="auto"/>
                      <w:szCs w:val="21"/>
                      <w:highlight w:val="none"/>
                    </w:rPr>
                  </w:pPr>
                  <w:r>
                    <w:rPr>
                      <w:color w:val="auto"/>
                      <w:szCs w:val="21"/>
                      <w:highlight w:val="none"/>
                    </w:rPr>
                    <w:t>25m</w:t>
                  </w:r>
                </w:p>
              </w:tc>
              <w:tc>
                <w:tcPr>
                  <w:tcW w:w="463" w:type="pct"/>
                  <w:tcBorders>
                    <w:top w:val="single" w:color="auto" w:sz="4" w:space="0"/>
                  </w:tcBorders>
                  <w:shd w:val="clear" w:color="auto" w:fill="auto"/>
                  <w:vAlign w:val="center"/>
                </w:tcPr>
                <w:p>
                  <w:pPr>
                    <w:jc w:val="center"/>
                    <w:rPr>
                      <w:color w:val="auto"/>
                      <w:szCs w:val="21"/>
                      <w:highlight w:val="none"/>
                    </w:rPr>
                  </w:pPr>
                  <w:r>
                    <w:rPr>
                      <w:color w:val="auto"/>
                      <w:szCs w:val="21"/>
                      <w:highlight w:val="none"/>
                    </w:rPr>
                    <w:t>30m</w:t>
                  </w:r>
                </w:p>
              </w:tc>
              <w:tc>
                <w:tcPr>
                  <w:tcW w:w="463" w:type="pct"/>
                  <w:tcBorders>
                    <w:top w:val="single" w:color="auto" w:sz="4" w:space="0"/>
                  </w:tcBorders>
                  <w:shd w:val="clear" w:color="auto" w:fill="auto"/>
                  <w:vAlign w:val="center"/>
                </w:tcPr>
                <w:p>
                  <w:pPr>
                    <w:jc w:val="center"/>
                    <w:rPr>
                      <w:color w:val="auto"/>
                      <w:szCs w:val="21"/>
                      <w:highlight w:val="none"/>
                    </w:rPr>
                  </w:pPr>
                  <w:r>
                    <w:rPr>
                      <w:color w:val="auto"/>
                      <w:szCs w:val="21"/>
                      <w:highlight w:val="none"/>
                    </w:rPr>
                    <w:t>35m</w:t>
                  </w:r>
                </w:p>
              </w:tc>
              <w:tc>
                <w:tcPr>
                  <w:tcW w:w="461" w:type="pct"/>
                  <w:tcBorders>
                    <w:top w:val="single" w:color="auto" w:sz="4" w:space="0"/>
                    <w:right w:val="single" w:color="auto" w:sz="4" w:space="0"/>
                  </w:tcBorders>
                  <w:shd w:val="clear" w:color="auto" w:fill="auto"/>
                  <w:vAlign w:val="center"/>
                </w:tcPr>
                <w:p>
                  <w:pPr>
                    <w:jc w:val="center"/>
                    <w:rPr>
                      <w:color w:val="auto"/>
                      <w:szCs w:val="21"/>
                      <w:highlight w:val="none"/>
                    </w:rPr>
                  </w:pPr>
                  <w:r>
                    <w:rPr>
                      <w:color w:val="auto"/>
                      <w:szCs w:val="21"/>
                      <w:highlight w:val="none"/>
                    </w:rPr>
                    <w:t>40m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5" w:type="pct"/>
                  <w:tcBorders>
                    <w:left w:val="single" w:color="auto" w:sz="4" w:space="0"/>
                    <w:bottom w:val="single" w:color="auto" w:sz="4" w:space="0"/>
                  </w:tcBorders>
                  <w:shd w:val="clear" w:color="auto" w:fill="auto"/>
                  <w:vAlign w:val="center"/>
                </w:tcPr>
                <w:p>
                  <w:pPr>
                    <w:jc w:val="center"/>
                    <w:rPr>
                      <w:color w:val="auto"/>
                      <w:szCs w:val="21"/>
                      <w:highlight w:val="none"/>
                    </w:rPr>
                  </w:pPr>
                  <w:r>
                    <w:rPr>
                      <w:color w:val="auto"/>
                      <w:szCs w:val="21"/>
                      <w:highlight w:val="none"/>
                    </w:rPr>
                    <w:t>噪声值</w:t>
                  </w:r>
                </w:p>
              </w:tc>
              <w:tc>
                <w:tcPr>
                  <w:tcW w:w="463" w:type="pct"/>
                  <w:tcBorders>
                    <w:bottom w:val="single" w:color="auto" w:sz="4" w:space="0"/>
                  </w:tcBorders>
                  <w:shd w:val="clear" w:color="auto" w:fill="auto"/>
                  <w:vAlign w:val="center"/>
                </w:tcPr>
                <w:p>
                  <w:pPr>
                    <w:jc w:val="center"/>
                    <w:rPr>
                      <w:color w:val="auto"/>
                      <w:szCs w:val="21"/>
                      <w:highlight w:val="none"/>
                    </w:rPr>
                  </w:pPr>
                  <w:r>
                    <w:rPr>
                      <w:color w:val="auto"/>
                      <w:szCs w:val="21"/>
                      <w:highlight w:val="none"/>
                    </w:rPr>
                    <w:t>70</w:t>
                  </w:r>
                </w:p>
              </w:tc>
              <w:tc>
                <w:tcPr>
                  <w:tcW w:w="463" w:type="pct"/>
                  <w:tcBorders>
                    <w:bottom w:val="single" w:color="auto" w:sz="4" w:space="0"/>
                  </w:tcBorders>
                  <w:shd w:val="clear" w:color="auto" w:fill="auto"/>
                  <w:vAlign w:val="center"/>
                </w:tcPr>
                <w:p>
                  <w:pPr>
                    <w:jc w:val="center"/>
                    <w:rPr>
                      <w:color w:val="auto"/>
                      <w:szCs w:val="21"/>
                      <w:highlight w:val="none"/>
                    </w:rPr>
                  </w:pPr>
                  <w:r>
                    <w:rPr>
                      <w:color w:val="auto"/>
                      <w:szCs w:val="21"/>
                      <w:highlight w:val="none"/>
                    </w:rPr>
                    <w:t>70</w:t>
                  </w:r>
                </w:p>
              </w:tc>
              <w:tc>
                <w:tcPr>
                  <w:tcW w:w="463" w:type="pct"/>
                  <w:tcBorders>
                    <w:bottom w:val="single" w:color="auto" w:sz="4" w:space="0"/>
                  </w:tcBorders>
                  <w:shd w:val="clear" w:color="auto" w:fill="auto"/>
                  <w:vAlign w:val="center"/>
                </w:tcPr>
                <w:p>
                  <w:pPr>
                    <w:jc w:val="center"/>
                    <w:rPr>
                      <w:color w:val="auto"/>
                      <w:szCs w:val="21"/>
                      <w:highlight w:val="none"/>
                    </w:rPr>
                  </w:pPr>
                  <w:r>
                    <w:rPr>
                      <w:color w:val="auto"/>
                      <w:szCs w:val="21"/>
                      <w:highlight w:val="none"/>
                    </w:rPr>
                    <w:t>56</w:t>
                  </w:r>
                </w:p>
              </w:tc>
              <w:tc>
                <w:tcPr>
                  <w:tcW w:w="463" w:type="pct"/>
                  <w:tcBorders>
                    <w:bottom w:val="single" w:color="auto" w:sz="4" w:space="0"/>
                  </w:tcBorders>
                  <w:shd w:val="clear" w:color="auto" w:fill="auto"/>
                  <w:vAlign w:val="center"/>
                </w:tcPr>
                <w:p>
                  <w:pPr>
                    <w:jc w:val="center"/>
                    <w:rPr>
                      <w:color w:val="auto"/>
                      <w:szCs w:val="21"/>
                      <w:highlight w:val="none"/>
                    </w:rPr>
                  </w:pPr>
                  <w:r>
                    <w:rPr>
                      <w:color w:val="auto"/>
                      <w:szCs w:val="21"/>
                      <w:highlight w:val="none"/>
                    </w:rPr>
                    <w:t>50</w:t>
                  </w:r>
                </w:p>
              </w:tc>
              <w:tc>
                <w:tcPr>
                  <w:tcW w:w="463" w:type="pct"/>
                  <w:tcBorders>
                    <w:bottom w:val="single" w:color="auto" w:sz="4" w:space="0"/>
                  </w:tcBorders>
                  <w:shd w:val="clear" w:color="auto" w:fill="auto"/>
                  <w:vAlign w:val="center"/>
                </w:tcPr>
                <w:p>
                  <w:pPr>
                    <w:jc w:val="center"/>
                    <w:rPr>
                      <w:color w:val="auto"/>
                      <w:szCs w:val="21"/>
                      <w:highlight w:val="none"/>
                    </w:rPr>
                  </w:pPr>
                  <w:r>
                    <w:rPr>
                      <w:color w:val="auto"/>
                      <w:szCs w:val="21"/>
                      <w:highlight w:val="none"/>
                    </w:rPr>
                    <w:t>46.5</w:t>
                  </w:r>
                </w:p>
              </w:tc>
              <w:tc>
                <w:tcPr>
                  <w:tcW w:w="463" w:type="pct"/>
                  <w:tcBorders>
                    <w:bottom w:val="single" w:color="auto" w:sz="4" w:space="0"/>
                  </w:tcBorders>
                  <w:shd w:val="clear" w:color="auto" w:fill="auto"/>
                  <w:vAlign w:val="center"/>
                </w:tcPr>
                <w:p>
                  <w:pPr>
                    <w:jc w:val="center"/>
                    <w:rPr>
                      <w:color w:val="auto"/>
                      <w:szCs w:val="21"/>
                      <w:highlight w:val="none"/>
                    </w:rPr>
                  </w:pPr>
                  <w:r>
                    <w:rPr>
                      <w:color w:val="auto"/>
                      <w:szCs w:val="21"/>
                      <w:highlight w:val="none"/>
                    </w:rPr>
                    <w:t>44</w:t>
                  </w:r>
                </w:p>
              </w:tc>
              <w:tc>
                <w:tcPr>
                  <w:tcW w:w="463" w:type="pct"/>
                  <w:tcBorders>
                    <w:bottom w:val="single" w:color="auto" w:sz="4" w:space="0"/>
                  </w:tcBorders>
                  <w:shd w:val="clear" w:color="auto" w:fill="auto"/>
                  <w:vAlign w:val="center"/>
                </w:tcPr>
                <w:p>
                  <w:pPr>
                    <w:jc w:val="center"/>
                    <w:rPr>
                      <w:color w:val="auto"/>
                      <w:szCs w:val="21"/>
                      <w:highlight w:val="none"/>
                    </w:rPr>
                  </w:pPr>
                  <w:r>
                    <w:rPr>
                      <w:color w:val="auto"/>
                      <w:szCs w:val="21"/>
                      <w:highlight w:val="none"/>
                    </w:rPr>
                    <w:t>42</w:t>
                  </w:r>
                </w:p>
              </w:tc>
              <w:tc>
                <w:tcPr>
                  <w:tcW w:w="463" w:type="pct"/>
                  <w:tcBorders>
                    <w:bottom w:val="single" w:color="auto" w:sz="4" w:space="0"/>
                  </w:tcBorders>
                  <w:shd w:val="clear" w:color="auto" w:fill="auto"/>
                  <w:vAlign w:val="center"/>
                </w:tcPr>
                <w:p>
                  <w:pPr>
                    <w:jc w:val="center"/>
                    <w:rPr>
                      <w:color w:val="auto"/>
                      <w:szCs w:val="21"/>
                      <w:highlight w:val="none"/>
                    </w:rPr>
                  </w:pPr>
                  <w:r>
                    <w:rPr>
                      <w:color w:val="auto"/>
                      <w:szCs w:val="21"/>
                      <w:highlight w:val="none"/>
                    </w:rPr>
                    <w:t>40.5</w:t>
                  </w:r>
                </w:p>
              </w:tc>
              <w:tc>
                <w:tcPr>
                  <w:tcW w:w="461" w:type="pct"/>
                  <w:tcBorders>
                    <w:bottom w:val="single" w:color="auto" w:sz="4" w:space="0"/>
                    <w:right w:val="single" w:color="auto" w:sz="4" w:space="0"/>
                  </w:tcBorders>
                  <w:shd w:val="clear" w:color="auto" w:fill="auto"/>
                  <w:vAlign w:val="center"/>
                </w:tcPr>
                <w:p>
                  <w:pPr>
                    <w:jc w:val="center"/>
                    <w:rPr>
                      <w:color w:val="auto"/>
                      <w:szCs w:val="21"/>
                      <w:highlight w:val="none"/>
                    </w:rPr>
                  </w:pPr>
                  <w:r>
                    <w:rPr>
                      <w:color w:val="auto"/>
                      <w:szCs w:val="21"/>
                      <w:highlight w:val="none"/>
                    </w:rPr>
                    <w:t>39</w:t>
                  </w:r>
                </w:p>
              </w:tc>
            </w:tr>
          </w:tbl>
          <w:p>
            <w:pPr>
              <w:spacing w:line="360" w:lineRule="auto"/>
              <w:ind w:firstLine="420" w:firstLineChars="200"/>
              <w:rPr>
                <w:color w:val="auto"/>
                <w:szCs w:val="21"/>
                <w:highlight w:val="none"/>
              </w:rPr>
            </w:pPr>
            <w:r>
              <w:rPr>
                <w:color w:val="auto"/>
                <w:szCs w:val="21"/>
                <w:highlight w:val="none"/>
              </w:rPr>
              <w:t>由预测结果可知，汽车行驶噪声在10m外的噪声值衰减为 50dB（A），再加上墙体、玻璃隔声后，汽车行驶噪声对周边环境的影响很小。</w:t>
            </w:r>
          </w:p>
          <w:p>
            <w:pPr>
              <w:spacing w:line="360" w:lineRule="auto"/>
              <w:ind w:firstLine="420" w:firstLineChars="200"/>
              <w:rPr>
                <w:color w:val="auto"/>
                <w:szCs w:val="21"/>
                <w:highlight w:val="none"/>
              </w:rPr>
            </w:pPr>
            <w:r>
              <w:rPr>
                <w:color w:val="auto"/>
                <w:szCs w:val="21"/>
                <w:highlight w:val="none"/>
              </w:rPr>
              <w:t>汽车鸣笛的噪声源强为78～84dB（A），院区内道路及车库应设置禁止鸣笛标志，以避免鸣笛噪声对病房及周边居民的影响。</w:t>
            </w:r>
          </w:p>
          <w:p>
            <w:pPr>
              <w:spacing w:line="360" w:lineRule="auto"/>
              <w:ind w:firstLine="420" w:firstLineChars="200"/>
              <w:rPr>
                <w:color w:val="auto"/>
                <w:szCs w:val="21"/>
                <w:highlight w:val="none"/>
              </w:rPr>
            </w:pPr>
            <w:r>
              <w:rPr>
                <w:color w:val="auto"/>
                <w:szCs w:val="21"/>
                <w:highlight w:val="none"/>
              </w:rPr>
              <w:t>随着该项目的投入运营，进出项目区域的人员车辆迅速增加，为防止发生噪声扰民， 确保对地下车库出入口汽车噪声进行有效阻隔，本评价建议项目在地下车库出入口通道上设置吸声、隔声顶棚，以有效降低机动车在出入过程中的噪声影响，同时，出入口应在相应位置按照规范设置醒目的限速和禁鸣喇叭标志，运营期管理部门加强对进出车辆的管理，确保地下车库出入口汽车噪声对相邻低层的楼层和办公环境不会造成干扰影响。</w:t>
            </w:r>
          </w:p>
          <w:p>
            <w:pPr>
              <w:spacing w:line="360" w:lineRule="auto"/>
              <w:ind w:firstLine="420"/>
              <w:jc w:val="left"/>
              <w:rPr>
                <w:rFonts w:hint="default" w:eastAsia="宋体"/>
                <w:b/>
                <w:bCs/>
                <w:color w:val="auto"/>
                <w:spacing w:val="-10"/>
                <w:szCs w:val="21"/>
                <w:highlight w:val="none"/>
                <w:lang w:val="en-US" w:eastAsia="zh-CN"/>
              </w:rPr>
            </w:pPr>
            <w:r>
              <w:rPr>
                <w:rFonts w:hint="eastAsia"/>
                <w:b/>
                <w:bCs/>
                <w:color w:val="auto"/>
                <w:spacing w:val="-10"/>
                <w:szCs w:val="21"/>
                <w:highlight w:val="none"/>
                <w:lang w:eastAsia="zh-CN"/>
              </w:rPr>
              <w:t>（</w:t>
            </w:r>
            <w:r>
              <w:rPr>
                <w:rFonts w:hint="eastAsia"/>
                <w:b/>
                <w:bCs/>
                <w:color w:val="auto"/>
                <w:spacing w:val="-10"/>
                <w:szCs w:val="21"/>
                <w:highlight w:val="none"/>
                <w:lang w:val="en-US" w:eastAsia="zh-CN"/>
              </w:rPr>
              <w:t>2</w:t>
            </w:r>
            <w:r>
              <w:rPr>
                <w:rFonts w:hint="eastAsia"/>
                <w:b/>
                <w:bCs/>
                <w:color w:val="auto"/>
                <w:spacing w:val="-10"/>
                <w:szCs w:val="21"/>
                <w:highlight w:val="none"/>
                <w:lang w:eastAsia="zh-CN"/>
              </w:rPr>
              <w:t>）</w:t>
            </w:r>
            <w:r>
              <w:rPr>
                <w:rFonts w:hint="eastAsia"/>
                <w:b/>
                <w:bCs/>
                <w:color w:val="auto"/>
                <w:spacing w:val="-10"/>
                <w:szCs w:val="21"/>
                <w:highlight w:val="none"/>
                <w:lang w:val="en-US" w:eastAsia="zh-CN"/>
              </w:rPr>
              <w:t>室内噪音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sz w:val="21"/>
                <w:szCs w:val="21"/>
                <w:highlight w:val="none"/>
                <w:lang w:val="en-US"/>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rFonts w:hint="eastAsia"/>
                <w:color w:val="auto"/>
                <w:szCs w:val="21"/>
                <w:highlight w:val="none"/>
                <w:lang w:val="en-US" w:eastAsia="zh-CN"/>
              </w:rPr>
              <w:t>噪音源强分析</w:t>
            </w:r>
          </w:p>
          <w:p>
            <w:pPr>
              <w:spacing w:line="360" w:lineRule="auto"/>
              <w:ind w:firstLine="420" w:firstLineChars="200"/>
              <w:rPr>
                <w:color w:val="auto"/>
                <w:szCs w:val="21"/>
                <w:highlight w:val="none"/>
              </w:rPr>
            </w:pPr>
            <w:r>
              <w:rPr>
                <w:color w:val="auto"/>
                <w:szCs w:val="21"/>
                <w:highlight w:val="none"/>
              </w:rPr>
              <w:t>本项目产生的噪声主要为</w:t>
            </w:r>
            <w:r>
              <w:rPr>
                <w:rFonts w:hint="eastAsia"/>
                <w:color w:val="auto"/>
                <w:szCs w:val="21"/>
                <w:highlight w:val="none"/>
                <w:lang w:val="en-US" w:eastAsia="zh-CN"/>
              </w:rPr>
              <w:t>消毒剂</w:t>
            </w:r>
            <w:r>
              <w:rPr>
                <w:rFonts w:hint="eastAsia"/>
                <w:color w:val="auto"/>
                <w:szCs w:val="21"/>
                <w:highlight w:val="none"/>
              </w:rPr>
              <w:t>、泵类</w:t>
            </w:r>
            <w:r>
              <w:rPr>
                <w:rFonts w:hint="eastAsia"/>
                <w:color w:val="auto"/>
                <w:szCs w:val="21"/>
                <w:highlight w:val="none"/>
                <w:lang w:eastAsia="zh-CN"/>
              </w:rPr>
              <w:t>、</w:t>
            </w:r>
            <w:r>
              <w:rPr>
                <w:rFonts w:hint="eastAsia"/>
                <w:color w:val="auto"/>
                <w:szCs w:val="21"/>
                <w:highlight w:val="none"/>
                <w:lang w:val="en-US" w:eastAsia="zh-CN"/>
              </w:rPr>
              <w:t>风机</w:t>
            </w:r>
            <w:r>
              <w:rPr>
                <w:rFonts w:hint="eastAsia"/>
                <w:color w:val="auto"/>
                <w:szCs w:val="21"/>
                <w:highlight w:val="none"/>
              </w:rPr>
              <w:t>等生产设备</w:t>
            </w:r>
            <w:r>
              <w:rPr>
                <w:color w:val="auto"/>
                <w:szCs w:val="21"/>
                <w:highlight w:val="none"/>
              </w:rPr>
              <w:t>等机械设备运转产生的噪声，噪声强度为80~</w:t>
            </w:r>
            <w:r>
              <w:rPr>
                <w:rFonts w:hint="eastAsia"/>
                <w:color w:val="auto"/>
                <w:szCs w:val="21"/>
                <w:highlight w:val="none"/>
              </w:rPr>
              <w:t>90</w:t>
            </w:r>
            <w:r>
              <w:rPr>
                <w:color w:val="auto"/>
                <w:szCs w:val="21"/>
                <w:highlight w:val="none"/>
              </w:rPr>
              <w:t>dB（A）。采取的噪音防治措施有：</w:t>
            </w:r>
          </w:p>
          <w:p>
            <w:pPr>
              <w:spacing w:line="360" w:lineRule="auto"/>
              <w:ind w:firstLine="420" w:firstLineChars="200"/>
              <w:rPr>
                <w:color w:val="auto"/>
                <w:szCs w:val="21"/>
                <w:highlight w:val="none"/>
              </w:rPr>
            </w:pPr>
            <w:r>
              <w:rPr>
                <w:rFonts w:hint="eastAsia" w:ascii="宋体" w:hAnsi="宋体" w:cs="宋体"/>
                <w:color w:val="auto"/>
                <w:szCs w:val="21"/>
                <w:highlight w:val="none"/>
              </w:rPr>
              <w:t>①</w:t>
            </w:r>
            <w:r>
              <w:rPr>
                <w:color w:val="auto"/>
                <w:szCs w:val="21"/>
                <w:highlight w:val="none"/>
              </w:rPr>
              <w:t>选用低噪声设备：在满足项目生产工艺的前提下，尽可能选择先进、噪声低的生产设备，从源头降低噪声。</w:t>
            </w:r>
          </w:p>
          <w:p>
            <w:pPr>
              <w:spacing w:line="360" w:lineRule="auto"/>
              <w:ind w:firstLine="420" w:firstLineChars="200"/>
              <w:rPr>
                <w:color w:val="auto"/>
                <w:szCs w:val="21"/>
                <w:highlight w:val="none"/>
              </w:rPr>
            </w:pPr>
            <w:r>
              <w:rPr>
                <w:rFonts w:hint="eastAsia" w:ascii="宋体" w:hAnsi="宋体" w:cs="宋体"/>
                <w:color w:val="auto"/>
                <w:szCs w:val="21"/>
                <w:highlight w:val="none"/>
              </w:rPr>
              <w:t>②</w:t>
            </w:r>
            <w:r>
              <w:rPr>
                <w:color w:val="auto"/>
                <w:szCs w:val="21"/>
                <w:highlight w:val="none"/>
              </w:rPr>
              <w:t>车间内合理布局：将设备全部安置在</w:t>
            </w:r>
            <w:r>
              <w:rPr>
                <w:rFonts w:hint="eastAsia"/>
                <w:color w:val="auto"/>
                <w:szCs w:val="21"/>
                <w:highlight w:val="none"/>
                <w:lang w:val="en-US" w:eastAsia="zh-CN"/>
              </w:rPr>
              <w:t>建筑物</w:t>
            </w:r>
            <w:r>
              <w:rPr>
                <w:color w:val="auto"/>
                <w:szCs w:val="21"/>
                <w:highlight w:val="none"/>
              </w:rPr>
              <w:t>内，在满足生产的前提下综合考虑，在车间设备布置时考虑地形、声源方向性和</w:t>
            </w:r>
            <w:r>
              <w:rPr>
                <w:rFonts w:hint="eastAsia"/>
                <w:color w:val="auto"/>
                <w:szCs w:val="21"/>
                <w:highlight w:val="none"/>
                <w:lang w:val="en-US" w:eastAsia="zh-CN"/>
              </w:rPr>
              <w:t>建筑物</w:t>
            </w:r>
            <w:r>
              <w:rPr>
                <w:color w:val="auto"/>
                <w:szCs w:val="21"/>
                <w:highlight w:val="none"/>
              </w:rPr>
              <w:t>噪声强弱等因素，进行合理布局以求进一步降低厂界噪声，如将设备安置在车间中部或远离厂界的位置，充分利用厂内建筑物的隔声作用，以减轻各类声源对周围环境的影响。</w:t>
            </w:r>
          </w:p>
          <w:p>
            <w:pPr>
              <w:adjustRightInd w:val="0"/>
              <w:spacing w:line="360" w:lineRule="auto"/>
              <w:ind w:firstLine="420" w:firstLineChars="200"/>
              <w:rPr>
                <w:color w:val="auto"/>
                <w:szCs w:val="21"/>
                <w:highlight w:val="none"/>
              </w:rPr>
            </w:pPr>
            <w:r>
              <w:rPr>
                <w:rFonts w:hint="eastAsia" w:ascii="宋体" w:hAnsi="宋体" w:cs="宋体"/>
                <w:color w:val="auto"/>
                <w:szCs w:val="21"/>
                <w:highlight w:val="none"/>
              </w:rPr>
              <w:t>③</w:t>
            </w:r>
            <w:r>
              <w:rPr>
                <w:color w:val="auto"/>
                <w:szCs w:val="21"/>
                <w:highlight w:val="none"/>
              </w:rPr>
              <w:t>设备在安装时，根据设备的自重及振动特性采用合适的隔振垫，以减轻由于设备自身振动引起的结构传声对周围环境产生的影响。</w:t>
            </w:r>
          </w:p>
          <w:p>
            <w:pPr>
              <w:pageBreakBefore/>
              <w:widowControl/>
              <w:spacing w:line="360" w:lineRule="auto"/>
              <w:ind w:firstLine="420" w:firstLineChars="200"/>
              <w:rPr>
                <w:color w:val="auto"/>
                <w:szCs w:val="21"/>
                <w:highlight w:val="none"/>
              </w:rPr>
            </w:pPr>
            <w:r>
              <w:rPr>
                <w:rFonts w:hint="eastAsia" w:ascii="宋体" w:hAnsi="宋体" w:cs="宋体"/>
                <w:color w:val="auto"/>
                <w:szCs w:val="21"/>
                <w:highlight w:val="none"/>
              </w:rPr>
              <w:t>④</w:t>
            </w:r>
            <w:r>
              <w:rPr>
                <w:color w:val="auto"/>
                <w:szCs w:val="21"/>
                <w:highlight w:val="none"/>
              </w:rPr>
              <w:t>加强设备的维护，确保设备处于良好的运转状态，杜绝因设备不正常运转时产生的高噪声现象。</w:t>
            </w:r>
          </w:p>
          <w:p>
            <w:pPr>
              <w:adjustRightInd w:val="0"/>
              <w:jc w:val="center"/>
              <w:rPr>
                <w:b/>
                <w:bCs/>
                <w:color w:val="auto"/>
                <w:szCs w:val="21"/>
                <w:highlight w:val="none"/>
              </w:rPr>
            </w:pPr>
            <w:r>
              <w:rPr>
                <w:b/>
                <w:bCs/>
                <w:color w:val="auto"/>
                <w:szCs w:val="21"/>
                <w:highlight w:val="none"/>
              </w:rPr>
              <w:t>表4-</w:t>
            </w:r>
            <w:r>
              <w:rPr>
                <w:rFonts w:hint="eastAsia"/>
                <w:b/>
                <w:bCs/>
                <w:color w:val="auto"/>
                <w:szCs w:val="21"/>
                <w:highlight w:val="none"/>
                <w:lang w:val="en-US" w:eastAsia="zh-CN"/>
              </w:rPr>
              <w:t>20</w:t>
            </w:r>
            <w:r>
              <w:rPr>
                <w:b/>
                <w:bCs/>
                <w:color w:val="auto"/>
                <w:szCs w:val="21"/>
                <w:highlight w:val="none"/>
              </w:rPr>
              <w:t xml:space="preserve">  主要设备噪声源强及治理措施一览表(单位：dB(A))</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314"/>
              <w:gridCol w:w="1485"/>
              <w:gridCol w:w="1486"/>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3" w:type="pct"/>
                  <w:noWrap w:val="0"/>
                  <w:vAlign w:val="center"/>
                </w:tcPr>
                <w:p>
                  <w:pPr>
                    <w:tabs>
                      <w:tab w:val="left" w:pos="1128"/>
                    </w:tabs>
                    <w:snapToGrid w:val="0"/>
                    <w:jc w:val="center"/>
                    <w:rPr>
                      <w:b/>
                      <w:bCs/>
                      <w:color w:val="auto"/>
                      <w:sz w:val="18"/>
                      <w:szCs w:val="18"/>
                      <w:highlight w:val="none"/>
                    </w:rPr>
                  </w:pPr>
                  <w:r>
                    <w:rPr>
                      <w:rFonts w:hint="eastAsia"/>
                      <w:b/>
                      <w:bCs/>
                      <w:color w:val="auto"/>
                      <w:sz w:val="18"/>
                      <w:szCs w:val="18"/>
                      <w:highlight w:val="none"/>
                    </w:rPr>
                    <w:t>所在</w:t>
                  </w:r>
                </w:p>
                <w:p>
                  <w:pPr>
                    <w:tabs>
                      <w:tab w:val="left" w:pos="1128"/>
                    </w:tabs>
                    <w:snapToGrid w:val="0"/>
                    <w:jc w:val="center"/>
                    <w:rPr>
                      <w:b/>
                      <w:bCs/>
                      <w:color w:val="auto"/>
                      <w:sz w:val="18"/>
                      <w:szCs w:val="18"/>
                      <w:highlight w:val="none"/>
                    </w:rPr>
                  </w:pPr>
                  <w:r>
                    <w:rPr>
                      <w:rFonts w:hint="eastAsia"/>
                      <w:b/>
                      <w:bCs/>
                      <w:color w:val="auto"/>
                      <w:sz w:val="18"/>
                      <w:szCs w:val="18"/>
                      <w:highlight w:val="none"/>
                    </w:rPr>
                    <w:t>位置</w:t>
                  </w:r>
                </w:p>
              </w:tc>
              <w:tc>
                <w:tcPr>
                  <w:tcW w:w="1399" w:type="pct"/>
                  <w:noWrap w:val="0"/>
                  <w:vAlign w:val="center"/>
                </w:tcPr>
                <w:p>
                  <w:pPr>
                    <w:tabs>
                      <w:tab w:val="left" w:pos="1128"/>
                    </w:tabs>
                    <w:snapToGrid w:val="0"/>
                    <w:jc w:val="center"/>
                    <w:rPr>
                      <w:b/>
                      <w:bCs/>
                      <w:color w:val="auto"/>
                      <w:sz w:val="18"/>
                      <w:szCs w:val="18"/>
                      <w:highlight w:val="none"/>
                    </w:rPr>
                  </w:pPr>
                  <w:r>
                    <w:rPr>
                      <w:b/>
                      <w:bCs/>
                      <w:color w:val="auto"/>
                      <w:sz w:val="18"/>
                      <w:szCs w:val="18"/>
                      <w:highlight w:val="none"/>
                    </w:rPr>
                    <w:t>主要噪声源</w:t>
                  </w:r>
                </w:p>
              </w:tc>
              <w:tc>
                <w:tcPr>
                  <w:tcW w:w="898" w:type="pct"/>
                  <w:noWrap w:val="0"/>
                  <w:vAlign w:val="center"/>
                </w:tcPr>
                <w:p>
                  <w:pPr>
                    <w:tabs>
                      <w:tab w:val="left" w:pos="1128"/>
                    </w:tabs>
                    <w:snapToGrid w:val="0"/>
                    <w:jc w:val="center"/>
                    <w:rPr>
                      <w:b/>
                      <w:bCs/>
                      <w:color w:val="auto"/>
                      <w:sz w:val="18"/>
                      <w:szCs w:val="18"/>
                      <w:highlight w:val="none"/>
                    </w:rPr>
                  </w:pPr>
                  <w:r>
                    <w:rPr>
                      <w:b/>
                      <w:bCs/>
                      <w:color w:val="auto"/>
                      <w:sz w:val="18"/>
                      <w:szCs w:val="18"/>
                      <w:highlight w:val="none"/>
                    </w:rPr>
                    <w:t>数量（台/套）</w:t>
                  </w:r>
                </w:p>
              </w:tc>
              <w:tc>
                <w:tcPr>
                  <w:tcW w:w="898" w:type="pct"/>
                  <w:noWrap w:val="0"/>
                  <w:vAlign w:val="center"/>
                </w:tcPr>
                <w:p>
                  <w:pPr>
                    <w:tabs>
                      <w:tab w:val="left" w:pos="1128"/>
                    </w:tabs>
                    <w:snapToGrid w:val="0"/>
                    <w:jc w:val="center"/>
                    <w:rPr>
                      <w:b/>
                      <w:bCs/>
                      <w:color w:val="auto"/>
                      <w:sz w:val="18"/>
                      <w:szCs w:val="18"/>
                      <w:highlight w:val="none"/>
                    </w:rPr>
                  </w:pPr>
                  <w:r>
                    <w:rPr>
                      <w:b/>
                      <w:bCs/>
                      <w:color w:val="auto"/>
                      <w:sz w:val="18"/>
                      <w:szCs w:val="18"/>
                      <w:highlight w:val="none"/>
                    </w:rPr>
                    <w:t>降噪前噪声级dB(A)</w:t>
                  </w:r>
                </w:p>
              </w:tc>
              <w:tc>
                <w:tcPr>
                  <w:tcW w:w="1300" w:type="pct"/>
                  <w:noWrap w:val="0"/>
                  <w:vAlign w:val="center"/>
                </w:tcPr>
                <w:p>
                  <w:pPr>
                    <w:tabs>
                      <w:tab w:val="left" w:pos="1128"/>
                    </w:tabs>
                    <w:snapToGrid w:val="0"/>
                    <w:jc w:val="center"/>
                    <w:rPr>
                      <w:b/>
                      <w:bCs/>
                      <w:color w:val="auto"/>
                      <w:sz w:val="18"/>
                      <w:szCs w:val="18"/>
                      <w:highlight w:val="none"/>
                    </w:rPr>
                  </w:pPr>
                  <w:r>
                    <w:rPr>
                      <w:b/>
                      <w:bCs/>
                      <w:color w:val="auto"/>
                      <w:sz w:val="18"/>
                      <w:szCs w:val="18"/>
                      <w:highlight w:val="none"/>
                    </w:rPr>
                    <w:t>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3" w:type="pct"/>
                  <w:vMerge w:val="restart"/>
                  <w:noWrap w:val="0"/>
                  <w:vAlign w:val="center"/>
                </w:tcPr>
                <w:p>
                  <w:pPr>
                    <w:tabs>
                      <w:tab w:val="left" w:pos="1128"/>
                    </w:tabs>
                    <w:snapToGrid w:val="0"/>
                    <w:jc w:val="center"/>
                    <w:rPr>
                      <w:rFonts w:hint="eastAsia" w:eastAsia="宋体"/>
                      <w:color w:val="auto"/>
                      <w:sz w:val="18"/>
                      <w:szCs w:val="18"/>
                      <w:highlight w:val="none"/>
                      <w:lang w:eastAsia="zh-CN"/>
                    </w:rPr>
                  </w:pPr>
                  <w:r>
                    <w:rPr>
                      <w:rFonts w:hint="eastAsia"/>
                      <w:color w:val="auto"/>
                      <w:sz w:val="18"/>
                      <w:szCs w:val="18"/>
                      <w:highlight w:val="none"/>
                      <w:lang w:val="en-US" w:eastAsia="zh-CN"/>
                    </w:rPr>
                    <w:t>污水处理站</w:t>
                  </w:r>
                </w:p>
              </w:tc>
              <w:tc>
                <w:tcPr>
                  <w:tcW w:w="1399" w:type="pct"/>
                  <w:noWrap w:val="0"/>
                  <w:vAlign w:val="center"/>
                </w:tcPr>
                <w:p>
                  <w:pPr>
                    <w:adjustRightInd w:val="0"/>
                    <w:snapToGrid w:val="0"/>
                    <w:jc w:val="center"/>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泵</w:t>
                  </w:r>
                  <w:r>
                    <w:rPr>
                      <w:rFonts w:hint="eastAsia"/>
                      <w:color w:val="auto"/>
                      <w:sz w:val="18"/>
                      <w:szCs w:val="18"/>
                      <w:highlight w:val="none"/>
                      <w:lang w:val="en-US" w:eastAsia="zh-CN"/>
                    </w:rPr>
                    <w:t>类</w:t>
                  </w:r>
                </w:p>
              </w:tc>
              <w:tc>
                <w:tcPr>
                  <w:tcW w:w="898" w:type="pct"/>
                  <w:noWrap w:val="0"/>
                  <w:vAlign w:val="center"/>
                </w:tcPr>
                <w:p>
                  <w:pPr>
                    <w:adjustRightInd w:val="0"/>
                    <w:snapToGrid w:val="0"/>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color w:val="auto"/>
                      <w:sz w:val="18"/>
                      <w:szCs w:val="18"/>
                      <w:highlight w:val="none"/>
                      <w:lang w:val="en-US" w:eastAsia="zh-CN"/>
                    </w:rPr>
                    <w:t>2</w:t>
                  </w:r>
                </w:p>
              </w:tc>
              <w:tc>
                <w:tcPr>
                  <w:tcW w:w="898" w:type="pct"/>
                  <w:noWrap w:val="0"/>
                  <w:vAlign w:val="center"/>
                </w:tcPr>
                <w:p>
                  <w:pPr>
                    <w:adjustRightInd w:val="0"/>
                    <w:snapToGrid w:val="0"/>
                    <w:jc w:val="center"/>
                    <w:rPr>
                      <w:rFonts w:hint="default" w:ascii="Times New Roman" w:hAnsi="Times New Roman" w:eastAsia="宋体" w:cs="Times New Roman"/>
                      <w:bCs/>
                      <w:color w:val="auto"/>
                      <w:kern w:val="0"/>
                      <w:sz w:val="18"/>
                      <w:szCs w:val="18"/>
                      <w:highlight w:val="none"/>
                      <w:lang w:val="en-US" w:eastAsia="zh-CN" w:bidi="ar-SA"/>
                    </w:rPr>
                  </w:pPr>
                  <w:r>
                    <w:rPr>
                      <w:rFonts w:hint="eastAsia"/>
                      <w:color w:val="auto"/>
                      <w:sz w:val="18"/>
                      <w:szCs w:val="18"/>
                      <w:highlight w:val="none"/>
                      <w:lang w:val="en-US" w:eastAsia="zh-CN"/>
                    </w:rPr>
                    <w:t>85</w:t>
                  </w:r>
                </w:p>
              </w:tc>
              <w:tc>
                <w:tcPr>
                  <w:tcW w:w="1300" w:type="pct"/>
                  <w:noWrap w:val="0"/>
                  <w:vAlign w:val="top"/>
                </w:tcPr>
                <w:p>
                  <w:pPr>
                    <w:tabs>
                      <w:tab w:val="left" w:pos="1128"/>
                    </w:tabs>
                    <w:snapToGrid w:val="0"/>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基础减振、隔声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3" w:type="pct"/>
                  <w:vMerge w:val="continue"/>
                  <w:noWrap w:val="0"/>
                  <w:vAlign w:val="center"/>
                </w:tcPr>
                <w:p>
                  <w:pPr>
                    <w:tabs>
                      <w:tab w:val="left" w:pos="1128"/>
                    </w:tabs>
                    <w:snapToGrid w:val="0"/>
                    <w:jc w:val="center"/>
                    <w:rPr>
                      <w:color w:val="auto"/>
                      <w:sz w:val="18"/>
                      <w:szCs w:val="18"/>
                      <w:highlight w:val="none"/>
                    </w:rPr>
                  </w:pPr>
                </w:p>
              </w:tc>
              <w:tc>
                <w:tcPr>
                  <w:tcW w:w="1399" w:type="pct"/>
                  <w:noWrap w:val="0"/>
                  <w:vAlign w:val="center"/>
                </w:tcPr>
                <w:p>
                  <w:pPr>
                    <w:adjustRightInd w:val="0"/>
                    <w:snapToGrid w:val="0"/>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消毒机</w:t>
                  </w:r>
                </w:p>
              </w:tc>
              <w:tc>
                <w:tcPr>
                  <w:tcW w:w="898" w:type="pct"/>
                  <w:noWrap w:val="0"/>
                  <w:vAlign w:val="center"/>
                </w:tcPr>
                <w:p>
                  <w:pPr>
                    <w:adjustRightInd w:val="0"/>
                    <w:snapToGrid w:val="0"/>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color w:val="auto"/>
                      <w:sz w:val="18"/>
                      <w:szCs w:val="18"/>
                      <w:highlight w:val="none"/>
                      <w:lang w:val="en-US" w:eastAsia="zh-CN"/>
                    </w:rPr>
                    <w:t>1</w:t>
                  </w:r>
                </w:p>
              </w:tc>
              <w:tc>
                <w:tcPr>
                  <w:tcW w:w="898" w:type="pct"/>
                  <w:noWrap w:val="0"/>
                  <w:vAlign w:val="center"/>
                </w:tcPr>
                <w:p>
                  <w:pPr>
                    <w:adjustRightInd w:val="0"/>
                    <w:snapToGrid w:val="0"/>
                    <w:jc w:val="center"/>
                    <w:rPr>
                      <w:rFonts w:ascii="Times New Roman" w:hAnsi="Times New Roman" w:eastAsia="宋体" w:cs="Times New Roman"/>
                      <w:bCs/>
                      <w:color w:val="auto"/>
                      <w:kern w:val="0"/>
                      <w:sz w:val="18"/>
                      <w:szCs w:val="18"/>
                      <w:highlight w:val="none"/>
                      <w:lang w:val="en-US" w:eastAsia="zh-CN" w:bidi="ar-SA"/>
                    </w:rPr>
                  </w:pPr>
                  <w:r>
                    <w:rPr>
                      <w:rFonts w:hint="eastAsia"/>
                      <w:color w:val="auto"/>
                      <w:sz w:val="18"/>
                      <w:szCs w:val="18"/>
                      <w:highlight w:val="none"/>
                      <w:lang w:val="en-US" w:eastAsia="zh-CN"/>
                    </w:rPr>
                    <w:t>80</w:t>
                  </w:r>
                </w:p>
              </w:tc>
              <w:tc>
                <w:tcPr>
                  <w:tcW w:w="1300" w:type="pct"/>
                  <w:noWrap w:val="0"/>
                  <w:vAlign w:val="top"/>
                </w:tcPr>
                <w:p>
                  <w:pPr>
                    <w:tabs>
                      <w:tab w:val="left" w:pos="1128"/>
                    </w:tabs>
                    <w:snapToGrid w:val="0"/>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基础减振、隔声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3" w:type="pct"/>
                  <w:vMerge w:val="continue"/>
                  <w:noWrap w:val="0"/>
                  <w:vAlign w:val="center"/>
                </w:tcPr>
                <w:p>
                  <w:pPr>
                    <w:tabs>
                      <w:tab w:val="left" w:pos="1128"/>
                    </w:tabs>
                    <w:snapToGrid w:val="0"/>
                    <w:jc w:val="center"/>
                    <w:rPr>
                      <w:color w:val="auto"/>
                      <w:sz w:val="18"/>
                      <w:szCs w:val="18"/>
                      <w:highlight w:val="none"/>
                    </w:rPr>
                  </w:pPr>
                </w:p>
              </w:tc>
              <w:tc>
                <w:tcPr>
                  <w:tcW w:w="1399" w:type="pct"/>
                  <w:noWrap w:val="0"/>
                  <w:vAlign w:val="center"/>
                </w:tcPr>
                <w:p>
                  <w:pPr>
                    <w:adjustRightInd w:val="0"/>
                    <w:snapToGrid w:val="0"/>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风机</w:t>
                  </w:r>
                </w:p>
              </w:tc>
              <w:tc>
                <w:tcPr>
                  <w:tcW w:w="898" w:type="pct"/>
                  <w:noWrap w:val="0"/>
                  <w:vAlign w:val="center"/>
                </w:tcPr>
                <w:p>
                  <w:pPr>
                    <w:adjustRightInd w:val="0"/>
                    <w:snapToGrid w:val="0"/>
                    <w:jc w:val="center"/>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olor w:val="auto"/>
                      <w:sz w:val="18"/>
                      <w:szCs w:val="18"/>
                      <w:highlight w:val="none"/>
                      <w:lang w:val="en-US" w:eastAsia="zh-CN"/>
                    </w:rPr>
                    <w:t>1</w:t>
                  </w:r>
                </w:p>
              </w:tc>
              <w:tc>
                <w:tcPr>
                  <w:tcW w:w="898" w:type="pct"/>
                  <w:noWrap w:val="0"/>
                  <w:vAlign w:val="center"/>
                </w:tcPr>
                <w:p>
                  <w:pPr>
                    <w:adjustRightInd w:val="0"/>
                    <w:snapToGrid w:val="0"/>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90</w:t>
                  </w:r>
                </w:p>
              </w:tc>
              <w:tc>
                <w:tcPr>
                  <w:tcW w:w="1300" w:type="pct"/>
                  <w:noWrap w:val="0"/>
                  <w:vAlign w:val="top"/>
                </w:tcPr>
                <w:p>
                  <w:pPr>
                    <w:tabs>
                      <w:tab w:val="left" w:pos="1128"/>
                    </w:tabs>
                    <w:snapToGrid w:val="0"/>
                    <w:jc w:val="center"/>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基础减振、隔声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3" w:type="pct"/>
                  <w:noWrap w:val="0"/>
                  <w:vAlign w:val="center"/>
                </w:tcPr>
                <w:p>
                  <w:pPr>
                    <w:tabs>
                      <w:tab w:val="left" w:pos="1128"/>
                    </w:tabs>
                    <w:snapToGrid w:val="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综合楼</w:t>
                  </w:r>
                </w:p>
              </w:tc>
              <w:tc>
                <w:tcPr>
                  <w:tcW w:w="1399" w:type="pct"/>
                  <w:noWrap w:val="0"/>
                  <w:vAlign w:val="center"/>
                </w:tcPr>
                <w:p>
                  <w:pPr>
                    <w:adjustRightInd w:val="0"/>
                    <w:snapToGrid w:val="0"/>
                    <w:jc w:val="center"/>
                    <w:rPr>
                      <w:rFonts w:hint="default"/>
                      <w:color w:val="auto"/>
                      <w:sz w:val="18"/>
                      <w:szCs w:val="18"/>
                      <w:highlight w:val="none"/>
                      <w:lang w:val="en-US" w:eastAsia="zh-CN"/>
                    </w:rPr>
                  </w:pPr>
                  <w:r>
                    <w:rPr>
                      <w:rFonts w:hint="eastAsia"/>
                      <w:color w:val="auto"/>
                      <w:sz w:val="18"/>
                      <w:szCs w:val="18"/>
                      <w:highlight w:val="none"/>
                      <w:lang w:val="en-US" w:eastAsia="zh-CN"/>
                    </w:rPr>
                    <w:t>空调机组（地下-2F）</w:t>
                  </w:r>
                </w:p>
              </w:tc>
              <w:tc>
                <w:tcPr>
                  <w:tcW w:w="898" w:type="pct"/>
                  <w:noWrap w:val="0"/>
                  <w:vAlign w:val="center"/>
                </w:tcPr>
                <w:p>
                  <w:pPr>
                    <w:adjustRightInd w:val="0"/>
                    <w:snapToGrid w:val="0"/>
                    <w:jc w:val="center"/>
                    <w:rPr>
                      <w:rFonts w:hint="default" w:ascii="Times New Roman" w:hAnsi="Times New Roman" w:eastAsia="宋体"/>
                      <w:color w:val="auto"/>
                      <w:sz w:val="18"/>
                      <w:szCs w:val="18"/>
                      <w:highlight w:val="none"/>
                      <w:lang w:val="en-US" w:eastAsia="zh-CN"/>
                    </w:rPr>
                  </w:pPr>
                  <w:r>
                    <w:rPr>
                      <w:rFonts w:hint="eastAsia"/>
                      <w:color w:val="auto"/>
                      <w:sz w:val="18"/>
                      <w:szCs w:val="18"/>
                      <w:highlight w:val="none"/>
                      <w:lang w:val="en-US" w:eastAsia="zh-CN"/>
                    </w:rPr>
                    <w:t>1</w:t>
                  </w:r>
                </w:p>
              </w:tc>
              <w:tc>
                <w:tcPr>
                  <w:tcW w:w="898" w:type="pct"/>
                  <w:noWrap w:val="0"/>
                  <w:vAlign w:val="center"/>
                </w:tcPr>
                <w:p>
                  <w:pPr>
                    <w:adjustRightInd w:val="0"/>
                    <w:snapToGrid w:val="0"/>
                    <w:jc w:val="center"/>
                    <w:rPr>
                      <w:rFonts w:hint="default"/>
                      <w:color w:val="auto"/>
                      <w:sz w:val="18"/>
                      <w:szCs w:val="18"/>
                      <w:highlight w:val="none"/>
                      <w:lang w:val="en-US" w:eastAsia="zh-CN"/>
                    </w:rPr>
                  </w:pPr>
                  <w:r>
                    <w:rPr>
                      <w:rFonts w:hint="eastAsia"/>
                      <w:color w:val="auto"/>
                      <w:sz w:val="18"/>
                      <w:szCs w:val="18"/>
                      <w:highlight w:val="none"/>
                      <w:lang w:val="en-US" w:eastAsia="zh-CN"/>
                    </w:rPr>
                    <w:t>90</w:t>
                  </w:r>
                </w:p>
              </w:tc>
              <w:tc>
                <w:tcPr>
                  <w:tcW w:w="1300" w:type="pct"/>
                  <w:noWrap w:val="0"/>
                  <w:vAlign w:val="top"/>
                </w:tcPr>
                <w:p>
                  <w:pPr>
                    <w:tabs>
                      <w:tab w:val="left" w:pos="1128"/>
                    </w:tabs>
                    <w:snapToGrid w:val="0"/>
                    <w:jc w:val="center"/>
                    <w:rPr>
                      <w:rFonts w:hint="eastAsia"/>
                      <w:color w:val="auto"/>
                      <w:sz w:val="18"/>
                      <w:szCs w:val="18"/>
                      <w:highlight w:val="none"/>
                    </w:rPr>
                  </w:pPr>
                  <w:r>
                    <w:rPr>
                      <w:rFonts w:hint="eastAsia"/>
                      <w:color w:val="auto"/>
                      <w:sz w:val="18"/>
                      <w:szCs w:val="18"/>
                      <w:highlight w:val="none"/>
                    </w:rPr>
                    <w:t>基础减振、隔声</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预测模式及参数选择</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按照《环境影响评价技术导则声环境》（HJ2.4-</w:t>
            </w:r>
            <w:r>
              <w:rPr>
                <w:rFonts w:hint="eastAsia" w:ascii="Times New Roman" w:hAnsi="Times New Roman" w:eastAsia="宋体" w:cs="Times New Roman"/>
                <w:snapToGrid/>
                <w:color w:val="auto"/>
                <w:kern w:val="2"/>
                <w:sz w:val="21"/>
                <w:szCs w:val="21"/>
                <w:highlight w:val="none"/>
                <w:lang w:val="en-US" w:eastAsia="zh-CN" w:bidi="ar-SA"/>
              </w:rPr>
              <w:t>2021</w:t>
            </w:r>
            <w:r>
              <w:rPr>
                <w:rFonts w:hint="default" w:ascii="Times New Roman" w:hAnsi="Times New Roman" w:eastAsia="宋体" w:cs="Times New Roman"/>
                <w:snapToGrid/>
                <w:color w:val="auto"/>
                <w:kern w:val="2"/>
                <w:sz w:val="21"/>
                <w:szCs w:val="21"/>
                <w:highlight w:val="none"/>
                <w:lang w:val="en-US" w:eastAsia="zh-CN" w:bidi="ar-SA"/>
              </w:rPr>
              <w:t>）中推荐的模式进行预测，用A声级计算，预测模式如下：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hint="eastAsia" w:ascii="Times New Roman"/>
                <w:color w:val="auto"/>
                <w:szCs w:val="24"/>
                <w:highlight w:val="none"/>
              </w:rPr>
              <w:t>①</w:t>
            </w:r>
            <w:r>
              <w:rPr>
                <w:rFonts w:ascii="Times New Roman"/>
                <w:color w:val="auto"/>
                <w:szCs w:val="24"/>
                <w:highlight w:val="none"/>
              </w:rPr>
              <w:t>室外声源在预测点的声压级计算：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color w:val="auto"/>
                <w:highlight w:val="none"/>
              </w:rPr>
              <w:t>L</w:t>
            </w:r>
            <w:r>
              <w:rPr>
                <w:rFonts w:hint="eastAsia"/>
                <w:color w:val="auto"/>
                <w:highlight w:val="none"/>
                <w:vertAlign w:val="subscript"/>
                <w:lang w:val="en-US" w:eastAsia="zh-CN"/>
              </w:rPr>
              <w:t>p</w:t>
            </w:r>
            <w:r>
              <w:rPr>
                <w:color w:val="auto"/>
                <w:highlight w:val="none"/>
              </w:rPr>
              <w:t>(r)=L</w:t>
            </w:r>
            <w:r>
              <w:rPr>
                <w:rFonts w:hint="eastAsia"/>
                <w:color w:val="auto"/>
                <w:highlight w:val="none"/>
                <w:vertAlign w:val="subscript"/>
                <w:lang w:val="en-US" w:eastAsia="zh-CN"/>
              </w:rPr>
              <w:t>p</w:t>
            </w:r>
            <w:r>
              <w:rPr>
                <w:color w:val="auto"/>
                <w:highlight w:val="none"/>
                <w:vertAlign w:val="subscript"/>
              </w:rPr>
              <w:t>(ro)</w:t>
            </w:r>
            <w:r>
              <w:rPr>
                <w:rFonts w:hint="eastAsia"/>
                <w:color w:val="auto"/>
                <w:highlight w:val="none"/>
                <w:vertAlign w:val="baseline"/>
                <w:lang w:val="en-US" w:eastAsia="zh-CN"/>
              </w:rPr>
              <w:t>+D</w:t>
            </w:r>
            <w:r>
              <w:rPr>
                <w:rFonts w:hint="eastAsia"/>
                <w:color w:val="auto"/>
                <w:highlight w:val="none"/>
                <w:vertAlign w:val="subscript"/>
                <w:lang w:val="en-US" w:eastAsia="zh-CN"/>
              </w:rPr>
              <w:t>c</w:t>
            </w:r>
            <w:r>
              <w:rPr>
                <w:color w:val="auto"/>
                <w:highlight w:val="none"/>
              </w:rPr>
              <w:t>–(A</w:t>
            </w:r>
            <w:r>
              <w:rPr>
                <w:color w:val="auto"/>
                <w:highlight w:val="none"/>
                <w:vertAlign w:val="subscript"/>
              </w:rPr>
              <w:t>div</w:t>
            </w:r>
            <w:r>
              <w:rPr>
                <w:color w:val="auto"/>
                <w:highlight w:val="none"/>
              </w:rPr>
              <w:t>+A</w:t>
            </w:r>
            <w:r>
              <w:rPr>
                <w:color w:val="auto"/>
                <w:highlight w:val="none"/>
                <w:vertAlign w:val="subscript"/>
              </w:rPr>
              <w:t>bar</w:t>
            </w:r>
            <w:r>
              <w:rPr>
                <w:color w:val="auto"/>
                <w:highlight w:val="none"/>
              </w:rPr>
              <w:t>+A</w:t>
            </w:r>
            <w:r>
              <w:rPr>
                <w:color w:val="auto"/>
                <w:highlight w:val="none"/>
                <w:vertAlign w:val="subscript"/>
              </w:rPr>
              <w:t>atm</w:t>
            </w:r>
            <w:r>
              <w:rPr>
                <w:color w:val="auto"/>
                <w:highlight w:val="none"/>
              </w:rPr>
              <w:t>+A</w:t>
            </w:r>
            <w:r>
              <w:rPr>
                <w:color w:val="auto"/>
                <w:highlight w:val="none"/>
                <w:vertAlign w:val="subscript"/>
              </w:rPr>
              <w:t>gr</w:t>
            </w:r>
            <w:r>
              <w:rPr>
                <w:color w:val="auto"/>
                <w:highlight w:val="none"/>
              </w:rPr>
              <w:t>+A</w:t>
            </w:r>
            <w:r>
              <w:rPr>
                <w:color w:val="auto"/>
                <w:highlight w:val="none"/>
                <w:vertAlign w:val="subscript"/>
              </w:rPr>
              <w:t>misc</w:t>
            </w:r>
            <w:r>
              <w:rPr>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式中：</w:t>
            </w:r>
            <w:r>
              <w:rPr>
                <w:rFonts w:ascii="Times New Roman"/>
                <w:i/>
                <w:iCs/>
                <w:color w:val="auto"/>
                <w:szCs w:val="24"/>
                <w:highlight w:val="none"/>
              </w:rPr>
              <w:t>L</w:t>
            </w:r>
            <w:r>
              <w:rPr>
                <w:rFonts w:hint="eastAsia" w:ascii="Times New Roman"/>
                <w:color w:val="auto"/>
                <w:szCs w:val="24"/>
                <w:highlight w:val="none"/>
                <w:vertAlign w:val="subscript"/>
                <w:lang w:val="en-US" w:eastAsia="zh-CN"/>
              </w:rPr>
              <w:t>p</w:t>
            </w:r>
            <w:r>
              <w:rPr>
                <w:rFonts w:ascii="Times New Roman"/>
                <w:color w:val="auto"/>
                <w:szCs w:val="24"/>
                <w:highlight w:val="none"/>
              </w:rPr>
              <w:t>（r）—</w:t>
            </w:r>
            <w:r>
              <w:rPr>
                <w:rFonts w:hint="eastAsia" w:ascii="Times New Roman"/>
                <w:color w:val="auto"/>
                <w:szCs w:val="24"/>
                <w:highlight w:val="none"/>
                <w:lang w:val="en-US" w:eastAsia="zh-CN"/>
              </w:rPr>
              <w:t>预测点处的声压级</w:t>
            </w:r>
            <w:r>
              <w:rPr>
                <w:rFonts w:ascii="Times New Roman"/>
                <w:color w:val="auto"/>
                <w:szCs w:val="24"/>
                <w:highlight w:val="none"/>
              </w:rPr>
              <w:t>，dB；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i/>
                <w:iCs/>
                <w:color w:val="auto"/>
                <w:szCs w:val="24"/>
                <w:highlight w:val="none"/>
              </w:rPr>
              <w:t>L</w:t>
            </w:r>
            <w:r>
              <w:rPr>
                <w:rFonts w:hint="eastAsia" w:ascii="Times New Roman"/>
                <w:color w:val="auto"/>
                <w:szCs w:val="24"/>
                <w:highlight w:val="none"/>
                <w:vertAlign w:val="subscript"/>
                <w:lang w:val="en-US" w:eastAsia="zh-CN"/>
              </w:rPr>
              <w:t>p</w:t>
            </w:r>
            <w:r>
              <w:rPr>
                <w:rFonts w:ascii="Times New Roman"/>
                <w:color w:val="auto"/>
                <w:szCs w:val="24"/>
                <w:highlight w:val="none"/>
                <w:vertAlign w:val="subscript"/>
              </w:rPr>
              <w:t>（ro）</w:t>
            </w:r>
            <w:r>
              <w:rPr>
                <w:rFonts w:ascii="Times New Roman"/>
                <w:color w:val="auto"/>
                <w:szCs w:val="24"/>
                <w:highlight w:val="none"/>
              </w:rPr>
              <w:t>—参考位置r</w:t>
            </w:r>
            <w:r>
              <w:rPr>
                <w:rFonts w:ascii="Times New Roman"/>
                <w:color w:val="auto"/>
                <w:szCs w:val="24"/>
                <w:highlight w:val="none"/>
                <w:vertAlign w:val="subscript"/>
              </w:rPr>
              <w:t>o</w:t>
            </w:r>
            <w:r>
              <w:rPr>
                <w:rFonts w:ascii="Times New Roman"/>
                <w:color w:val="auto"/>
                <w:szCs w:val="24"/>
                <w:highlight w:val="none"/>
              </w:rPr>
              <w:t>处声</w:t>
            </w:r>
            <w:r>
              <w:rPr>
                <w:rFonts w:hint="eastAsia" w:ascii="Times New Roman"/>
                <w:color w:val="auto"/>
                <w:szCs w:val="24"/>
                <w:highlight w:val="none"/>
                <w:lang w:val="en-US" w:eastAsia="zh-CN"/>
              </w:rPr>
              <w:t>压</w:t>
            </w:r>
            <w:r>
              <w:rPr>
                <w:rFonts w:ascii="Times New Roman"/>
                <w:color w:val="auto"/>
                <w:szCs w:val="24"/>
                <w:highlight w:val="none"/>
              </w:rPr>
              <w:t>级，dB；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i/>
                <w:iCs/>
                <w:color w:val="auto"/>
                <w:szCs w:val="24"/>
                <w:highlight w:val="none"/>
              </w:rPr>
              <w:t>A</w:t>
            </w:r>
            <w:r>
              <w:rPr>
                <w:rFonts w:ascii="Times New Roman"/>
                <w:color w:val="auto"/>
                <w:szCs w:val="24"/>
                <w:highlight w:val="none"/>
                <w:vertAlign w:val="subscript"/>
              </w:rPr>
              <w:t>div</w:t>
            </w:r>
            <w:r>
              <w:rPr>
                <w:rFonts w:ascii="Times New Roman"/>
                <w:color w:val="auto"/>
                <w:szCs w:val="24"/>
                <w:highlight w:val="none"/>
              </w:rPr>
              <w:t>—几何发散引</w:t>
            </w:r>
            <w:r>
              <w:rPr>
                <w:rFonts w:hint="eastAsia" w:ascii="Times New Roman"/>
                <w:color w:val="auto"/>
                <w:szCs w:val="24"/>
                <w:highlight w:val="none"/>
                <w:lang w:val="en-US" w:eastAsia="zh-CN"/>
              </w:rPr>
              <w:t>起的</w:t>
            </w:r>
            <w:r>
              <w:rPr>
                <w:rFonts w:ascii="Times New Roman"/>
                <w:color w:val="auto"/>
                <w:szCs w:val="24"/>
                <w:highlight w:val="none"/>
              </w:rPr>
              <w:t>衰减，dB；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i/>
                <w:iCs/>
                <w:color w:val="auto"/>
                <w:szCs w:val="24"/>
                <w:highlight w:val="none"/>
              </w:rPr>
              <w:t>A</w:t>
            </w:r>
            <w:r>
              <w:rPr>
                <w:rFonts w:ascii="Times New Roman"/>
                <w:color w:val="auto"/>
                <w:szCs w:val="24"/>
                <w:highlight w:val="none"/>
                <w:vertAlign w:val="subscript"/>
              </w:rPr>
              <w:t>bar</w:t>
            </w:r>
            <w:r>
              <w:rPr>
                <w:rFonts w:ascii="Times New Roman"/>
                <w:color w:val="auto"/>
                <w:szCs w:val="24"/>
                <w:highlight w:val="none"/>
              </w:rPr>
              <w:t>—</w:t>
            </w:r>
            <w:r>
              <w:rPr>
                <w:rFonts w:hint="eastAsia" w:ascii="Times New Roman"/>
                <w:color w:val="auto"/>
                <w:szCs w:val="24"/>
                <w:highlight w:val="none"/>
                <w:lang w:val="en-US" w:eastAsia="zh-CN"/>
              </w:rPr>
              <w:t>障碍物屏蔽</w:t>
            </w:r>
            <w:r>
              <w:rPr>
                <w:rFonts w:ascii="Times New Roman"/>
                <w:color w:val="auto"/>
                <w:szCs w:val="24"/>
                <w:highlight w:val="none"/>
              </w:rPr>
              <w:t>引起的衰减，dB；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i/>
                <w:iCs/>
                <w:color w:val="auto"/>
                <w:szCs w:val="24"/>
                <w:highlight w:val="none"/>
              </w:rPr>
              <w:t>A</w:t>
            </w:r>
            <w:r>
              <w:rPr>
                <w:rFonts w:ascii="Times New Roman"/>
                <w:color w:val="auto"/>
                <w:szCs w:val="24"/>
                <w:highlight w:val="none"/>
                <w:vertAlign w:val="subscript"/>
              </w:rPr>
              <w:t>atm</w:t>
            </w:r>
            <w:r>
              <w:rPr>
                <w:rFonts w:ascii="Times New Roman"/>
                <w:color w:val="auto"/>
                <w:szCs w:val="24"/>
                <w:highlight w:val="none"/>
              </w:rPr>
              <w:t>—</w:t>
            </w:r>
            <w:r>
              <w:rPr>
                <w:rFonts w:hint="eastAsia" w:ascii="Times New Roman"/>
                <w:color w:val="auto"/>
                <w:szCs w:val="24"/>
                <w:highlight w:val="none"/>
                <w:lang w:val="en-US" w:eastAsia="zh-CN"/>
              </w:rPr>
              <w:t>大气</w:t>
            </w:r>
            <w:r>
              <w:rPr>
                <w:rFonts w:ascii="Times New Roman"/>
                <w:color w:val="auto"/>
                <w:szCs w:val="24"/>
                <w:highlight w:val="none"/>
              </w:rPr>
              <w:t>吸收引起的衰减，dB；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imes New Roman"/>
                <w:color w:val="auto"/>
                <w:szCs w:val="24"/>
                <w:highlight w:val="none"/>
                <w:lang w:eastAsia="zh-CN"/>
              </w:rPr>
            </w:pPr>
            <w:r>
              <w:rPr>
                <w:rFonts w:ascii="Times New Roman"/>
                <w:i/>
                <w:iCs/>
                <w:color w:val="auto"/>
                <w:szCs w:val="24"/>
                <w:highlight w:val="none"/>
              </w:rPr>
              <w:t>A</w:t>
            </w:r>
            <w:r>
              <w:rPr>
                <w:color w:val="auto"/>
                <w:highlight w:val="none"/>
                <w:vertAlign w:val="subscript"/>
              </w:rPr>
              <w:t>gr</w:t>
            </w:r>
            <w:r>
              <w:rPr>
                <w:rFonts w:ascii="Times New Roman"/>
                <w:color w:val="auto"/>
                <w:szCs w:val="24"/>
                <w:highlight w:val="none"/>
              </w:rPr>
              <w:t>—</w:t>
            </w:r>
            <w:r>
              <w:rPr>
                <w:rFonts w:hint="eastAsia" w:ascii="Times New Roman"/>
                <w:color w:val="auto"/>
                <w:szCs w:val="24"/>
                <w:highlight w:val="none"/>
                <w:lang w:val="en-US" w:eastAsia="zh-CN"/>
              </w:rPr>
              <w:t>地面效应引起的</w:t>
            </w:r>
            <w:r>
              <w:rPr>
                <w:rFonts w:ascii="Times New Roman"/>
                <w:color w:val="auto"/>
                <w:szCs w:val="24"/>
                <w:highlight w:val="none"/>
              </w:rPr>
              <w:t>衰减，dB</w:t>
            </w:r>
            <w:r>
              <w:rPr>
                <w:rFonts w:hint="eastAsia" w:ascii="Times New Roman"/>
                <w:color w:val="auto"/>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i/>
                <w:iCs/>
                <w:color w:val="auto"/>
                <w:szCs w:val="24"/>
                <w:highlight w:val="none"/>
              </w:rPr>
              <w:t>A</w:t>
            </w:r>
            <w:r>
              <w:rPr>
                <w:color w:val="auto"/>
                <w:highlight w:val="none"/>
                <w:vertAlign w:val="subscript"/>
              </w:rPr>
              <w:t>misc</w:t>
            </w:r>
            <w:r>
              <w:rPr>
                <w:rFonts w:ascii="Times New Roman"/>
                <w:color w:val="auto"/>
                <w:szCs w:val="24"/>
                <w:highlight w:val="none"/>
              </w:rPr>
              <w:t>—</w:t>
            </w:r>
            <w:r>
              <w:rPr>
                <w:rFonts w:hint="eastAsia" w:ascii="Times New Roman"/>
                <w:color w:val="auto"/>
                <w:szCs w:val="24"/>
                <w:highlight w:val="none"/>
                <w:lang w:val="en-US" w:eastAsia="zh-CN"/>
              </w:rPr>
              <w:t>其他多方面效应引起的衰减，dB</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hint="eastAsia" w:ascii="Times New Roman"/>
                <w:color w:val="auto"/>
                <w:szCs w:val="24"/>
                <w:highlight w:val="none"/>
              </w:rPr>
              <w:t>②</w:t>
            </w:r>
            <w:r>
              <w:rPr>
                <w:rFonts w:ascii="Times New Roman"/>
                <w:color w:val="auto"/>
                <w:szCs w:val="24"/>
                <w:highlight w:val="none"/>
              </w:rPr>
              <w:t>室内声源在预测点的声压级计算：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a、首先计算某个室内声源在靠近围护结构处的声压级：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i/>
                <w:iCs/>
                <w:color w:val="auto"/>
                <w:szCs w:val="24"/>
                <w:highlight w:val="none"/>
              </w:rPr>
              <w:t>L</w:t>
            </w:r>
            <w:r>
              <w:rPr>
                <w:rFonts w:hint="eastAsia" w:ascii="Times New Roman"/>
                <w:color w:val="auto"/>
                <w:szCs w:val="24"/>
                <w:highlight w:val="none"/>
                <w:vertAlign w:val="subscript"/>
                <w:lang w:val="en-US" w:eastAsia="zh-CN"/>
              </w:rPr>
              <w:t>p1</w:t>
            </w:r>
            <w:r>
              <w:rPr>
                <w:rFonts w:ascii="Times New Roman"/>
                <w:color w:val="auto"/>
                <w:szCs w:val="24"/>
                <w:highlight w:val="none"/>
              </w:rPr>
              <w:t>＝</w:t>
            </w:r>
            <w:r>
              <w:rPr>
                <w:rFonts w:ascii="Times New Roman"/>
                <w:i/>
                <w:iCs/>
                <w:color w:val="auto"/>
                <w:szCs w:val="24"/>
                <w:highlight w:val="none"/>
              </w:rPr>
              <w:t>L</w:t>
            </w:r>
            <w:r>
              <w:rPr>
                <w:rFonts w:ascii="Times New Roman"/>
                <w:color w:val="auto"/>
                <w:szCs w:val="24"/>
                <w:highlight w:val="none"/>
                <w:vertAlign w:val="subscript"/>
              </w:rPr>
              <w:t>w</w:t>
            </w:r>
            <w:r>
              <w:rPr>
                <w:rFonts w:ascii="Times New Roman"/>
                <w:color w:val="auto"/>
                <w:szCs w:val="24"/>
                <w:highlight w:val="none"/>
              </w:rPr>
              <w:t>+10lg（Q/4πr</w:t>
            </w:r>
            <w:r>
              <w:rPr>
                <w:rFonts w:ascii="Times New Roman"/>
                <w:color w:val="auto"/>
                <w:szCs w:val="24"/>
                <w:highlight w:val="none"/>
                <w:vertAlign w:val="superscript"/>
              </w:rPr>
              <w:t>2</w:t>
            </w:r>
            <w:r>
              <w:rPr>
                <w:rFonts w:ascii="Times New Roman"/>
                <w:color w:val="auto"/>
                <w:szCs w:val="24"/>
                <w:highlight w:val="none"/>
              </w:rPr>
              <w:t>+4/R）</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式中：</w:t>
            </w:r>
            <w:r>
              <w:rPr>
                <w:rFonts w:ascii="Times New Roman"/>
                <w:i/>
                <w:iCs/>
                <w:color w:val="auto"/>
                <w:szCs w:val="24"/>
                <w:highlight w:val="none"/>
              </w:rPr>
              <w:t>L</w:t>
            </w:r>
            <w:r>
              <w:rPr>
                <w:rFonts w:hint="eastAsia" w:ascii="Times New Roman"/>
                <w:color w:val="auto"/>
                <w:szCs w:val="24"/>
                <w:highlight w:val="none"/>
                <w:vertAlign w:val="subscript"/>
                <w:lang w:val="en-US" w:eastAsia="zh-CN"/>
              </w:rPr>
              <w:t>p1</w:t>
            </w:r>
            <w:r>
              <w:rPr>
                <w:rFonts w:ascii="Times New Roman"/>
                <w:color w:val="auto"/>
                <w:szCs w:val="24"/>
                <w:highlight w:val="none"/>
              </w:rPr>
              <w:t>—</w:t>
            </w:r>
            <w:r>
              <w:rPr>
                <w:rFonts w:hint="eastAsia" w:ascii="Times New Roman"/>
                <w:color w:val="auto"/>
                <w:szCs w:val="24"/>
                <w:highlight w:val="none"/>
                <w:lang w:val="en-US" w:eastAsia="zh-CN"/>
              </w:rPr>
              <w:t>靠近开口处（或窗户）室内某倍频带的声压级或A声级</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i/>
                <w:iCs/>
                <w:color w:val="auto"/>
                <w:szCs w:val="24"/>
                <w:highlight w:val="none"/>
              </w:rPr>
              <w:t>L</w:t>
            </w:r>
            <w:r>
              <w:rPr>
                <w:rFonts w:ascii="Times New Roman"/>
                <w:color w:val="auto"/>
                <w:szCs w:val="24"/>
                <w:highlight w:val="none"/>
                <w:vertAlign w:val="subscript"/>
              </w:rPr>
              <w:t>w</w:t>
            </w:r>
            <w:r>
              <w:rPr>
                <w:rFonts w:ascii="Times New Roman"/>
                <w:color w:val="auto"/>
                <w:szCs w:val="24"/>
                <w:highlight w:val="none"/>
              </w:rPr>
              <w:t>—</w:t>
            </w:r>
            <w:r>
              <w:rPr>
                <w:rFonts w:hint="eastAsia" w:ascii="Times New Roman"/>
                <w:color w:val="auto"/>
                <w:szCs w:val="24"/>
                <w:highlight w:val="none"/>
                <w:lang w:val="en-US" w:eastAsia="zh-CN"/>
              </w:rPr>
              <w:t>点声源声功率级（A计权或倍频带），dB</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r—声源与靠近围护结构</w:t>
            </w:r>
            <w:r>
              <w:rPr>
                <w:rFonts w:hint="eastAsia" w:ascii="Times New Roman"/>
                <w:color w:val="auto"/>
                <w:szCs w:val="24"/>
                <w:highlight w:val="none"/>
                <w:lang w:val="en-US" w:eastAsia="zh-CN"/>
              </w:rPr>
              <w:t>某点</w:t>
            </w:r>
            <w:r>
              <w:rPr>
                <w:rFonts w:ascii="Times New Roman"/>
                <w:color w:val="auto"/>
                <w:szCs w:val="24"/>
                <w:highlight w:val="none"/>
              </w:rPr>
              <w:t>处的距离</w:t>
            </w:r>
            <w:r>
              <w:rPr>
                <w:rFonts w:hint="eastAsia" w:ascii="Times New Roman"/>
                <w:color w:val="auto"/>
                <w:szCs w:val="24"/>
                <w:highlight w:val="none"/>
                <w:lang w:eastAsia="zh-CN"/>
              </w:rPr>
              <w:t>，</w:t>
            </w:r>
            <w:r>
              <w:rPr>
                <w:rFonts w:hint="eastAsia" w:ascii="Times New Roman"/>
                <w:color w:val="auto"/>
                <w:szCs w:val="24"/>
                <w:highlight w:val="none"/>
                <w:lang w:val="en-US" w:eastAsia="zh-CN"/>
              </w:rPr>
              <w:t>m</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eastAsia="宋体"/>
                <w:color w:val="auto"/>
                <w:szCs w:val="24"/>
                <w:highlight w:val="none"/>
                <w:lang w:val="en-US" w:eastAsia="zh-CN"/>
              </w:rPr>
            </w:pPr>
            <w:r>
              <w:rPr>
                <w:rFonts w:ascii="Times New Roman"/>
                <w:color w:val="auto"/>
                <w:szCs w:val="24"/>
                <w:highlight w:val="none"/>
              </w:rPr>
              <w:t>R—房间常数；</w:t>
            </w:r>
            <w:r>
              <w:rPr>
                <w:rFonts w:hint="eastAsia" w:ascii="Times New Roman"/>
                <w:color w:val="auto"/>
                <w:szCs w:val="24"/>
                <w:highlight w:val="none"/>
                <w:lang w:val="en-US" w:eastAsia="zh-CN"/>
              </w:rPr>
              <w:t>R=Sa/（1-a），S为房间内表面积，m</w:t>
            </w:r>
            <w:r>
              <w:rPr>
                <w:rFonts w:hint="eastAsia" w:ascii="Times New Roman"/>
                <w:color w:val="auto"/>
                <w:szCs w:val="24"/>
                <w:highlight w:val="none"/>
                <w:vertAlign w:val="superscript"/>
                <w:lang w:val="en-US" w:eastAsia="zh-CN"/>
              </w:rPr>
              <w:t>2</w:t>
            </w:r>
            <w:r>
              <w:rPr>
                <w:rFonts w:hint="eastAsia" w:ascii="Times New Roman"/>
                <w:color w:val="auto"/>
                <w:szCs w:val="24"/>
                <w:highlight w:val="none"/>
                <w:lang w:val="en-US" w:eastAsia="zh-CN"/>
              </w:rPr>
              <w:t>，a为平均吸声系数；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color w:val="auto"/>
                <w:highlight w:val="none"/>
                <w:lang w:eastAsia="zh-CN"/>
              </w:rPr>
            </w:pPr>
            <w:r>
              <w:rPr>
                <w:rFonts w:ascii="Times New Roman"/>
                <w:color w:val="auto"/>
                <w:szCs w:val="24"/>
                <w:highlight w:val="none"/>
              </w:rPr>
              <w:t>Q—</w:t>
            </w:r>
            <w:r>
              <w:rPr>
                <w:rFonts w:hint="eastAsia" w:ascii="Times New Roman"/>
                <w:color w:val="auto"/>
                <w:szCs w:val="24"/>
                <w:highlight w:val="none"/>
                <w:lang w:val="en-US" w:eastAsia="zh-CN"/>
              </w:rPr>
              <w:t>指向性因数；通常对无指向性声源，当声源放在房间中心时，Q=1，；当放在一面墙的中心时，Q=2；当放在两面墙夹角处时，Q=4；当放在三面墙夹角处时，Q=8。</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b、计算所有室内声源在围护结构处产生的</w:t>
            </w:r>
            <w:r>
              <w:rPr>
                <w:rFonts w:hint="eastAsia" w:ascii="Times New Roman"/>
                <w:color w:val="auto"/>
                <w:szCs w:val="24"/>
                <w:highlight w:val="none"/>
                <w:lang w:val="en-US" w:eastAsia="zh-CN"/>
              </w:rPr>
              <w:t>i倍频带叠加声压级</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color w:val="auto"/>
                <w:highlight w:val="none"/>
              </w:rPr>
            </w:pPr>
            <w:r>
              <w:rPr>
                <w:color w:val="auto"/>
                <w:highlight w:val="none"/>
              </w:rPr>
              <w:drawing>
                <wp:inline distT="0" distB="0" distL="114300" distR="114300">
                  <wp:extent cx="1477645" cy="432435"/>
                  <wp:effectExtent l="0" t="0" r="8255" b="571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8"/>
                          <a:stretch>
                            <a:fillRect/>
                          </a:stretch>
                        </pic:blipFill>
                        <pic:spPr>
                          <a:xfrm>
                            <a:off x="0" y="0"/>
                            <a:ext cx="1477645" cy="432435"/>
                          </a:xfrm>
                          <a:prstGeom prst="rect">
                            <a:avLst/>
                          </a:prstGeom>
                          <a:noFill/>
                          <a:ln>
                            <a:noFill/>
                          </a:ln>
                        </pic:spPr>
                      </pic:pic>
                    </a:graphicData>
                  </a:graphic>
                </wp:inline>
              </w:drawing>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both"/>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式中：Lpli（T）</w:t>
            </w:r>
            <w:r>
              <w:rPr>
                <w:rFonts w:ascii="Times New Roman" w:hAnsi="Times New Roman" w:eastAsia="宋体" w:cs="Times New Roman"/>
                <w:snapToGrid/>
                <w:color w:val="auto"/>
                <w:kern w:val="2"/>
                <w:sz w:val="21"/>
                <w:szCs w:val="21"/>
                <w:highlight w:val="none"/>
                <w:lang w:val="en-US" w:eastAsia="zh-CN" w:bidi="ar-SA"/>
              </w:rPr>
              <w:t>—</w:t>
            </w:r>
            <w:r>
              <w:rPr>
                <w:rFonts w:hint="eastAsia" w:ascii="Times New Roman" w:hAnsi="Times New Roman" w:eastAsia="宋体" w:cs="Times New Roman"/>
                <w:snapToGrid/>
                <w:color w:val="auto"/>
                <w:kern w:val="2"/>
                <w:sz w:val="21"/>
                <w:szCs w:val="21"/>
                <w:highlight w:val="none"/>
                <w:lang w:val="en-US" w:eastAsia="zh-CN" w:bidi="ar-SA"/>
              </w:rPr>
              <w:t>靠近围护结构处室外N个声源i倍频带的叠加声压级，dB;</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L</w:t>
            </w:r>
            <w:r>
              <w:rPr>
                <w:rFonts w:hint="eastAsia" w:ascii="Times New Roman" w:hAnsi="Times New Roman" w:eastAsia="宋体" w:cs="Times New Roman"/>
                <w:snapToGrid/>
                <w:color w:val="auto"/>
                <w:kern w:val="2"/>
                <w:sz w:val="21"/>
                <w:szCs w:val="21"/>
                <w:highlight w:val="none"/>
                <w:vertAlign w:val="subscript"/>
                <w:lang w:val="en-US" w:eastAsia="zh-CN" w:bidi="ar-SA"/>
              </w:rPr>
              <w:t>1ij</w:t>
            </w:r>
            <w:r>
              <w:rPr>
                <w:rFonts w:ascii="Times New Roman" w:hAnsi="Times New Roman" w:eastAsia="宋体" w:cs="Times New Roman"/>
                <w:snapToGrid/>
                <w:color w:val="auto"/>
                <w:kern w:val="2"/>
                <w:sz w:val="21"/>
                <w:szCs w:val="21"/>
                <w:highlight w:val="none"/>
                <w:lang w:val="en-US" w:eastAsia="zh-CN" w:bidi="ar-SA"/>
              </w:rPr>
              <w:t>—</w:t>
            </w:r>
            <w:r>
              <w:rPr>
                <w:rFonts w:hint="eastAsia" w:ascii="Times New Roman" w:hAnsi="Times New Roman" w:eastAsia="宋体" w:cs="Times New Roman"/>
                <w:snapToGrid/>
                <w:color w:val="auto"/>
                <w:kern w:val="2"/>
                <w:sz w:val="21"/>
                <w:szCs w:val="21"/>
                <w:highlight w:val="none"/>
                <w:lang w:val="en-US" w:eastAsia="zh-CN" w:bidi="ar-SA"/>
              </w:rPr>
              <w:t>室内声源i倍频带的声压级，dB；</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both"/>
              <w:textAlignment w:val="auto"/>
              <w:rPr>
                <w:rFonts w:hint="eastAsia"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N</w:t>
            </w:r>
            <w:r>
              <w:rPr>
                <w:rFonts w:ascii="Times New Roman" w:hAnsi="Times New Roman" w:eastAsia="宋体" w:cs="Times New Roman"/>
                <w:snapToGrid/>
                <w:color w:val="auto"/>
                <w:kern w:val="2"/>
                <w:sz w:val="21"/>
                <w:szCs w:val="21"/>
                <w:highlight w:val="none"/>
                <w:lang w:val="en-US" w:eastAsia="zh-CN" w:bidi="ar-SA"/>
              </w:rPr>
              <w:t>—</w:t>
            </w:r>
            <w:r>
              <w:rPr>
                <w:rFonts w:hint="eastAsia" w:ascii="Times New Roman" w:hAnsi="Times New Roman" w:eastAsia="宋体" w:cs="Times New Roman"/>
                <w:snapToGrid/>
                <w:color w:val="auto"/>
                <w:kern w:val="2"/>
                <w:sz w:val="21"/>
                <w:szCs w:val="21"/>
                <w:highlight w:val="none"/>
                <w:lang w:val="en-US" w:eastAsia="zh-CN" w:bidi="ar-SA"/>
              </w:rPr>
              <w:t>室内声源总数。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imes New Roman" w:eastAsia="宋体"/>
                <w:color w:val="auto"/>
                <w:szCs w:val="24"/>
                <w:highlight w:val="none"/>
                <w:lang w:eastAsia="zh-CN"/>
              </w:rPr>
            </w:pPr>
            <w:r>
              <w:rPr>
                <w:rFonts w:hint="eastAsia" w:ascii="Times New Roman"/>
                <w:color w:val="auto"/>
                <w:sz w:val="21"/>
                <w:szCs w:val="21"/>
                <w:highlight w:val="none"/>
                <w:lang w:val="en-US" w:eastAsia="zh-CN"/>
              </w:rPr>
              <w:t>c</w:t>
            </w:r>
            <w:r>
              <w:rPr>
                <w:rFonts w:ascii="Times New Roman"/>
                <w:color w:val="auto"/>
                <w:sz w:val="21"/>
                <w:szCs w:val="21"/>
                <w:highlight w:val="none"/>
              </w:rPr>
              <w:t>、将室外声</w:t>
            </w:r>
            <w:r>
              <w:rPr>
                <w:rFonts w:hint="eastAsia" w:ascii="Times New Roman"/>
                <w:color w:val="auto"/>
                <w:sz w:val="21"/>
                <w:szCs w:val="21"/>
                <w:highlight w:val="none"/>
                <w:lang w:val="en-US" w:eastAsia="zh-CN"/>
              </w:rPr>
              <w:t>源的声压级</w:t>
            </w:r>
            <w:r>
              <w:rPr>
                <w:rFonts w:ascii="Times New Roman"/>
                <w:color w:val="auto"/>
                <w:sz w:val="21"/>
                <w:szCs w:val="21"/>
                <w:highlight w:val="none"/>
              </w:rPr>
              <w:t>和透</w:t>
            </w:r>
            <w:r>
              <w:rPr>
                <w:rFonts w:hint="eastAsia" w:ascii="Times New Roman"/>
                <w:color w:val="auto"/>
                <w:sz w:val="21"/>
                <w:szCs w:val="21"/>
                <w:highlight w:val="none"/>
                <w:lang w:val="en-US" w:eastAsia="zh-CN"/>
              </w:rPr>
              <w:t>过</w:t>
            </w:r>
            <w:r>
              <w:rPr>
                <w:rFonts w:ascii="Times New Roman"/>
                <w:color w:val="auto"/>
                <w:sz w:val="21"/>
                <w:szCs w:val="21"/>
                <w:highlight w:val="none"/>
              </w:rPr>
              <w:t>面积换算成等效的室外声</w:t>
            </w:r>
            <w:r>
              <w:rPr>
                <w:rFonts w:ascii="Times New Roman"/>
                <w:color w:val="auto"/>
                <w:szCs w:val="24"/>
                <w:highlight w:val="none"/>
              </w:rPr>
              <w:t>源，计算出</w:t>
            </w:r>
            <w:r>
              <w:rPr>
                <w:rFonts w:hint="eastAsia" w:ascii="Times New Roman"/>
                <w:color w:val="auto"/>
                <w:szCs w:val="24"/>
                <w:highlight w:val="none"/>
                <w:lang w:val="en-US" w:eastAsia="zh-CN"/>
              </w:rPr>
              <w:t>中心位置位于透声面积（S）处的</w:t>
            </w:r>
            <w:r>
              <w:rPr>
                <w:rFonts w:ascii="Times New Roman"/>
                <w:color w:val="auto"/>
                <w:szCs w:val="24"/>
                <w:highlight w:val="none"/>
              </w:rPr>
              <w:t>等效声源的</w:t>
            </w:r>
            <w:r>
              <w:rPr>
                <w:rFonts w:hint="eastAsia" w:ascii="Times New Roman"/>
                <w:color w:val="auto"/>
                <w:szCs w:val="24"/>
                <w:highlight w:val="none"/>
                <w:lang w:val="en-US" w:eastAsia="zh-CN"/>
              </w:rPr>
              <w:t>倍频带</w:t>
            </w:r>
            <w:r>
              <w:rPr>
                <w:rFonts w:ascii="Times New Roman"/>
                <w:color w:val="auto"/>
                <w:szCs w:val="24"/>
                <w:highlight w:val="none"/>
              </w:rPr>
              <w:t>声功率级</w:t>
            </w:r>
            <w:r>
              <w:rPr>
                <w:rFonts w:hint="eastAsia" w:ascii="Times New Roman"/>
                <w:color w:val="auto"/>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i/>
                <w:iCs/>
                <w:color w:val="auto"/>
                <w:szCs w:val="24"/>
                <w:highlight w:val="none"/>
              </w:rPr>
              <w:t>L</w:t>
            </w:r>
            <w:r>
              <w:rPr>
                <w:rFonts w:ascii="Times New Roman"/>
                <w:color w:val="auto"/>
                <w:szCs w:val="24"/>
                <w:highlight w:val="none"/>
                <w:vertAlign w:val="subscript"/>
              </w:rPr>
              <w:t>w</w:t>
            </w:r>
            <w:r>
              <w:rPr>
                <w:rFonts w:ascii="Times New Roman"/>
                <w:color w:val="auto"/>
                <w:szCs w:val="24"/>
                <w:highlight w:val="none"/>
              </w:rPr>
              <w:t>＝</w:t>
            </w:r>
            <w:r>
              <w:rPr>
                <w:rFonts w:ascii="Times New Roman"/>
                <w:i/>
                <w:iCs/>
                <w:color w:val="auto"/>
                <w:szCs w:val="24"/>
                <w:highlight w:val="none"/>
              </w:rPr>
              <w:t>L</w:t>
            </w:r>
            <w:r>
              <w:rPr>
                <w:rFonts w:hint="eastAsia" w:ascii="Times New Roman"/>
                <w:i/>
                <w:iCs/>
                <w:color w:val="auto"/>
                <w:szCs w:val="24"/>
                <w:highlight w:val="none"/>
                <w:vertAlign w:val="subscript"/>
                <w:lang w:val="en-US" w:eastAsia="zh-CN"/>
              </w:rPr>
              <w:t>p</w:t>
            </w:r>
            <w:r>
              <w:rPr>
                <w:rFonts w:ascii="Times New Roman"/>
                <w:color w:val="auto"/>
                <w:szCs w:val="24"/>
                <w:highlight w:val="none"/>
                <w:vertAlign w:val="subscript"/>
              </w:rPr>
              <w:t>2</w:t>
            </w:r>
            <w:r>
              <w:rPr>
                <w:rFonts w:ascii="Times New Roman"/>
                <w:color w:val="auto"/>
                <w:szCs w:val="24"/>
                <w:highlight w:val="none"/>
              </w:rPr>
              <w:t>（T）+10lgS</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ascii="Times New Roman"/>
                <w:color w:val="auto"/>
                <w:szCs w:val="24"/>
                <w:highlight w:val="none"/>
                <w:lang w:val="en-US" w:eastAsia="zh-CN"/>
              </w:rPr>
            </w:pPr>
            <w:r>
              <w:rPr>
                <w:rFonts w:ascii="Times New Roman"/>
                <w:color w:val="auto"/>
                <w:szCs w:val="24"/>
                <w:highlight w:val="none"/>
              </w:rPr>
              <w:t>式中：</w:t>
            </w:r>
            <w:r>
              <w:rPr>
                <w:rFonts w:hint="eastAsia" w:ascii="Times New Roman"/>
                <w:color w:val="auto"/>
                <w:szCs w:val="24"/>
                <w:highlight w:val="none"/>
                <w:lang w:val="en-US" w:eastAsia="zh-CN"/>
              </w:rPr>
              <w:t>Lw</w:t>
            </w:r>
            <w:r>
              <w:rPr>
                <w:rFonts w:ascii="Times New Roman"/>
                <w:color w:val="auto"/>
                <w:szCs w:val="24"/>
                <w:highlight w:val="none"/>
              </w:rPr>
              <w:t>—</w:t>
            </w:r>
            <w:r>
              <w:rPr>
                <w:rFonts w:hint="eastAsia" w:ascii="Times New Roman"/>
                <w:color w:val="auto"/>
                <w:szCs w:val="24"/>
                <w:highlight w:val="none"/>
                <w:lang w:val="en-US" w:eastAsia="zh-CN"/>
              </w:rPr>
              <w:t>中心位置位于透声面积（S）处的等效声源的倍频带声功率级，dB;</w:t>
            </w:r>
          </w:p>
          <w:p>
            <w:pPr>
              <w:pStyle w:val="2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4"/>
                <w:szCs w:val="24"/>
                <w:highlight w:val="none"/>
                <w:lang w:val="en-US" w:eastAsia="zh-CN" w:bidi="ar-SA"/>
              </w:rPr>
              <w:t>L</w:t>
            </w:r>
            <w:r>
              <w:rPr>
                <w:rFonts w:hint="eastAsia" w:ascii="Times New Roman" w:hAnsi="Times New Roman" w:eastAsia="宋体" w:cs="Times New Roman"/>
                <w:snapToGrid/>
                <w:color w:val="auto"/>
                <w:kern w:val="2"/>
                <w:sz w:val="24"/>
                <w:szCs w:val="24"/>
                <w:highlight w:val="none"/>
                <w:vertAlign w:val="subscript"/>
                <w:lang w:val="en-US" w:eastAsia="zh-CN" w:bidi="ar-SA"/>
              </w:rPr>
              <w:t>p</w:t>
            </w:r>
            <w:r>
              <w:rPr>
                <w:rFonts w:hint="eastAsia" w:ascii="Times New Roman" w:hAnsi="Times New Roman" w:eastAsia="宋体" w:cs="Times New Roman"/>
                <w:snapToGrid/>
                <w:color w:val="auto"/>
                <w:kern w:val="2"/>
                <w:sz w:val="21"/>
                <w:szCs w:val="21"/>
                <w:highlight w:val="none"/>
                <w:vertAlign w:val="subscript"/>
                <w:lang w:val="en-US" w:eastAsia="zh-CN" w:bidi="ar-SA"/>
              </w:rPr>
              <w:t>2</w:t>
            </w:r>
            <w:r>
              <w:rPr>
                <w:rFonts w:hint="eastAsia" w:ascii="Times New Roman" w:hAnsi="Times New Roman" w:eastAsia="宋体" w:cs="Times New Roman"/>
                <w:snapToGrid/>
                <w:color w:val="auto"/>
                <w:kern w:val="2"/>
                <w:sz w:val="21"/>
                <w:szCs w:val="21"/>
                <w:highlight w:val="none"/>
                <w:lang w:val="en-US" w:eastAsia="zh-CN" w:bidi="ar-SA"/>
              </w:rPr>
              <w:t>（T）—靠近围护结构处室外声源的声压级，dB</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jc w:val="both"/>
              <w:textAlignment w:val="auto"/>
              <w:rPr>
                <w:rFonts w:ascii="Times New Roman"/>
                <w:color w:val="auto"/>
                <w:szCs w:val="24"/>
                <w:highlight w:val="none"/>
              </w:rPr>
            </w:pPr>
            <w:r>
              <w:rPr>
                <w:rFonts w:ascii="Times New Roman"/>
                <w:color w:val="auto"/>
                <w:szCs w:val="24"/>
                <w:highlight w:val="none"/>
              </w:rPr>
              <w:t>S—透声面积，m</w:t>
            </w:r>
            <w:r>
              <w:rPr>
                <w:rFonts w:ascii="Times New Roman"/>
                <w:color w:val="auto"/>
                <w:szCs w:val="24"/>
                <w:highlight w:val="none"/>
                <w:vertAlign w:val="superscript"/>
              </w:rPr>
              <w:t>2</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hint="eastAsia" w:ascii="Times New Roman"/>
                <w:color w:val="auto"/>
                <w:szCs w:val="24"/>
                <w:highlight w:val="none"/>
              </w:rPr>
              <w:t>③</w:t>
            </w:r>
            <w:r>
              <w:rPr>
                <w:rFonts w:ascii="Times New Roman"/>
                <w:color w:val="auto"/>
                <w:szCs w:val="24"/>
                <w:highlight w:val="none"/>
              </w:rPr>
              <w:t>总声级的计算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设第i个室外声源在预测点产生的A声级为</w:t>
            </w:r>
            <w:r>
              <w:rPr>
                <w:rFonts w:ascii="Times New Roman"/>
                <w:i/>
                <w:iCs/>
                <w:color w:val="auto"/>
                <w:szCs w:val="24"/>
                <w:highlight w:val="none"/>
              </w:rPr>
              <w:t>L</w:t>
            </w:r>
            <w:r>
              <w:rPr>
                <w:rFonts w:ascii="Times New Roman"/>
                <w:color w:val="auto"/>
                <w:szCs w:val="24"/>
                <w:highlight w:val="none"/>
                <w:vertAlign w:val="subscript"/>
              </w:rPr>
              <w:t>Ai</w:t>
            </w:r>
            <w:r>
              <w:rPr>
                <w:rFonts w:ascii="Times New Roman"/>
                <w:color w:val="auto"/>
                <w:szCs w:val="24"/>
                <w:highlight w:val="none"/>
              </w:rPr>
              <w:t>，在T时间内该声源工作时间为t</w:t>
            </w:r>
            <w:r>
              <w:rPr>
                <w:rFonts w:ascii="Times New Roman"/>
                <w:color w:val="auto"/>
                <w:szCs w:val="24"/>
                <w:highlight w:val="none"/>
                <w:vertAlign w:val="subscript"/>
              </w:rPr>
              <w:t>i</w:t>
            </w:r>
            <w:r>
              <w:rPr>
                <w:rFonts w:ascii="Times New Roman"/>
                <w:color w:val="auto"/>
                <w:szCs w:val="24"/>
                <w:highlight w:val="none"/>
              </w:rPr>
              <w:t>；第j个等效室外声源在预测点产生的A声级为L</w:t>
            </w:r>
            <w:r>
              <w:rPr>
                <w:rFonts w:hint="eastAsia" w:ascii="Times New Roman"/>
                <w:color w:val="auto"/>
                <w:szCs w:val="24"/>
                <w:highlight w:val="none"/>
                <w:vertAlign w:val="subscript"/>
                <w:lang w:val="en-US" w:eastAsia="zh-CN"/>
              </w:rPr>
              <w:t>A</w:t>
            </w:r>
            <w:r>
              <w:rPr>
                <w:rFonts w:ascii="Times New Roman"/>
                <w:color w:val="auto"/>
                <w:szCs w:val="24"/>
                <w:highlight w:val="none"/>
                <w:vertAlign w:val="subscript"/>
              </w:rPr>
              <w:t>j</w:t>
            </w:r>
            <w:r>
              <w:rPr>
                <w:rFonts w:ascii="Times New Roman"/>
                <w:color w:val="auto"/>
                <w:szCs w:val="24"/>
                <w:highlight w:val="none"/>
              </w:rPr>
              <w:t>，在T时间内该声源工作时间为t</w:t>
            </w:r>
            <w:r>
              <w:rPr>
                <w:rFonts w:ascii="Times New Roman"/>
                <w:color w:val="auto"/>
                <w:szCs w:val="24"/>
                <w:highlight w:val="none"/>
                <w:vertAlign w:val="subscript"/>
              </w:rPr>
              <w:t>j</w:t>
            </w:r>
            <w:r>
              <w:rPr>
                <w:rFonts w:ascii="Times New Roman"/>
                <w:color w:val="auto"/>
                <w:szCs w:val="24"/>
                <w:highlight w:val="none"/>
              </w:rPr>
              <w:t>，则预测点的总有效声级为：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ascii="Times New Roman"/>
                <w:color w:val="auto"/>
                <w:szCs w:val="24"/>
                <w:highlight w:val="none"/>
              </w:rPr>
            </w:pPr>
            <w:r>
              <w:rPr>
                <w:color w:val="auto"/>
                <w:position w:val="-30"/>
                <w:highlight w:val="none"/>
              </w:rPr>
              <w:object>
                <v:shape id="_x0000_i1029" o:spt="75" type="#_x0000_t75" style="height:35pt;width:217.1pt;" o:ole="t" filled="f" o:preferrelative="t" stroked="f" coordsize="21600,21600">
                  <v:path/>
                  <v:fill on="f" focussize="0,0"/>
                  <v:stroke on="f"/>
                  <v:imagedata r:id="rId20" o:title=""/>
                  <o:lock v:ext="edit" aspectratio="t"/>
                  <w10:wrap type="none"/>
                  <w10:anchorlock/>
                </v:shape>
                <o:OLEObject Type="Embed" ProgID="Equation.3" ShapeID="_x0000_i1029" DrawAspect="Content" ObjectID="_1468075729" r:id="rId1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imes New Roman" w:eastAsia="宋体"/>
                <w:color w:val="auto"/>
                <w:szCs w:val="24"/>
                <w:highlight w:val="none"/>
                <w:lang w:val="en-US" w:eastAsia="zh-CN"/>
              </w:rPr>
            </w:pPr>
            <w:r>
              <w:rPr>
                <w:rFonts w:ascii="Times New Roman"/>
                <w:color w:val="auto"/>
                <w:szCs w:val="24"/>
                <w:highlight w:val="none"/>
              </w:rPr>
              <w:t>式中：T—计算等效声级的时间，</w:t>
            </w:r>
            <w:r>
              <w:rPr>
                <w:rFonts w:hint="eastAsia" w:ascii="Times New Roman"/>
                <w:color w:val="auto"/>
                <w:szCs w:val="24"/>
                <w:highlight w:val="none"/>
                <w:lang w:val="en-US" w:eastAsia="zh-CN"/>
              </w:rPr>
              <w:t>s；</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imes New Roman" w:eastAsia="宋体"/>
                <w:color w:val="auto"/>
                <w:szCs w:val="24"/>
                <w:highlight w:val="none"/>
                <w:lang w:eastAsia="zh-CN"/>
              </w:rPr>
            </w:pPr>
            <w:r>
              <w:rPr>
                <w:rFonts w:ascii="Times New Roman"/>
                <w:color w:val="auto"/>
                <w:szCs w:val="24"/>
                <w:highlight w:val="none"/>
              </w:rPr>
              <w:t>N—室外声源个数</w:t>
            </w:r>
            <w:r>
              <w:rPr>
                <w:rFonts w:hint="eastAsia" w:ascii="Times New Roman"/>
                <w:color w:val="auto"/>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imes New Roman"/>
                <w:color w:val="auto"/>
                <w:szCs w:val="24"/>
                <w:highlight w:val="none"/>
                <w:lang w:eastAsia="zh-CN"/>
              </w:rPr>
            </w:pPr>
            <w:r>
              <w:rPr>
                <w:rFonts w:ascii="Times New Roman"/>
                <w:color w:val="auto"/>
                <w:szCs w:val="24"/>
                <w:highlight w:val="none"/>
              </w:rPr>
              <w:t>M—等效室外声源个数</w:t>
            </w:r>
            <w:r>
              <w:rPr>
                <w:rFonts w:hint="eastAsia" w:ascii="Times New Roman"/>
                <w:color w:val="auto"/>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Leqg</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lang w:val="en-US" w:eastAsia="zh-CN"/>
              </w:rPr>
              <w:t>建设项目声源在预测点产生的噪声贡献值，dB；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（2）参数的确定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hint="eastAsia" w:ascii="Times New Roman"/>
                <w:color w:val="auto"/>
                <w:szCs w:val="24"/>
                <w:highlight w:val="none"/>
              </w:rPr>
              <w:t>①</w:t>
            </w:r>
            <w:r>
              <w:rPr>
                <w:rFonts w:ascii="Times New Roman"/>
                <w:color w:val="auto"/>
                <w:szCs w:val="24"/>
                <w:highlight w:val="none"/>
              </w:rPr>
              <w:t>声波几何发散引起的A声级衰减量（Adiv）</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a、点声源：Adiv=20lg（r/r</w:t>
            </w:r>
            <w:r>
              <w:rPr>
                <w:rFonts w:ascii="Times New Roman"/>
                <w:color w:val="auto"/>
                <w:szCs w:val="24"/>
                <w:highlight w:val="none"/>
                <w:vertAlign w:val="subscript"/>
              </w:rPr>
              <w:t>o</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式中：r—预测点到噪声源距离，m；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r</w:t>
            </w:r>
            <w:r>
              <w:rPr>
                <w:rFonts w:ascii="Times New Roman"/>
                <w:color w:val="auto"/>
                <w:szCs w:val="24"/>
                <w:highlight w:val="none"/>
                <w:vertAlign w:val="subscript"/>
              </w:rPr>
              <w:t>o</w:t>
            </w:r>
            <w:r>
              <w:rPr>
                <w:rFonts w:ascii="Times New Roman"/>
                <w:color w:val="auto"/>
                <w:szCs w:val="24"/>
                <w:highlight w:val="none"/>
              </w:rPr>
              <w:t>—参考点到噪声源距离，m。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b、有限长线声源（设线声源长为L</w:t>
            </w:r>
            <w:r>
              <w:rPr>
                <w:rFonts w:ascii="Times New Roman"/>
                <w:color w:val="auto"/>
                <w:szCs w:val="24"/>
                <w:highlight w:val="none"/>
                <w:vertAlign w:val="subscript"/>
              </w:rPr>
              <w:t>o</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当r&gt;L</w:t>
            </w:r>
            <w:r>
              <w:rPr>
                <w:rFonts w:ascii="Times New Roman"/>
                <w:color w:val="auto"/>
                <w:szCs w:val="24"/>
                <w:highlight w:val="none"/>
                <w:vertAlign w:val="subscript"/>
              </w:rPr>
              <w:t>o</w:t>
            </w:r>
            <w:r>
              <w:rPr>
                <w:rFonts w:ascii="Times New Roman"/>
                <w:color w:val="auto"/>
                <w:szCs w:val="24"/>
                <w:highlight w:val="none"/>
              </w:rPr>
              <w:t>，且r</w:t>
            </w:r>
            <w:r>
              <w:rPr>
                <w:rFonts w:ascii="Times New Roman"/>
                <w:color w:val="auto"/>
                <w:szCs w:val="24"/>
                <w:highlight w:val="none"/>
                <w:vertAlign w:val="subscript"/>
              </w:rPr>
              <w:t>o</w:t>
            </w:r>
            <w:r>
              <w:rPr>
                <w:rFonts w:ascii="Times New Roman"/>
                <w:color w:val="auto"/>
                <w:szCs w:val="24"/>
                <w:highlight w:val="none"/>
              </w:rPr>
              <w:t>&gt;L</w:t>
            </w:r>
            <w:r>
              <w:rPr>
                <w:rFonts w:ascii="Times New Roman"/>
                <w:color w:val="auto"/>
                <w:szCs w:val="24"/>
                <w:highlight w:val="none"/>
                <w:vertAlign w:val="subscript"/>
              </w:rPr>
              <w:t>o</w:t>
            </w:r>
            <w:r>
              <w:rPr>
                <w:rFonts w:ascii="Times New Roman"/>
                <w:color w:val="auto"/>
                <w:szCs w:val="24"/>
                <w:highlight w:val="none"/>
              </w:rPr>
              <w:t>时：Adiv=20lg（r/r</w:t>
            </w:r>
            <w:r>
              <w:rPr>
                <w:rFonts w:ascii="Times New Roman"/>
                <w:color w:val="auto"/>
                <w:szCs w:val="24"/>
                <w:highlight w:val="none"/>
                <w:vertAlign w:val="subscript"/>
              </w:rPr>
              <w:t>o</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当r&lt;L</w:t>
            </w:r>
            <w:r>
              <w:rPr>
                <w:rFonts w:ascii="Times New Roman"/>
                <w:color w:val="auto"/>
                <w:szCs w:val="24"/>
                <w:highlight w:val="none"/>
                <w:vertAlign w:val="subscript"/>
              </w:rPr>
              <w:t>o</w:t>
            </w:r>
            <w:r>
              <w:rPr>
                <w:rFonts w:ascii="Times New Roman"/>
                <w:color w:val="auto"/>
                <w:szCs w:val="24"/>
                <w:highlight w:val="none"/>
              </w:rPr>
              <w:t>/3，且r</w:t>
            </w:r>
            <w:r>
              <w:rPr>
                <w:rFonts w:ascii="Times New Roman"/>
                <w:color w:val="auto"/>
                <w:szCs w:val="24"/>
                <w:highlight w:val="none"/>
                <w:vertAlign w:val="subscript"/>
              </w:rPr>
              <w:t>o</w:t>
            </w:r>
            <w:r>
              <w:rPr>
                <w:rFonts w:ascii="Times New Roman"/>
                <w:color w:val="auto"/>
                <w:szCs w:val="24"/>
                <w:highlight w:val="none"/>
              </w:rPr>
              <w:t>&lt;L</w:t>
            </w:r>
            <w:r>
              <w:rPr>
                <w:rFonts w:ascii="Times New Roman"/>
                <w:color w:val="auto"/>
                <w:szCs w:val="24"/>
                <w:highlight w:val="none"/>
                <w:vertAlign w:val="subscript"/>
              </w:rPr>
              <w:t>o</w:t>
            </w:r>
            <w:r>
              <w:rPr>
                <w:rFonts w:ascii="Times New Roman"/>
                <w:color w:val="auto"/>
                <w:szCs w:val="24"/>
                <w:highlight w:val="none"/>
              </w:rPr>
              <w:t>/3时：Adiv=10lg（r/r</w:t>
            </w:r>
            <w:r>
              <w:rPr>
                <w:rFonts w:ascii="Times New Roman"/>
                <w:color w:val="auto"/>
                <w:szCs w:val="24"/>
                <w:highlight w:val="none"/>
                <w:vertAlign w:val="subscript"/>
              </w:rPr>
              <w:t>o</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当L</w:t>
            </w:r>
            <w:r>
              <w:rPr>
                <w:rFonts w:ascii="Times New Roman"/>
                <w:color w:val="auto"/>
                <w:szCs w:val="24"/>
                <w:highlight w:val="none"/>
                <w:vertAlign w:val="subscript"/>
              </w:rPr>
              <w:t>o</w:t>
            </w:r>
            <w:r>
              <w:rPr>
                <w:rFonts w:ascii="Times New Roman"/>
                <w:color w:val="auto"/>
                <w:szCs w:val="24"/>
                <w:highlight w:val="none"/>
              </w:rPr>
              <w:t>/3&lt;r&lt;L</w:t>
            </w:r>
            <w:r>
              <w:rPr>
                <w:rFonts w:ascii="Times New Roman"/>
                <w:color w:val="auto"/>
                <w:szCs w:val="24"/>
                <w:highlight w:val="none"/>
                <w:vertAlign w:val="subscript"/>
              </w:rPr>
              <w:t>o</w:t>
            </w:r>
            <w:r>
              <w:rPr>
                <w:rFonts w:ascii="Times New Roman"/>
                <w:color w:val="auto"/>
                <w:szCs w:val="24"/>
                <w:highlight w:val="none"/>
              </w:rPr>
              <w:t>，且L</w:t>
            </w:r>
            <w:r>
              <w:rPr>
                <w:rFonts w:ascii="Times New Roman"/>
                <w:color w:val="auto"/>
                <w:szCs w:val="24"/>
                <w:highlight w:val="none"/>
                <w:vertAlign w:val="subscript"/>
              </w:rPr>
              <w:t>o</w:t>
            </w:r>
            <w:r>
              <w:rPr>
                <w:rFonts w:ascii="Times New Roman"/>
                <w:color w:val="auto"/>
                <w:szCs w:val="24"/>
                <w:highlight w:val="none"/>
              </w:rPr>
              <w:t>/3&lt;r</w:t>
            </w:r>
            <w:r>
              <w:rPr>
                <w:rFonts w:ascii="Times New Roman"/>
                <w:color w:val="auto"/>
                <w:szCs w:val="24"/>
                <w:highlight w:val="none"/>
                <w:vertAlign w:val="subscript"/>
              </w:rPr>
              <w:t>o</w:t>
            </w:r>
            <w:r>
              <w:rPr>
                <w:rFonts w:ascii="Times New Roman"/>
                <w:color w:val="auto"/>
                <w:szCs w:val="24"/>
                <w:highlight w:val="none"/>
              </w:rPr>
              <w:t>&lt;L</w:t>
            </w:r>
            <w:r>
              <w:rPr>
                <w:rFonts w:ascii="Times New Roman"/>
                <w:color w:val="auto"/>
                <w:szCs w:val="24"/>
                <w:highlight w:val="none"/>
                <w:vertAlign w:val="subscript"/>
              </w:rPr>
              <w:t>o</w:t>
            </w:r>
            <w:r>
              <w:rPr>
                <w:rFonts w:ascii="Times New Roman"/>
                <w:color w:val="auto"/>
                <w:szCs w:val="24"/>
                <w:highlight w:val="none"/>
              </w:rPr>
              <w:t>时：Adiv=15lg（r/r</w:t>
            </w:r>
            <w:r>
              <w:rPr>
                <w:rFonts w:ascii="Times New Roman"/>
                <w:color w:val="auto"/>
                <w:szCs w:val="24"/>
                <w:highlight w:val="none"/>
                <w:vertAlign w:val="subscript"/>
              </w:rPr>
              <w:t>o</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c、面声源（设面声源高度为a，长度为b，且a＜b）</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当r&lt;a/3时，且r</w:t>
            </w:r>
            <w:r>
              <w:rPr>
                <w:rFonts w:ascii="Times New Roman"/>
                <w:color w:val="auto"/>
                <w:szCs w:val="24"/>
                <w:highlight w:val="none"/>
                <w:vertAlign w:val="subscript"/>
              </w:rPr>
              <w:t>o</w:t>
            </w:r>
            <w:r>
              <w:rPr>
                <w:rFonts w:ascii="Times New Roman"/>
                <w:color w:val="auto"/>
                <w:szCs w:val="24"/>
                <w:highlight w:val="none"/>
              </w:rPr>
              <w:t>&lt;a/3时：Adiv=0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当a/3&lt;r&lt;b/3，且a/3&lt;r</w:t>
            </w:r>
            <w:r>
              <w:rPr>
                <w:rFonts w:ascii="Times New Roman"/>
                <w:color w:val="auto"/>
                <w:szCs w:val="24"/>
                <w:highlight w:val="none"/>
                <w:vertAlign w:val="subscript"/>
              </w:rPr>
              <w:t>o</w:t>
            </w:r>
            <w:r>
              <w:rPr>
                <w:rFonts w:ascii="Times New Roman"/>
                <w:color w:val="auto"/>
                <w:szCs w:val="24"/>
                <w:highlight w:val="none"/>
              </w:rPr>
              <w:t>&lt;b/3时：Adiv=10lg（r/r</w:t>
            </w:r>
            <w:r>
              <w:rPr>
                <w:rFonts w:ascii="Times New Roman"/>
                <w:color w:val="auto"/>
                <w:szCs w:val="24"/>
                <w:highlight w:val="none"/>
                <w:vertAlign w:val="subscript"/>
              </w:rPr>
              <w:t>o</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当b/3&lt;r&lt;b，且b/3&lt;r</w:t>
            </w:r>
            <w:r>
              <w:rPr>
                <w:rFonts w:ascii="Times New Roman"/>
                <w:color w:val="auto"/>
                <w:szCs w:val="24"/>
                <w:highlight w:val="none"/>
                <w:vertAlign w:val="subscript"/>
              </w:rPr>
              <w:t>o</w:t>
            </w:r>
            <w:r>
              <w:rPr>
                <w:rFonts w:ascii="Times New Roman"/>
                <w:color w:val="auto"/>
                <w:szCs w:val="24"/>
                <w:highlight w:val="none"/>
              </w:rPr>
              <w:t>&lt;b时：Adiv=15lg（r/r</w:t>
            </w:r>
            <w:r>
              <w:rPr>
                <w:rFonts w:ascii="Times New Roman"/>
                <w:color w:val="auto"/>
                <w:szCs w:val="24"/>
                <w:highlight w:val="none"/>
                <w:vertAlign w:val="subscript"/>
              </w:rPr>
              <w:t>o</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当b&lt;r时，且b&lt;r</w:t>
            </w:r>
            <w:r>
              <w:rPr>
                <w:rFonts w:ascii="Times New Roman"/>
                <w:color w:val="auto"/>
                <w:szCs w:val="24"/>
                <w:highlight w:val="none"/>
                <w:vertAlign w:val="subscript"/>
              </w:rPr>
              <w:t>o</w:t>
            </w:r>
            <w:r>
              <w:rPr>
                <w:rFonts w:ascii="Times New Roman"/>
                <w:color w:val="auto"/>
                <w:szCs w:val="24"/>
                <w:highlight w:val="none"/>
              </w:rPr>
              <w:t>时：Adiv=20lg（r/r</w:t>
            </w:r>
            <w:r>
              <w:rPr>
                <w:rFonts w:ascii="Times New Roman"/>
                <w:color w:val="auto"/>
                <w:szCs w:val="24"/>
                <w:highlight w:val="none"/>
                <w:vertAlign w:val="subscript"/>
              </w:rPr>
              <w:t>o</w:t>
            </w:r>
            <w:r>
              <w:rPr>
                <w:rFonts w:ascii="Times New Roman"/>
                <w:color w:val="auto"/>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hint="eastAsia" w:ascii="Times New Roman"/>
                <w:color w:val="auto"/>
                <w:szCs w:val="24"/>
                <w:highlight w:val="none"/>
              </w:rPr>
              <w:t>②</w:t>
            </w:r>
            <w:r>
              <w:rPr>
                <w:rFonts w:ascii="Times New Roman"/>
                <w:color w:val="auto"/>
                <w:szCs w:val="24"/>
                <w:highlight w:val="none"/>
              </w:rPr>
              <w:t>空气吸收衰减量Aatm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空气吸收引起的A声级衰减量按下式计算：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A</w:t>
            </w:r>
            <w:r>
              <w:rPr>
                <w:rFonts w:ascii="Times New Roman"/>
                <w:color w:val="auto"/>
                <w:szCs w:val="24"/>
                <w:highlight w:val="none"/>
                <w:vertAlign w:val="subscript"/>
              </w:rPr>
              <w:t>atm</w:t>
            </w:r>
            <w:r>
              <w:rPr>
                <w:rFonts w:ascii="Times New Roman"/>
                <w:color w:val="auto"/>
                <w:szCs w:val="24"/>
                <w:highlight w:val="none"/>
              </w:rPr>
              <w:t>＝a（r－r</w:t>
            </w:r>
            <w:r>
              <w:rPr>
                <w:rFonts w:ascii="Times New Roman"/>
                <w:color w:val="auto"/>
                <w:szCs w:val="24"/>
                <w:highlight w:val="none"/>
                <w:vertAlign w:val="subscript"/>
              </w:rPr>
              <w:t>o</w:t>
            </w:r>
            <w:r>
              <w:rPr>
                <w:rFonts w:ascii="Times New Roman"/>
                <w:color w:val="auto"/>
                <w:szCs w:val="24"/>
                <w:highlight w:val="none"/>
              </w:rPr>
              <w:t>）/100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式中：a为每100m空气吸收系数，是温度、湿度和声波频率的函数。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Cs w:val="24"/>
                <w:highlight w:val="none"/>
              </w:rPr>
            </w:pPr>
            <w:r>
              <w:rPr>
                <w:rFonts w:ascii="Times New Roman"/>
                <w:color w:val="auto"/>
                <w:szCs w:val="24"/>
                <w:highlight w:val="none"/>
              </w:rPr>
              <w:t>本评价由于计算距离较近，Aatm计算值较小，故在计算时忽略此项。</w:t>
            </w:r>
          </w:p>
          <w:p>
            <w:pPr>
              <w:pStyle w:val="8"/>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③</w:t>
            </w:r>
            <w:r>
              <w:rPr>
                <w:rFonts w:ascii="Times New Roman" w:hAnsi="Times New Roman" w:eastAsia="宋体" w:cs="Times New Roman"/>
                <w:color w:val="auto"/>
                <w:sz w:val="21"/>
                <w:szCs w:val="21"/>
                <w:highlight w:val="none"/>
              </w:rPr>
              <w:t>遮挡物引起的衰减量Abar</w:t>
            </w:r>
          </w:p>
          <w:p>
            <w:pPr>
              <w:pStyle w:val="8"/>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位于声源和预测点之间的实体障碍物，如围墙、建筑物、土坡、地堑或绿化林带都能起声屏障作用，从而引起声能量的衰减，具体衰减根据不同声级的传播途径而定，一般取</w:t>
            </w:r>
            <w:r>
              <w:rPr>
                <w:rFonts w:hint="default"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dB（A）。</w:t>
            </w:r>
          </w:p>
          <w:p>
            <w:pPr>
              <w:pStyle w:val="8"/>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④</w:t>
            </w:r>
            <w:r>
              <w:rPr>
                <w:rFonts w:ascii="Times New Roman" w:hAnsi="Times New Roman" w:eastAsia="宋体" w:cs="Times New Roman"/>
                <w:color w:val="auto"/>
                <w:sz w:val="21"/>
                <w:szCs w:val="21"/>
                <w:highlight w:val="none"/>
              </w:rPr>
              <w:t>附加衰减量Aexc</w:t>
            </w:r>
          </w:p>
          <w:p>
            <w:pPr>
              <w:pStyle w:val="8"/>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根据导则规定，满足下列条件需考虑地面效应引起的附加衰减：</w:t>
            </w:r>
            <w:r>
              <w:rPr>
                <w:rFonts w:hint="eastAsia" w:ascii="Times New Roman" w:hAnsi="Times New Roman" w:eastAsia="宋体" w:cs="Times New Roman"/>
                <w:color w:val="auto"/>
                <w:sz w:val="21"/>
                <w:szCs w:val="21"/>
                <w:highlight w:val="none"/>
              </w:rPr>
              <w:t>①</w:t>
            </w:r>
            <w:r>
              <w:rPr>
                <w:rFonts w:ascii="Times New Roman" w:hAnsi="Times New Roman" w:eastAsia="宋体" w:cs="Times New Roman"/>
                <w:color w:val="auto"/>
                <w:sz w:val="21"/>
                <w:szCs w:val="21"/>
                <w:highlight w:val="none"/>
              </w:rPr>
              <w:t>预测点距声源50m以上；</w:t>
            </w:r>
            <w:r>
              <w:rPr>
                <w:rFonts w:hint="eastAsia" w:ascii="Times New Roman" w:hAnsi="Times New Roman" w:eastAsia="宋体" w:cs="Times New Roman"/>
                <w:color w:val="auto"/>
                <w:sz w:val="21"/>
                <w:szCs w:val="21"/>
                <w:highlight w:val="none"/>
              </w:rPr>
              <w:t>②</w:t>
            </w:r>
            <w:r>
              <w:rPr>
                <w:rFonts w:ascii="Times New Roman" w:hAnsi="Times New Roman" w:eastAsia="宋体" w:cs="Times New Roman"/>
                <w:color w:val="auto"/>
                <w:sz w:val="21"/>
                <w:szCs w:val="21"/>
                <w:highlight w:val="none"/>
              </w:rPr>
              <w:t>声源距地面高度和预测点距地面高度的平均值小于3m；</w:t>
            </w:r>
            <w:r>
              <w:rPr>
                <w:rFonts w:hint="eastAsia" w:ascii="Times New Roman" w:hAnsi="Times New Roman" w:eastAsia="宋体" w:cs="Times New Roman"/>
                <w:color w:val="auto"/>
                <w:sz w:val="21"/>
                <w:szCs w:val="21"/>
                <w:highlight w:val="none"/>
              </w:rPr>
              <w:t>③</w:t>
            </w:r>
            <w:r>
              <w:rPr>
                <w:rFonts w:ascii="Times New Roman" w:hAnsi="Times New Roman" w:eastAsia="宋体" w:cs="Times New Roman"/>
                <w:color w:val="auto"/>
                <w:sz w:val="21"/>
                <w:szCs w:val="21"/>
                <w:highlight w:val="none"/>
              </w:rPr>
              <w:t>声源与预测点之间的地面被草地、灌木等覆盖（软地面）。此时，地面效应引起附加衰减量按下式计算：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color w:val="auto"/>
                <w:sz w:val="21"/>
                <w:szCs w:val="21"/>
                <w:highlight w:val="none"/>
              </w:rPr>
            </w:pPr>
            <w:r>
              <w:rPr>
                <w:rFonts w:ascii="Times New Roman"/>
                <w:color w:val="auto"/>
                <w:sz w:val="21"/>
                <w:szCs w:val="21"/>
                <w:highlight w:val="none"/>
              </w:rPr>
              <w:t>A</w:t>
            </w:r>
            <w:r>
              <w:rPr>
                <w:rFonts w:ascii="Times New Roman"/>
                <w:color w:val="auto"/>
                <w:sz w:val="21"/>
                <w:szCs w:val="21"/>
                <w:highlight w:val="none"/>
                <w:vertAlign w:val="subscript"/>
              </w:rPr>
              <w:t>exc</w:t>
            </w:r>
            <w:r>
              <w:rPr>
                <w:rFonts w:ascii="Times New Roman"/>
                <w:color w:val="auto"/>
                <w:sz w:val="21"/>
                <w:szCs w:val="21"/>
                <w:highlight w:val="none"/>
              </w:rPr>
              <w:t>=5lg（r/r</w:t>
            </w:r>
            <w:r>
              <w:rPr>
                <w:rFonts w:ascii="Times New Roman"/>
                <w:color w:val="auto"/>
                <w:sz w:val="21"/>
                <w:szCs w:val="21"/>
                <w:highlight w:val="none"/>
                <w:vertAlign w:val="subscript"/>
              </w:rPr>
              <w:t>o</w:t>
            </w:r>
            <w:r>
              <w:rPr>
                <w:rFonts w:ascii="Times New Roman"/>
                <w:color w:val="auto"/>
                <w:sz w:val="21"/>
                <w:szCs w:val="21"/>
                <w:highlight w:val="none"/>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Style w:val="69"/>
                <w:rFonts w:hint="default" w:ascii="Times New Roman" w:hAnsi="Times New Roman" w:eastAsia="宋体" w:cs="Times New Roman"/>
                <w:bCs/>
                <w:color w:val="auto"/>
                <w:sz w:val="21"/>
                <w:szCs w:val="21"/>
                <w:highlight w:val="none"/>
                <w:lang w:bidi="ar"/>
              </w:rPr>
            </w:pPr>
            <w:r>
              <w:rPr>
                <w:rFonts w:ascii="Times New Roman"/>
                <w:color w:val="auto"/>
                <w:sz w:val="21"/>
                <w:szCs w:val="21"/>
                <w:highlight w:val="none"/>
              </w:rPr>
              <w:t>不管传播距离多远，地面效应引起附加衰减量的上限为10dB（A）。根据厂区布置和噪声源强及外环境状况，本环评忽略不计。</w:t>
            </w:r>
          </w:p>
          <w:p>
            <w:pPr>
              <w:spacing w:line="360" w:lineRule="auto"/>
              <w:ind w:firstLine="420"/>
              <w:rPr>
                <w:color w:val="auto"/>
                <w:highlight w:val="none"/>
              </w:rPr>
            </w:pPr>
          </w:p>
          <w:p>
            <w:pPr>
              <w:spacing w:line="360" w:lineRule="auto"/>
              <w:ind w:firstLine="420"/>
              <w:rPr>
                <w:color w:val="auto"/>
                <w:highlight w:val="none"/>
              </w:rPr>
            </w:pPr>
          </w:p>
          <w:p>
            <w:pPr>
              <w:spacing w:line="360" w:lineRule="auto"/>
              <w:ind w:firstLine="420"/>
              <w:rPr>
                <w:color w:val="auto"/>
                <w:highlight w:val="none"/>
              </w:rPr>
            </w:pPr>
          </w:p>
          <w:p>
            <w:pPr>
              <w:spacing w:line="360" w:lineRule="auto"/>
              <w:ind w:firstLine="420"/>
              <w:rPr>
                <w:color w:val="auto"/>
                <w:highlight w:val="none"/>
              </w:rPr>
            </w:pPr>
          </w:p>
          <w:p>
            <w:pPr>
              <w:spacing w:line="360" w:lineRule="auto"/>
              <w:ind w:firstLine="420"/>
              <w:rPr>
                <w:color w:val="auto"/>
                <w:highlight w:val="none"/>
              </w:rPr>
            </w:pPr>
          </w:p>
          <w:p>
            <w:pPr>
              <w:spacing w:line="360" w:lineRule="auto"/>
              <w:rPr>
                <w:bCs/>
                <w:color w:val="auto"/>
                <w:spacing w:val="-10"/>
                <w:szCs w:val="21"/>
                <w:highlight w:val="none"/>
              </w:rPr>
            </w:pPr>
          </w:p>
        </w:tc>
      </w:tr>
    </w:tbl>
    <w:p>
      <w:pPr>
        <w:pStyle w:val="22"/>
        <w:jc w:val="center"/>
        <w:outlineLvl w:val="0"/>
        <w:rPr>
          <w:rFonts w:ascii="Times New Roman" w:hAnsi="Times New Roman" w:eastAsia="黑体"/>
          <w:snapToGrid w:val="0"/>
          <w:color w:val="auto"/>
          <w:sz w:val="30"/>
          <w:szCs w:val="30"/>
          <w:highlight w:val="none"/>
        </w:rPr>
        <w:sectPr>
          <w:pgSz w:w="11906" w:h="16838"/>
          <w:pgMar w:top="1701" w:right="1531" w:bottom="1701" w:left="1531" w:header="851" w:footer="851" w:gutter="0"/>
          <w:pgNumType w:fmt="numberInDash"/>
          <w:cols w:space="720" w:num="1"/>
          <w:docGrid w:linePitch="312" w:charSpace="0"/>
        </w:sect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center"/>
          </w:tcPr>
          <w:p>
            <w:pPr>
              <w:jc w:val="center"/>
              <w:rPr>
                <w:rFonts w:hint="default"/>
                <w:color w:val="auto"/>
                <w:highlight w:val="none"/>
              </w:rPr>
            </w:pPr>
            <w:r>
              <w:rPr>
                <w:rFonts w:hint="default" w:ascii="Times New Roman" w:hAnsi="Times New Roman" w:eastAsia="黑体" w:cs="Times New Roman"/>
                <w:b/>
                <w:bCs/>
                <w:color w:val="auto"/>
                <w:sz w:val="21"/>
                <w:szCs w:val="21"/>
                <w:highlight w:val="none"/>
                <w:lang w:val="zh-CN" w:eastAsia="zh-CN"/>
              </w:rPr>
              <w:t>表</w:t>
            </w:r>
            <w:r>
              <w:rPr>
                <w:rFonts w:hint="eastAsia" w:ascii="Times New Roman" w:hAnsi="Times New Roman" w:eastAsia="黑体" w:cs="Times New Roman"/>
                <w:b/>
                <w:bCs/>
                <w:color w:val="auto"/>
                <w:sz w:val="21"/>
                <w:szCs w:val="21"/>
                <w:highlight w:val="none"/>
                <w:lang w:val="en-US" w:eastAsia="zh-CN"/>
              </w:rPr>
              <w:t>4-</w:t>
            </w:r>
            <w:r>
              <w:rPr>
                <w:rFonts w:hint="eastAsia" w:eastAsia="黑体" w:cs="Times New Roman"/>
                <w:b/>
                <w:bCs/>
                <w:color w:val="auto"/>
                <w:sz w:val="21"/>
                <w:szCs w:val="21"/>
                <w:highlight w:val="none"/>
                <w:lang w:val="en-US" w:eastAsia="zh-CN"/>
              </w:rPr>
              <w:t>21</w:t>
            </w:r>
            <w:r>
              <w:rPr>
                <w:rFonts w:hint="default" w:ascii="Times New Roman" w:hAnsi="Times New Roman" w:eastAsia="黑体" w:cs="Times New Roman"/>
                <w:b/>
                <w:bCs/>
                <w:color w:val="auto"/>
                <w:sz w:val="21"/>
                <w:szCs w:val="21"/>
                <w:highlight w:val="none"/>
                <w:lang w:val="zh-CN" w:eastAsia="zh-CN"/>
              </w:rPr>
              <w:t>拟建项目新增设备主要噪声源强调查清单（室内声源）</w:t>
            </w:r>
          </w:p>
          <w:tbl>
            <w:tblPr>
              <w:tblStyle w:val="2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60"/>
              <w:gridCol w:w="761"/>
              <w:gridCol w:w="933"/>
              <w:gridCol w:w="784"/>
              <w:gridCol w:w="977"/>
              <w:gridCol w:w="899"/>
              <w:gridCol w:w="762"/>
              <w:gridCol w:w="846"/>
              <w:gridCol w:w="733"/>
              <w:gridCol w:w="1061"/>
              <w:gridCol w:w="1821"/>
              <w:gridCol w:w="816"/>
              <w:gridCol w:w="106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 w:type="pct"/>
                  <w:vMerge w:val="restar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序号</w:t>
                  </w:r>
                </w:p>
              </w:tc>
              <w:tc>
                <w:tcPr>
                  <w:tcW w:w="283" w:type="pct"/>
                  <w:vMerge w:val="restar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建筑物名称</w:t>
                  </w:r>
                </w:p>
              </w:tc>
              <w:tc>
                <w:tcPr>
                  <w:tcW w:w="283" w:type="pct"/>
                  <w:vMerge w:val="restar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声源名称</w:t>
                  </w:r>
                </w:p>
              </w:tc>
              <w:tc>
                <w:tcPr>
                  <w:tcW w:w="639" w:type="pct"/>
                  <w:gridSpan w:val="2"/>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声源源强（任选一种）</w:t>
                  </w:r>
                </w:p>
              </w:tc>
              <w:tc>
                <w:tcPr>
                  <w:tcW w:w="36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声源控制措施</w:t>
                  </w:r>
                </w:p>
              </w:tc>
              <w:tc>
                <w:tcPr>
                  <w:tcW w:w="934" w:type="pct"/>
                  <w:gridSpan w:val="3"/>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空间相对位置/m</w:t>
                  </w:r>
                </w:p>
              </w:tc>
              <w:tc>
                <w:tcPr>
                  <w:tcW w:w="273" w:type="pct"/>
                  <w:vMerge w:val="restar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距室内边界距离/m</w:t>
                  </w:r>
                </w:p>
              </w:tc>
              <w:tc>
                <w:tcPr>
                  <w:tcW w:w="395" w:type="pct"/>
                  <w:vMerge w:val="restar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室内边界声级/dB</w:t>
                  </w:r>
                </w:p>
              </w:tc>
              <w:tc>
                <w:tcPr>
                  <w:tcW w:w="678" w:type="pct"/>
                  <w:vMerge w:val="restar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运行时段</w:t>
                  </w:r>
                </w:p>
              </w:tc>
              <w:tc>
                <w:tcPr>
                  <w:tcW w:w="304" w:type="pct"/>
                  <w:vMerge w:val="restar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建筑物插入损失/dB</w:t>
                  </w:r>
                </w:p>
              </w:tc>
              <w:tc>
                <w:tcPr>
                  <w:tcW w:w="681" w:type="pct"/>
                  <w:gridSpan w:val="2"/>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 w:type="pct"/>
                  <w:vMerge w:val="continue"/>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p>
              </w:tc>
              <w:tc>
                <w:tcPr>
                  <w:tcW w:w="283" w:type="pct"/>
                  <w:vMerge w:val="continue"/>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p>
              </w:tc>
              <w:tc>
                <w:tcPr>
                  <w:tcW w:w="283" w:type="pct"/>
                  <w:vMerge w:val="continue"/>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p>
              </w:tc>
              <w:tc>
                <w:tcPr>
                  <w:tcW w:w="347" w:type="pc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距声源距离</w:t>
                  </w:r>
                </w:p>
              </w:tc>
              <w:tc>
                <w:tcPr>
                  <w:tcW w:w="292" w:type="pc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声</w:t>
                  </w:r>
                  <w:r>
                    <w:rPr>
                      <w:rFonts w:hint="eastAsia" w:cs="Times New Roman"/>
                      <w:b/>
                      <w:bCs w:val="0"/>
                      <w:color w:val="auto"/>
                      <w:sz w:val="18"/>
                      <w:szCs w:val="18"/>
                      <w:highlight w:val="none"/>
                      <w:lang w:val="en-US" w:eastAsia="zh-CN"/>
                    </w:rPr>
                    <w:t>压</w:t>
                  </w:r>
                  <w:r>
                    <w:rPr>
                      <w:rFonts w:hint="eastAsia" w:ascii="Times New Roman" w:hAnsi="Times New Roman" w:eastAsia="宋体" w:cs="Times New Roman"/>
                      <w:b/>
                      <w:bCs w:val="0"/>
                      <w:color w:val="auto"/>
                      <w:sz w:val="18"/>
                      <w:szCs w:val="18"/>
                      <w:highlight w:val="none"/>
                      <w:lang w:val="en-US" w:eastAsia="zh-CN"/>
                    </w:rPr>
                    <w:t>级</w:t>
                  </w:r>
                </w:p>
              </w:tc>
              <w:tc>
                <w:tcPr>
                  <w:tcW w:w="364" w:type="pct"/>
                  <w:vMerge w:val="continue"/>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p>
              </w:tc>
              <w:tc>
                <w:tcPr>
                  <w:tcW w:w="334" w:type="pc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X</w:t>
                  </w:r>
                </w:p>
              </w:tc>
              <w:tc>
                <w:tcPr>
                  <w:tcW w:w="283" w:type="pc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Y</w:t>
                  </w:r>
                </w:p>
              </w:tc>
              <w:tc>
                <w:tcPr>
                  <w:tcW w:w="315" w:type="pc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Z</w:t>
                  </w:r>
                </w:p>
              </w:tc>
              <w:tc>
                <w:tcPr>
                  <w:tcW w:w="273" w:type="pct"/>
                  <w:vMerge w:val="continue"/>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p>
              </w:tc>
              <w:tc>
                <w:tcPr>
                  <w:tcW w:w="395" w:type="pct"/>
                  <w:vMerge w:val="continue"/>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p>
              </w:tc>
              <w:tc>
                <w:tcPr>
                  <w:tcW w:w="678" w:type="pct"/>
                  <w:vMerge w:val="continue"/>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p>
              </w:tc>
              <w:tc>
                <w:tcPr>
                  <w:tcW w:w="304" w:type="pct"/>
                  <w:vMerge w:val="continue"/>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p>
              </w:tc>
              <w:tc>
                <w:tcPr>
                  <w:tcW w:w="395" w:type="pc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声压级/dB</w:t>
                  </w:r>
                </w:p>
              </w:tc>
              <w:tc>
                <w:tcPr>
                  <w:tcW w:w="286" w:type="pct"/>
                  <w:tcBorders>
                    <w:tl2br w:val="nil"/>
                    <w:tr2bl w:val="nil"/>
                  </w:tcBorders>
                  <w:noWrap w:val="0"/>
                  <w:vAlign w:val="center"/>
                </w:tcPr>
                <w:p>
                  <w:pPr>
                    <w:pStyle w:val="60"/>
                    <w:keepNext w:val="0"/>
                    <w:keepLines w:val="0"/>
                    <w:pageBreakBefore w:val="0"/>
                    <w:widowControl w:val="0"/>
                    <w:kinsoku/>
                    <w:wordWrap/>
                    <w:overflowPunct w:val="0"/>
                    <w:topLinePunct w:val="0"/>
                    <w:autoSpaceDE/>
                    <w:autoSpaceDN/>
                    <w:bidi w:val="0"/>
                    <w:adjustRightInd w:val="0"/>
                    <w:snapToGrid w:val="0"/>
                    <w:spacing w:before="0" w:after="0" w:line="312" w:lineRule="exact"/>
                    <w:ind w:firstLine="0" w:firstLineChars="0"/>
                    <w:jc w:val="center"/>
                    <w:textAlignment w:val="baseline"/>
                    <w:rPr>
                      <w:rFonts w:hint="default" w:ascii="Times New Roman" w:hAnsi="Times New Roman" w:eastAsia="宋体" w:cs="Times New Roman"/>
                      <w:b/>
                      <w:bCs w:val="0"/>
                      <w:color w:val="auto"/>
                      <w:sz w:val="18"/>
                      <w:szCs w:val="18"/>
                      <w:highlight w:val="none"/>
                      <w:lang w:val="en-US" w:eastAsia="zh-CN"/>
                    </w:rPr>
                  </w:pPr>
                  <w:r>
                    <w:rPr>
                      <w:rFonts w:hint="eastAsia" w:ascii="Times New Roman" w:hAnsi="Times New Roman" w:eastAsia="宋体" w:cs="Times New Roman"/>
                      <w:b/>
                      <w:bCs w:val="0"/>
                      <w:color w:val="auto"/>
                      <w:sz w:val="18"/>
                      <w:szCs w:val="18"/>
                      <w:highlight w:val="none"/>
                      <w:lang w:val="en-US" w:eastAsia="zh-CN"/>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12" w:lineRule="atLeast"/>
                    <w:ind w:left="0" w:leftChars="0" w:firstLine="0" w:firstLineChars="0"/>
                    <w:jc w:val="center"/>
                    <w:textAlignment w:val="auto"/>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1</w:t>
                  </w:r>
                </w:p>
              </w:tc>
              <w:tc>
                <w:tcPr>
                  <w:tcW w:w="283" w:type="pct"/>
                  <w:vMerge w:val="restar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12" w:lineRule="atLeast"/>
                    <w:ind w:left="0" w:leftChars="0" w:firstLine="0" w:firstLineChars="0"/>
                    <w:jc w:val="center"/>
                    <w:textAlignment w:val="auto"/>
                    <w:rPr>
                      <w:rFonts w:hint="default"/>
                      <w:color w:val="auto"/>
                      <w:sz w:val="18"/>
                      <w:szCs w:val="18"/>
                      <w:highlight w:val="none"/>
                      <w:vertAlign w:val="baseline"/>
                      <w:lang w:val="en-US" w:eastAsia="zh-CN"/>
                    </w:rPr>
                  </w:pPr>
                  <w:r>
                    <w:rPr>
                      <w:rFonts w:hint="eastAsia" w:ascii="Times New Roman" w:hAnsi="Times New Roman" w:eastAsia="宋体" w:cs="Times New Roman"/>
                      <w:snapToGrid/>
                      <w:color w:val="auto"/>
                      <w:kern w:val="2"/>
                      <w:sz w:val="18"/>
                      <w:szCs w:val="18"/>
                      <w:highlight w:val="none"/>
                      <w:lang w:val="en-US" w:eastAsia="zh-CN" w:bidi="ar-SA"/>
                    </w:rPr>
                    <w:t>污水处理站</w:t>
                  </w:r>
                </w:p>
              </w:tc>
              <w:tc>
                <w:tcPr>
                  <w:tcW w:w="28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18"/>
                      <w:szCs w:val="18"/>
                      <w:highlight w:val="none"/>
                      <w:lang w:val="en-US" w:eastAsia="zh-CN" w:bidi="ar-SA"/>
                    </w:rPr>
                  </w:pPr>
                  <w:r>
                    <w:rPr>
                      <w:color w:val="auto"/>
                      <w:sz w:val="18"/>
                      <w:szCs w:val="18"/>
                      <w:highlight w:val="none"/>
                    </w:rPr>
                    <w:t>泵</w:t>
                  </w:r>
                  <w:r>
                    <w:rPr>
                      <w:rFonts w:hint="eastAsia"/>
                      <w:color w:val="auto"/>
                      <w:sz w:val="18"/>
                      <w:szCs w:val="18"/>
                      <w:highlight w:val="none"/>
                      <w:lang w:val="en-US" w:eastAsia="zh-CN"/>
                    </w:rPr>
                    <w:t>类1-4</w:t>
                  </w: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w:t>
                  </w:r>
                </w:p>
              </w:tc>
              <w:tc>
                <w:tcPr>
                  <w:tcW w:w="2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88</w:t>
                  </w:r>
                </w:p>
              </w:tc>
              <w:tc>
                <w:tcPr>
                  <w:tcW w:w="36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color w:val="auto"/>
                      <w:sz w:val="18"/>
                      <w:szCs w:val="18"/>
                      <w:highlight w:val="none"/>
                      <w:lang w:val="en-US" w:eastAsia="zh-CN"/>
                    </w:rPr>
                    <w:t>基础减振、厂房隔声</w:t>
                  </w:r>
                </w:p>
              </w:tc>
              <w:tc>
                <w:tcPr>
                  <w:tcW w:w="3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-55</w:t>
                  </w:r>
                </w:p>
              </w:tc>
              <w:tc>
                <w:tcPr>
                  <w:tcW w:w="28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48</w:t>
                  </w:r>
                </w:p>
              </w:tc>
              <w:tc>
                <w:tcPr>
                  <w:tcW w:w="31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-2.5</w:t>
                  </w:r>
                </w:p>
              </w:tc>
              <w:tc>
                <w:tcPr>
                  <w:tcW w:w="27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w:t>
                  </w:r>
                </w:p>
              </w:tc>
              <w:tc>
                <w:tcPr>
                  <w:tcW w:w="3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78.5</w:t>
                  </w:r>
                </w:p>
              </w:tc>
              <w:tc>
                <w:tcPr>
                  <w:tcW w:w="6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全天</w:t>
                  </w:r>
                </w:p>
              </w:tc>
              <w:tc>
                <w:tcPr>
                  <w:tcW w:w="30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25</w:t>
                  </w:r>
                </w:p>
              </w:tc>
              <w:tc>
                <w:tcPr>
                  <w:tcW w:w="3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53.5</w:t>
                  </w:r>
                </w:p>
              </w:tc>
              <w:tc>
                <w:tcPr>
                  <w:tcW w:w="28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12" w:lineRule="atLeast"/>
                    <w:ind w:left="0" w:leftChars="0" w:firstLine="0" w:firstLineChars="0"/>
                    <w:jc w:val="center"/>
                    <w:textAlignment w:val="auto"/>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2</w:t>
                  </w:r>
                </w:p>
              </w:tc>
              <w:tc>
                <w:tcPr>
                  <w:tcW w:w="283" w:type="pct"/>
                  <w:vMerge w:val="continue"/>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12" w:lineRule="atLeast"/>
                    <w:ind w:left="0" w:leftChars="0" w:firstLine="0" w:firstLineChars="0"/>
                    <w:jc w:val="center"/>
                    <w:textAlignment w:val="auto"/>
                    <w:rPr>
                      <w:rFonts w:hint="default"/>
                      <w:color w:val="auto"/>
                      <w:sz w:val="18"/>
                      <w:szCs w:val="18"/>
                      <w:highlight w:val="none"/>
                      <w:vertAlign w:val="baseline"/>
                      <w:lang w:val="en-US" w:eastAsia="zh-CN"/>
                    </w:rPr>
                  </w:pPr>
                </w:p>
              </w:tc>
              <w:tc>
                <w:tcPr>
                  <w:tcW w:w="28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18"/>
                      <w:szCs w:val="18"/>
                      <w:highlight w:val="none"/>
                      <w:lang w:val="en-US" w:eastAsia="zh-CN" w:bidi="ar-SA"/>
                    </w:rPr>
                  </w:pPr>
                  <w:r>
                    <w:rPr>
                      <w:color w:val="auto"/>
                      <w:sz w:val="18"/>
                      <w:szCs w:val="18"/>
                      <w:highlight w:val="none"/>
                    </w:rPr>
                    <w:t>消毒机</w:t>
                  </w: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w:t>
                  </w:r>
                </w:p>
              </w:tc>
              <w:tc>
                <w:tcPr>
                  <w:tcW w:w="2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80</w:t>
                  </w:r>
                </w:p>
              </w:tc>
              <w:tc>
                <w:tcPr>
                  <w:tcW w:w="36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p>
              </w:tc>
              <w:tc>
                <w:tcPr>
                  <w:tcW w:w="3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-40</w:t>
                  </w:r>
                </w:p>
              </w:tc>
              <w:tc>
                <w:tcPr>
                  <w:tcW w:w="28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42</w:t>
                  </w:r>
                </w:p>
              </w:tc>
              <w:tc>
                <w:tcPr>
                  <w:tcW w:w="31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0.5</w:t>
                  </w:r>
                </w:p>
              </w:tc>
              <w:tc>
                <w:tcPr>
                  <w:tcW w:w="27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w:t>
                  </w:r>
                </w:p>
              </w:tc>
              <w:tc>
                <w:tcPr>
                  <w:tcW w:w="3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66</w:t>
                  </w:r>
                </w:p>
              </w:tc>
              <w:tc>
                <w:tcPr>
                  <w:tcW w:w="6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全天</w:t>
                  </w:r>
                </w:p>
              </w:tc>
              <w:tc>
                <w:tcPr>
                  <w:tcW w:w="30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25</w:t>
                  </w:r>
                </w:p>
              </w:tc>
              <w:tc>
                <w:tcPr>
                  <w:tcW w:w="3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41</w:t>
                  </w:r>
                </w:p>
              </w:tc>
              <w:tc>
                <w:tcPr>
                  <w:tcW w:w="28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12" w:lineRule="atLeast"/>
                    <w:ind w:left="0" w:leftChars="0" w:firstLine="0" w:firstLineChars="0"/>
                    <w:jc w:val="center"/>
                    <w:textAlignment w:val="auto"/>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3</w:t>
                  </w:r>
                </w:p>
              </w:tc>
              <w:tc>
                <w:tcPr>
                  <w:tcW w:w="283" w:type="pct"/>
                  <w:vMerge w:val="continue"/>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12" w:lineRule="atLeast"/>
                    <w:ind w:left="0" w:leftChars="0" w:firstLine="0" w:firstLineChars="0"/>
                    <w:jc w:val="center"/>
                    <w:textAlignment w:val="auto"/>
                    <w:rPr>
                      <w:rFonts w:hint="default"/>
                      <w:color w:val="auto"/>
                      <w:sz w:val="18"/>
                      <w:szCs w:val="18"/>
                      <w:highlight w:val="none"/>
                      <w:vertAlign w:val="baseline"/>
                      <w:lang w:val="en-US" w:eastAsia="zh-CN"/>
                    </w:rPr>
                  </w:pPr>
                </w:p>
              </w:tc>
              <w:tc>
                <w:tcPr>
                  <w:tcW w:w="28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风机</w:t>
                  </w: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w:t>
                  </w:r>
                </w:p>
              </w:tc>
              <w:tc>
                <w:tcPr>
                  <w:tcW w:w="2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val="en-US" w:eastAsia="zh-CN"/>
                    </w:rPr>
                    <w:t>90</w:t>
                  </w:r>
                </w:p>
              </w:tc>
              <w:tc>
                <w:tcPr>
                  <w:tcW w:w="36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p>
              </w:tc>
              <w:tc>
                <w:tcPr>
                  <w:tcW w:w="3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-49</w:t>
                  </w:r>
                </w:p>
              </w:tc>
              <w:tc>
                <w:tcPr>
                  <w:tcW w:w="28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60</w:t>
                  </w:r>
                </w:p>
              </w:tc>
              <w:tc>
                <w:tcPr>
                  <w:tcW w:w="31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0.5</w:t>
                  </w:r>
                </w:p>
              </w:tc>
              <w:tc>
                <w:tcPr>
                  <w:tcW w:w="27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w:t>
                  </w:r>
                </w:p>
              </w:tc>
              <w:tc>
                <w:tcPr>
                  <w:tcW w:w="3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80.5</w:t>
                  </w:r>
                </w:p>
              </w:tc>
              <w:tc>
                <w:tcPr>
                  <w:tcW w:w="6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全天</w:t>
                  </w:r>
                </w:p>
              </w:tc>
              <w:tc>
                <w:tcPr>
                  <w:tcW w:w="30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25</w:t>
                  </w:r>
                </w:p>
              </w:tc>
              <w:tc>
                <w:tcPr>
                  <w:tcW w:w="3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55.5</w:t>
                  </w:r>
                </w:p>
              </w:tc>
              <w:tc>
                <w:tcPr>
                  <w:tcW w:w="286"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12" w:lineRule="atLeast"/>
                    <w:ind w:left="0" w:leftChars="0" w:firstLine="0" w:firstLineChars="0"/>
                    <w:jc w:val="center"/>
                    <w:textAlignment w:val="auto"/>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4</w:t>
                  </w:r>
                </w:p>
              </w:tc>
              <w:tc>
                <w:tcPr>
                  <w:tcW w:w="283" w:type="pct"/>
                  <w:tcBorders>
                    <w:tl2br w:val="nil"/>
                    <w:tr2bl w:val="nil"/>
                  </w:tcBorders>
                  <w:noWrap w:val="0"/>
                  <w:vAlign w:val="center"/>
                </w:tcPr>
                <w:p>
                  <w:pPr>
                    <w:pStyle w:val="26"/>
                    <w:keepNext w:val="0"/>
                    <w:keepLines w:val="0"/>
                    <w:pageBreakBefore w:val="0"/>
                    <w:widowControl w:val="0"/>
                    <w:kinsoku/>
                    <w:wordWrap/>
                    <w:overflowPunct/>
                    <w:topLinePunct w:val="0"/>
                    <w:autoSpaceDE/>
                    <w:autoSpaceDN/>
                    <w:bidi w:val="0"/>
                    <w:adjustRightInd w:val="0"/>
                    <w:snapToGrid w:val="0"/>
                    <w:spacing w:after="0" w:line="312" w:lineRule="atLeast"/>
                    <w:ind w:left="0" w:leftChars="0" w:firstLine="0" w:firstLineChars="0"/>
                    <w:jc w:val="center"/>
                    <w:textAlignment w:val="auto"/>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综合楼</w:t>
                  </w:r>
                </w:p>
              </w:tc>
              <w:tc>
                <w:tcPr>
                  <w:tcW w:w="283" w:type="pct"/>
                  <w:tcBorders>
                    <w:tl2br w:val="nil"/>
                    <w:tr2bl w:val="nil"/>
                  </w:tcBorders>
                  <w:noWrap w:val="0"/>
                  <w:vAlign w:val="center"/>
                </w:tcPr>
                <w:p>
                  <w:pPr>
                    <w:adjustRightInd w:val="0"/>
                    <w:snapToGrid w:val="0"/>
                    <w:jc w:val="center"/>
                    <w:rPr>
                      <w:rFonts w:hint="default"/>
                      <w:color w:val="auto"/>
                      <w:sz w:val="18"/>
                      <w:szCs w:val="18"/>
                      <w:highlight w:val="none"/>
                      <w:lang w:val="en-US" w:eastAsia="zh-CN"/>
                    </w:rPr>
                  </w:pPr>
                  <w:r>
                    <w:rPr>
                      <w:rFonts w:hint="eastAsia"/>
                      <w:color w:val="auto"/>
                      <w:sz w:val="18"/>
                      <w:szCs w:val="18"/>
                      <w:highlight w:val="none"/>
                      <w:lang w:val="en-US" w:eastAsia="zh-CN"/>
                    </w:rPr>
                    <w:t>空调机组</w:t>
                  </w:r>
                </w:p>
              </w:tc>
              <w:tc>
                <w:tcPr>
                  <w:tcW w:w="3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w:t>
                  </w:r>
                </w:p>
              </w:tc>
              <w:tc>
                <w:tcPr>
                  <w:tcW w:w="29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90</w:t>
                  </w:r>
                </w:p>
              </w:tc>
              <w:tc>
                <w:tcPr>
                  <w:tcW w:w="36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default" w:ascii="Times New Roman" w:hAnsi="Times New Roman" w:eastAsia="宋体" w:cs="Times New Roman"/>
                      <w:color w:val="auto"/>
                      <w:kern w:val="2"/>
                      <w:sz w:val="18"/>
                      <w:szCs w:val="18"/>
                      <w:highlight w:val="none"/>
                      <w:lang w:val="en-US" w:eastAsia="zh-CN" w:bidi="ar-SA"/>
                    </w:rPr>
                  </w:pPr>
                </w:p>
              </w:tc>
              <w:tc>
                <w:tcPr>
                  <w:tcW w:w="334"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14</w:t>
                  </w:r>
                </w:p>
              </w:tc>
              <w:tc>
                <w:tcPr>
                  <w:tcW w:w="28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5</w:t>
                  </w:r>
                </w:p>
              </w:tc>
              <w:tc>
                <w:tcPr>
                  <w:tcW w:w="31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w:t>
                  </w:r>
                </w:p>
              </w:tc>
              <w:tc>
                <w:tcPr>
                  <w:tcW w:w="27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28</w:t>
                  </w:r>
                </w:p>
              </w:tc>
              <w:tc>
                <w:tcPr>
                  <w:tcW w:w="3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61.1</w:t>
                  </w:r>
                </w:p>
              </w:tc>
              <w:tc>
                <w:tcPr>
                  <w:tcW w:w="6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exact"/>
                    <w:ind w:firstLine="0" w:firstLineChars="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全天</w:t>
                  </w:r>
                </w:p>
              </w:tc>
              <w:tc>
                <w:tcPr>
                  <w:tcW w:w="304"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25</w:t>
                  </w:r>
                </w:p>
              </w:tc>
              <w:tc>
                <w:tcPr>
                  <w:tcW w:w="395"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36.1</w:t>
                  </w:r>
                </w:p>
              </w:tc>
              <w:tc>
                <w:tcPr>
                  <w:tcW w:w="286" w:type="pct"/>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1m</w:t>
                  </w:r>
                </w:p>
              </w:tc>
            </w:tr>
          </w:tbl>
          <w:p>
            <w:pPr>
              <w:tabs>
                <w:tab w:val="left" w:pos="2040"/>
              </w:tabs>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tabs>
                <w:tab w:val="left" w:pos="2040"/>
              </w:tabs>
              <w:rPr>
                <w:rFonts w:hint="eastAsia"/>
                <w:color w:val="auto"/>
                <w:highlight w:val="none"/>
              </w:rPr>
            </w:pPr>
          </w:p>
        </w:tc>
      </w:tr>
    </w:tbl>
    <w:p>
      <w:pPr>
        <w:pStyle w:val="22"/>
        <w:jc w:val="center"/>
        <w:outlineLvl w:val="0"/>
        <w:rPr>
          <w:rFonts w:ascii="Times New Roman" w:hAnsi="Times New Roman" w:eastAsia="黑体"/>
          <w:snapToGrid w:val="0"/>
          <w:color w:val="auto"/>
          <w:sz w:val="30"/>
          <w:szCs w:val="30"/>
          <w:highlight w:val="none"/>
        </w:rPr>
        <w:sectPr>
          <w:pgSz w:w="16838" w:h="11906" w:orient="landscape"/>
          <w:pgMar w:top="1531" w:right="1701" w:bottom="1531" w:left="1701" w:header="851" w:footer="851" w:gutter="0"/>
          <w:pgNumType w:fmt="numberInDash"/>
          <w:cols w:space="720" w:num="1"/>
          <w:docGrid w:linePitch="312" w:charSpace="0"/>
        </w:sectPr>
      </w:pPr>
    </w:p>
    <w:tbl>
      <w:tblPr>
        <w:tblStyle w:val="27"/>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5"/>
        <w:gridCol w:w="86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411" w:type="dxa"/>
            <w:tcMar>
              <w:left w:w="28" w:type="dxa"/>
              <w:right w:w="28" w:type="dxa"/>
            </w:tcMar>
            <w:vAlign w:val="center"/>
          </w:tcPr>
          <w:p>
            <w:pPr>
              <w:adjustRightInd w:val="0"/>
              <w:snapToGrid w:val="0"/>
              <w:jc w:val="center"/>
              <w:rPr>
                <w:bCs/>
                <w:color w:val="auto"/>
                <w:szCs w:val="21"/>
                <w:highlight w:val="none"/>
              </w:rPr>
            </w:pPr>
            <w:r>
              <w:rPr>
                <w:bCs/>
                <w:color w:val="auto"/>
                <w:szCs w:val="21"/>
                <w:highlight w:val="none"/>
              </w:rPr>
              <w:t>运</w:t>
            </w:r>
          </w:p>
          <w:p>
            <w:pPr>
              <w:adjustRightInd w:val="0"/>
              <w:snapToGrid w:val="0"/>
              <w:jc w:val="center"/>
              <w:rPr>
                <w:bCs/>
                <w:color w:val="auto"/>
                <w:szCs w:val="21"/>
                <w:highlight w:val="none"/>
              </w:rPr>
            </w:pPr>
            <w:r>
              <w:rPr>
                <w:bCs/>
                <w:color w:val="auto"/>
                <w:szCs w:val="21"/>
                <w:highlight w:val="none"/>
              </w:rPr>
              <w:t>营</w:t>
            </w:r>
          </w:p>
          <w:p>
            <w:pPr>
              <w:adjustRightInd w:val="0"/>
              <w:snapToGrid w:val="0"/>
              <w:jc w:val="center"/>
              <w:rPr>
                <w:bCs/>
                <w:color w:val="auto"/>
                <w:szCs w:val="21"/>
                <w:highlight w:val="none"/>
              </w:rPr>
            </w:pPr>
            <w:r>
              <w:rPr>
                <w:bCs/>
                <w:color w:val="auto"/>
                <w:szCs w:val="21"/>
                <w:highlight w:val="none"/>
              </w:rPr>
              <w:t>期</w:t>
            </w:r>
          </w:p>
          <w:p>
            <w:pPr>
              <w:adjustRightInd w:val="0"/>
              <w:snapToGrid w:val="0"/>
              <w:jc w:val="center"/>
              <w:rPr>
                <w:bCs/>
                <w:color w:val="auto"/>
                <w:szCs w:val="21"/>
                <w:highlight w:val="none"/>
              </w:rPr>
            </w:pPr>
            <w:r>
              <w:rPr>
                <w:bCs/>
                <w:color w:val="auto"/>
                <w:szCs w:val="21"/>
                <w:highlight w:val="none"/>
              </w:rPr>
              <w:t>环</w:t>
            </w:r>
          </w:p>
          <w:p>
            <w:pPr>
              <w:adjustRightInd w:val="0"/>
              <w:snapToGrid w:val="0"/>
              <w:jc w:val="center"/>
              <w:rPr>
                <w:bCs/>
                <w:color w:val="auto"/>
                <w:szCs w:val="21"/>
                <w:highlight w:val="none"/>
              </w:rPr>
            </w:pPr>
            <w:r>
              <w:rPr>
                <w:bCs/>
                <w:color w:val="auto"/>
                <w:szCs w:val="21"/>
                <w:highlight w:val="none"/>
              </w:rPr>
              <w:t>境</w:t>
            </w:r>
          </w:p>
          <w:p>
            <w:pPr>
              <w:adjustRightInd w:val="0"/>
              <w:snapToGrid w:val="0"/>
              <w:jc w:val="center"/>
              <w:rPr>
                <w:bCs/>
                <w:color w:val="auto"/>
                <w:szCs w:val="21"/>
                <w:highlight w:val="none"/>
              </w:rPr>
            </w:pPr>
            <w:r>
              <w:rPr>
                <w:bCs/>
                <w:color w:val="auto"/>
                <w:szCs w:val="21"/>
                <w:highlight w:val="none"/>
              </w:rPr>
              <w:t>影</w:t>
            </w:r>
          </w:p>
          <w:p>
            <w:pPr>
              <w:adjustRightInd w:val="0"/>
              <w:snapToGrid w:val="0"/>
              <w:jc w:val="center"/>
              <w:rPr>
                <w:bCs/>
                <w:color w:val="auto"/>
                <w:szCs w:val="21"/>
                <w:highlight w:val="none"/>
              </w:rPr>
            </w:pPr>
            <w:r>
              <w:rPr>
                <w:bCs/>
                <w:color w:val="auto"/>
                <w:szCs w:val="21"/>
                <w:highlight w:val="none"/>
              </w:rPr>
              <w:t>响</w:t>
            </w:r>
          </w:p>
          <w:p>
            <w:pPr>
              <w:adjustRightInd w:val="0"/>
              <w:snapToGrid w:val="0"/>
              <w:jc w:val="center"/>
              <w:rPr>
                <w:bCs/>
                <w:color w:val="auto"/>
                <w:szCs w:val="21"/>
                <w:highlight w:val="none"/>
              </w:rPr>
            </w:pPr>
            <w:r>
              <w:rPr>
                <w:bCs/>
                <w:color w:val="auto"/>
                <w:szCs w:val="21"/>
                <w:highlight w:val="none"/>
              </w:rPr>
              <w:t>和</w:t>
            </w:r>
          </w:p>
          <w:p>
            <w:pPr>
              <w:adjustRightInd w:val="0"/>
              <w:snapToGrid w:val="0"/>
              <w:jc w:val="center"/>
              <w:rPr>
                <w:bCs/>
                <w:color w:val="auto"/>
                <w:szCs w:val="21"/>
                <w:highlight w:val="none"/>
              </w:rPr>
            </w:pPr>
            <w:r>
              <w:rPr>
                <w:bCs/>
                <w:color w:val="auto"/>
                <w:szCs w:val="21"/>
                <w:highlight w:val="none"/>
              </w:rPr>
              <w:t>保</w:t>
            </w:r>
          </w:p>
          <w:p>
            <w:pPr>
              <w:adjustRightInd w:val="0"/>
              <w:snapToGrid w:val="0"/>
              <w:jc w:val="center"/>
              <w:rPr>
                <w:bCs/>
                <w:color w:val="auto"/>
                <w:szCs w:val="21"/>
                <w:highlight w:val="none"/>
              </w:rPr>
            </w:pPr>
            <w:r>
              <w:rPr>
                <w:bCs/>
                <w:color w:val="auto"/>
                <w:szCs w:val="21"/>
                <w:highlight w:val="none"/>
              </w:rPr>
              <w:t>护</w:t>
            </w:r>
          </w:p>
          <w:p>
            <w:pPr>
              <w:pStyle w:val="22"/>
              <w:adjustRightInd w:val="0"/>
              <w:snapToGrid w:val="0"/>
              <w:spacing w:before="0" w:beforeAutospacing="0" w:after="0" w:afterAutospacing="0"/>
              <w:jc w:val="center"/>
              <w:rPr>
                <w:rFonts w:ascii="Times New Roman" w:hAnsi="Times New Roman"/>
                <w:bCs/>
                <w:color w:val="auto"/>
                <w:sz w:val="21"/>
                <w:szCs w:val="21"/>
                <w:highlight w:val="none"/>
              </w:rPr>
            </w:pPr>
            <w:r>
              <w:rPr>
                <w:rFonts w:ascii="Times New Roman" w:hAnsi="Times New Roman"/>
                <w:bCs/>
                <w:color w:val="auto"/>
                <w:sz w:val="21"/>
                <w:szCs w:val="21"/>
                <w:highlight w:val="none"/>
              </w:rPr>
              <w:t>措</w:t>
            </w:r>
          </w:p>
          <w:p>
            <w:pPr>
              <w:pStyle w:val="22"/>
              <w:adjustRightInd w:val="0"/>
              <w:snapToGrid w:val="0"/>
              <w:spacing w:before="0" w:beforeAutospacing="0" w:after="0" w:afterAutospacing="0"/>
              <w:jc w:val="center"/>
              <w:rPr>
                <w:rFonts w:ascii="Times New Roman" w:hAnsi="Times New Roman"/>
                <w:bCs/>
                <w:color w:val="auto"/>
                <w:kern w:val="2"/>
                <w:sz w:val="21"/>
                <w:szCs w:val="21"/>
                <w:highlight w:val="none"/>
              </w:rPr>
            </w:pPr>
            <w:r>
              <w:rPr>
                <w:rFonts w:ascii="Times New Roman" w:hAnsi="Times New Roman"/>
                <w:bCs/>
                <w:color w:val="auto"/>
                <w:sz w:val="21"/>
                <w:szCs w:val="21"/>
                <w:highlight w:val="none"/>
              </w:rPr>
              <w:t>施</w:t>
            </w:r>
          </w:p>
        </w:tc>
        <w:tc>
          <w:tcPr>
            <w:tcW w:w="8497" w:type="dxa"/>
            <w:vAlign w:val="center"/>
          </w:tcPr>
          <w:p>
            <w:pPr>
              <w:adjustRightInd w:val="0"/>
              <w:snapToGrid w:val="0"/>
              <w:spacing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预测结果及评价</w:t>
            </w:r>
          </w:p>
          <w:p>
            <w:pPr>
              <w:adjustRightInd w:val="0"/>
              <w:snapToGrid w:val="0"/>
              <w:spacing w:line="360" w:lineRule="auto"/>
              <w:ind w:firstLine="420" w:firstLineChars="200"/>
              <w:rPr>
                <w:rFonts w:hint="eastAsia"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根据拟建项目主要设备的噪声源情况，利用以上预测模式和参数计算得各厂界的噪声贡献值见下表。</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b/>
                <w:bCs/>
                <w:color w:val="auto"/>
                <w:szCs w:val="24"/>
                <w:highlight w:val="none"/>
              </w:rPr>
            </w:pPr>
            <w:r>
              <w:rPr>
                <w:rFonts w:hint="default" w:ascii="Times New Roman"/>
                <w:b/>
                <w:bCs/>
                <w:color w:val="auto"/>
                <w:szCs w:val="24"/>
                <w:highlight w:val="none"/>
              </w:rPr>
              <w:t>表4-</w:t>
            </w:r>
            <w:r>
              <w:rPr>
                <w:rFonts w:hint="eastAsia"/>
                <w:b/>
                <w:bCs/>
                <w:color w:val="auto"/>
                <w:szCs w:val="24"/>
                <w:highlight w:val="none"/>
                <w:lang w:val="en-US" w:eastAsia="zh-CN"/>
              </w:rPr>
              <w:t>22东、南、北</w:t>
            </w:r>
            <w:r>
              <w:rPr>
                <w:rFonts w:hint="default" w:ascii="Times New Roman"/>
                <w:b/>
                <w:bCs/>
                <w:color w:val="auto"/>
                <w:szCs w:val="24"/>
                <w:highlight w:val="none"/>
              </w:rPr>
              <w:t>厂界噪声预测结果（单位：dB(A)）</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583"/>
              <w:gridCol w:w="961"/>
              <w:gridCol w:w="1099"/>
              <w:gridCol w:w="1184"/>
              <w:gridCol w:w="137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1"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rPr>
                    <w:t>序号</w:t>
                  </w:r>
                </w:p>
              </w:tc>
              <w:tc>
                <w:tcPr>
                  <w:tcW w:w="944"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rPr>
                    <w:t>厂界</w:t>
                  </w:r>
                </w:p>
              </w:tc>
              <w:tc>
                <w:tcPr>
                  <w:tcW w:w="573"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lang w:eastAsia="zh-CN"/>
                    </w:rPr>
                    <w:t>噪声源强</w:t>
                  </w:r>
                </w:p>
              </w:tc>
              <w:tc>
                <w:tcPr>
                  <w:tcW w:w="655"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lang w:val="en-US" w:eastAsia="zh-CN"/>
                    </w:rPr>
                    <w:t>距离（m）</w:t>
                  </w:r>
                </w:p>
              </w:tc>
              <w:tc>
                <w:tcPr>
                  <w:tcW w:w="706"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rPr>
                    <w:t>预测值</w:t>
                  </w:r>
                </w:p>
              </w:tc>
              <w:tc>
                <w:tcPr>
                  <w:tcW w:w="822"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lang w:val="en-US" w:eastAsia="zh-CN"/>
                    </w:rPr>
                    <w:t>噪声最大值</w:t>
                  </w:r>
                </w:p>
              </w:tc>
              <w:tc>
                <w:tcPr>
                  <w:tcW w:w="805"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lang w:val="en-US"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1"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color w:val="auto"/>
                      <w:highlight w:val="none"/>
                    </w:rPr>
                  </w:pPr>
                </w:p>
              </w:tc>
              <w:tc>
                <w:tcPr>
                  <w:tcW w:w="944"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color w:val="auto"/>
                      <w:highlight w:val="none"/>
                    </w:rPr>
                  </w:pPr>
                </w:p>
              </w:tc>
              <w:tc>
                <w:tcPr>
                  <w:tcW w:w="573"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color w:val="auto"/>
                      <w:highlight w:val="none"/>
                    </w:rPr>
                  </w:pPr>
                </w:p>
              </w:tc>
              <w:tc>
                <w:tcPr>
                  <w:tcW w:w="655"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color w:val="auto"/>
                      <w:highlight w:val="none"/>
                    </w:rPr>
                  </w:pPr>
                </w:p>
              </w:tc>
              <w:tc>
                <w:tcPr>
                  <w:tcW w:w="706"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color w:val="auto"/>
                      <w:highlight w:val="none"/>
                    </w:rPr>
                  </w:pPr>
                </w:p>
              </w:tc>
              <w:tc>
                <w:tcPr>
                  <w:tcW w:w="822"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rFonts w:hint="eastAsia" w:hAnsi="宋体"/>
                      <w:b/>
                      <w:bCs/>
                      <w:color w:val="auto"/>
                      <w:sz w:val="18"/>
                      <w:szCs w:val="18"/>
                      <w:highlight w:val="none"/>
                      <w:lang w:val="en-US" w:eastAsia="zh-CN"/>
                    </w:rPr>
                  </w:pPr>
                </w:p>
              </w:tc>
              <w:tc>
                <w:tcPr>
                  <w:tcW w:w="805"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rFonts w:hint="eastAsia" w:hAnsi="宋体"/>
                      <w:b/>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91" w:type="pct"/>
                  <w:noWrap w:val="0"/>
                  <w:vAlign w:val="center"/>
                </w:tcPr>
                <w:p>
                  <w:pPr>
                    <w:pStyle w:val="81"/>
                    <w:spacing w:line="240" w:lineRule="auto"/>
                    <w:ind w:firstLine="0" w:firstLineChars="0"/>
                    <w:jc w:val="center"/>
                    <w:rPr>
                      <w:color w:val="auto"/>
                      <w:sz w:val="18"/>
                      <w:szCs w:val="18"/>
                      <w:highlight w:val="none"/>
                    </w:rPr>
                  </w:pPr>
                  <w:r>
                    <w:rPr>
                      <w:color w:val="auto"/>
                      <w:sz w:val="18"/>
                      <w:szCs w:val="18"/>
                      <w:highlight w:val="none"/>
                    </w:rPr>
                    <w:t>1</w:t>
                  </w:r>
                </w:p>
              </w:tc>
              <w:tc>
                <w:tcPr>
                  <w:tcW w:w="944" w:type="pct"/>
                  <w:noWrap w:val="0"/>
                  <w:vAlign w:val="center"/>
                </w:tcPr>
                <w:p>
                  <w:pPr>
                    <w:widowControl/>
                    <w:jc w:val="center"/>
                    <w:rPr>
                      <w:color w:val="auto"/>
                      <w:sz w:val="18"/>
                      <w:szCs w:val="18"/>
                      <w:highlight w:val="none"/>
                    </w:rPr>
                  </w:pPr>
                  <w:r>
                    <w:rPr>
                      <w:color w:val="auto"/>
                      <w:sz w:val="18"/>
                      <w:szCs w:val="18"/>
                      <w:highlight w:val="none"/>
                    </w:rPr>
                    <w:t>东厂界</w:t>
                  </w:r>
                </w:p>
              </w:tc>
              <w:tc>
                <w:tcPr>
                  <w:tcW w:w="573" w:type="pct"/>
                  <w:noWrap w:val="0"/>
                  <w:vAlign w:val="center"/>
                </w:tcPr>
                <w:p>
                  <w:pPr>
                    <w:widowControl/>
                    <w:jc w:val="center"/>
                    <w:rPr>
                      <w:rFonts w:hint="default" w:ascii="Times New Roman" w:hAnsi="Times New Roman" w:cs="Times New Roman"/>
                      <w:color w:val="auto"/>
                      <w:sz w:val="18"/>
                      <w:szCs w:val="18"/>
                      <w:highlight w:val="none"/>
                      <w:lang w:val="en-US"/>
                    </w:rPr>
                  </w:pPr>
                  <w:r>
                    <w:rPr>
                      <w:rFonts w:hint="eastAsia"/>
                      <w:color w:val="auto"/>
                      <w:sz w:val="18"/>
                      <w:szCs w:val="18"/>
                      <w:highlight w:val="none"/>
                      <w:lang w:val="en-US" w:eastAsia="zh-CN"/>
                    </w:rPr>
                    <w:t>57.8</w:t>
                  </w:r>
                </w:p>
              </w:tc>
              <w:tc>
                <w:tcPr>
                  <w:tcW w:w="655" w:type="pct"/>
                  <w:noWrap w:val="0"/>
                  <w:vAlign w:val="center"/>
                </w:tcPr>
                <w:p>
                  <w:pPr>
                    <w:widowControl/>
                    <w:jc w:val="center"/>
                    <w:rPr>
                      <w:rFonts w:hint="default" w:ascii="Times New Roman" w:hAnsi="Times New Roman" w:cs="Times New Roman"/>
                      <w:color w:val="auto"/>
                      <w:sz w:val="18"/>
                      <w:szCs w:val="18"/>
                      <w:highlight w:val="none"/>
                    </w:rPr>
                  </w:pPr>
                  <w:r>
                    <w:rPr>
                      <w:rFonts w:hint="eastAsia" w:cs="Times New Roman"/>
                      <w:color w:val="auto"/>
                      <w:kern w:val="0"/>
                      <w:sz w:val="18"/>
                      <w:szCs w:val="18"/>
                      <w:highlight w:val="none"/>
                      <w:lang w:val="en-US" w:eastAsia="zh-CN"/>
                    </w:rPr>
                    <w:t>80</w:t>
                  </w:r>
                </w:p>
              </w:tc>
              <w:tc>
                <w:tcPr>
                  <w:tcW w:w="706" w:type="pct"/>
                  <w:noWrap w:val="0"/>
                  <w:vAlign w:val="center"/>
                </w:tcPr>
                <w:p>
                  <w:pPr>
                    <w:widowControl/>
                    <w:jc w:val="center"/>
                    <w:rPr>
                      <w:rFonts w:hint="default" w:ascii="Times New Roman" w:hAnsi="Times New Roman" w:cs="Times New Roman"/>
                      <w:color w:val="auto"/>
                      <w:sz w:val="18"/>
                      <w:szCs w:val="18"/>
                      <w:highlight w:val="none"/>
                      <w:lang w:val="en-US"/>
                    </w:rPr>
                  </w:pPr>
                  <w:r>
                    <w:rPr>
                      <w:rFonts w:hint="eastAsia"/>
                      <w:color w:val="auto"/>
                      <w:kern w:val="0"/>
                      <w:sz w:val="18"/>
                      <w:szCs w:val="18"/>
                      <w:highlight w:val="none"/>
                      <w:lang w:val="en-US" w:eastAsia="zh-CN"/>
                    </w:rPr>
                    <w:t>19.7</w:t>
                  </w:r>
                </w:p>
              </w:tc>
              <w:tc>
                <w:tcPr>
                  <w:tcW w:w="822" w:type="pct"/>
                  <w:vMerge w:val="restart"/>
                  <w:noWrap w:val="0"/>
                  <w:vAlign w:val="center"/>
                </w:tcPr>
                <w:p>
                  <w:pPr>
                    <w:widowControl/>
                    <w:jc w:val="center"/>
                    <w:rPr>
                      <w:rFonts w:hint="default" w:ascii="Times New Roman" w:hAnsi="Times New Roman" w:eastAsia="宋体" w:cs="Times New Roman"/>
                      <w:color w:val="auto"/>
                      <w:sz w:val="18"/>
                      <w:szCs w:val="18"/>
                      <w:highlight w:val="none"/>
                      <w:lang w:val="en-US" w:eastAsia="zh-CN"/>
                    </w:rPr>
                  </w:pPr>
                  <w:r>
                    <w:rPr>
                      <w:rFonts w:hint="eastAsia" w:eastAsia="宋体"/>
                      <w:color w:val="auto"/>
                      <w:kern w:val="0"/>
                      <w:sz w:val="18"/>
                      <w:szCs w:val="18"/>
                      <w:highlight w:val="none"/>
                      <w:lang w:val="en-US" w:eastAsia="zh-CN"/>
                    </w:rPr>
                    <w:t>43</w:t>
                  </w:r>
                  <w:r>
                    <w:rPr>
                      <w:rFonts w:hint="eastAsia"/>
                      <w:color w:val="auto"/>
                      <w:kern w:val="0"/>
                      <w:sz w:val="18"/>
                      <w:szCs w:val="18"/>
                      <w:highlight w:val="none"/>
                      <w:lang w:val="en-US" w:eastAsia="zh-CN"/>
                    </w:rPr>
                    <w:t>.8</w:t>
                  </w:r>
                  <w:r>
                    <w:rPr>
                      <w:rFonts w:hint="eastAsia" w:ascii="Times New Roman" w:hAnsi="Times New Roman" w:eastAsia="宋体" w:cs="Times New Roman"/>
                      <w:color w:val="auto"/>
                      <w:sz w:val="18"/>
                      <w:szCs w:val="18"/>
                      <w:highlight w:val="none"/>
                      <w:lang w:val="en-US" w:eastAsia="zh-CN"/>
                    </w:rPr>
                    <w:t>dB(A)</w:t>
                  </w:r>
                </w:p>
              </w:tc>
              <w:tc>
                <w:tcPr>
                  <w:tcW w:w="805" w:type="pct"/>
                  <w:vMerge w:val="restar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昼间55dB(A)</w:t>
                  </w:r>
                </w:p>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夜间45dB(A)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1" w:type="pct"/>
                  <w:noWrap w:val="0"/>
                  <w:vAlign w:val="center"/>
                </w:tcPr>
                <w:p>
                  <w:pPr>
                    <w:pStyle w:val="81"/>
                    <w:spacing w:line="240" w:lineRule="auto"/>
                    <w:ind w:firstLine="0" w:firstLineChars="0"/>
                    <w:jc w:val="center"/>
                    <w:rPr>
                      <w:color w:val="auto"/>
                      <w:sz w:val="18"/>
                      <w:szCs w:val="18"/>
                      <w:highlight w:val="none"/>
                    </w:rPr>
                  </w:pPr>
                  <w:r>
                    <w:rPr>
                      <w:color w:val="auto"/>
                      <w:sz w:val="18"/>
                      <w:szCs w:val="18"/>
                      <w:highlight w:val="none"/>
                    </w:rPr>
                    <w:t>2</w:t>
                  </w:r>
                </w:p>
              </w:tc>
              <w:tc>
                <w:tcPr>
                  <w:tcW w:w="944" w:type="pct"/>
                  <w:noWrap w:val="0"/>
                  <w:vAlign w:val="center"/>
                </w:tcPr>
                <w:p>
                  <w:pPr>
                    <w:widowControl/>
                    <w:jc w:val="center"/>
                    <w:rPr>
                      <w:color w:val="auto"/>
                      <w:sz w:val="18"/>
                      <w:szCs w:val="18"/>
                      <w:highlight w:val="none"/>
                    </w:rPr>
                  </w:pPr>
                  <w:r>
                    <w:rPr>
                      <w:color w:val="auto"/>
                      <w:sz w:val="18"/>
                      <w:szCs w:val="18"/>
                      <w:highlight w:val="none"/>
                    </w:rPr>
                    <w:t>南厂界</w:t>
                  </w:r>
                </w:p>
              </w:tc>
              <w:tc>
                <w:tcPr>
                  <w:tcW w:w="573" w:type="pct"/>
                  <w:noWrap w:val="0"/>
                  <w:vAlign w:val="center"/>
                </w:tcPr>
                <w:p>
                  <w:pPr>
                    <w:widowControl/>
                    <w:jc w:val="center"/>
                    <w:rPr>
                      <w:rFonts w:hint="default" w:ascii="Times New Roman" w:hAnsi="Times New Roman" w:cs="Times New Roman"/>
                      <w:color w:val="auto"/>
                      <w:sz w:val="18"/>
                      <w:szCs w:val="18"/>
                      <w:highlight w:val="none"/>
                    </w:rPr>
                  </w:pPr>
                  <w:r>
                    <w:rPr>
                      <w:rFonts w:hint="eastAsia"/>
                      <w:color w:val="auto"/>
                      <w:sz w:val="18"/>
                      <w:szCs w:val="18"/>
                      <w:highlight w:val="none"/>
                      <w:lang w:val="en-US" w:eastAsia="zh-CN"/>
                    </w:rPr>
                    <w:t>57.8</w:t>
                  </w:r>
                </w:p>
              </w:tc>
              <w:tc>
                <w:tcPr>
                  <w:tcW w:w="655" w:type="pct"/>
                  <w:noWrap w:val="0"/>
                  <w:vAlign w:val="center"/>
                </w:tcPr>
                <w:p>
                  <w:pPr>
                    <w:widowControl/>
                    <w:jc w:val="center"/>
                    <w:rPr>
                      <w:rFonts w:hint="default" w:ascii="Times New Roman" w:hAnsi="Times New Roman" w:cs="Times New Roman"/>
                      <w:color w:val="auto"/>
                      <w:sz w:val="18"/>
                      <w:szCs w:val="18"/>
                      <w:highlight w:val="none"/>
                    </w:rPr>
                  </w:pPr>
                  <w:r>
                    <w:rPr>
                      <w:rFonts w:hint="eastAsia"/>
                      <w:color w:val="auto"/>
                      <w:sz w:val="18"/>
                      <w:szCs w:val="18"/>
                      <w:highlight w:val="none"/>
                      <w:lang w:val="en-US" w:eastAsia="zh-CN"/>
                    </w:rPr>
                    <w:t>110</w:t>
                  </w:r>
                </w:p>
              </w:tc>
              <w:tc>
                <w:tcPr>
                  <w:tcW w:w="706" w:type="pct"/>
                  <w:noWrap w:val="0"/>
                  <w:vAlign w:val="center"/>
                </w:tcPr>
                <w:p>
                  <w:pPr>
                    <w:widowControl/>
                    <w:jc w:val="center"/>
                    <w:rPr>
                      <w:rFonts w:hint="default" w:ascii="Times New Roman" w:hAnsi="Times New Roman" w:cs="Times New Roman"/>
                      <w:color w:val="auto"/>
                      <w:sz w:val="18"/>
                      <w:szCs w:val="18"/>
                      <w:highlight w:val="none"/>
                      <w:lang w:val="en-US"/>
                    </w:rPr>
                  </w:pPr>
                  <w:r>
                    <w:rPr>
                      <w:rFonts w:hint="eastAsia"/>
                      <w:color w:val="auto"/>
                      <w:kern w:val="0"/>
                      <w:sz w:val="18"/>
                      <w:szCs w:val="18"/>
                      <w:highlight w:val="none"/>
                      <w:lang w:val="en-US" w:eastAsia="zh-CN"/>
                    </w:rPr>
                    <w:t>17.0</w:t>
                  </w:r>
                </w:p>
              </w:tc>
              <w:tc>
                <w:tcPr>
                  <w:tcW w:w="822" w:type="pct"/>
                  <w:vMerge w:val="continue"/>
                  <w:noWrap w:val="0"/>
                  <w:vAlign w:val="center"/>
                </w:tcPr>
                <w:p>
                  <w:pPr>
                    <w:pStyle w:val="61"/>
                    <w:jc w:val="center"/>
                    <w:rPr>
                      <w:rFonts w:hint="default" w:ascii="Times New Roman" w:hAnsi="Times New Roman" w:cs="Times New Roman"/>
                      <w:color w:val="auto"/>
                      <w:sz w:val="18"/>
                      <w:szCs w:val="18"/>
                      <w:highlight w:val="none"/>
                    </w:rPr>
                  </w:pPr>
                </w:p>
              </w:tc>
              <w:tc>
                <w:tcPr>
                  <w:tcW w:w="805" w:type="pct"/>
                  <w:vMerge w:val="continue"/>
                  <w:noWrap w:val="0"/>
                  <w:vAlign w:val="center"/>
                </w:tcPr>
                <w:p>
                  <w:pPr>
                    <w:widowControl/>
                    <w:jc w:val="center"/>
                    <w:rPr>
                      <w:rFonts w:hint="default"/>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1" w:type="pct"/>
                  <w:noWrap w:val="0"/>
                  <w:vAlign w:val="center"/>
                </w:tcPr>
                <w:p>
                  <w:pPr>
                    <w:pStyle w:val="81"/>
                    <w:spacing w:line="240" w:lineRule="auto"/>
                    <w:ind w:firstLine="0" w:firstLineChars="0"/>
                    <w:jc w:val="center"/>
                    <w:rPr>
                      <w:color w:val="auto"/>
                      <w:sz w:val="18"/>
                      <w:szCs w:val="18"/>
                      <w:highlight w:val="none"/>
                    </w:rPr>
                  </w:pPr>
                  <w:r>
                    <w:rPr>
                      <w:color w:val="auto"/>
                      <w:sz w:val="18"/>
                      <w:szCs w:val="18"/>
                      <w:highlight w:val="none"/>
                    </w:rPr>
                    <w:t>3</w:t>
                  </w:r>
                </w:p>
              </w:tc>
              <w:tc>
                <w:tcPr>
                  <w:tcW w:w="944" w:type="pct"/>
                  <w:noWrap w:val="0"/>
                  <w:vAlign w:val="center"/>
                </w:tcPr>
                <w:p>
                  <w:pPr>
                    <w:widowControl/>
                    <w:jc w:val="center"/>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北厂界</w:t>
                  </w:r>
                </w:p>
              </w:tc>
              <w:tc>
                <w:tcPr>
                  <w:tcW w:w="573" w:type="pct"/>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57.8</w:t>
                  </w:r>
                </w:p>
              </w:tc>
              <w:tc>
                <w:tcPr>
                  <w:tcW w:w="655" w:type="pct"/>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5</w:t>
                  </w:r>
                </w:p>
              </w:tc>
              <w:tc>
                <w:tcPr>
                  <w:tcW w:w="706" w:type="pct"/>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eastAsia" w:eastAsia="宋体"/>
                      <w:color w:val="auto"/>
                      <w:kern w:val="0"/>
                      <w:sz w:val="18"/>
                      <w:szCs w:val="18"/>
                      <w:highlight w:val="none"/>
                      <w:lang w:val="en-US" w:eastAsia="zh-CN"/>
                    </w:rPr>
                    <w:t>43</w:t>
                  </w:r>
                  <w:r>
                    <w:rPr>
                      <w:rFonts w:hint="eastAsia"/>
                      <w:color w:val="auto"/>
                      <w:kern w:val="0"/>
                      <w:sz w:val="18"/>
                      <w:szCs w:val="18"/>
                      <w:highlight w:val="none"/>
                      <w:lang w:val="en-US" w:eastAsia="zh-CN"/>
                    </w:rPr>
                    <w:t>.8</w:t>
                  </w:r>
                </w:p>
              </w:tc>
              <w:tc>
                <w:tcPr>
                  <w:tcW w:w="822" w:type="pct"/>
                  <w:vMerge w:val="continue"/>
                  <w:noWrap w:val="0"/>
                  <w:vAlign w:val="center"/>
                </w:tcPr>
                <w:p>
                  <w:pPr>
                    <w:pStyle w:val="61"/>
                    <w:jc w:val="center"/>
                    <w:rPr>
                      <w:rFonts w:hint="default" w:ascii="Times New Roman" w:hAnsi="Times New Roman" w:cs="Times New Roman"/>
                      <w:color w:val="auto"/>
                      <w:sz w:val="18"/>
                      <w:szCs w:val="18"/>
                      <w:highlight w:val="none"/>
                    </w:rPr>
                  </w:pPr>
                </w:p>
              </w:tc>
              <w:tc>
                <w:tcPr>
                  <w:tcW w:w="805" w:type="pct"/>
                  <w:vMerge w:val="continue"/>
                  <w:noWrap w:val="0"/>
                  <w:vAlign w:val="center"/>
                </w:tcPr>
                <w:p>
                  <w:pPr>
                    <w:widowControl/>
                    <w:jc w:val="center"/>
                    <w:rPr>
                      <w:rFonts w:hint="default"/>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1" w:type="pct"/>
                  <w:noWrap w:val="0"/>
                  <w:vAlign w:val="center"/>
                </w:tcPr>
                <w:p>
                  <w:pPr>
                    <w:pStyle w:val="81"/>
                    <w:spacing w:line="240" w:lineRule="auto"/>
                    <w:ind w:firstLine="0" w:firstLineChars="0"/>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944" w:type="pct"/>
                  <w:noWrap w:val="0"/>
                  <w:vAlign w:val="center"/>
                </w:tcPr>
                <w:p>
                  <w:pPr>
                    <w:widowControl/>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西厂界</w:t>
                  </w:r>
                </w:p>
              </w:tc>
              <w:tc>
                <w:tcPr>
                  <w:tcW w:w="573"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57.8</w:t>
                  </w:r>
                </w:p>
              </w:tc>
              <w:tc>
                <w:tcPr>
                  <w:tcW w:w="65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706" w:type="pct"/>
                  <w:noWrap w:val="0"/>
                  <w:vAlign w:val="center"/>
                </w:tcPr>
                <w:p>
                  <w:pPr>
                    <w:widowControl/>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37.8</w:t>
                  </w:r>
                </w:p>
              </w:tc>
              <w:tc>
                <w:tcPr>
                  <w:tcW w:w="822" w:type="pct"/>
                  <w:vMerge w:val="continue"/>
                  <w:noWrap w:val="0"/>
                  <w:vAlign w:val="center"/>
                </w:tcPr>
                <w:p>
                  <w:pPr>
                    <w:pStyle w:val="61"/>
                    <w:jc w:val="center"/>
                    <w:rPr>
                      <w:rFonts w:hint="default" w:ascii="Times New Roman" w:hAnsi="Times New Roman" w:cs="Times New Roman"/>
                      <w:color w:val="auto"/>
                      <w:sz w:val="18"/>
                      <w:szCs w:val="18"/>
                      <w:highlight w:val="none"/>
                    </w:rPr>
                  </w:pPr>
                </w:p>
              </w:tc>
              <w:tc>
                <w:tcPr>
                  <w:tcW w:w="805"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昼间70dB(A)</w:t>
                  </w:r>
                </w:p>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夜间55dB(A）</w:t>
                  </w:r>
                </w:p>
              </w:tc>
            </w:tr>
          </w:tbl>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b/>
                <w:bCs/>
                <w:color w:val="auto"/>
                <w:szCs w:val="24"/>
                <w:highlight w:val="none"/>
              </w:rPr>
            </w:pPr>
            <w:r>
              <w:rPr>
                <w:rFonts w:hint="default" w:ascii="Times New Roman"/>
                <w:b/>
                <w:bCs/>
                <w:color w:val="auto"/>
                <w:szCs w:val="24"/>
                <w:highlight w:val="none"/>
              </w:rPr>
              <w:t>表4-</w:t>
            </w:r>
            <w:r>
              <w:rPr>
                <w:rFonts w:hint="eastAsia" w:ascii="Times New Roman"/>
                <w:b/>
                <w:bCs/>
                <w:color w:val="auto"/>
                <w:szCs w:val="24"/>
                <w:highlight w:val="none"/>
                <w:lang w:val="en-US" w:eastAsia="zh-CN"/>
              </w:rPr>
              <w:t>2</w:t>
            </w:r>
            <w:r>
              <w:rPr>
                <w:rFonts w:hint="eastAsia"/>
                <w:b/>
                <w:bCs/>
                <w:color w:val="auto"/>
                <w:szCs w:val="24"/>
                <w:highlight w:val="none"/>
                <w:lang w:val="en-US" w:eastAsia="zh-CN"/>
              </w:rPr>
              <w:t>3</w:t>
            </w:r>
            <w:r>
              <w:rPr>
                <w:rFonts w:hint="eastAsia" w:ascii="Times New Roman"/>
                <w:b/>
                <w:bCs/>
                <w:color w:val="auto"/>
                <w:szCs w:val="24"/>
                <w:highlight w:val="none"/>
                <w:lang w:val="en-US" w:eastAsia="zh-CN"/>
              </w:rPr>
              <w:t>敏感点</w:t>
            </w:r>
            <w:r>
              <w:rPr>
                <w:rFonts w:hint="default" w:ascii="Times New Roman"/>
                <w:b/>
                <w:bCs/>
                <w:color w:val="auto"/>
                <w:szCs w:val="24"/>
                <w:highlight w:val="none"/>
              </w:rPr>
              <w:t>噪声预测结果（单位：dB(A)）</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224"/>
              <w:gridCol w:w="761"/>
              <w:gridCol w:w="862"/>
              <w:gridCol w:w="926"/>
              <w:gridCol w:w="766"/>
              <w:gridCol w:w="768"/>
              <w:gridCol w:w="741"/>
              <w:gridCol w:w="74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94"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rPr>
                    <w:t>序号</w:t>
                  </w:r>
                </w:p>
              </w:tc>
              <w:tc>
                <w:tcPr>
                  <w:tcW w:w="730"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rPr>
                    <w:t>厂界</w:t>
                  </w:r>
                </w:p>
              </w:tc>
              <w:tc>
                <w:tcPr>
                  <w:tcW w:w="454"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lang w:eastAsia="zh-CN"/>
                    </w:rPr>
                    <w:t>噪声源强</w:t>
                  </w:r>
                </w:p>
              </w:tc>
              <w:tc>
                <w:tcPr>
                  <w:tcW w:w="514"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lang w:val="en-US" w:eastAsia="zh-CN"/>
                    </w:rPr>
                    <w:t>距离（m）</w:t>
                  </w:r>
                </w:p>
              </w:tc>
              <w:tc>
                <w:tcPr>
                  <w:tcW w:w="552"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rPr>
                    <w:t>预测值</w:t>
                  </w:r>
                </w:p>
              </w:tc>
              <w:tc>
                <w:tcPr>
                  <w:tcW w:w="915" w:type="pct"/>
                  <w:gridSpan w:val="2"/>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rFonts w:hint="eastAsia" w:hAnsi="宋体"/>
                      <w:b/>
                      <w:bCs/>
                      <w:color w:val="auto"/>
                      <w:sz w:val="18"/>
                      <w:szCs w:val="18"/>
                      <w:highlight w:val="none"/>
                      <w:lang w:val="en-US" w:eastAsia="zh-CN"/>
                    </w:rPr>
                  </w:pPr>
                  <w:r>
                    <w:rPr>
                      <w:rFonts w:hint="eastAsia" w:hAnsi="宋体"/>
                      <w:b/>
                      <w:bCs/>
                      <w:color w:val="auto"/>
                      <w:sz w:val="18"/>
                      <w:szCs w:val="18"/>
                      <w:highlight w:val="none"/>
                      <w:lang w:val="en-US" w:eastAsia="zh-CN"/>
                    </w:rPr>
                    <w:t>背景值</w:t>
                  </w:r>
                </w:p>
              </w:tc>
              <w:tc>
                <w:tcPr>
                  <w:tcW w:w="886" w:type="pct"/>
                  <w:gridSpan w:val="2"/>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rFonts w:hint="eastAsia" w:hAnsi="宋体"/>
                      <w:b/>
                      <w:bCs/>
                      <w:color w:val="auto"/>
                      <w:sz w:val="18"/>
                      <w:szCs w:val="18"/>
                      <w:highlight w:val="none"/>
                      <w:lang w:eastAsia="zh-CN"/>
                    </w:rPr>
                  </w:pPr>
                  <w:r>
                    <w:rPr>
                      <w:rFonts w:hint="eastAsia" w:hAnsi="宋体"/>
                      <w:b/>
                      <w:bCs/>
                      <w:color w:val="auto"/>
                      <w:sz w:val="18"/>
                      <w:szCs w:val="18"/>
                      <w:highlight w:val="none"/>
                      <w:lang w:eastAsia="zh-CN"/>
                    </w:rPr>
                    <w:t>叠加值</w:t>
                  </w:r>
                </w:p>
              </w:tc>
              <w:tc>
                <w:tcPr>
                  <w:tcW w:w="552"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lang w:val="en-US"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94"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color w:val="auto"/>
                      <w:highlight w:val="none"/>
                    </w:rPr>
                  </w:pPr>
                </w:p>
              </w:tc>
              <w:tc>
                <w:tcPr>
                  <w:tcW w:w="730"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color w:val="auto"/>
                      <w:highlight w:val="none"/>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color w:val="auto"/>
                      <w:highlight w:val="none"/>
                    </w:rPr>
                  </w:pPr>
                </w:p>
              </w:tc>
              <w:tc>
                <w:tcPr>
                  <w:tcW w:w="514"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color w:val="auto"/>
                      <w:highlight w:val="none"/>
                    </w:rPr>
                  </w:pPr>
                </w:p>
              </w:tc>
              <w:tc>
                <w:tcPr>
                  <w:tcW w:w="552"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color w:val="auto"/>
                      <w:highlight w:val="none"/>
                    </w:rPr>
                  </w:pPr>
                </w:p>
              </w:tc>
              <w:tc>
                <w:tcPr>
                  <w:tcW w:w="457" w:type="pct"/>
                  <w:noWrap w:val="0"/>
                  <w:vAlign w:val="center"/>
                </w:tcPr>
                <w:p>
                  <w:pPr>
                    <w:pStyle w:val="61"/>
                    <w:jc w:val="center"/>
                    <w:rPr>
                      <w:rFonts w:hint="eastAsia" w:hAnsi="宋体"/>
                      <w:b/>
                      <w:bCs/>
                      <w:color w:val="auto"/>
                      <w:sz w:val="18"/>
                      <w:szCs w:val="18"/>
                      <w:highlight w:val="none"/>
                      <w:lang w:val="en-US" w:eastAsia="zh-CN"/>
                    </w:rPr>
                  </w:pPr>
                  <w:r>
                    <w:rPr>
                      <w:rFonts w:hint="eastAsia"/>
                      <w:b/>
                      <w:bCs/>
                      <w:color w:val="auto"/>
                      <w:sz w:val="18"/>
                      <w:szCs w:val="18"/>
                      <w:highlight w:val="none"/>
                    </w:rPr>
                    <w:t>昼间</w:t>
                  </w:r>
                </w:p>
              </w:tc>
              <w:tc>
                <w:tcPr>
                  <w:tcW w:w="457" w:type="pct"/>
                  <w:noWrap w:val="0"/>
                  <w:vAlign w:val="center"/>
                </w:tcPr>
                <w:p>
                  <w:pPr>
                    <w:pStyle w:val="61"/>
                    <w:jc w:val="center"/>
                    <w:rPr>
                      <w:rFonts w:hint="eastAsia" w:hAnsi="宋体"/>
                      <w:b/>
                      <w:bCs/>
                      <w:color w:val="auto"/>
                      <w:sz w:val="18"/>
                      <w:szCs w:val="18"/>
                      <w:highlight w:val="none"/>
                      <w:lang w:val="en-US" w:eastAsia="zh-CN"/>
                    </w:rPr>
                  </w:pPr>
                  <w:r>
                    <w:rPr>
                      <w:rFonts w:hint="eastAsia"/>
                      <w:b/>
                      <w:bCs/>
                      <w:color w:val="auto"/>
                      <w:sz w:val="18"/>
                      <w:szCs w:val="18"/>
                      <w:highlight w:val="none"/>
                    </w:rPr>
                    <w:t>夜间</w:t>
                  </w:r>
                </w:p>
              </w:tc>
              <w:tc>
                <w:tcPr>
                  <w:tcW w:w="442" w:type="pct"/>
                  <w:noWrap w:val="0"/>
                  <w:vAlign w:val="center"/>
                </w:tcPr>
                <w:p>
                  <w:pPr>
                    <w:pStyle w:val="61"/>
                    <w:jc w:val="center"/>
                    <w:rPr>
                      <w:rFonts w:hint="eastAsia" w:hAnsi="宋体"/>
                      <w:b/>
                      <w:bCs/>
                      <w:color w:val="auto"/>
                      <w:sz w:val="18"/>
                      <w:szCs w:val="18"/>
                      <w:highlight w:val="none"/>
                      <w:lang w:val="en-US" w:eastAsia="zh-CN"/>
                    </w:rPr>
                  </w:pPr>
                  <w:r>
                    <w:rPr>
                      <w:rFonts w:hint="eastAsia"/>
                      <w:b/>
                      <w:bCs/>
                      <w:color w:val="auto"/>
                      <w:sz w:val="18"/>
                      <w:szCs w:val="18"/>
                      <w:highlight w:val="none"/>
                    </w:rPr>
                    <w:t>昼间</w:t>
                  </w:r>
                </w:p>
              </w:tc>
              <w:tc>
                <w:tcPr>
                  <w:tcW w:w="443" w:type="pct"/>
                  <w:noWrap w:val="0"/>
                  <w:vAlign w:val="center"/>
                </w:tcPr>
                <w:p>
                  <w:pPr>
                    <w:pStyle w:val="61"/>
                    <w:jc w:val="center"/>
                    <w:rPr>
                      <w:rFonts w:hint="eastAsia" w:hAnsi="宋体"/>
                      <w:b/>
                      <w:bCs/>
                      <w:color w:val="auto"/>
                      <w:sz w:val="18"/>
                      <w:szCs w:val="18"/>
                      <w:highlight w:val="none"/>
                      <w:lang w:val="en-US" w:eastAsia="zh-CN"/>
                    </w:rPr>
                  </w:pPr>
                  <w:r>
                    <w:rPr>
                      <w:rFonts w:hint="eastAsia"/>
                      <w:b/>
                      <w:bCs/>
                      <w:color w:val="auto"/>
                      <w:sz w:val="18"/>
                      <w:szCs w:val="18"/>
                      <w:highlight w:val="none"/>
                    </w:rPr>
                    <w:t>夜间</w:t>
                  </w:r>
                </w:p>
              </w:tc>
              <w:tc>
                <w:tcPr>
                  <w:tcW w:w="552"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rFonts w:hint="eastAsia" w:hAnsi="宋体"/>
                      <w:b/>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4" w:type="pct"/>
                  <w:noWrap w:val="0"/>
                  <w:vAlign w:val="center"/>
                </w:tcPr>
                <w:p>
                  <w:pPr>
                    <w:pStyle w:val="81"/>
                    <w:spacing w:line="240" w:lineRule="auto"/>
                    <w:ind w:firstLine="0" w:firstLineChars="0"/>
                    <w:jc w:val="center"/>
                    <w:rPr>
                      <w:color w:val="auto"/>
                      <w:sz w:val="18"/>
                      <w:szCs w:val="18"/>
                      <w:highlight w:val="none"/>
                    </w:rPr>
                  </w:pPr>
                  <w:r>
                    <w:rPr>
                      <w:color w:val="auto"/>
                      <w:sz w:val="18"/>
                      <w:szCs w:val="18"/>
                      <w:highlight w:val="none"/>
                    </w:rPr>
                    <w:t>1</w:t>
                  </w:r>
                </w:p>
              </w:tc>
              <w:tc>
                <w:tcPr>
                  <w:tcW w:w="730" w:type="pct"/>
                  <w:noWrap w:val="0"/>
                  <w:vAlign w:val="center"/>
                </w:tcPr>
                <w:p>
                  <w:pPr>
                    <w:widowControl/>
                    <w:jc w:val="center"/>
                    <w:rPr>
                      <w:color w:val="auto"/>
                      <w:sz w:val="18"/>
                      <w:szCs w:val="18"/>
                      <w:highlight w:val="none"/>
                    </w:rPr>
                  </w:pPr>
                  <w:r>
                    <w:rPr>
                      <w:rFonts w:hint="eastAsia"/>
                      <w:color w:val="auto"/>
                      <w:sz w:val="18"/>
                      <w:szCs w:val="18"/>
                      <w:highlight w:val="none"/>
                      <w:lang w:val="en-US" w:eastAsia="zh-CN"/>
                    </w:rPr>
                    <w:t>鸿泰吉祥苑</w:t>
                  </w:r>
                </w:p>
              </w:tc>
              <w:tc>
                <w:tcPr>
                  <w:tcW w:w="454" w:type="pct"/>
                  <w:noWrap w:val="0"/>
                  <w:vAlign w:val="center"/>
                </w:tcPr>
                <w:p>
                  <w:pPr>
                    <w:widowControl/>
                    <w:jc w:val="center"/>
                    <w:rPr>
                      <w:rFonts w:hint="default" w:ascii="Times New Roman" w:hAnsi="Times New Roman" w:cs="Times New Roman"/>
                      <w:color w:val="auto"/>
                      <w:sz w:val="18"/>
                      <w:szCs w:val="18"/>
                      <w:highlight w:val="none"/>
                    </w:rPr>
                  </w:pPr>
                  <w:r>
                    <w:rPr>
                      <w:rFonts w:hint="eastAsia"/>
                      <w:color w:val="auto"/>
                      <w:sz w:val="18"/>
                      <w:szCs w:val="18"/>
                      <w:highlight w:val="none"/>
                      <w:lang w:val="en-US" w:eastAsia="zh-CN"/>
                    </w:rPr>
                    <w:t>57.8</w:t>
                  </w:r>
                </w:p>
              </w:tc>
              <w:tc>
                <w:tcPr>
                  <w:tcW w:w="514" w:type="pct"/>
                  <w:noWrap w:val="0"/>
                  <w:vAlign w:val="center"/>
                </w:tcPr>
                <w:p>
                  <w:pPr>
                    <w:widowControl/>
                    <w:jc w:val="center"/>
                    <w:rPr>
                      <w:rFonts w:hint="default" w:ascii="Times New Roman" w:hAnsi="Times New Roman" w:cs="Times New Roman"/>
                      <w:color w:val="auto"/>
                      <w:sz w:val="18"/>
                      <w:szCs w:val="18"/>
                      <w:highlight w:val="none"/>
                    </w:rPr>
                  </w:pPr>
                  <w:r>
                    <w:rPr>
                      <w:rFonts w:hint="eastAsia" w:cs="Times New Roman"/>
                      <w:color w:val="auto"/>
                      <w:kern w:val="0"/>
                      <w:sz w:val="18"/>
                      <w:szCs w:val="18"/>
                      <w:highlight w:val="none"/>
                      <w:lang w:val="en-US" w:eastAsia="zh-CN"/>
                    </w:rPr>
                    <w:t>80</w:t>
                  </w:r>
                </w:p>
              </w:tc>
              <w:tc>
                <w:tcPr>
                  <w:tcW w:w="552" w:type="pct"/>
                  <w:noWrap w:val="0"/>
                  <w:vAlign w:val="center"/>
                </w:tcPr>
                <w:p>
                  <w:pPr>
                    <w:widowControl/>
                    <w:jc w:val="center"/>
                    <w:rPr>
                      <w:rFonts w:hint="default" w:ascii="Times New Roman" w:hAnsi="Times New Roman" w:cs="Times New Roman"/>
                      <w:color w:val="auto"/>
                      <w:sz w:val="18"/>
                      <w:szCs w:val="18"/>
                      <w:highlight w:val="none"/>
                      <w:lang w:val="en-US"/>
                    </w:rPr>
                  </w:pPr>
                  <w:r>
                    <w:rPr>
                      <w:rFonts w:hint="eastAsia"/>
                      <w:color w:val="auto"/>
                      <w:kern w:val="0"/>
                      <w:sz w:val="18"/>
                      <w:szCs w:val="18"/>
                      <w:highlight w:val="none"/>
                      <w:lang w:val="en-US" w:eastAsia="zh-CN"/>
                    </w:rPr>
                    <w:t>19.7</w:t>
                  </w:r>
                </w:p>
              </w:tc>
              <w:tc>
                <w:tcPr>
                  <w:tcW w:w="457" w:type="pct"/>
                  <w:noWrap w:val="0"/>
                  <w:vAlign w:val="center"/>
                </w:tcPr>
                <w:p>
                  <w:pPr>
                    <w:adjustRightInd w:val="0"/>
                    <w:contextualSpacing/>
                    <w:jc w:val="center"/>
                    <w:rPr>
                      <w:rFonts w:hint="default" w:ascii="Times New Roman" w:hAnsi="Times New Roman" w:cs="Times New Roman"/>
                      <w:color w:val="auto"/>
                      <w:sz w:val="18"/>
                      <w:szCs w:val="18"/>
                      <w:highlight w:val="none"/>
                    </w:rPr>
                  </w:pPr>
                  <w:r>
                    <w:rPr>
                      <w:rFonts w:hint="eastAsia"/>
                      <w:color w:val="auto"/>
                      <w:kern w:val="0"/>
                      <w:sz w:val="18"/>
                      <w:szCs w:val="18"/>
                      <w:highlight w:val="none"/>
                      <w:lang w:val="en-US" w:eastAsia="zh-CN"/>
                    </w:rPr>
                    <w:t>52.8</w:t>
                  </w:r>
                </w:p>
              </w:tc>
              <w:tc>
                <w:tcPr>
                  <w:tcW w:w="457" w:type="pct"/>
                  <w:noWrap w:val="0"/>
                  <w:vAlign w:val="center"/>
                </w:tcPr>
                <w:p>
                  <w:pPr>
                    <w:adjustRightInd w:val="0"/>
                    <w:contextualSpacing/>
                    <w:jc w:val="center"/>
                    <w:rPr>
                      <w:rFonts w:hint="default" w:eastAsia="宋体" w:cs="Times New Roman"/>
                      <w:color w:val="auto"/>
                      <w:kern w:val="0"/>
                      <w:sz w:val="18"/>
                      <w:szCs w:val="18"/>
                      <w:highlight w:val="none"/>
                      <w:lang w:val="en-US" w:eastAsia="zh-CN"/>
                    </w:rPr>
                  </w:pPr>
                  <w:r>
                    <w:rPr>
                      <w:rFonts w:hint="eastAsia"/>
                      <w:color w:val="auto"/>
                      <w:sz w:val="18"/>
                      <w:szCs w:val="18"/>
                      <w:highlight w:val="none"/>
                      <w:lang w:val="en-US" w:eastAsia="zh-CN"/>
                    </w:rPr>
                    <w:t>41.5</w:t>
                  </w:r>
                </w:p>
              </w:tc>
              <w:tc>
                <w:tcPr>
                  <w:tcW w:w="442" w:type="pct"/>
                  <w:noWrap w:val="0"/>
                  <w:vAlign w:val="center"/>
                </w:tcPr>
                <w:p>
                  <w:pPr>
                    <w:adjustRightInd w:val="0"/>
                    <w:contextualSpacing/>
                    <w:jc w:val="center"/>
                    <w:rPr>
                      <w:rFonts w:hint="default" w:ascii="Times New Roman" w:hAnsi="Times New Roman" w:eastAsia="宋体" w:cs="Times New Roman"/>
                      <w:color w:val="auto"/>
                      <w:sz w:val="18"/>
                      <w:szCs w:val="18"/>
                      <w:highlight w:val="none"/>
                      <w:lang w:val="en-US" w:eastAsia="zh-CN"/>
                    </w:rPr>
                  </w:pPr>
                  <w:r>
                    <w:rPr>
                      <w:rFonts w:hint="eastAsia"/>
                      <w:color w:val="auto"/>
                      <w:kern w:val="0"/>
                      <w:sz w:val="18"/>
                      <w:szCs w:val="18"/>
                      <w:highlight w:val="none"/>
                      <w:lang w:val="en-US" w:eastAsia="zh-CN"/>
                    </w:rPr>
                    <w:t>52.8</w:t>
                  </w:r>
                </w:p>
              </w:tc>
              <w:tc>
                <w:tcPr>
                  <w:tcW w:w="443" w:type="pct"/>
                  <w:noWrap w:val="0"/>
                  <w:vAlign w:val="center"/>
                </w:tcPr>
                <w:p>
                  <w:pPr>
                    <w:adjustRightInd w:val="0"/>
                    <w:contextualSpacing/>
                    <w:jc w:val="center"/>
                    <w:rPr>
                      <w:rFonts w:hint="default"/>
                      <w:color w:val="auto"/>
                      <w:kern w:val="0"/>
                      <w:sz w:val="18"/>
                      <w:szCs w:val="18"/>
                      <w:highlight w:val="none"/>
                      <w:lang w:val="en-US" w:eastAsia="zh-CN"/>
                    </w:rPr>
                  </w:pPr>
                  <w:r>
                    <w:rPr>
                      <w:rFonts w:hint="eastAsia"/>
                      <w:color w:val="auto"/>
                      <w:sz w:val="18"/>
                      <w:szCs w:val="18"/>
                      <w:highlight w:val="none"/>
                      <w:lang w:val="en-US" w:eastAsia="zh-CN"/>
                    </w:rPr>
                    <w:t>41.5</w:t>
                  </w:r>
                </w:p>
              </w:tc>
              <w:tc>
                <w:tcPr>
                  <w:tcW w:w="552" w:type="pct"/>
                  <w:noWrap w:val="0"/>
                  <w:vAlign w:val="center"/>
                </w:tcPr>
                <w:p>
                  <w:pPr>
                    <w:widowControl/>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昼间</w:t>
                  </w:r>
                  <w:r>
                    <w:rPr>
                      <w:rFonts w:hint="eastAsia" w:ascii="Times New Roman" w:hAnsi="Times New Roman" w:cs="Times New Roman"/>
                      <w:color w:val="auto"/>
                      <w:sz w:val="18"/>
                      <w:szCs w:val="18"/>
                      <w:highlight w:val="none"/>
                      <w:lang w:val="en-US" w:eastAsia="zh-CN"/>
                    </w:rPr>
                    <w:t>55</w:t>
                  </w:r>
                  <w:r>
                    <w:rPr>
                      <w:rFonts w:hint="eastAsia" w:ascii="Times New Roman" w:hAnsi="Times New Roman" w:eastAsia="宋体" w:cs="Times New Roman"/>
                      <w:color w:val="auto"/>
                      <w:sz w:val="18"/>
                      <w:szCs w:val="18"/>
                      <w:highlight w:val="none"/>
                      <w:lang w:val="en-US" w:eastAsia="zh-CN"/>
                    </w:rPr>
                    <w:t>dB(A)</w:t>
                  </w:r>
                </w:p>
                <w:p>
                  <w:pPr>
                    <w:widowControl/>
                    <w:jc w:val="center"/>
                    <w:rPr>
                      <w:rFonts w:hint="default"/>
                      <w:color w:val="auto"/>
                      <w:highlight w:val="none"/>
                      <w:lang w:val="en-US" w:eastAsia="zh-CN"/>
                    </w:rPr>
                  </w:pPr>
                  <w:r>
                    <w:rPr>
                      <w:rFonts w:hint="eastAsia" w:ascii="Times New Roman" w:hAnsi="Times New Roman" w:eastAsia="宋体" w:cs="Times New Roman"/>
                      <w:color w:val="auto"/>
                      <w:sz w:val="18"/>
                      <w:szCs w:val="18"/>
                      <w:highlight w:val="none"/>
                      <w:lang w:val="en-US" w:eastAsia="zh-CN"/>
                    </w:rPr>
                    <w:t>夜间</w:t>
                  </w:r>
                  <w:r>
                    <w:rPr>
                      <w:rFonts w:hint="eastAsia" w:ascii="Times New Roman" w:hAnsi="Times New Roman" w:cs="Times New Roman"/>
                      <w:color w:val="auto"/>
                      <w:sz w:val="18"/>
                      <w:szCs w:val="18"/>
                      <w:highlight w:val="none"/>
                      <w:lang w:val="en-US" w:eastAsia="zh-CN"/>
                    </w:rPr>
                    <w:t>45</w:t>
                  </w:r>
                  <w:r>
                    <w:rPr>
                      <w:rFonts w:hint="eastAsia" w:ascii="Times New Roman" w:hAnsi="Times New Roman" w:eastAsia="宋体" w:cs="Times New Roman"/>
                      <w:color w:val="auto"/>
                      <w:sz w:val="18"/>
                      <w:szCs w:val="18"/>
                      <w:highlight w:val="none"/>
                      <w:lang w:val="en-US" w:eastAsia="zh-CN"/>
                    </w:rPr>
                    <w:t>dB(A)</w:t>
                  </w:r>
                </w:p>
              </w:tc>
            </w:tr>
          </w:tbl>
          <w:p>
            <w:pPr>
              <w:adjustRightInd w:val="0"/>
              <w:snapToGrid w:val="0"/>
              <w:spacing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经过预测，本项目厂区设备噪声采用上述设备减震，厂房隔声后，满足《工业企业厂界环境噪声排放标准》（GB12348-2008）</w:t>
            </w:r>
            <w:r>
              <w:rPr>
                <w:rFonts w:hint="eastAsia"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rPr>
              <w:t>类标准</w:t>
            </w:r>
            <w:r>
              <w:rPr>
                <w:rFonts w:hint="eastAsia" w:cs="Times New Roman"/>
                <w:color w:val="auto"/>
                <w:highlight w:val="none"/>
                <w:lang w:eastAsia="zh-CN"/>
              </w:rPr>
              <w:t>，</w:t>
            </w:r>
            <w:r>
              <w:rPr>
                <w:rFonts w:hint="eastAsia" w:cs="Times New Roman"/>
                <w:color w:val="auto"/>
                <w:highlight w:val="none"/>
                <w:lang w:val="en-US" w:eastAsia="zh-CN"/>
              </w:rPr>
              <w:t>西厂界满足</w:t>
            </w:r>
            <w:r>
              <w:rPr>
                <w:rFonts w:hint="default" w:ascii="Times New Roman" w:hAnsi="Times New Roman" w:eastAsia="宋体" w:cs="Times New Roman"/>
                <w:color w:val="auto"/>
                <w:highlight w:val="none"/>
              </w:rPr>
              <w:t>《工业企业厂界环境噪声排放标准》（GB12348-2008）</w:t>
            </w:r>
            <w:r>
              <w:rPr>
                <w:rFonts w:hint="eastAsia" w:cs="Times New Roman"/>
                <w:color w:val="auto"/>
                <w:highlight w:val="none"/>
                <w:lang w:val="en-US" w:eastAsia="zh-CN"/>
              </w:rPr>
              <w:t>4</w:t>
            </w:r>
            <w:r>
              <w:rPr>
                <w:rFonts w:hint="default" w:ascii="Times New Roman" w:hAnsi="Times New Roman" w:eastAsia="宋体" w:cs="Times New Roman"/>
                <w:color w:val="auto"/>
                <w:highlight w:val="none"/>
              </w:rPr>
              <w:t>类标准</w:t>
            </w:r>
            <w:r>
              <w:rPr>
                <w:rFonts w:hint="eastAsia" w:cs="Times New Roman"/>
                <w:color w:val="auto"/>
                <w:highlight w:val="none"/>
                <w:lang w:eastAsia="zh-CN"/>
              </w:rPr>
              <w:t>，</w:t>
            </w:r>
            <w:r>
              <w:rPr>
                <w:rFonts w:hint="eastAsia" w:cs="Times New Roman"/>
                <w:color w:val="auto"/>
                <w:highlight w:val="none"/>
                <w:lang w:val="en-US" w:eastAsia="zh-CN"/>
              </w:rPr>
              <w:t>鸿泰吉祥苑满足</w:t>
            </w:r>
            <w:r>
              <w:rPr>
                <w:rFonts w:hint="eastAsia" w:cs="Times New Roman"/>
                <w:color w:val="auto"/>
                <w:highlight w:val="none"/>
                <w:lang w:eastAsia="zh-CN"/>
              </w:rPr>
              <w:t>《声环境质量标准》1类标准</w:t>
            </w:r>
            <w:r>
              <w:rPr>
                <w:rFonts w:hint="default" w:ascii="Times New Roman" w:hAnsi="Times New Roman" w:eastAsia="宋体" w:cs="Times New Roman"/>
                <w:color w:val="auto"/>
                <w:highlight w:val="none"/>
              </w:rPr>
              <w:t>。</w:t>
            </w:r>
          </w:p>
          <w:p>
            <w:pPr>
              <w:spacing w:line="360" w:lineRule="auto"/>
              <w:ind w:firstLine="420"/>
              <w:jc w:val="left"/>
              <w:rPr>
                <w:b/>
                <w:bCs/>
                <w:color w:val="auto"/>
                <w:spacing w:val="-10"/>
                <w:szCs w:val="21"/>
                <w:highlight w:val="none"/>
              </w:rPr>
            </w:pPr>
            <w:r>
              <w:rPr>
                <w:b/>
                <w:bCs/>
                <w:color w:val="auto"/>
                <w:spacing w:val="-10"/>
                <w:szCs w:val="21"/>
                <w:highlight w:val="none"/>
              </w:rPr>
              <w:t>3</w:t>
            </w:r>
            <w:r>
              <w:rPr>
                <w:rFonts w:hint="eastAsia"/>
                <w:b/>
                <w:bCs/>
                <w:color w:val="auto"/>
                <w:spacing w:val="-10"/>
                <w:szCs w:val="21"/>
                <w:highlight w:val="none"/>
                <w:lang w:val="en-US" w:eastAsia="zh-CN"/>
              </w:rPr>
              <w:t>.3噪声</w:t>
            </w:r>
            <w:r>
              <w:rPr>
                <w:b/>
                <w:bCs/>
                <w:color w:val="auto"/>
                <w:spacing w:val="-10"/>
                <w:szCs w:val="21"/>
                <w:highlight w:val="none"/>
              </w:rPr>
              <w:t>防治措施</w:t>
            </w:r>
          </w:p>
          <w:p>
            <w:pPr>
              <w:adjustRightInd w:val="0"/>
              <w:snapToGrid w:val="0"/>
              <w:spacing w:line="360" w:lineRule="auto"/>
              <w:ind w:firstLine="420" w:firstLineChars="200"/>
              <w:rPr>
                <w:color w:val="auto"/>
                <w:highlight w:val="none"/>
              </w:rPr>
            </w:pPr>
            <w:r>
              <w:rPr>
                <w:color w:val="auto"/>
                <w:highlight w:val="none"/>
              </w:rPr>
              <w:t>降噪措施如下</w:t>
            </w:r>
          </w:p>
          <w:p>
            <w:pPr>
              <w:adjustRightInd w:val="0"/>
              <w:snapToGrid w:val="0"/>
              <w:spacing w:line="360" w:lineRule="auto"/>
              <w:ind w:firstLine="420" w:firstLineChars="200"/>
              <w:rPr>
                <w:color w:val="auto"/>
                <w:highlight w:val="none"/>
              </w:rPr>
            </w:pPr>
            <w:r>
              <w:rPr>
                <w:rFonts w:hint="eastAsia" w:ascii="宋体" w:hAnsi="宋体" w:cs="宋体"/>
                <w:color w:val="auto"/>
                <w:highlight w:val="none"/>
              </w:rPr>
              <w:t>①</w:t>
            </w:r>
            <w:r>
              <w:rPr>
                <w:color w:val="auto"/>
                <w:highlight w:val="none"/>
              </w:rPr>
              <w:t>人员活动：加强流动人员管理，张贴禁止大声喧哗等标识。</w:t>
            </w:r>
          </w:p>
          <w:p>
            <w:pPr>
              <w:adjustRightInd w:val="0"/>
              <w:snapToGrid w:val="0"/>
              <w:spacing w:line="360" w:lineRule="auto"/>
              <w:ind w:firstLine="420" w:firstLineChars="200"/>
              <w:rPr>
                <w:color w:val="auto"/>
                <w:highlight w:val="none"/>
              </w:rPr>
            </w:pPr>
            <w:r>
              <w:rPr>
                <w:rFonts w:hint="eastAsia" w:ascii="宋体" w:hAnsi="宋体" w:cs="宋体"/>
                <w:color w:val="auto"/>
                <w:highlight w:val="none"/>
              </w:rPr>
              <w:t>②</w:t>
            </w:r>
            <w:r>
              <w:rPr>
                <w:color w:val="auto"/>
                <w:highlight w:val="none"/>
              </w:rPr>
              <w:t>医疗设备：各科室均采用隔音玻璃窗，医疗设备选用先进设备，通过墙体隔声和距离衰减。</w:t>
            </w:r>
          </w:p>
          <w:p>
            <w:pPr>
              <w:adjustRightInd w:val="0"/>
              <w:snapToGrid w:val="0"/>
              <w:spacing w:line="360" w:lineRule="auto"/>
              <w:ind w:firstLine="420" w:firstLineChars="200"/>
              <w:rPr>
                <w:color w:val="auto"/>
                <w:highlight w:val="none"/>
              </w:rPr>
            </w:pPr>
            <w:r>
              <w:rPr>
                <w:rFonts w:hint="eastAsia" w:ascii="宋体" w:hAnsi="宋体" w:cs="宋体"/>
                <w:color w:val="auto"/>
                <w:highlight w:val="none"/>
              </w:rPr>
              <w:t>③</w:t>
            </w:r>
            <w:r>
              <w:rPr>
                <w:color w:val="auto"/>
                <w:highlight w:val="none"/>
              </w:rPr>
              <w:t>污水处理设施设备：选用低噪声设备，合理布置声源，设施为地埋式污水处理站。</w:t>
            </w:r>
          </w:p>
          <w:p>
            <w:pPr>
              <w:adjustRightInd w:val="0"/>
              <w:snapToGrid w:val="0"/>
              <w:spacing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因此，本项目在做好噪声治理措施后，设备噪声对周围环境不会造成太大影响。</w:t>
            </w:r>
          </w:p>
          <w:p>
            <w:pPr>
              <w:spacing w:line="360" w:lineRule="auto"/>
              <w:ind w:firstLine="420"/>
              <w:rPr>
                <w:b/>
                <w:bCs/>
                <w:color w:val="auto"/>
                <w:spacing w:val="-10"/>
                <w:szCs w:val="21"/>
                <w:highlight w:val="none"/>
              </w:rPr>
            </w:pPr>
            <w:r>
              <w:rPr>
                <w:b/>
                <w:bCs/>
                <w:color w:val="auto"/>
                <w:spacing w:val="-10"/>
                <w:szCs w:val="21"/>
                <w:highlight w:val="none"/>
              </w:rPr>
              <w:t>3.</w:t>
            </w:r>
            <w:r>
              <w:rPr>
                <w:rFonts w:hint="eastAsia"/>
                <w:b/>
                <w:bCs/>
                <w:color w:val="auto"/>
                <w:spacing w:val="-10"/>
                <w:szCs w:val="21"/>
                <w:highlight w:val="none"/>
                <w:lang w:val="en-US" w:eastAsia="zh-CN"/>
              </w:rPr>
              <w:t>4</w:t>
            </w:r>
            <w:r>
              <w:rPr>
                <w:b/>
                <w:bCs/>
                <w:color w:val="auto"/>
                <w:spacing w:val="-10"/>
                <w:szCs w:val="21"/>
                <w:highlight w:val="none"/>
              </w:rPr>
              <w:t>监测计划</w:t>
            </w:r>
          </w:p>
          <w:p>
            <w:pPr>
              <w:snapToGrid w:val="0"/>
              <w:spacing w:line="360" w:lineRule="auto"/>
              <w:ind w:firstLine="420" w:firstLineChars="200"/>
              <w:rPr>
                <w:color w:val="auto"/>
                <w:szCs w:val="21"/>
                <w:highlight w:val="none"/>
              </w:rPr>
            </w:pPr>
            <w:r>
              <w:rPr>
                <w:color w:val="auto"/>
                <w:szCs w:val="21"/>
                <w:highlight w:val="none"/>
              </w:rPr>
              <w:t>根据《排污单位自行监测技术指南 总则》（HJ819-2017）、《排污许可证申请与核发技术规范 医疗机构》(HJ1105-2020)相关规定，制定本企业自行监测方案</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表4-</w:t>
            </w:r>
            <w:r>
              <w:rPr>
                <w:rFonts w:hint="eastAsia"/>
                <w:b/>
                <w:bCs/>
                <w:color w:val="auto"/>
                <w:kern w:val="0"/>
                <w:szCs w:val="21"/>
                <w:highlight w:val="none"/>
                <w:lang w:val="en-US" w:eastAsia="zh-CN"/>
              </w:rPr>
              <w:t>24</w:t>
            </w:r>
            <w:r>
              <w:rPr>
                <w:b/>
                <w:bCs/>
                <w:color w:val="auto"/>
                <w:kern w:val="0"/>
                <w:szCs w:val="21"/>
                <w:highlight w:val="none"/>
              </w:rPr>
              <w:t xml:space="preserve">  厂界噪声监测要求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8"/>
              <w:gridCol w:w="2901"/>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2638" w:type="dxa"/>
                  <w:vAlign w:val="center"/>
                </w:tcPr>
                <w:p>
                  <w:pPr>
                    <w:adjustRightInd w:val="0"/>
                    <w:snapToGrid w:val="0"/>
                    <w:jc w:val="center"/>
                    <w:rPr>
                      <w:color w:val="auto"/>
                      <w:sz w:val="18"/>
                      <w:szCs w:val="18"/>
                      <w:highlight w:val="none"/>
                    </w:rPr>
                  </w:pPr>
                  <w:r>
                    <w:rPr>
                      <w:color w:val="auto"/>
                      <w:sz w:val="18"/>
                      <w:szCs w:val="18"/>
                      <w:highlight w:val="none"/>
                    </w:rPr>
                    <w:t>监测项目</w:t>
                  </w:r>
                </w:p>
              </w:tc>
              <w:tc>
                <w:tcPr>
                  <w:tcW w:w="2901" w:type="dxa"/>
                  <w:vAlign w:val="center"/>
                </w:tcPr>
                <w:p>
                  <w:pPr>
                    <w:adjustRightInd w:val="0"/>
                    <w:snapToGrid w:val="0"/>
                    <w:jc w:val="center"/>
                    <w:rPr>
                      <w:color w:val="auto"/>
                      <w:sz w:val="18"/>
                      <w:szCs w:val="18"/>
                      <w:highlight w:val="none"/>
                    </w:rPr>
                  </w:pPr>
                  <w:r>
                    <w:rPr>
                      <w:color w:val="auto"/>
                      <w:sz w:val="18"/>
                      <w:szCs w:val="18"/>
                      <w:highlight w:val="none"/>
                    </w:rPr>
                    <w:t>监测方位</w:t>
                  </w:r>
                </w:p>
              </w:tc>
              <w:tc>
                <w:tcPr>
                  <w:tcW w:w="2771" w:type="dxa"/>
                  <w:vAlign w:val="center"/>
                </w:tcPr>
                <w:p>
                  <w:pPr>
                    <w:adjustRightInd w:val="0"/>
                    <w:snapToGrid w:val="0"/>
                    <w:jc w:val="center"/>
                    <w:rPr>
                      <w:color w:val="auto"/>
                      <w:sz w:val="18"/>
                      <w:szCs w:val="18"/>
                      <w:highlight w:val="none"/>
                    </w:rPr>
                  </w:pPr>
                  <w:r>
                    <w:rPr>
                      <w:color w:val="auto"/>
                      <w:sz w:val="18"/>
                      <w:szCs w:val="18"/>
                      <w:highlight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38" w:type="dxa"/>
                  <w:vAlign w:val="center"/>
                </w:tcPr>
                <w:p>
                  <w:pPr>
                    <w:adjustRightInd w:val="0"/>
                    <w:snapToGrid w:val="0"/>
                    <w:jc w:val="center"/>
                    <w:rPr>
                      <w:color w:val="auto"/>
                      <w:sz w:val="18"/>
                      <w:szCs w:val="18"/>
                      <w:highlight w:val="none"/>
                    </w:rPr>
                  </w:pPr>
                  <w:r>
                    <w:rPr>
                      <w:color w:val="auto"/>
                      <w:sz w:val="18"/>
                      <w:szCs w:val="18"/>
                      <w:highlight w:val="none"/>
                    </w:rPr>
                    <w:t>厂界昼间、夜间噪声</w:t>
                  </w:r>
                </w:p>
              </w:tc>
              <w:tc>
                <w:tcPr>
                  <w:tcW w:w="2901" w:type="dxa"/>
                  <w:vAlign w:val="center"/>
                </w:tcPr>
                <w:p>
                  <w:pPr>
                    <w:adjustRightInd w:val="0"/>
                    <w:snapToGrid w:val="0"/>
                    <w:jc w:val="center"/>
                    <w:rPr>
                      <w:color w:val="auto"/>
                      <w:sz w:val="18"/>
                      <w:szCs w:val="18"/>
                      <w:highlight w:val="none"/>
                    </w:rPr>
                  </w:pPr>
                  <w:r>
                    <w:rPr>
                      <w:color w:val="auto"/>
                      <w:sz w:val="18"/>
                      <w:szCs w:val="18"/>
                      <w:highlight w:val="none"/>
                    </w:rPr>
                    <w:t>四方向厂界外1m</w:t>
                  </w:r>
                </w:p>
              </w:tc>
              <w:tc>
                <w:tcPr>
                  <w:tcW w:w="2771" w:type="dxa"/>
                  <w:vAlign w:val="center"/>
                </w:tcPr>
                <w:p>
                  <w:pPr>
                    <w:adjustRightInd w:val="0"/>
                    <w:snapToGrid w:val="0"/>
                    <w:jc w:val="center"/>
                    <w:rPr>
                      <w:color w:val="auto"/>
                      <w:sz w:val="18"/>
                      <w:szCs w:val="18"/>
                      <w:highlight w:val="none"/>
                    </w:rPr>
                  </w:pPr>
                  <w:r>
                    <w:rPr>
                      <w:color w:val="auto"/>
                      <w:sz w:val="18"/>
                      <w:szCs w:val="18"/>
                      <w:highlight w:val="none"/>
                    </w:rPr>
                    <w:t>每季度开展一次监测</w:t>
                  </w:r>
                </w:p>
              </w:tc>
            </w:tr>
          </w:tbl>
          <w:p>
            <w:pPr>
              <w:spacing w:line="360" w:lineRule="auto"/>
              <w:ind w:firstLine="422" w:firstLineChars="200"/>
              <w:rPr>
                <w:b/>
                <w:color w:val="auto"/>
                <w:highlight w:val="none"/>
              </w:rPr>
            </w:pPr>
            <w:r>
              <w:rPr>
                <w:b/>
                <w:color w:val="auto"/>
                <w:highlight w:val="none"/>
              </w:rPr>
              <w:t>四、固废</w:t>
            </w:r>
          </w:p>
          <w:p>
            <w:pPr>
              <w:pStyle w:val="62"/>
              <w:ind w:firstLine="422"/>
              <w:rPr>
                <w:b/>
                <w:color w:val="auto"/>
                <w:sz w:val="21"/>
                <w:szCs w:val="21"/>
                <w:highlight w:val="none"/>
              </w:rPr>
            </w:pPr>
            <w:r>
              <w:rPr>
                <w:b/>
                <w:color w:val="auto"/>
                <w:sz w:val="21"/>
                <w:szCs w:val="21"/>
                <w:highlight w:val="none"/>
              </w:rPr>
              <w:t>4.1固体废物产生情况</w:t>
            </w:r>
          </w:p>
          <w:p>
            <w:pPr>
              <w:pStyle w:val="62"/>
              <w:ind w:firstLine="420"/>
              <w:rPr>
                <w:color w:val="auto"/>
                <w:sz w:val="21"/>
                <w:szCs w:val="21"/>
                <w:highlight w:val="none"/>
              </w:rPr>
            </w:pPr>
            <w:r>
              <w:rPr>
                <w:color w:val="auto"/>
                <w:sz w:val="21"/>
                <w:szCs w:val="21"/>
                <w:highlight w:val="none"/>
              </w:rPr>
              <w:t>项目运营期产生的固体废物主要包括医疗废物、污水站污泥、栅渣、废包装材料、</w:t>
            </w:r>
            <w:r>
              <w:rPr>
                <w:rFonts w:hint="eastAsia"/>
                <w:color w:val="auto"/>
                <w:sz w:val="21"/>
                <w:szCs w:val="21"/>
                <w:highlight w:val="none"/>
                <w:lang w:val="en-US" w:eastAsia="zh-CN"/>
              </w:rPr>
              <w:t>废离子交换树脂、</w:t>
            </w:r>
            <w:r>
              <w:rPr>
                <w:color w:val="auto"/>
                <w:sz w:val="21"/>
                <w:szCs w:val="21"/>
                <w:highlight w:val="none"/>
              </w:rPr>
              <w:t>生活垃圾。</w:t>
            </w:r>
          </w:p>
          <w:p>
            <w:pPr>
              <w:pStyle w:val="62"/>
              <w:ind w:firstLine="420"/>
              <w:rPr>
                <w:color w:val="auto"/>
                <w:sz w:val="21"/>
                <w:szCs w:val="21"/>
                <w:highlight w:val="none"/>
              </w:rPr>
            </w:pPr>
            <w:r>
              <w:rPr>
                <w:color w:val="auto"/>
                <w:sz w:val="21"/>
                <w:szCs w:val="21"/>
                <w:highlight w:val="none"/>
              </w:rPr>
              <w:t>1、危险废物</w:t>
            </w:r>
          </w:p>
          <w:p>
            <w:pPr>
              <w:pStyle w:val="62"/>
              <w:ind w:firstLine="420"/>
              <w:rPr>
                <w:color w:val="auto"/>
                <w:sz w:val="21"/>
                <w:szCs w:val="21"/>
                <w:highlight w:val="none"/>
              </w:rPr>
            </w:pPr>
            <w:r>
              <w:rPr>
                <w:color w:val="auto"/>
                <w:sz w:val="21"/>
                <w:szCs w:val="21"/>
                <w:highlight w:val="none"/>
              </w:rPr>
              <w:t>（1）医疗废物</w:t>
            </w:r>
          </w:p>
          <w:p>
            <w:pPr>
              <w:pStyle w:val="62"/>
              <w:ind w:firstLine="420"/>
              <w:rPr>
                <w:color w:val="auto"/>
                <w:sz w:val="21"/>
                <w:szCs w:val="21"/>
                <w:highlight w:val="none"/>
              </w:rPr>
            </w:pPr>
            <w:r>
              <w:rPr>
                <w:color w:val="auto"/>
                <w:sz w:val="21"/>
                <w:szCs w:val="21"/>
                <w:highlight w:val="none"/>
              </w:rPr>
              <w:t>医疗废物主要来自医疗诊断、治疗过程中产生的各类固体废弃物，本项目产生医疗废物详见下表：</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表4-</w:t>
            </w:r>
            <w:r>
              <w:rPr>
                <w:rFonts w:hint="eastAsia"/>
                <w:b/>
                <w:bCs/>
                <w:color w:val="auto"/>
                <w:kern w:val="0"/>
                <w:szCs w:val="21"/>
                <w:highlight w:val="none"/>
                <w:lang w:val="en-US" w:eastAsia="zh-CN"/>
              </w:rPr>
              <w:t>25</w:t>
            </w:r>
            <w:r>
              <w:rPr>
                <w:b/>
                <w:bCs/>
                <w:color w:val="auto"/>
                <w:kern w:val="0"/>
                <w:szCs w:val="21"/>
                <w:highlight w:val="none"/>
              </w:rPr>
              <w:t xml:space="preserve">  项目产生医疗废物分类目录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524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auto"/>
                      <w:sz w:val="18"/>
                      <w:szCs w:val="18"/>
                      <w:highlight w:val="none"/>
                    </w:rPr>
                  </w:pPr>
                  <w:r>
                    <w:rPr>
                      <w:color w:val="auto"/>
                      <w:sz w:val="18"/>
                      <w:szCs w:val="18"/>
                      <w:highlight w:val="none"/>
                    </w:rPr>
                    <w:t>类别</w:t>
                  </w:r>
                </w:p>
              </w:tc>
              <w:tc>
                <w:tcPr>
                  <w:tcW w:w="5245" w:type="dxa"/>
                  <w:vAlign w:val="center"/>
                </w:tcPr>
                <w:p>
                  <w:pPr>
                    <w:adjustRightInd w:val="0"/>
                    <w:snapToGrid w:val="0"/>
                    <w:jc w:val="center"/>
                    <w:rPr>
                      <w:color w:val="auto"/>
                      <w:sz w:val="18"/>
                      <w:szCs w:val="18"/>
                      <w:highlight w:val="none"/>
                    </w:rPr>
                  </w:pPr>
                  <w:r>
                    <w:rPr>
                      <w:color w:val="auto"/>
                      <w:sz w:val="18"/>
                      <w:szCs w:val="18"/>
                      <w:highlight w:val="none"/>
                    </w:rPr>
                    <w:t>常见组成或废物名称</w:t>
                  </w:r>
                </w:p>
              </w:tc>
              <w:tc>
                <w:tcPr>
                  <w:tcW w:w="1817" w:type="dxa"/>
                  <w:vAlign w:val="center"/>
                </w:tcPr>
                <w:p>
                  <w:pPr>
                    <w:adjustRightInd w:val="0"/>
                    <w:snapToGrid w:val="0"/>
                    <w:jc w:val="center"/>
                    <w:rPr>
                      <w:color w:val="auto"/>
                      <w:sz w:val="18"/>
                      <w:szCs w:val="18"/>
                      <w:highlight w:val="none"/>
                    </w:rPr>
                  </w:pPr>
                  <w:r>
                    <w:rPr>
                      <w:color w:val="auto"/>
                      <w:sz w:val="18"/>
                      <w:szCs w:val="18"/>
                      <w:highlight w:val="none"/>
                    </w:rPr>
                    <w:t>产生科室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auto"/>
                      <w:sz w:val="18"/>
                      <w:szCs w:val="18"/>
                      <w:highlight w:val="none"/>
                    </w:rPr>
                  </w:pPr>
                  <w:r>
                    <w:rPr>
                      <w:color w:val="auto"/>
                      <w:sz w:val="18"/>
                      <w:szCs w:val="18"/>
                      <w:highlight w:val="none"/>
                    </w:rPr>
                    <w:t>感染性废物</w:t>
                  </w:r>
                </w:p>
              </w:tc>
              <w:tc>
                <w:tcPr>
                  <w:tcW w:w="5245" w:type="dxa"/>
                  <w:vAlign w:val="center"/>
                </w:tcPr>
                <w:p>
                  <w:pPr>
                    <w:adjustRightInd w:val="0"/>
                    <w:snapToGrid w:val="0"/>
                    <w:rPr>
                      <w:color w:val="auto"/>
                      <w:sz w:val="18"/>
                      <w:szCs w:val="18"/>
                      <w:highlight w:val="none"/>
                    </w:rPr>
                  </w:pPr>
                  <w:r>
                    <w:rPr>
                      <w:color w:val="auto"/>
                      <w:sz w:val="18"/>
                      <w:szCs w:val="18"/>
                      <w:highlight w:val="none"/>
                    </w:rPr>
                    <w:t>1、棉球、棉签、引流棉条、纱布及其他各种敷料；</w:t>
                  </w:r>
                </w:p>
                <w:p>
                  <w:pPr>
                    <w:adjustRightInd w:val="0"/>
                    <w:snapToGrid w:val="0"/>
                    <w:rPr>
                      <w:color w:val="auto"/>
                      <w:sz w:val="18"/>
                      <w:szCs w:val="18"/>
                      <w:highlight w:val="none"/>
                    </w:rPr>
                  </w:pPr>
                  <w:r>
                    <w:rPr>
                      <w:color w:val="auto"/>
                      <w:sz w:val="18"/>
                      <w:szCs w:val="18"/>
                      <w:highlight w:val="none"/>
                    </w:rPr>
                    <w:t>2、一次性使用卫生用品、一次性使用医疗用品及一次性医疗器械；</w:t>
                  </w:r>
                </w:p>
                <w:p>
                  <w:pPr>
                    <w:adjustRightInd w:val="0"/>
                    <w:snapToGrid w:val="0"/>
                    <w:rPr>
                      <w:color w:val="auto"/>
                      <w:sz w:val="18"/>
                      <w:szCs w:val="18"/>
                      <w:highlight w:val="none"/>
                    </w:rPr>
                  </w:pPr>
                  <w:r>
                    <w:rPr>
                      <w:color w:val="auto"/>
                      <w:sz w:val="18"/>
                      <w:szCs w:val="18"/>
                      <w:highlight w:val="none"/>
                    </w:rPr>
                    <w:t>3、废弃的血液、血清，拔下的牙齿。</w:t>
                  </w:r>
                </w:p>
              </w:tc>
              <w:tc>
                <w:tcPr>
                  <w:tcW w:w="1817" w:type="dxa"/>
                  <w:vAlign w:val="center"/>
                </w:tcPr>
                <w:p>
                  <w:pPr>
                    <w:adjustRightInd w:val="0"/>
                    <w:snapToGrid w:val="0"/>
                    <w:jc w:val="center"/>
                    <w:rPr>
                      <w:color w:val="auto"/>
                      <w:sz w:val="18"/>
                      <w:szCs w:val="18"/>
                      <w:highlight w:val="none"/>
                    </w:rPr>
                  </w:pPr>
                  <w:r>
                    <w:rPr>
                      <w:color w:val="auto"/>
                      <w:sz w:val="18"/>
                      <w:szCs w:val="18"/>
                      <w:highlight w:val="none"/>
                    </w:rPr>
                    <w:t>门诊、治疗室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auto"/>
                      <w:sz w:val="18"/>
                      <w:szCs w:val="18"/>
                      <w:highlight w:val="none"/>
                    </w:rPr>
                  </w:pPr>
                  <w:r>
                    <w:rPr>
                      <w:color w:val="auto"/>
                      <w:sz w:val="18"/>
                      <w:szCs w:val="18"/>
                      <w:highlight w:val="none"/>
                    </w:rPr>
                    <w:t>病理性废物</w:t>
                  </w:r>
                </w:p>
              </w:tc>
              <w:tc>
                <w:tcPr>
                  <w:tcW w:w="5245" w:type="dxa"/>
                  <w:vAlign w:val="center"/>
                </w:tcPr>
                <w:p>
                  <w:pPr>
                    <w:adjustRightInd w:val="0"/>
                    <w:snapToGrid w:val="0"/>
                    <w:rPr>
                      <w:color w:val="auto"/>
                      <w:sz w:val="18"/>
                      <w:szCs w:val="18"/>
                      <w:highlight w:val="none"/>
                    </w:rPr>
                  </w:pPr>
                  <w:r>
                    <w:rPr>
                      <w:color w:val="auto"/>
                      <w:sz w:val="18"/>
                      <w:szCs w:val="18"/>
                      <w:highlight w:val="none"/>
                    </w:rPr>
                    <w:t>1、手术及其他诊疗过程中产生的废弃的人体组织等。</w:t>
                  </w:r>
                </w:p>
                <w:p>
                  <w:pPr>
                    <w:adjustRightInd w:val="0"/>
                    <w:snapToGrid w:val="0"/>
                    <w:rPr>
                      <w:color w:val="auto"/>
                      <w:sz w:val="18"/>
                      <w:szCs w:val="18"/>
                      <w:highlight w:val="none"/>
                    </w:rPr>
                  </w:pPr>
                  <w:r>
                    <w:rPr>
                      <w:color w:val="auto"/>
                      <w:sz w:val="18"/>
                      <w:szCs w:val="18"/>
                      <w:highlight w:val="none"/>
                    </w:rPr>
                    <w:t>2、病理切片后废弃的人体组织、病理腊块等。</w:t>
                  </w:r>
                </w:p>
              </w:tc>
              <w:tc>
                <w:tcPr>
                  <w:tcW w:w="1817" w:type="dxa"/>
                  <w:vAlign w:val="center"/>
                </w:tcPr>
                <w:p>
                  <w:pPr>
                    <w:adjustRightInd w:val="0"/>
                    <w:snapToGrid w:val="0"/>
                    <w:jc w:val="center"/>
                    <w:rPr>
                      <w:color w:val="auto"/>
                      <w:sz w:val="18"/>
                      <w:szCs w:val="18"/>
                      <w:highlight w:val="none"/>
                    </w:rPr>
                  </w:pPr>
                  <w:r>
                    <w:rPr>
                      <w:color w:val="auto"/>
                      <w:sz w:val="18"/>
                      <w:szCs w:val="18"/>
                      <w:highlight w:val="none"/>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auto"/>
                      <w:sz w:val="18"/>
                      <w:szCs w:val="18"/>
                      <w:highlight w:val="none"/>
                    </w:rPr>
                  </w:pPr>
                  <w:r>
                    <w:rPr>
                      <w:color w:val="auto"/>
                      <w:sz w:val="18"/>
                      <w:szCs w:val="18"/>
                      <w:highlight w:val="none"/>
                    </w:rPr>
                    <w:t>损伤性废物</w:t>
                  </w:r>
                </w:p>
              </w:tc>
              <w:tc>
                <w:tcPr>
                  <w:tcW w:w="5245" w:type="dxa"/>
                  <w:vAlign w:val="center"/>
                </w:tcPr>
                <w:p>
                  <w:pPr>
                    <w:adjustRightInd w:val="0"/>
                    <w:snapToGrid w:val="0"/>
                    <w:rPr>
                      <w:color w:val="auto"/>
                      <w:sz w:val="18"/>
                      <w:szCs w:val="18"/>
                      <w:highlight w:val="none"/>
                    </w:rPr>
                  </w:pPr>
                  <w:r>
                    <w:rPr>
                      <w:color w:val="auto"/>
                      <w:sz w:val="18"/>
                      <w:szCs w:val="18"/>
                      <w:highlight w:val="none"/>
                    </w:rPr>
                    <w:t>1、医用针头、缝合针。</w:t>
                  </w:r>
                </w:p>
                <w:p>
                  <w:pPr>
                    <w:adjustRightInd w:val="0"/>
                    <w:snapToGrid w:val="0"/>
                    <w:rPr>
                      <w:color w:val="auto"/>
                      <w:sz w:val="18"/>
                      <w:szCs w:val="18"/>
                      <w:highlight w:val="none"/>
                    </w:rPr>
                  </w:pPr>
                  <w:r>
                    <w:rPr>
                      <w:color w:val="auto"/>
                      <w:sz w:val="18"/>
                      <w:szCs w:val="18"/>
                      <w:highlight w:val="none"/>
                    </w:rPr>
                    <w:t>2、各类医用锐器，一次性牙钻针、牙钩、安瓶等。</w:t>
                  </w:r>
                </w:p>
                <w:p>
                  <w:pPr>
                    <w:adjustRightInd w:val="0"/>
                    <w:snapToGrid w:val="0"/>
                    <w:rPr>
                      <w:color w:val="auto"/>
                      <w:sz w:val="18"/>
                      <w:szCs w:val="18"/>
                      <w:highlight w:val="none"/>
                    </w:rPr>
                  </w:pPr>
                  <w:r>
                    <w:rPr>
                      <w:color w:val="auto"/>
                      <w:sz w:val="18"/>
                      <w:szCs w:val="18"/>
                      <w:highlight w:val="none"/>
                    </w:rPr>
                    <w:t>3、载玻片、玻璃试管、玻璃安瓿等。</w:t>
                  </w:r>
                </w:p>
              </w:tc>
              <w:tc>
                <w:tcPr>
                  <w:tcW w:w="1817" w:type="dxa"/>
                  <w:vAlign w:val="center"/>
                </w:tcPr>
                <w:p>
                  <w:pPr>
                    <w:adjustRightInd w:val="0"/>
                    <w:snapToGrid w:val="0"/>
                    <w:jc w:val="center"/>
                    <w:rPr>
                      <w:color w:val="auto"/>
                      <w:sz w:val="18"/>
                      <w:szCs w:val="18"/>
                      <w:highlight w:val="none"/>
                    </w:rPr>
                  </w:pPr>
                  <w:r>
                    <w:rPr>
                      <w:color w:val="auto"/>
                      <w:sz w:val="18"/>
                      <w:szCs w:val="18"/>
                      <w:highlight w:val="none"/>
                    </w:rPr>
                    <w:t>治疗室、手术室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auto"/>
                      <w:sz w:val="18"/>
                      <w:szCs w:val="18"/>
                      <w:highlight w:val="none"/>
                    </w:rPr>
                  </w:pPr>
                  <w:r>
                    <w:rPr>
                      <w:color w:val="auto"/>
                      <w:sz w:val="18"/>
                      <w:szCs w:val="18"/>
                      <w:highlight w:val="none"/>
                    </w:rPr>
                    <w:t>药物性废物</w:t>
                  </w:r>
                </w:p>
              </w:tc>
              <w:tc>
                <w:tcPr>
                  <w:tcW w:w="5245" w:type="dxa"/>
                  <w:vAlign w:val="center"/>
                </w:tcPr>
                <w:p>
                  <w:pPr>
                    <w:adjustRightInd w:val="0"/>
                    <w:snapToGrid w:val="0"/>
                    <w:jc w:val="left"/>
                    <w:rPr>
                      <w:color w:val="auto"/>
                      <w:sz w:val="18"/>
                      <w:szCs w:val="18"/>
                      <w:highlight w:val="none"/>
                    </w:rPr>
                  </w:pPr>
                  <w:r>
                    <w:rPr>
                      <w:color w:val="auto"/>
                      <w:sz w:val="18"/>
                      <w:szCs w:val="18"/>
                      <w:highlight w:val="none"/>
                    </w:rPr>
                    <w:t>废弃的一般性药品，如：抗生素、非处方类药品等。</w:t>
                  </w:r>
                </w:p>
              </w:tc>
              <w:tc>
                <w:tcPr>
                  <w:tcW w:w="1817" w:type="dxa"/>
                  <w:vAlign w:val="center"/>
                </w:tcPr>
                <w:p>
                  <w:pPr>
                    <w:adjustRightInd w:val="0"/>
                    <w:snapToGrid w:val="0"/>
                    <w:jc w:val="center"/>
                    <w:rPr>
                      <w:color w:val="auto"/>
                      <w:sz w:val="18"/>
                      <w:szCs w:val="18"/>
                      <w:highlight w:val="none"/>
                    </w:rPr>
                  </w:pPr>
                  <w:r>
                    <w:rPr>
                      <w:color w:val="auto"/>
                      <w:sz w:val="18"/>
                      <w:szCs w:val="18"/>
                      <w:highlight w:val="none"/>
                    </w:rPr>
                    <w:t>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09" w:type="dxa"/>
                  <w:vAlign w:val="center"/>
                </w:tcPr>
                <w:p>
                  <w:pPr>
                    <w:adjustRightInd w:val="0"/>
                    <w:snapToGrid w:val="0"/>
                    <w:jc w:val="center"/>
                    <w:rPr>
                      <w:color w:val="auto"/>
                      <w:sz w:val="18"/>
                      <w:szCs w:val="18"/>
                      <w:highlight w:val="none"/>
                    </w:rPr>
                  </w:pPr>
                  <w:r>
                    <w:rPr>
                      <w:color w:val="auto"/>
                      <w:sz w:val="18"/>
                      <w:szCs w:val="18"/>
                      <w:highlight w:val="none"/>
                    </w:rPr>
                    <w:t>化学性废物</w:t>
                  </w:r>
                </w:p>
              </w:tc>
              <w:tc>
                <w:tcPr>
                  <w:tcW w:w="5245" w:type="dxa"/>
                  <w:vAlign w:val="center"/>
                </w:tcPr>
                <w:p>
                  <w:pPr>
                    <w:adjustRightInd w:val="0"/>
                    <w:snapToGrid w:val="0"/>
                    <w:jc w:val="left"/>
                    <w:rPr>
                      <w:color w:val="auto"/>
                      <w:sz w:val="18"/>
                      <w:szCs w:val="18"/>
                      <w:highlight w:val="none"/>
                    </w:rPr>
                  </w:pPr>
                  <w:r>
                    <w:rPr>
                      <w:color w:val="auto"/>
                      <w:sz w:val="18"/>
                      <w:szCs w:val="18"/>
                      <w:highlight w:val="none"/>
                    </w:rPr>
                    <w:t>检验室废弃的化学试剂。</w:t>
                  </w:r>
                </w:p>
              </w:tc>
              <w:tc>
                <w:tcPr>
                  <w:tcW w:w="1817" w:type="dxa"/>
                  <w:vAlign w:val="center"/>
                </w:tcPr>
                <w:p>
                  <w:pPr>
                    <w:adjustRightInd w:val="0"/>
                    <w:snapToGrid w:val="0"/>
                    <w:jc w:val="center"/>
                    <w:rPr>
                      <w:color w:val="auto"/>
                      <w:sz w:val="18"/>
                      <w:szCs w:val="18"/>
                      <w:highlight w:val="none"/>
                    </w:rPr>
                  </w:pPr>
                  <w:r>
                    <w:rPr>
                      <w:color w:val="auto"/>
                      <w:sz w:val="18"/>
                      <w:szCs w:val="18"/>
                      <w:highlight w:val="none"/>
                    </w:rPr>
                    <w:t>检验室</w:t>
                  </w:r>
                </w:p>
              </w:tc>
            </w:tr>
          </w:tbl>
          <w:p>
            <w:pPr>
              <w:tabs>
                <w:tab w:val="left" w:pos="900"/>
                <w:tab w:val="left" w:pos="1080"/>
              </w:tabs>
              <w:spacing w:line="360" w:lineRule="auto"/>
              <w:ind w:firstLine="480"/>
              <w:rPr>
                <w:color w:val="auto"/>
                <w:highlight w:val="none"/>
              </w:rPr>
            </w:pPr>
            <w:r>
              <w:rPr>
                <w:color w:val="auto"/>
                <w:highlight w:val="none"/>
              </w:rPr>
              <w:t>根据对</w:t>
            </w:r>
            <w:r>
              <w:rPr>
                <w:rFonts w:hint="eastAsia"/>
                <w:color w:val="auto"/>
                <w:highlight w:val="none"/>
                <w:lang w:val="en-US" w:eastAsia="zh-CN"/>
              </w:rPr>
              <w:t>同类口腔医院的</w:t>
            </w:r>
            <w:r>
              <w:rPr>
                <w:color w:val="auto"/>
                <w:highlight w:val="none"/>
              </w:rPr>
              <w:t>医院医疗废物产生情况的调查，住院病人医疗废物产污系数0.5kg/（床·d），门诊病人医疗废物产生量按0.1kg/人次计，</w:t>
            </w:r>
            <w:r>
              <w:rPr>
                <w:rFonts w:hint="eastAsia"/>
                <w:color w:val="auto"/>
                <w:highlight w:val="none"/>
                <w:lang w:val="en-US" w:eastAsia="zh-CN"/>
              </w:rPr>
              <w:t>本项目设置床位490个（住院床位181个，康养床位309个），危废由住院床位产生，</w:t>
            </w:r>
            <w:r>
              <w:rPr>
                <w:color w:val="auto"/>
                <w:highlight w:val="none"/>
              </w:rPr>
              <w:t>则拟建项目医疗废物产生量见下表。</w:t>
            </w:r>
          </w:p>
          <w:p>
            <w:pPr>
              <w:autoSpaceDE w:val="0"/>
              <w:autoSpaceDN w:val="0"/>
              <w:adjustRightInd w:val="0"/>
              <w:snapToGrid w:val="0"/>
              <w:jc w:val="center"/>
              <w:rPr>
                <w:rFonts w:ascii="Times New Roman" w:hAnsi="Times New Roman" w:eastAsia="宋体" w:cs="Times New Roman"/>
                <w:b/>
                <w:bCs/>
                <w:color w:val="auto"/>
                <w:kern w:val="0"/>
                <w:szCs w:val="21"/>
                <w:highlight w:val="none"/>
              </w:rPr>
            </w:pPr>
            <w:r>
              <w:rPr>
                <w:rFonts w:ascii="Times New Roman" w:hAnsi="Times New Roman" w:eastAsia="宋体" w:cs="Times New Roman"/>
                <w:b/>
                <w:bCs/>
                <w:color w:val="auto"/>
                <w:kern w:val="0"/>
                <w:szCs w:val="21"/>
                <w:highlight w:val="none"/>
              </w:rPr>
              <w:t>表</w:t>
            </w:r>
            <w:r>
              <w:rPr>
                <w:rFonts w:hint="eastAsia" w:ascii="Times New Roman" w:hAnsi="Times New Roman" w:eastAsia="宋体" w:cs="Times New Roman"/>
                <w:b/>
                <w:bCs/>
                <w:color w:val="auto"/>
                <w:kern w:val="0"/>
                <w:szCs w:val="21"/>
                <w:highlight w:val="none"/>
                <w:lang w:val="en-US" w:eastAsia="zh-CN"/>
              </w:rPr>
              <w:t>4-</w:t>
            </w:r>
            <w:r>
              <w:rPr>
                <w:rFonts w:hint="eastAsia" w:cs="Times New Roman"/>
                <w:b/>
                <w:bCs/>
                <w:color w:val="auto"/>
                <w:kern w:val="0"/>
                <w:szCs w:val="21"/>
                <w:highlight w:val="none"/>
                <w:lang w:val="en-US" w:eastAsia="zh-CN"/>
              </w:rPr>
              <w:t>26</w:t>
            </w:r>
            <w:r>
              <w:rPr>
                <w:rFonts w:ascii="Times New Roman" w:hAnsi="Times New Roman" w:eastAsia="宋体" w:cs="Times New Roman"/>
                <w:b/>
                <w:bCs/>
                <w:color w:val="auto"/>
                <w:kern w:val="0"/>
                <w:szCs w:val="21"/>
                <w:highlight w:val="none"/>
              </w:rPr>
              <w:t xml:space="preserve">  医疗废物产生情况</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162"/>
              <w:gridCol w:w="2196"/>
              <w:gridCol w:w="1560"/>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58" w:type="pct"/>
                  <w:shd w:val="clear" w:color="auto" w:fill="auto"/>
                  <w:vAlign w:val="center"/>
                </w:tcPr>
                <w:p>
                  <w:pPr>
                    <w:widowControl/>
                    <w:spacing w:line="240" w:lineRule="auto"/>
                    <w:jc w:val="center"/>
                    <w:rPr>
                      <w:color w:val="auto"/>
                      <w:sz w:val="18"/>
                      <w:szCs w:val="18"/>
                      <w:highlight w:val="none"/>
                    </w:rPr>
                  </w:pPr>
                  <w:r>
                    <w:rPr>
                      <w:color w:val="auto"/>
                      <w:sz w:val="18"/>
                      <w:szCs w:val="18"/>
                      <w:highlight w:val="none"/>
                    </w:rPr>
                    <w:t>序号</w:t>
                  </w:r>
                </w:p>
              </w:tc>
              <w:tc>
                <w:tcPr>
                  <w:tcW w:w="693" w:type="pct"/>
                  <w:shd w:val="clear" w:color="auto" w:fill="auto"/>
                  <w:vAlign w:val="center"/>
                </w:tcPr>
                <w:p>
                  <w:pPr>
                    <w:widowControl/>
                    <w:spacing w:line="240" w:lineRule="auto"/>
                    <w:jc w:val="center"/>
                    <w:rPr>
                      <w:color w:val="auto"/>
                      <w:sz w:val="18"/>
                      <w:szCs w:val="18"/>
                      <w:highlight w:val="none"/>
                    </w:rPr>
                  </w:pPr>
                  <w:r>
                    <w:rPr>
                      <w:color w:val="auto"/>
                      <w:sz w:val="18"/>
                      <w:szCs w:val="18"/>
                      <w:highlight w:val="none"/>
                    </w:rPr>
                    <w:t>类别</w:t>
                  </w:r>
                </w:p>
              </w:tc>
              <w:tc>
                <w:tcPr>
                  <w:tcW w:w="1309" w:type="pct"/>
                  <w:shd w:val="clear" w:color="auto" w:fill="auto"/>
                  <w:vAlign w:val="center"/>
                </w:tcPr>
                <w:p>
                  <w:pPr>
                    <w:widowControl/>
                    <w:spacing w:line="240" w:lineRule="auto"/>
                    <w:jc w:val="center"/>
                    <w:rPr>
                      <w:color w:val="auto"/>
                      <w:sz w:val="18"/>
                      <w:szCs w:val="18"/>
                      <w:highlight w:val="none"/>
                    </w:rPr>
                  </w:pPr>
                  <w:r>
                    <w:rPr>
                      <w:color w:val="auto"/>
                      <w:sz w:val="18"/>
                      <w:szCs w:val="18"/>
                      <w:highlight w:val="none"/>
                    </w:rPr>
                    <w:t>系数</w:t>
                  </w:r>
                </w:p>
              </w:tc>
              <w:tc>
                <w:tcPr>
                  <w:tcW w:w="930" w:type="pct"/>
                  <w:shd w:val="clear" w:color="auto" w:fill="auto"/>
                  <w:vAlign w:val="center"/>
                </w:tcPr>
                <w:p>
                  <w:pPr>
                    <w:widowControl/>
                    <w:spacing w:line="240" w:lineRule="auto"/>
                    <w:jc w:val="center"/>
                    <w:rPr>
                      <w:color w:val="auto"/>
                      <w:sz w:val="18"/>
                      <w:szCs w:val="18"/>
                      <w:highlight w:val="none"/>
                    </w:rPr>
                  </w:pPr>
                  <w:r>
                    <w:rPr>
                      <w:color w:val="auto"/>
                      <w:sz w:val="18"/>
                      <w:szCs w:val="18"/>
                      <w:highlight w:val="none"/>
                    </w:rPr>
                    <w:t>数量</w:t>
                  </w:r>
                </w:p>
              </w:tc>
              <w:tc>
                <w:tcPr>
                  <w:tcW w:w="1508" w:type="pct"/>
                  <w:shd w:val="clear" w:color="auto" w:fill="auto"/>
                  <w:vAlign w:val="center"/>
                </w:tcPr>
                <w:p>
                  <w:pPr>
                    <w:widowControl/>
                    <w:spacing w:line="240" w:lineRule="auto"/>
                    <w:jc w:val="center"/>
                    <w:rPr>
                      <w:color w:val="auto"/>
                      <w:sz w:val="18"/>
                      <w:szCs w:val="18"/>
                      <w:highlight w:val="none"/>
                    </w:rPr>
                  </w:pPr>
                  <w:r>
                    <w:rPr>
                      <w:color w:val="auto"/>
                      <w:sz w:val="18"/>
                      <w:szCs w:val="18"/>
                      <w:highlight w:val="none"/>
                    </w:rPr>
                    <w:t>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shd w:val="clear" w:color="auto" w:fill="auto"/>
                  <w:vAlign w:val="center"/>
                </w:tcPr>
                <w:p>
                  <w:pPr>
                    <w:widowControl/>
                    <w:spacing w:line="240" w:lineRule="auto"/>
                    <w:jc w:val="center"/>
                    <w:rPr>
                      <w:color w:val="auto"/>
                      <w:sz w:val="18"/>
                      <w:szCs w:val="18"/>
                      <w:highlight w:val="none"/>
                    </w:rPr>
                  </w:pPr>
                  <w:r>
                    <w:rPr>
                      <w:color w:val="auto"/>
                      <w:sz w:val="18"/>
                      <w:szCs w:val="18"/>
                      <w:highlight w:val="none"/>
                    </w:rPr>
                    <w:t>1</w:t>
                  </w:r>
                </w:p>
              </w:tc>
              <w:tc>
                <w:tcPr>
                  <w:tcW w:w="693" w:type="pct"/>
                  <w:shd w:val="clear" w:color="auto" w:fill="auto"/>
                  <w:vAlign w:val="center"/>
                </w:tcPr>
                <w:p>
                  <w:pPr>
                    <w:widowControl/>
                    <w:spacing w:line="240" w:lineRule="auto"/>
                    <w:jc w:val="center"/>
                    <w:rPr>
                      <w:color w:val="auto"/>
                      <w:sz w:val="18"/>
                      <w:szCs w:val="18"/>
                      <w:highlight w:val="none"/>
                    </w:rPr>
                  </w:pPr>
                  <w:r>
                    <w:rPr>
                      <w:color w:val="auto"/>
                      <w:sz w:val="18"/>
                      <w:szCs w:val="18"/>
                      <w:highlight w:val="none"/>
                    </w:rPr>
                    <w:t>门诊</w:t>
                  </w:r>
                </w:p>
              </w:tc>
              <w:tc>
                <w:tcPr>
                  <w:tcW w:w="1309" w:type="pct"/>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0.1kg/人次</w:t>
                  </w:r>
                </w:p>
              </w:tc>
              <w:tc>
                <w:tcPr>
                  <w:tcW w:w="930" w:type="pct"/>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1200</w:t>
                  </w:r>
                  <w:r>
                    <w:rPr>
                      <w:color w:val="auto"/>
                      <w:kern w:val="0"/>
                      <w:sz w:val="18"/>
                      <w:szCs w:val="18"/>
                      <w:highlight w:val="none"/>
                    </w:rPr>
                    <w:t>人次</w:t>
                  </w:r>
                </w:p>
              </w:tc>
              <w:tc>
                <w:tcPr>
                  <w:tcW w:w="1508" w:type="pct"/>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0.12</w:t>
                  </w:r>
                  <w:r>
                    <w:rPr>
                      <w:color w:val="auto"/>
                      <w:kern w:val="0"/>
                      <w:sz w:val="18"/>
                      <w:szCs w:val="18"/>
                      <w:highlight w:val="none"/>
                    </w:rPr>
                    <w:t>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8" w:type="pct"/>
                  <w:shd w:val="clear" w:color="auto" w:fill="auto"/>
                  <w:vAlign w:val="center"/>
                </w:tcPr>
                <w:p>
                  <w:pPr>
                    <w:widowControl/>
                    <w:spacing w:line="240" w:lineRule="auto"/>
                    <w:jc w:val="center"/>
                    <w:rPr>
                      <w:color w:val="auto"/>
                      <w:sz w:val="18"/>
                      <w:szCs w:val="18"/>
                      <w:highlight w:val="none"/>
                    </w:rPr>
                  </w:pPr>
                  <w:r>
                    <w:rPr>
                      <w:color w:val="auto"/>
                      <w:sz w:val="18"/>
                      <w:szCs w:val="18"/>
                      <w:highlight w:val="none"/>
                    </w:rPr>
                    <w:t>2</w:t>
                  </w:r>
                </w:p>
              </w:tc>
              <w:tc>
                <w:tcPr>
                  <w:tcW w:w="693" w:type="pct"/>
                  <w:shd w:val="clear" w:color="auto" w:fill="auto"/>
                  <w:vAlign w:val="center"/>
                </w:tcPr>
                <w:p>
                  <w:pPr>
                    <w:widowControl/>
                    <w:spacing w:line="240" w:lineRule="auto"/>
                    <w:jc w:val="center"/>
                    <w:rPr>
                      <w:color w:val="auto"/>
                      <w:sz w:val="18"/>
                      <w:szCs w:val="18"/>
                      <w:highlight w:val="none"/>
                    </w:rPr>
                  </w:pPr>
                  <w:r>
                    <w:rPr>
                      <w:color w:val="auto"/>
                      <w:sz w:val="18"/>
                      <w:szCs w:val="18"/>
                      <w:highlight w:val="none"/>
                    </w:rPr>
                    <w:t>病床</w:t>
                  </w:r>
                </w:p>
              </w:tc>
              <w:tc>
                <w:tcPr>
                  <w:tcW w:w="1309" w:type="pct"/>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0.5kg/（床·d）</w:t>
                  </w:r>
                </w:p>
              </w:tc>
              <w:tc>
                <w:tcPr>
                  <w:tcW w:w="930" w:type="pct"/>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181</w:t>
                  </w:r>
                  <w:r>
                    <w:rPr>
                      <w:color w:val="auto"/>
                      <w:kern w:val="0"/>
                      <w:sz w:val="18"/>
                      <w:szCs w:val="18"/>
                      <w:highlight w:val="none"/>
                    </w:rPr>
                    <w:t>床</w:t>
                  </w:r>
                </w:p>
              </w:tc>
              <w:tc>
                <w:tcPr>
                  <w:tcW w:w="1508" w:type="pct"/>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0.0905</w:t>
                  </w:r>
                  <w:r>
                    <w:rPr>
                      <w:color w:val="auto"/>
                      <w:kern w:val="0"/>
                      <w:sz w:val="18"/>
                      <w:szCs w:val="18"/>
                      <w:highlight w:val="none"/>
                    </w:rPr>
                    <w:t>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1" w:type="pct"/>
                  <w:gridSpan w:val="2"/>
                  <w:shd w:val="clear" w:color="auto" w:fill="auto"/>
                  <w:vAlign w:val="center"/>
                </w:tcPr>
                <w:p>
                  <w:pPr>
                    <w:widowControl/>
                    <w:spacing w:line="240" w:lineRule="auto"/>
                    <w:jc w:val="center"/>
                    <w:rPr>
                      <w:color w:val="auto"/>
                      <w:sz w:val="18"/>
                      <w:szCs w:val="18"/>
                      <w:highlight w:val="none"/>
                    </w:rPr>
                  </w:pPr>
                  <w:r>
                    <w:rPr>
                      <w:color w:val="auto"/>
                      <w:sz w:val="18"/>
                      <w:szCs w:val="18"/>
                      <w:highlight w:val="none"/>
                    </w:rPr>
                    <w:t>合计</w:t>
                  </w:r>
                </w:p>
              </w:tc>
              <w:tc>
                <w:tcPr>
                  <w:tcW w:w="1309" w:type="pct"/>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w:t>
                  </w:r>
                </w:p>
              </w:tc>
              <w:tc>
                <w:tcPr>
                  <w:tcW w:w="930" w:type="pct"/>
                  <w:vAlign w:val="center"/>
                </w:tcPr>
                <w:p>
                  <w:pPr>
                    <w:widowControl/>
                    <w:spacing w:line="240" w:lineRule="auto"/>
                    <w:jc w:val="center"/>
                    <w:textAlignment w:val="center"/>
                    <w:rPr>
                      <w:color w:val="auto"/>
                      <w:kern w:val="0"/>
                      <w:sz w:val="18"/>
                      <w:szCs w:val="18"/>
                      <w:highlight w:val="none"/>
                    </w:rPr>
                  </w:pPr>
                  <w:r>
                    <w:rPr>
                      <w:color w:val="auto"/>
                      <w:kern w:val="0"/>
                      <w:sz w:val="18"/>
                      <w:szCs w:val="18"/>
                      <w:highlight w:val="none"/>
                    </w:rPr>
                    <w:t>/</w:t>
                  </w:r>
                </w:p>
              </w:tc>
              <w:tc>
                <w:tcPr>
                  <w:tcW w:w="1508" w:type="pct"/>
                  <w:vAlign w:val="center"/>
                </w:tcPr>
                <w:p>
                  <w:pPr>
                    <w:widowControl/>
                    <w:spacing w:line="240" w:lineRule="auto"/>
                    <w:jc w:val="center"/>
                    <w:textAlignment w:val="center"/>
                    <w:rPr>
                      <w:color w:val="auto"/>
                      <w:kern w:val="0"/>
                      <w:sz w:val="18"/>
                      <w:szCs w:val="18"/>
                      <w:highlight w:val="none"/>
                    </w:rPr>
                  </w:pPr>
                  <w:r>
                    <w:rPr>
                      <w:rFonts w:hint="eastAsia"/>
                      <w:color w:val="auto"/>
                      <w:kern w:val="0"/>
                      <w:sz w:val="18"/>
                      <w:szCs w:val="18"/>
                      <w:highlight w:val="none"/>
                      <w:lang w:val="en-US" w:eastAsia="zh-CN"/>
                    </w:rPr>
                    <w:t>0.2105</w:t>
                  </w:r>
                  <w:r>
                    <w:rPr>
                      <w:color w:val="auto"/>
                      <w:kern w:val="0"/>
                      <w:sz w:val="18"/>
                      <w:szCs w:val="18"/>
                      <w:highlight w:val="none"/>
                    </w:rPr>
                    <w:t>t/d</w:t>
                  </w:r>
                </w:p>
              </w:tc>
            </w:tr>
          </w:tbl>
          <w:p>
            <w:pPr>
              <w:pStyle w:val="62"/>
              <w:ind w:firstLine="42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经计算，本项目</w:t>
            </w:r>
            <w:r>
              <w:rPr>
                <w:rFonts w:ascii="Times New Roman" w:hAnsi="Times New Roman" w:eastAsia="宋体" w:cs="Times New Roman"/>
                <w:color w:val="auto"/>
                <w:sz w:val="21"/>
                <w:szCs w:val="21"/>
                <w:highlight w:val="none"/>
              </w:rPr>
              <w:t>医疗废物</w:t>
            </w:r>
            <w:r>
              <w:rPr>
                <w:rFonts w:hint="eastAsia" w:ascii="Times New Roman" w:hAnsi="Times New Roman" w:eastAsia="宋体" w:cs="Times New Roman"/>
                <w:color w:val="auto"/>
                <w:sz w:val="21"/>
                <w:szCs w:val="21"/>
                <w:highlight w:val="none"/>
                <w:lang w:val="en-US" w:eastAsia="zh-CN"/>
              </w:rPr>
              <w:t>产生量为</w:t>
            </w:r>
            <w:r>
              <w:rPr>
                <w:rFonts w:hint="eastAsia" w:cs="Times New Roman"/>
                <w:color w:val="auto"/>
                <w:sz w:val="21"/>
                <w:szCs w:val="21"/>
                <w:highlight w:val="none"/>
                <w:lang w:val="en-US" w:eastAsia="zh-CN"/>
              </w:rPr>
              <w:t>0.2105</w:t>
            </w:r>
            <w:r>
              <w:rPr>
                <w:rFonts w:ascii="Times New Roman" w:hAnsi="Times New Roman" w:eastAsia="宋体" w:cs="Times New Roman"/>
                <w:color w:val="auto"/>
                <w:sz w:val="21"/>
                <w:szCs w:val="21"/>
                <w:highlight w:val="none"/>
              </w:rPr>
              <w:t>t/d</w:t>
            </w:r>
            <w:r>
              <w:rPr>
                <w:rFonts w:hint="eastAsia" w:ascii="Times New Roman" w:hAnsi="Times New Roman" w:eastAsia="宋体" w:cs="Times New Roman"/>
                <w:color w:val="auto"/>
                <w:sz w:val="21"/>
                <w:szCs w:val="21"/>
                <w:highlight w:val="none"/>
                <w:lang w:eastAsia="zh-CN"/>
              </w:rPr>
              <w:t>（</w:t>
            </w:r>
            <w:r>
              <w:rPr>
                <w:rFonts w:hint="eastAsia" w:cs="Times New Roman"/>
                <w:color w:val="auto"/>
                <w:sz w:val="21"/>
                <w:szCs w:val="21"/>
                <w:highlight w:val="none"/>
                <w:lang w:val="en-US" w:eastAsia="zh-CN"/>
              </w:rPr>
              <w:t>76.83</w:t>
            </w:r>
            <w:r>
              <w:rPr>
                <w:rFonts w:hint="eastAsia" w:ascii="Times New Roman" w:hAnsi="Times New Roman" w:eastAsia="宋体" w:cs="Times New Roman"/>
                <w:color w:val="auto"/>
                <w:sz w:val="21"/>
                <w:szCs w:val="21"/>
                <w:highlight w:val="none"/>
                <w:lang w:val="en-US" w:eastAsia="zh-CN"/>
              </w:rPr>
              <w:t>t/a</w:t>
            </w:r>
            <w:r>
              <w:rPr>
                <w:rFonts w:hint="eastAsia" w:ascii="Times New Roman" w:hAnsi="Times New Roman" w:eastAsia="宋体" w:cs="Times New Roman"/>
                <w:color w:val="auto"/>
                <w:sz w:val="21"/>
                <w:szCs w:val="21"/>
                <w:highlight w:val="none"/>
                <w:lang w:eastAsia="zh-CN"/>
              </w:rPr>
              <w:t>）。</w:t>
            </w:r>
          </w:p>
          <w:p>
            <w:pPr>
              <w:pStyle w:val="62"/>
              <w:ind w:firstLine="420"/>
              <w:rPr>
                <w:color w:val="auto"/>
                <w:sz w:val="21"/>
                <w:szCs w:val="21"/>
                <w:highlight w:val="none"/>
              </w:rPr>
            </w:pPr>
            <w:r>
              <w:rPr>
                <w:color w:val="auto"/>
                <w:sz w:val="21"/>
                <w:szCs w:val="21"/>
                <w:highlight w:val="none"/>
              </w:rPr>
              <w:t>医疗废物属于危险废物HW01，须按照《危险废物贮存污染控制标准》（GB 18597-20</w:t>
            </w:r>
            <w:r>
              <w:rPr>
                <w:rFonts w:hint="eastAsia"/>
                <w:color w:val="auto"/>
                <w:sz w:val="21"/>
                <w:szCs w:val="21"/>
                <w:highlight w:val="none"/>
                <w:lang w:val="en-US" w:eastAsia="zh-CN"/>
              </w:rPr>
              <w:t>23</w:t>
            </w:r>
            <w:r>
              <w:rPr>
                <w:color w:val="auto"/>
                <w:sz w:val="21"/>
                <w:szCs w:val="21"/>
                <w:highlight w:val="none"/>
              </w:rPr>
              <w:t>）要求贮存于符合标准的容器并做好标识，委托有资质单位处理，并严格按照《危险废物收集、贮存、运输技术规范》（HJ 2025-2012）以及《关于印发《山东省危险废物转移联单管理办法》的通知》（鲁环发〔2005〕152号）要求转移。</w:t>
            </w:r>
          </w:p>
          <w:p>
            <w:pPr>
              <w:pStyle w:val="62"/>
              <w:ind w:firstLine="420"/>
              <w:rPr>
                <w:color w:val="auto"/>
                <w:sz w:val="21"/>
                <w:szCs w:val="21"/>
                <w:highlight w:val="none"/>
              </w:rPr>
            </w:pPr>
            <w:r>
              <w:rPr>
                <w:color w:val="auto"/>
                <w:sz w:val="21"/>
                <w:szCs w:val="21"/>
                <w:highlight w:val="none"/>
              </w:rPr>
              <w:t>（2）污水站污泥</w:t>
            </w:r>
          </w:p>
          <w:p>
            <w:pPr>
              <w:tabs>
                <w:tab w:val="left" w:pos="900"/>
                <w:tab w:val="left" w:pos="1080"/>
              </w:tabs>
              <w:spacing w:line="360" w:lineRule="auto"/>
              <w:ind w:firstLine="480"/>
              <w:rPr>
                <w:color w:val="auto"/>
                <w:highlight w:val="none"/>
              </w:rPr>
            </w:pPr>
            <w:r>
              <w:rPr>
                <w:rFonts w:hint="eastAsia"/>
                <w:color w:val="auto"/>
                <w:highlight w:val="none"/>
                <w:lang w:val="en-US" w:eastAsia="zh-CN"/>
              </w:rPr>
              <w:t>医院污水处理过程产生的污泥量与原水的悬浮固体及处理工艺有关。根据《医院污水处理技术指南》（环发</w:t>
            </w:r>
            <w:r>
              <w:rPr>
                <w:rFonts w:hint="default"/>
                <w:color w:val="auto"/>
                <w:highlight w:val="none"/>
                <w:lang w:val="en-US" w:eastAsia="zh-CN"/>
              </w:rPr>
              <w:t xml:space="preserve">[2003]197 </w:t>
            </w:r>
            <w:r>
              <w:rPr>
                <w:rFonts w:hint="eastAsia"/>
                <w:color w:val="auto"/>
                <w:highlight w:val="none"/>
                <w:lang w:val="en-US" w:eastAsia="zh-CN"/>
              </w:rPr>
              <w:t>号），处理构筑物产生的污泥量见下表 。</w:t>
            </w:r>
          </w:p>
          <w:p>
            <w:pPr>
              <w:autoSpaceDE w:val="0"/>
              <w:autoSpaceDN w:val="0"/>
              <w:adjustRightInd w:val="0"/>
              <w:snapToGrid w:val="0"/>
              <w:jc w:val="center"/>
              <w:rPr>
                <w:rFonts w:ascii="Times New Roman" w:hAnsi="Times New Roman" w:eastAsia="宋体" w:cs="Times New Roman"/>
                <w:b/>
                <w:bCs/>
                <w:color w:val="auto"/>
                <w:kern w:val="0"/>
                <w:szCs w:val="21"/>
                <w:highlight w:val="none"/>
              </w:rPr>
            </w:pPr>
            <w:r>
              <w:rPr>
                <w:rFonts w:ascii="Times New Roman" w:hAnsi="Times New Roman" w:eastAsia="宋体" w:cs="Times New Roman"/>
                <w:b/>
                <w:bCs/>
                <w:color w:val="auto"/>
                <w:kern w:val="0"/>
                <w:szCs w:val="21"/>
                <w:highlight w:val="none"/>
              </w:rPr>
              <w:t>表</w:t>
            </w:r>
            <w:r>
              <w:rPr>
                <w:rFonts w:hint="eastAsia" w:ascii="Times New Roman" w:hAnsi="Times New Roman" w:eastAsia="宋体" w:cs="Times New Roman"/>
                <w:b/>
                <w:bCs/>
                <w:color w:val="auto"/>
                <w:kern w:val="0"/>
                <w:szCs w:val="21"/>
                <w:highlight w:val="none"/>
                <w:lang w:val="en-US" w:eastAsia="zh-CN"/>
              </w:rPr>
              <w:t>4-</w:t>
            </w:r>
            <w:r>
              <w:rPr>
                <w:rFonts w:hint="eastAsia" w:cs="Times New Roman"/>
                <w:b/>
                <w:bCs/>
                <w:color w:val="auto"/>
                <w:kern w:val="0"/>
                <w:szCs w:val="21"/>
                <w:highlight w:val="none"/>
                <w:lang w:val="en-US" w:eastAsia="zh-CN"/>
              </w:rPr>
              <w:t>27</w:t>
            </w:r>
            <w:r>
              <w:rPr>
                <w:rFonts w:ascii="Times New Roman" w:hAnsi="Times New Roman" w:eastAsia="宋体" w:cs="Times New Roman"/>
                <w:b/>
                <w:bCs/>
                <w:color w:val="auto"/>
                <w:kern w:val="0"/>
                <w:szCs w:val="21"/>
                <w:highlight w:val="none"/>
              </w:rPr>
              <w:t xml:space="preserve">  </w:t>
            </w:r>
            <w:r>
              <w:rPr>
                <w:rFonts w:hint="eastAsia" w:ascii="Times New Roman" w:hAnsi="Times New Roman" w:eastAsia="宋体" w:cs="Times New Roman"/>
                <w:b/>
                <w:bCs/>
                <w:color w:val="auto"/>
                <w:kern w:val="0"/>
                <w:szCs w:val="21"/>
                <w:highlight w:val="none"/>
                <w:lang w:val="en-US" w:eastAsia="zh-CN"/>
              </w:rPr>
              <w:t>污泥</w:t>
            </w:r>
            <w:r>
              <w:rPr>
                <w:rFonts w:ascii="Times New Roman" w:hAnsi="Times New Roman" w:eastAsia="宋体" w:cs="Times New Roman"/>
                <w:b/>
                <w:bCs/>
                <w:color w:val="auto"/>
                <w:kern w:val="0"/>
                <w:szCs w:val="21"/>
                <w:highlight w:val="none"/>
              </w:rPr>
              <w:t>产生情况</w:t>
            </w:r>
          </w:p>
          <w:tbl>
            <w:tblPr>
              <w:tblStyle w:val="27"/>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005"/>
              <w:gridCol w:w="3146"/>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blHeader/>
              </w:trPr>
              <w:tc>
                <w:tcPr>
                  <w:tcW w:w="1792" w:type="pct"/>
                  <w:shd w:val="clear" w:color="auto" w:fill="auto"/>
                  <w:vAlign w:val="center"/>
                </w:tcPr>
                <w:p>
                  <w:pPr>
                    <w:widowControl/>
                    <w:spacing w:line="240" w:lineRule="auto"/>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污泥来源</w:t>
                  </w:r>
                </w:p>
              </w:tc>
              <w:tc>
                <w:tcPr>
                  <w:tcW w:w="1876" w:type="pct"/>
                  <w:shd w:val="clear" w:color="auto" w:fill="auto"/>
                  <w:vAlign w:val="center"/>
                </w:tcPr>
                <w:p>
                  <w:pPr>
                    <w:widowControl/>
                    <w:spacing w:line="240" w:lineRule="auto"/>
                    <w:jc w:val="center"/>
                    <w:rPr>
                      <w:rFonts w:hint="eastAsia" w:eastAsia="宋体"/>
                      <w:color w:val="auto"/>
                      <w:sz w:val="18"/>
                      <w:szCs w:val="18"/>
                      <w:highlight w:val="none"/>
                      <w:lang w:eastAsia="zh-CN"/>
                    </w:rPr>
                  </w:pPr>
                  <w:r>
                    <w:rPr>
                      <w:rFonts w:hint="eastAsia"/>
                      <w:color w:val="auto"/>
                      <w:sz w:val="18"/>
                      <w:szCs w:val="18"/>
                      <w:highlight w:val="none"/>
                      <w:lang w:val="en-US" w:eastAsia="zh-CN"/>
                    </w:rPr>
                    <w:t>总固体（g/人·d）</w:t>
                  </w:r>
                </w:p>
              </w:tc>
              <w:tc>
                <w:tcPr>
                  <w:tcW w:w="1330" w:type="pct"/>
                  <w:shd w:val="clear" w:color="auto" w:fill="auto"/>
                  <w:vAlign w:val="center"/>
                </w:tcPr>
                <w:p>
                  <w:pPr>
                    <w:widowControl/>
                    <w:spacing w:line="240" w:lineRule="auto"/>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含水率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92" w:type="pct"/>
                  <w:shd w:val="clear" w:color="auto" w:fill="auto"/>
                  <w:vAlign w:val="center"/>
                </w:tcPr>
                <w:p>
                  <w:pPr>
                    <w:widowControl/>
                    <w:spacing w:line="240" w:lineRule="auto"/>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沉淀池、絮凝池</w:t>
                  </w:r>
                </w:p>
              </w:tc>
              <w:tc>
                <w:tcPr>
                  <w:tcW w:w="1876" w:type="pct"/>
                  <w:shd w:val="clear" w:color="auto" w:fill="auto"/>
                  <w:vAlign w:val="center"/>
                </w:tcPr>
                <w:p>
                  <w:pPr>
                    <w:widowControl/>
                    <w:spacing w:line="240" w:lineRule="auto"/>
                    <w:jc w:val="center"/>
                    <w:textAlignment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31</w:t>
                  </w:r>
                </w:p>
              </w:tc>
              <w:tc>
                <w:tcPr>
                  <w:tcW w:w="1330" w:type="pct"/>
                  <w:shd w:val="clear" w:color="auto" w:fill="auto"/>
                  <w:vAlign w:val="center"/>
                </w:tcPr>
                <w:p>
                  <w:pPr>
                    <w:widowControl/>
                    <w:spacing w:line="240" w:lineRule="auto"/>
                    <w:jc w:val="center"/>
                    <w:textAlignment w:val="center"/>
                    <w:rPr>
                      <w:rFonts w:hint="default"/>
                      <w:color w:val="auto"/>
                      <w:kern w:val="0"/>
                      <w:sz w:val="18"/>
                      <w:szCs w:val="18"/>
                      <w:highlight w:val="none"/>
                      <w:lang w:val="en-US" w:eastAsia="zh-CN"/>
                    </w:rPr>
                  </w:pPr>
                  <w:r>
                    <w:rPr>
                      <w:rFonts w:hint="eastAsia"/>
                      <w:color w:val="auto"/>
                      <w:kern w:val="0"/>
                      <w:sz w:val="18"/>
                      <w:szCs w:val="18"/>
                      <w:highlight w:val="none"/>
                      <w:lang w:val="en-US" w:eastAsia="zh-CN"/>
                    </w:rPr>
                    <w:t>97-98.5</w:t>
                  </w:r>
                </w:p>
              </w:tc>
            </w:tr>
          </w:tbl>
          <w:p>
            <w:pPr>
              <w:tabs>
                <w:tab w:val="left" w:pos="900"/>
                <w:tab w:val="left" w:pos="1080"/>
              </w:tabs>
              <w:spacing w:line="360" w:lineRule="auto"/>
              <w:ind w:firstLine="480"/>
              <w:jc w:val="both"/>
              <w:rPr>
                <w:color w:val="auto"/>
                <w:highlight w:val="none"/>
              </w:rPr>
            </w:pPr>
            <w:r>
              <w:rPr>
                <w:rFonts w:hint="eastAsia"/>
                <w:color w:val="auto"/>
                <w:highlight w:val="none"/>
                <w:lang w:val="en-US" w:eastAsia="zh-CN"/>
              </w:rPr>
              <w:t>本次污泥核算人数按照医院职工人数+病房人数（病床数×3）+门诊人数核算，人数约为2817人，根据上表估算得出项目医院污水处理过程产生的污泥总固体量约为31.88</w:t>
            </w:r>
            <w:r>
              <w:rPr>
                <w:rFonts w:hint="default"/>
                <w:color w:val="auto"/>
                <w:highlight w:val="none"/>
                <w:lang w:val="en-US" w:eastAsia="zh-CN"/>
              </w:rPr>
              <w:t>t/a</w:t>
            </w:r>
            <w:r>
              <w:rPr>
                <w:rFonts w:hint="eastAsia"/>
                <w:color w:val="auto"/>
                <w:highlight w:val="none"/>
                <w:lang w:val="en-US" w:eastAsia="zh-CN"/>
              </w:rPr>
              <w:t>。污泥经压滤后含水量约为70%，则产生的压滤污泥为106.27t/a。产生泥饼</w:t>
            </w:r>
            <w:r>
              <w:rPr>
                <w:color w:val="auto"/>
                <w:highlight w:val="none"/>
              </w:rPr>
              <w:t>根据《山东省医疗机构污染物排放控制标准》(DB37/596-2020)中4.4.1中的要求，栅渣、化粪池和污水处理站污泥应按危险废物进行处理处置。</w:t>
            </w:r>
            <w:r>
              <w:rPr>
                <w:color w:val="auto"/>
                <w:kern w:val="0"/>
                <w:highlight w:val="none"/>
              </w:rPr>
              <w:t>栅渣、化粪池及污水处理站污泥含有致病菌，</w:t>
            </w:r>
            <w:r>
              <w:rPr>
                <w:color w:val="auto"/>
                <w:highlight w:val="none"/>
              </w:rPr>
              <w:t>根据《国家危险废物名录》（2021年），废物代码为HW01 841-001-01感染性废物。污水处理站按照污泥产生量清掏周期设置为</w:t>
            </w:r>
            <w:r>
              <w:rPr>
                <w:rFonts w:hint="eastAsia"/>
                <w:color w:val="auto"/>
                <w:highlight w:val="none"/>
                <w:lang w:val="en-US" w:eastAsia="zh-CN"/>
              </w:rPr>
              <w:t>30</w:t>
            </w:r>
            <w:r>
              <w:rPr>
                <w:color w:val="auto"/>
                <w:highlight w:val="none"/>
              </w:rPr>
              <w:t>d，污水处理站污泥经消毒及脱水后委托有资质的单位处理。污泥</w:t>
            </w:r>
            <w:r>
              <w:rPr>
                <w:rFonts w:hint="eastAsia"/>
                <w:color w:val="auto"/>
                <w:highlight w:val="none"/>
              </w:rPr>
              <w:t>在</w:t>
            </w:r>
            <w:r>
              <w:rPr>
                <w:color w:val="auto"/>
                <w:highlight w:val="none"/>
              </w:rPr>
              <w:t>贮泥池中进行消毒</w:t>
            </w:r>
            <w:r>
              <w:rPr>
                <w:rFonts w:hint="eastAsia"/>
                <w:color w:val="auto"/>
                <w:highlight w:val="none"/>
              </w:rPr>
              <w:t>，</w:t>
            </w:r>
            <w:r>
              <w:rPr>
                <w:color w:val="auto"/>
                <w:highlight w:val="none"/>
              </w:rPr>
              <w:t>清掏前能够达到</w:t>
            </w:r>
            <w:r>
              <w:rPr>
                <w:rFonts w:hint="eastAsia"/>
                <w:color w:val="auto"/>
                <w:highlight w:val="none"/>
              </w:rPr>
              <w:t>《山东省医疗机构污染物排放控制标准》（DB</w:t>
            </w:r>
            <w:r>
              <w:rPr>
                <w:color w:val="auto"/>
                <w:highlight w:val="none"/>
              </w:rPr>
              <w:t>37/596-2020</w:t>
            </w:r>
            <w:r>
              <w:rPr>
                <w:rFonts w:hint="eastAsia"/>
                <w:color w:val="auto"/>
                <w:highlight w:val="none"/>
              </w:rPr>
              <w:t>）表</w:t>
            </w:r>
            <w:r>
              <w:rPr>
                <w:color w:val="auto"/>
                <w:highlight w:val="none"/>
              </w:rPr>
              <w:t>3</w:t>
            </w:r>
            <w:r>
              <w:rPr>
                <w:rFonts w:hint="eastAsia"/>
                <w:color w:val="auto"/>
                <w:highlight w:val="none"/>
              </w:rPr>
              <w:t>要求。</w:t>
            </w:r>
          </w:p>
          <w:p>
            <w:pPr>
              <w:pStyle w:val="62"/>
              <w:ind w:firstLine="420"/>
              <w:rPr>
                <w:color w:val="auto"/>
                <w:sz w:val="21"/>
                <w:szCs w:val="21"/>
                <w:highlight w:val="none"/>
              </w:rPr>
            </w:pPr>
            <w:r>
              <w:rPr>
                <w:color w:val="auto"/>
                <w:sz w:val="21"/>
                <w:szCs w:val="21"/>
                <w:highlight w:val="none"/>
              </w:rPr>
              <w:t>（3）污水处理站栅渣</w:t>
            </w:r>
          </w:p>
          <w:p>
            <w:pPr>
              <w:tabs>
                <w:tab w:val="left" w:pos="900"/>
                <w:tab w:val="left" w:pos="1080"/>
              </w:tabs>
              <w:spacing w:line="360" w:lineRule="auto"/>
              <w:ind w:firstLine="480"/>
              <w:rPr>
                <w:color w:val="auto"/>
                <w:highlight w:val="none"/>
              </w:rPr>
            </w:pPr>
            <w:r>
              <w:rPr>
                <w:rFonts w:hint="eastAsia"/>
                <w:color w:val="auto"/>
                <w:highlight w:val="none"/>
                <w:lang w:val="en-US" w:eastAsia="zh-CN"/>
              </w:rPr>
              <w:t xml:space="preserve">在医疗机构污水处理过程中，大量悬浮在水中的有机、无机污染物和致病菌、病毒、寄生虫卵等沉淀分离出来形成污泥若不妥善消毒处理，任意排放或弃置，同样会污染环境，造成疾病传播和流行。 </w:t>
            </w:r>
          </w:p>
          <w:p>
            <w:pPr>
              <w:tabs>
                <w:tab w:val="left" w:pos="900"/>
                <w:tab w:val="left" w:pos="1080"/>
              </w:tabs>
              <w:spacing w:line="360" w:lineRule="auto"/>
              <w:ind w:firstLine="480"/>
              <w:rPr>
                <w:color w:val="auto"/>
                <w:highlight w:val="none"/>
              </w:rPr>
            </w:pPr>
            <w:r>
              <w:rPr>
                <w:rFonts w:hint="eastAsia"/>
                <w:color w:val="auto"/>
                <w:highlight w:val="none"/>
                <w:lang w:val="en-US" w:eastAsia="zh-CN"/>
              </w:rPr>
              <w:t xml:space="preserve">医院污水站格栅的作用为截留并去除污水中较大颗粒的悬浮物和漂浮物，包括纤维物质（如厕所用纸及其他卫生用品等）、塑料物质（包装材料、薄膜、耳棒等）、粪便、剩余饭菜等。一般城镇污水处理厂格栅间隙为 </w:t>
            </w:r>
            <w:r>
              <w:rPr>
                <w:rFonts w:hint="default"/>
                <w:color w:val="auto"/>
                <w:highlight w:val="none"/>
                <w:lang w:val="en-US" w:eastAsia="zh-CN"/>
              </w:rPr>
              <w:t xml:space="preserve">16~25m </w:t>
            </w:r>
            <w:r>
              <w:rPr>
                <w:rFonts w:hint="eastAsia"/>
                <w:color w:val="auto"/>
                <w:highlight w:val="none"/>
                <w:lang w:val="en-US" w:eastAsia="zh-CN"/>
              </w:rPr>
              <w:t xml:space="preserve">时，栅渣产生量一般为 </w:t>
            </w:r>
            <w:r>
              <w:rPr>
                <w:rFonts w:hint="default"/>
                <w:color w:val="auto"/>
                <w:highlight w:val="none"/>
                <w:lang w:val="en-US" w:eastAsia="zh-CN"/>
              </w:rPr>
              <w:t>0.05~0.1m</w:t>
            </w:r>
            <w:r>
              <w:rPr>
                <w:rFonts w:hint="default"/>
                <w:color w:val="auto"/>
                <w:highlight w:val="none"/>
                <w:vertAlign w:val="superscript"/>
                <w:lang w:val="en-US" w:eastAsia="zh-CN"/>
              </w:rPr>
              <w:t>3</w:t>
            </w:r>
            <w:r>
              <w:rPr>
                <w:rFonts w:hint="default"/>
                <w:color w:val="auto"/>
                <w:highlight w:val="none"/>
                <w:lang w:val="en-US" w:eastAsia="zh-CN"/>
              </w:rPr>
              <w:t xml:space="preserve"> /1000m</w:t>
            </w:r>
            <w:r>
              <w:rPr>
                <w:rFonts w:hint="default"/>
                <w:color w:val="auto"/>
                <w:highlight w:val="none"/>
                <w:vertAlign w:val="superscript"/>
                <w:lang w:val="en-US" w:eastAsia="zh-CN"/>
              </w:rPr>
              <w:t>3</w:t>
            </w:r>
            <w:r>
              <w:rPr>
                <w:rFonts w:hint="default"/>
                <w:color w:val="auto"/>
                <w:highlight w:val="none"/>
                <w:lang w:val="en-US" w:eastAsia="zh-CN"/>
              </w:rPr>
              <w:t>·d</w:t>
            </w:r>
            <w:r>
              <w:rPr>
                <w:rFonts w:hint="eastAsia"/>
                <w:color w:val="auto"/>
                <w:highlight w:val="none"/>
                <w:lang w:val="en-US" w:eastAsia="zh-CN"/>
              </w:rPr>
              <w:t xml:space="preserve">废水，本次环评取 </w:t>
            </w:r>
            <w:r>
              <w:rPr>
                <w:rFonts w:hint="default"/>
                <w:color w:val="auto"/>
                <w:highlight w:val="none"/>
                <w:lang w:val="en-US" w:eastAsia="zh-CN"/>
              </w:rPr>
              <w:t>0.</w:t>
            </w:r>
            <w:r>
              <w:rPr>
                <w:rFonts w:hint="eastAsia"/>
                <w:color w:val="auto"/>
                <w:highlight w:val="none"/>
                <w:lang w:val="en-US" w:eastAsia="zh-CN"/>
              </w:rPr>
              <w:t>1</w:t>
            </w:r>
            <w:r>
              <w:rPr>
                <w:rFonts w:hint="default"/>
                <w:color w:val="auto"/>
                <w:highlight w:val="none"/>
                <w:lang w:val="en-US" w:eastAsia="zh-CN"/>
              </w:rPr>
              <w:t>m</w:t>
            </w:r>
            <w:r>
              <w:rPr>
                <w:rFonts w:hint="default"/>
                <w:color w:val="auto"/>
                <w:highlight w:val="none"/>
                <w:vertAlign w:val="superscript"/>
                <w:lang w:val="en-US" w:eastAsia="zh-CN"/>
              </w:rPr>
              <w:t>3</w:t>
            </w:r>
            <w:r>
              <w:rPr>
                <w:rFonts w:hint="default"/>
                <w:color w:val="auto"/>
                <w:highlight w:val="none"/>
                <w:lang w:val="en-US" w:eastAsia="zh-CN"/>
              </w:rPr>
              <w:t xml:space="preserve"> /1000 m</w:t>
            </w:r>
            <w:r>
              <w:rPr>
                <w:rFonts w:hint="default"/>
                <w:color w:val="auto"/>
                <w:highlight w:val="none"/>
                <w:vertAlign w:val="superscript"/>
                <w:lang w:val="en-US" w:eastAsia="zh-CN"/>
              </w:rPr>
              <w:t>3</w:t>
            </w:r>
            <w:r>
              <w:rPr>
                <w:rFonts w:hint="default"/>
                <w:color w:val="auto"/>
                <w:highlight w:val="none"/>
                <w:lang w:val="en-US" w:eastAsia="zh-CN"/>
              </w:rPr>
              <w:t>·d</w:t>
            </w:r>
            <w:r>
              <w:rPr>
                <w:rFonts w:hint="eastAsia"/>
                <w:color w:val="auto"/>
                <w:highlight w:val="none"/>
                <w:lang w:val="en-US" w:eastAsia="zh-CN"/>
              </w:rPr>
              <w:t>。本项目废水量为58292.36</w:t>
            </w:r>
            <w:r>
              <w:rPr>
                <w:rFonts w:hint="default"/>
                <w:color w:val="auto"/>
                <w:highlight w:val="none"/>
                <w:lang w:val="en-US" w:eastAsia="zh-CN"/>
              </w:rPr>
              <w:t>m</w:t>
            </w:r>
            <w:r>
              <w:rPr>
                <w:rFonts w:hint="default"/>
                <w:color w:val="auto"/>
                <w:highlight w:val="none"/>
                <w:vertAlign w:val="superscript"/>
                <w:lang w:val="en-US" w:eastAsia="zh-CN"/>
              </w:rPr>
              <w:t>3</w:t>
            </w:r>
            <w:r>
              <w:rPr>
                <w:rFonts w:hint="default"/>
                <w:color w:val="auto"/>
                <w:highlight w:val="none"/>
                <w:lang w:val="en-US" w:eastAsia="zh-CN"/>
              </w:rPr>
              <w:t xml:space="preserve"> /a</w:t>
            </w:r>
            <w:r>
              <w:rPr>
                <w:rFonts w:hint="eastAsia"/>
                <w:color w:val="auto"/>
                <w:highlight w:val="none"/>
                <w:lang w:val="en-US" w:eastAsia="zh-CN"/>
              </w:rPr>
              <w:t>（154.32</w:t>
            </w:r>
            <w:r>
              <w:rPr>
                <w:rFonts w:hint="default"/>
                <w:color w:val="auto"/>
                <w:highlight w:val="none"/>
                <w:lang w:val="en-US" w:eastAsia="zh-CN"/>
              </w:rPr>
              <w:t>m</w:t>
            </w:r>
            <w:r>
              <w:rPr>
                <w:rFonts w:hint="default"/>
                <w:color w:val="auto"/>
                <w:highlight w:val="none"/>
                <w:vertAlign w:val="superscript"/>
                <w:lang w:val="en-US" w:eastAsia="zh-CN"/>
              </w:rPr>
              <w:t>3</w:t>
            </w:r>
            <w:r>
              <w:rPr>
                <w:rFonts w:hint="eastAsia"/>
                <w:color w:val="auto"/>
                <w:highlight w:val="none"/>
                <w:lang w:val="en-US" w:eastAsia="zh-CN"/>
              </w:rPr>
              <w:t>/</w:t>
            </w:r>
            <w:r>
              <w:rPr>
                <w:rFonts w:hint="default"/>
                <w:color w:val="auto"/>
                <w:highlight w:val="none"/>
                <w:lang w:val="en-US" w:eastAsia="zh-CN"/>
              </w:rPr>
              <w:t>d</w:t>
            </w:r>
            <w:r>
              <w:rPr>
                <w:rFonts w:hint="eastAsia"/>
                <w:color w:val="auto"/>
                <w:highlight w:val="none"/>
                <w:lang w:val="en-US" w:eastAsia="zh-CN"/>
              </w:rPr>
              <w:t>），则栅渣的产生量为5.63</w:t>
            </w:r>
            <w:r>
              <w:rPr>
                <w:rFonts w:hint="default"/>
                <w:color w:val="auto"/>
                <w:highlight w:val="none"/>
                <w:lang w:val="en-US" w:eastAsia="zh-CN"/>
              </w:rPr>
              <w:t>m</w:t>
            </w:r>
            <w:r>
              <w:rPr>
                <w:rFonts w:hint="default"/>
                <w:color w:val="auto"/>
                <w:highlight w:val="none"/>
                <w:vertAlign w:val="superscript"/>
                <w:lang w:val="en-US" w:eastAsia="zh-CN"/>
              </w:rPr>
              <w:t>3</w:t>
            </w:r>
            <w:r>
              <w:rPr>
                <w:rFonts w:hint="eastAsia"/>
                <w:color w:val="auto"/>
                <w:highlight w:val="none"/>
                <w:lang w:val="en-US" w:eastAsia="zh-CN"/>
              </w:rPr>
              <w:t xml:space="preserve">，栅渣密度约为 </w:t>
            </w:r>
            <w:r>
              <w:rPr>
                <w:rFonts w:hint="default"/>
                <w:color w:val="auto"/>
                <w:highlight w:val="none"/>
                <w:lang w:val="en-US" w:eastAsia="zh-CN"/>
              </w:rPr>
              <w:t>800kg/m</w:t>
            </w:r>
            <w:r>
              <w:rPr>
                <w:rFonts w:hint="default"/>
                <w:color w:val="auto"/>
                <w:highlight w:val="none"/>
                <w:vertAlign w:val="superscript"/>
                <w:lang w:val="en-US" w:eastAsia="zh-CN"/>
              </w:rPr>
              <w:t>3</w:t>
            </w:r>
            <w:r>
              <w:rPr>
                <w:rFonts w:hint="eastAsia"/>
                <w:color w:val="auto"/>
                <w:highlight w:val="none"/>
                <w:lang w:val="en-US" w:eastAsia="zh-CN"/>
              </w:rPr>
              <w:t>，则栅渣产生量约为4.5</w:t>
            </w:r>
            <w:r>
              <w:rPr>
                <w:rFonts w:hint="default"/>
                <w:color w:val="auto"/>
                <w:highlight w:val="none"/>
                <w:lang w:val="en-US" w:eastAsia="zh-CN"/>
              </w:rPr>
              <w:t>t/a</w:t>
            </w:r>
            <w:r>
              <w:rPr>
                <w:rFonts w:hint="eastAsia"/>
                <w:color w:val="auto"/>
                <w:highlight w:val="none"/>
                <w:lang w:val="en-US" w:eastAsia="zh-CN"/>
              </w:rPr>
              <w:t xml:space="preserve">。 </w:t>
            </w:r>
          </w:p>
          <w:p>
            <w:pPr>
              <w:pStyle w:val="62"/>
              <w:ind w:firstLine="420"/>
              <w:rPr>
                <w:color w:val="auto"/>
                <w:sz w:val="21"/>
                <w:szCs w:val="21"/>
                <w:highlight w:val="none"/>
              </w:rPr>
            </w:pPr>
            <w:r>
              <w:rPr>
                <w:color w:val="auto"/>
                <w:sz w:val="21"/>
                <w:szCs w:val="21"/>
                <w:highlight w:val="none"/>
              </w:rPr>
              <w:t>2、一般废物</w:t>
            </w:r>
          </w:p>
          <w:p>
            <w:pPr>
              <w:pStyle w:val="62"/>
              <w:ind w:firstLine="42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）废包装物：</w:t>
            </w:r>
            <w:r>
              <w:rPr>
                <w:color w:val="auto"/>
                <w:sz w:val="21"/>
                <w:szCs w:val="21"/>
                <w:highlight w:val="none"/>
              </w:rPr>
              <w:t>医院运行中会产生部分用于包装医疗器械的废包装材料，主要为纸箱、外包装塑料膜等，产生量约为0.3t/a，废包装材料统一收集暂存于一般固废间，统一外售处置。</w:t>
            </w:r>
          </w:p>
          <w:p>
            <w:pPr>
              <w:pStyle w:val="62"/>
              <w:ind w:firstLine="420"/>
              <w:rPr>
                <w:rFonts w:hint="eastAsia" w:eastAsia="宋体"/>
                <w:color w:val="auto"/>
                <w:sz w:val="21"/>
                <w:szCs w:val="21"/>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）废离子交换树脂：</w:t>
            </w:r>
            <w:r>
              <w:rPr>
                <w:rFonts w:hint="eastAsia"/>
                <w:color w:val="auto"/>
                <w:sz w:val="21"/>
                <w:szCs w:val="21"/>
                <w:highlight w:val="none"/>
                <w:lang w:val="en-US" w:eastAsia="zh-CN"/>
              </w:rPr>
              <w:t>项目纯水制备使用离子交换工艺，设备定期产生</w:t>
            </w:r>
            <w:r>
              <w:rPr>
                <w:rFonts w:hint="eastAsia"/>
                <w:color w:val="auto"/>
                <w:sz w:val="21"/>
                <w:szCs w:val="21"/>
                <w:highlight w:val="none"/>
                <w:lang w:eastAsia="zh-CN"/>
              </w:rPr>
              <w:t>废离子交换树脂，</w:t>
            </w:r>
            <w:r>
              <w:rPr>
                <w:rFonts w:hint="eastAsia"/>
                <w:color w:val="auto"/>
                <w:sz w:val="21"/>
                <w:szCs w:val="21"/>
                <w:highlight w:val="none"/>
                <w:lang w:val="en-US" w:eastAsia="zh-CN"/>
              </w:rPr>
              <w:t>产生量为</w:t>
            </w:r>
            <w:r>
              <w:rPr>
                <w:rFonts w:hint="eastAsia"/>
                <w:color w:val="auto"/>
                <w:sz w:val="21"/>
                <w:szCs w:val="21"/>
                <w:highlight w:val="none"/>
                <w:lang w:eastAsia="zh-CN"/>
              </w:rPr>
              <w:t>0.0</w:t>
            </w:r>
            <w:r>
              <w:rPr>
                <w:rFonts w:hint="eastAsia"/>
                <w:color w:val="auto"/>
                <w:sz w:val="21"/>
                <w:szCs w:val="21"/>
                <w:highlight w:val="none"/>
                <w:lang w:val="en-US" w:eastAsia="zh-CN"/>
              </w:rPr>
              <w:t>2</w:t>
            </w:r>
            <w:r>
              <w:rPr>
                <w:rFonts w:hint="eastAsia"/>
                <w:color w:val="auto"/>
                <w:sz w:val="21"/>
                <w:szCs w:val="21"/>
                <w:highlight w:val="none"/>
                <w:lang w:eastAsia="zh-CN"/>
              </w:rPr>
              <w:t>t/a，由厂家回收再生</w:t>
            </w:r>
          </w:p>
          <w:p>
            <w:pPr>
              <w:pStyle w:val="62"/>
              <w:ind w:firstLine="420"/>
              <w:rPr>
                <w:color w:val="auto"/>
                <w:sz w:val="21"/>
                <w:szCs w:val="21"/>
                <w:highlight w:val="none"/>
              </w:rPr>
            </w:pPr>
            <w:r>
              <w:rPr>
                <w:color w:val="auto"/>
                <w:sz w:val="21"/>
                <w:szCs w:val="21"/>
                <w:highlight w:val="none"/>
              </w:rPr>
              <w:t>3、生活垃圾</w:t>
            </w:r>
          </w:p>
          <w:p>
            <w:pPr>
              <w:pStyle w:val="62"/>
              <w:ind w:firstLine="420"/>
              <w:rPr>
                <w:color w:val="auto"/>
                <w:sz w:val="21"/>
                <w:szCs w:val="21"/>
                <w:highlight w:val="none"/>
              </w:rPr>
            </w:pPr>
            <w:r>
              <w:rPr>
                <w:color w:val="auto"/>
                <w:sz w:val="21"/>
                <w:szCs w:val="21"/>
                <w:highlight w:val="none"/>
              </w:rPr>
              <w:t>生活垃圾来源于医院医护人员及病人日常生活，医护人员及病房常驻人数按照</w:t>
            </w:r>
            <w:r>
              <w:rPr>
                <w:rFonts w:hint="eastAsia"/>
                <w:color w:val="auto"/>
                <w:sz w:val="21"/>
                <w:szCs w:val="21"/>
                <w:highlight w:val="none"/>
                <w:lang w:val="en-US" w:eastAsia="zh-CN"/>
              </w:rPr>
              <w:t>637</w:t>
            </w:r>
            <w:r>
              <w:rPr>
                <w:color w:val="auto"/>
                <w:sz w:val="21"/>
                <w:szCs w:val="21"/>
                <w:highlight w:val="none"/>
              </w:rPr>
              <w:t>人计，年工作365天，生活垃圾产生量按照0.5kg/人天计；门诊人数取</w:t>
            </w:r>
            <w:r>
              <w:rPr>
                <w:rFonts w:hint="eastAsia"/>
                <w:color w:val="auto"/>
                <w:sz w:val="21"/>
                <w:szCs w:val="21"/>
                <w:highlight w:val="none"/>
                <w:lang w:val="en-US" w:eastAsia="zh-CN"/>
              </w:rPr>
              <w:t>120</w:t>
            </w:r>
            <w:r>
              <w:rPr>
                <w:color w:val="auto"/>
                <w:sz w:val="21"/>
                <w:szCs w:val="21"/>
                <w:highlight w:val="none"/>
              </w:rPr>
              <w:t>0人次/d，生活垃圾产生量按照0.2kg/人次计。则生活垃圾产生量为</w:t>
            </w:r>
            <w:r>
              <w:rPr>
                <w:rFonts w:hint="eastAsia"/>
                <w:color w:val="auto"/>
                <w:sz w:val="21"/>
                <w:szCs w:val="21"/>
                <w:highlight w:val="none"/>
                <w:lang w:val="en-US" w:eastAsia="zh-CN"/>
              </w:rPr>
              <w:t>203.85</w:t>
            </w:r>
            <w:r>
              <w:rPr>
                <w:color w:val="auto"/>
                <w:sz w:val="21"/>
                <w:szCs w:val="21"/>
                <w:highlight w:val="none"/>
              </w:rPr>
              <w:t>t/a。生活垃圾由环卫部门定期清运。</w:t>
            </w:r>
          </w:p>
          <w:p>
            <w:pPr>
              <w:pStyle w:val="62"/>
              <w:ind w:firstLine="420"/>
              <w:rPr>
                <w:color w:val="auto"/>
                <w:sz w:val="21"/>
                <w:szCs w:val="21"/>
                <w:highlight w:val="none"/>
              </w:rPr>
            </w:pPr>
            <w:r>
              <w:rPr>
                <w:color w:val="auto"/>
                <w:sz w:val="21"/>
                <w:szCs w:val="21"/>
                <w:highlight w:val="none"/>
              </w:rPr>
              <w:t>综上，本项目固废产生及处置情况见下表所示。</w:t>
            </w:r>
          </w:p>
          <w:p>
            <w:pPr>
              <w:autoSpaceDE w:val="0"/>
              <w:autoSpaceDN w:val="0"/>
              <w:adjustRightInd w:val="0"/>
              <w:snapToGrid w:val="0"/>
              <w:jc w:val="center"/>
              <w:rPr>
                <w:b/>
                <w:bCs/>
                <w:color w:val="auto"/>
                <w:kern w:val="0"/>
                <w:szCs w:val="21"/>
                <w:highlight w:val="none"/>
              </w:rPr>
            </w:pPr>
            <w:r>
              <w:rPr>
                <w:b/>
                <w:bCs/>
                <w:color w:val="auto"/>
                <w:kern w:val="0"/>
                <w:szCs w:val="21"/>
                <w:highlight w:val="none"/>
              </w:rPr>
              <w:t>表4-</w:t>
            </w:r>
            <w:r>
              <w:rPr>
                <w:rFonts w:hint="eastAsia"/>
                <w:b/>
                <w:bCs/>
                <w:color w:val="auto"/>
                <w:kern w:val="0"/>
                <w:szCs w:val="21"/>
                <w:highlight w:val="none"/>
                <w:lang w:val="en-US" w:eastAsia="zh-CN"/>
              </w:rPr>
              <w:t>28</w:t>
            </w:r>
            <w:r>
              <w:rPr>
                <w:b/>
                <w:bCs/>
                <w:color w:val="auto"/>
                <w:kern w:val="0"/>
                <w:szCs w:val="21"/>
                <w:highlight w:val="none"/>
              </w:rPr>
              <w:t xml:space="preserve">  固体废物情况汇总表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872"/>
              <w:gridCol w:w="1436"/>
              <w:gridCol w:w="847"/>
              <w:gridCol w:w="1165"/>
              <w:gridCol w:w="636"/>
              <w:gridCol w:w="1116"/>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auto"/>
                      <w:sz w:val="18"/>
                      <w:szCs w:val="18"/>
                      <w:highlight w:val="none"/>
                    </w:rPr>
                  </w:pPr>
                  <w:r>
                    <w:rPr>
                      <w:color w:val="auto"/>
                      <w:sz w:val="18"/>
                      <w:szCs w:val="18"/>
                      <w:highlight w:val="none"/>
                    </w:rPr>
                    <w:t>名称</w:t>
                  </w:r>
                </w:p>
              </w:tc>
              <w:tc>
                <w:tcPr>
                  <w:tcW w:w="860" w:type="dxa"/>
                  <w:vAlign w:val="center"/>
                </w:tcPr>
                <w:p>
                  <w:pPr>
                    <w:jc w:val="center"/>
                    <w:rPr>
                      <w:color w:val="auto"/>
                      <w:sz w:val="18"/>
                      <w:szCs w:val="18"/>
                      <w:highlight w:val="none"/>
                    </w:rPr>
                  </w:pPr>
                  <w:r>
                    <w:rPr>
                      <w:color w:val="auto"/>
                      <w:sz w:val="18"/>
                      <w:szCs w:val="18"/>
                      <w:highlight w:val="none"/>
                    </w:rPr>
                    <w:t>废物</w:t>
                  </w:r>
                </w:p>
                <w:p>
                  <w:pPr>
                    <w:jc w:val="center"/>
                    <w:rPr>
                      <w:color w:val="auto"/>
                      <w:sz w:val="18"/>
                      <w:szCs w:val="18"/>
                      <w:highlight w:val="none"/>
                    </w:rPr>
                  </w:pPr>
                  <w:r>
                    <w:rPr>
                      <w:color w:val="auto"/>
                      <w:sz w:val="18"/>
                      <w:szCs w:val="18"/>
                      <w:highlight w:val="none"/>
                    </w:rPr>
                    <w:t>类别</w:t>
                  </w:r>
                </w:p>
              </w:tc>
              <w:tc>
                <w:tcPr>
                  <w:tcW w:w="1416" w:type="dxa"/>
                  <w:vAlign w:val="center"/>
                </w:tcPr>
                <w:p>
                  <w:pPr>
                    <w:jc w:val="center"/>
                    <w:rPr>
                      <w:color w:val="auto"/>
                      <w:sz w:val="18"/>
                      <w:szCs w:val="18"/>
                      <w:highlight w:val="none"/>
                    </w:rPr>
                  </w:pPr>
                  <w:r>
                    <w:rPr>
                      <w:color w:val="auto"/>
                      <w:sz w:val="18"/>
                      <w:szCs w:val="18"/>
                      <w:highlight w:val="none"/>
                    </w:rPr>
                    <w:t>危险废物</w:t>
                  </w:r>
                </w:p>
                <w:p>
                  <w:pPr>
                    <w:jc w:val="center"/>
                    <w:rPr>
                      <w:color w:val="auto"/>
                      <w:sz w:val="18"/>
                      <w:szCs w:val="18"/>
                      <w:highlight w:val="none"/>
                    </w:rPr>
                  </w:pPr>
                  <w:r>
                    <w:rPr>
                      <w:color w:val="auto"/>
                      <w:sz w:val="18"/>
                      <w:szCs w:val="18"/>
                      <w:highlight w:val="none"/>
                    </w:rPr>
                    <w:t>代码</w:t>
                  </w:r>
                </w:p>
              </w:tc>
              <w:tc>
                <w:tcPr>
                  <w:tcW w:w="835" w:type="dxa"/>
                  <w:vAlign w:val="center"/>
                </w:tcPr>
                <w:p>
                  <w:pPr>
                    <w:jc w:val="center"/>
                    <w:rPr>
                      <w:color w:val="auto"/>
                      <w:sz w:val="18"/>
                      <w:szCs w:val="18"/>
                      <w:highlight w:val="none"/>
                    </w:rPr>
                  </w:pPr>
                  <w:r>
                    <w:rPr>
                      <w:color w:val="auto"/>
                      <w:sz w:val="18"/>
                      <w:szCs w:val="18"/>
                      <w:highlight w:val="none"/>
                    </w:rPr>
                    <w:t>产生量（t/a）</w:t>
                  </w:r>
                </w:p>
              </w:tc>
              <w:tc>
                <w:tcPr>
                  <w:tcW w:w="1149" w:type="dxa"/>
                  <w:vAlign w:val="center"/>
                </w:tcPr>
                <w:p>
                  <w:pPr>
                    <w:jc w:val="center"/>
                    <w:rPr>
                      <w:color w:val="auto"/>
                      <w:sz w:val="18"/>
                      <w:szCs w:val="18"/>
                      <w:highlight w:val="none"/>
                    </w:rPr>
                  </w:pPr>
                  <w:r>
                    <w:rPr>
                      <w:color w:val="auto"/>
                      <w:sz w:val="18"/>
                      <w:szCs w:val="18"/>
                      <w:highlight w:val="none"/>
                    </w:rPr>
                    <w:t>产生工序</w:t>
                  </w:r>
                </w:p>
              </w:tc>
              <w:tc>
                <w:tcPr>
                  <w:tcW w:w="627" w:type="dxa"/>
                  <w:vAlign w:val="center"/>
                </w:tcPr>
                <w:p>
                  <w:pPr>
                    <w:jc w:val="center"/>
                    <w:rPr>
                      <w:color w:val="auto"/>
                      <w:sz w:val="18"/>
                      <w:szCs w:val="18"/>
                      <w:highlight w:val="none"/>
                    </w:rPr>
                  </w:pPr>
                  <w:r>
                    <w:rPr>
                      <w:color w:val="auto"/>
                      <w:sz w:val="18"/>
                      <w:szCs w:val="18"/>
                      <w:highlight w:val="none"/>
                    </w:rPr>
                    <w:t>形态</w:t>
                  </w:r>
                </w:p>
              </w:tc>
              <w:tc>
                <w:tcPr>
                  <w:tcW w:w="1101" w:type="dxa"/>
                  <w:vAlign w:val="center"/>
                </w:tcPr>
                <w:p>
                  <w:pPr>
                    <w:jc w:val="center"/>
                    <w:rPr>
                      <w:color w:val="auto"/>
                      <w:sz w:val="18"/>
                      <w:szCs w:val="18"/>
                      <w:highlight w:val="none"/>
                    </w:rPr>
                  </w:pPr>
                  <w:r>
                    <w:rPr>
                      <w:color w:val="auto"/>
                      <w:sz w:val="18"/>
                      <w:szCs w:val="18"/>
                      <w:highlight w:val="none"/>
                    </w:rPr>
                    <w:t>主要成分</w:t>
                  </w:r>
                </w:p>
              </w:tc>
              <w:tc>
                <w:tcPr>
                  <w:tcW w:w="1015" w:type="dxa"/>
                  <w:vAlign w:val="center"/>
                </w:tcPr>
                <w:p>
                  <w:pPr>
                    <w:jc w:val="center"/>
                    <w:rPr>
                      <w:color w:val="auto"/>
                      <w:sz w:val="18"/>
                      <w:szCs w:val="18"/>
                      <w:highlight w:val="none"/>
                    </w:rPr>
                  </w:pPr>
                  <w:r>
                    <w:rPr>
                      <w:color w:val="auto"/>
                      <w:sz w:val="18"/>
                      <w:szCs w:val="18"/>
                      <w:highlight w:val="none"/>
                    </w:rPr>
                    <w:t>污染防治</w:t>
                  </w:r>
                </w:p>
                <w:p>
                  <w:pPr>
                    <w:jc w:val="center"/>
                    <w:rPr>
                      <w:color w:val="auto"/>
                      <w:sz w:val="18"/>
                      <w:szCs w:val="18"/>
                      <w:highlight w:val="none"/>
                    </w:rPr>
                  </w:pPr>
                  <w:r>
                    <w:rPr>
                      <w:color w:val="auto"/>
                      <w:sz w:val="18"/>
                      <w:szCs w:val="18"/>
                      <w:highlight w:val="none"/>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auto"/>
                      <w:sz w:val="18"/>
                      <w:szCs w:val="18"/>
                      <w:highlight w:val="none"/>
                    </w:rPr>
                  </w:pPr>
                  <w:r>
                    <w:rPr>
                      <w:color w:val="auto"/>
                      <w:sz w:val="18"/>
                      <w:szCs w:val="18"/>
                      <w:highlight w:val="none"/>
                    </w:rPr>
                    <w:t>医疗废物</w:t>
                  </w:r>
                </w:p>
              </w:tc>
              <w:tc>
                <w:tcPr>
                  <w:tcW w:w="860" w:type="dxa"/>
                  <w:vAlign w:val="center"/>
                </w:tcPr>
                <w:p>
                  <w:pPr>
                    <w:jc w:val="center"/>
                    <w:rPr>
                      <w:color w:val="auto"/>
                      <w:sz w:val="18"/>
                      <w:szCs w:val="18"/>
                      <w:highlight w:val="none"/>
                    </w:rPr>
                  </w:pPr>
                  <w:r>
                    <w:rPr>
                      <w:color w:val="auto"/>
                      <w:sz w:val="18"/>
                      <w:szCs w:val="18"/>
                      <w:highlight w:val="none"/>
                    </w:rPr>
                    <w:t>HW01</w:t>
                  </w:r>
                </w:p>
              </w:tc>
              <w:tc>
                <w:tcPr>
                  <w:tcW w:w="1416" w:type="dxa"/>
                  <w:vAlign w:val="center"/>
                </w:tcPr>
                <w:p>
                  <w:pPr>
                    <w:jc w:val="center"/>
                    <w:rPr>
                      <w:color w:val="auto"/>
                      <w:sz w:val="18"/>
                      <w:szCs w:val="18"/>
                      <w:highlight w:val="none"/>
                    </w:rPr>
                  </w:pPr>
                  <w:r>
                    <w:rPr>
                      <w:color w:val="auto"/>
                      <w:sz w:val="18"/>
                      <w:szCs w:val="18"/>
                      <w:highlight w:val="none"/>
                    </w:rPr>
                    <w:t>841-001-01</w:t>
                  </w:r>
                </w:p>
                <w:p>
                  <w:pPr>
                    <w:jc w:val="center"/>
                    <w:rPr>
                      <w:color w:val="auto"/>
                      <w:sz w:val="18"/>
                      <w:szCs w:val="18"/>
                      <w:highlight w:val="none"/>
                    </w:rPr>
                  </w:pPr>
                  <w:r>
                    <w:rPr>
                      <w:color w:val="auto"/>
                      <w:sz w:val="18"/>
                      <w:szCs w:val="18"/>
                      <w:highlight w:val="none"/>
                    </w:rPr>
                    <w:t>841-002-01</w:t>
                  </w:r>
                </w:p>
                <w:p>
                  <w:pPr>
                    <w:jc w:val="center"/>
                    <w:rPr>
                      <w:color w:val="auto"/>
                      <w:sz w:val="18"/>
                      <w:szCs w:val="18"/>
                      <w:highlight w:val="none"/>
                    </w:rPr>
                  </w:pPr>
                  <w:r>
                    <w:rPr>
                      <w:color w:val="auto"/>
                      <w:sz w:val="18"/>
                      <w:szCs w:val="18"/>
                      <w:highlight w:val="none"/>
                    </w:rPr>
                    <w:t>841-003-01</w:t>
                  </w:r>
                </w:p>
                <w:p>
                  <w:pPr>
                    <w:jc w:val="center"/>
                    <w:rPr>
                      <w:color w:val="auto"/>
                      <w:sz w:val="18"/>
                      <w:szCs w:val="18"/>
                      <w:highlight w:val="none"/>
                    </w:rPr>
                  </w:pPr>
                  <w:r>
                    <w:rPr>
                      <w:color w:val="auto"/>
                      <w:sz w:val="18"/>
                      <w:szCs w:val="18"/>
                      <w:highlight w:val="none"/>
                    </w:rPr>
                    <w:t>841-004-01</w:t>
                  </w:r>
                </w:p>
                <w:p>
                  <w:pPr>
                    <w:jc w:val="center"/>
                    <w:rPr>
                      <w:color w:val="auto"/>
                      <w:sz w:val="18"/>
                      <w:szCs w:val="18"/>
                      <w:highlight w:val="none"/>
                    </w:rPr>
                  </w:pPr>
                  <w:r>
                    <w:rPr>
                      <w:color w:val="auto"/>
                      <w:sz w:val="18"/>
                      <w:szCs w:val="18"/>
                      <w:highlight w:val="none"/>
                    </w:rPr>
                    <w:t>841-005-01</w:t>
                  </w:r>
                </w:p>
              </w:tc>
              <w:tc>
                <w:tcPr>
                  <w:tcW w:w="835"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76.83</w:t>
                  </w:r>
                </w:p>
              </w:tc>
              <w:tc>
                <w:tcPr>
                  <w:tcW w:w="1149" w:type="dxa"/>
                  <w:vAlign w:val="center"/>
                </w:tcPr>
                <w:p>
                  <w:pPr>
                    <w:jc w:val="center"/>
                    <w:rPr>
                      <w:color w:val="auto"/>
                      <w:sz w:val="18"/>
                      <w:szCs w:val="18"/>
                      <w:highlight w:val="none"/>
                    </w:rPr>
                  </w:pPr>
                  <w:r>
                    <w:rPr>
                      <w:color w:val="auto"/>
                      <w:sz w:val="18"/>
                      <w:szCs w:val="18"/>
                      <w:highlight w:val="none"/>
                    </w:rPr>
                    <w:t>医疗过程</w:t>
                  </w:r>
                </w:p>
              </w:tc>
              <w:tc>
                <w:tcPr>
                  <w:tcW w:w="627" w:type="dxa"/>
                  <w:vAlign w:val="center"/>
                </w:tcPr>
                <w:p>
                  <w:pPr>
                    <w:jc w:val="center"/>
                    <w:rPr>
                      <w:color w:val="auto"/>
                      <w:sz w:val="18"/>
                      <w:szCs w:val="18"/>
                      <w:highlight w:val="none"/>
                    </w:rPr>
                  </w:pPr>
                  <w:r>
                    <w:rPr>
                      <w:color w:val="auto"/>
                      <w:sz w:val="18"/>
                      <w:szCs w:val="18"/>
                      <w:highlight w:val="none"/>
                    </w:rPr>
                    <w:t>液、固态</w:t>
                  </w:r>
                </w:p>
              </w:tc>
              <w:tc>
                <w:tcPr>
                  <w:tcW w:w="1101" w:type="dxa"/>
                  <w:vAlign w:val="center"/>
                </w:tcPr>
                <w:p>
                  <w:pPr>
                    <w:jc w:val="center"/>
                    <w:rPr>
                      <w:color w:val="auto"/>
                      <w:sz w:val="18"/>
                      <w:szCs w:val="18"/>
                      <w:highlight w:val="none"/>
                    </w:rPr>
                  </w:pPr>
                  <w:r>
                    <w:rPr>
                      <w:color w:val="auto"/>
                      <w:sz w:val="18"/>
                      <w:szCs w:val="18"/>
                      <w:highlight w:val="none"/>
                    </w:rPr>
                    <w:t>见表4-16</w:t>
                  </w:r>
                </w:p>
              </w:tc>
              <w:tc>
                <w:tcPr>
                  <w:tcW w:w="1015" w:type="dxa"/>
                  <w:vAlign w:val="center"/>
                </w:tcPr>
                <w:p>
                  <w:pPr>
                    <w:jc w:val="center"/>
                    <w:rPr>
                      <w:color w:val="auto"/>
                      <w:sz w:val="18"/>
                      <w:szCs w:val="18"/>
                      <w:highlight w:val="none"/>
                    </w:rPr>
                  </w:pPr>
                  <w:r>
                    <w:rPr>
                      <w:color w:val="auto"/>
                      <w:sz w:val="18"/>
                      <w:szCs w:val="18"/>
                      <w:highlight w:val="none"/>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68" w:type="dxa"/>
                  <w:vAlign w:val="center"/>
                </w:tcPr>
                <w:p>
                  <w:pPr>
                    <w:jc w:val="center"/>
                    <w:rPr>
                      <w:color w:val="auto"/>
                      <w:sz w:val="18"/>
                      <w:szCs w:val="18"/>
                      <w:highlight w:val="none"/>
                    </w:rPr>
                  </w:pPr>
                  <w:r>
                    <w:rPr>
                      <w:color w:val="auto"/>
                      <w:sz w:val="18"/>
                      <w:szCs w:val="18"/>
                      <w:highlight w:val="none"/>
                    </w:rPr>
                    <w:t>污水处理站污泥</w:t>
                  </w:r>
                </w:p>
              </w:tc>
              <w:tc>
                <w:tcPr>
                  <w:tcW w:w="860" w:type="dxa"/>
                  <w:vAlign w:val="center"/>
                </w:tcPr>
                <w:p>
                  <w:pPr>
                    <w:jc w:val="center"/>
                    <w:rPr>
                      <w:color w:val="auto"/>
                      <w:sz w:val="18"/>
                      <w:szCs w:val="18"/>
                      <w:highlight w:val="none"/>
                    </w:rPr>
                  </w:pPr>
                  <w:r>
                    <w:rPr>
                      <w:color w:val="auto"/>
                      <w:sz w:val="18"/>
                      <w:szCs w:val="18"/>
                      <w:highlight w:val="none"/>
                    </w:rPr>
                    <w:t>HW01</w:t>
                  </w:r>
                </w:p>
              </w:tc>
              <w:tc>
                <w:tcPr>
                  <w:tcW w:w="1416" w:type="dxa"/>
                  <w:vAlign w:val="center"/>
                </w:tcPr>
                <w:p>
                  <w:pPr>
                    <w:jc w:val="center"/>
                    <w:rPr>
                      <w:color w:val="auto"/>
                      <w:sz w:val="18"/>
                      <w:szCs w:val="18"/>
                      <w:highlight w:val="none"/>
                    </w:rPr>
                  </w:pPr>
                  <w:r>
                    <w:rPr>
                      <w:color w:val="auto"/>
                      <w:sz w:val="18"/>
                      <w:szCs w:val="18"/>
                      <w:highlight w:val="none"/>
                    </w:rPr>
                    <w:t>841-001-01</w:t>
                  </w:r>
                </w:p>
              </w:tc>
              <w:tc>
                <w:tcPr>
                  <w:tcW w:w="835"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106.27</w:t>
                  </w:r>
                </w:p>
              </w:tc>
              <w:tc>
                <w:tcPr>
                  <w:tcW w:w="1149" w:type="dxa"/>
                  <w:vAlign w:val="center"/>
                </w:tcPr>
                <w:p>
                  <w:pPr>
                    <w:jc w:val="center"/>
                    <w:rPr>
                      <w:color w:val="auto"/>
                      <w:sz w:val="18"/>
                      <w:szCs w:val="18"/>
                      <w:highlight w:val="none"/>
                    </w:rPr>
                  </w:pPr>
                  <w:r>
                    <w:rPr>
                      <w:color w:val="auto"/>
                      <w:sz w:val="18"/>
                      <w:szCs w:val="18"/>
                      <w:highlight w:val="none"/>
                    </w:rPr>
                    <w:t>污水处理</w:t>
                  </w:r>
                </w:p>
              </w:tc>
              <w:tc>
                <w:tcPr>
                  <w:tcW w:w="627" w:type="dxa"/>
                  <w:vAlign w:val="center"/>
                </w:tcPr>
                <w:p>
                  <w:pPr>
                    <w:jc w:val="center"/>
                    <w:rPr>
                      <w:color w:val="auto"/>
                      <w:sz w:val="18"/>
                      <w:szCs w:val="18"/>
                      <w:highlight w:val="none"/>
                    </w:rPr>
                  </w:pPr>
                  <w:r>
                    <w:rPr>
                      <w:color w:val="auto"/>
                      <w:sz w:val="18"/>
                      <w:szCs w:val="18"/>
                      <w:highlight w:val="none"/>
                    </w:rPr>
                    <w:t>固态</w:t>
                  </w:r>
                </w:p>
              </w:tc>
              <w:tc>
                <w:tcPr>
                  <w:tcW w:w="1101" w:type="dxa"/>
                  <w:vAlign w:val="center"/>
                </w:tcPr>
                <w:p>
                  <w:pPr>
                    <w:jc w:val="center"/>
                    <w:rPr>
                      <w:color w:val="auto"/>
                      <w:sz w:val="18"/>
                      <w:szCs w:val="18"/>
                      <w:highlight w:val="none"/>
                    </w:rPr>
                  </w:pPr>
                  <w:r>
                    <w:rPr>
                      <w:color w:val="auto"/>
                      <w:sz w:val="18"/>
                      <w:szCs w:val="18"/>
                      <w:highlight w:val="none"/>
                    </w:rPr>
                    <w:t>污泥</w:t>
                  </w:r>
                </w:p>
              </w:tc>
              <w:tc>
                <w:tcPr>
                  <w:tcW w:w="1015" w:type="dxa"/>
                  <w:vAlign w:val="center"/>
                </w:tcPr>
                <w:p>
                  <w:pPr>
                    <w:jc w:val="center"/>
                    <w:rPr>
                      <w:color w:val="auto"/>
                      <w:sz w:val="18"/>
                      <w:szCs w:val="18"/>
                      <w:highlight w:val="none"/>
                    </w:rPr>
                  </w:pPr>
                  <w:r>
                    <w:rPr>
                      <w:color w:val="auto"/>
                      <w:sz w:val="18"/>
                      <w:szCs w:val="18"/>
                      <w:highlight w:val="none"/>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auto"/>
                      <w:sz w:val="18"/>
                      <w:szCs w:val="18"/>
                      <w:highlight w:val="none"/>
                    </w:rPr>
                  </w:pPr>
                  <w:r>
                    <w:rPr>
                      <w:color w:val="auto"/>
                      <w:sz w:val="18"/>
                      <w:szCs w:val="18"/>
                      <w:highlight w:val="none"/>
                    </w:rPr>
                    <w:t>栅渣</w:t>
                  </w:r>
                </w:p>
              </w:tc>
              <w:tc>
                <w:tcPr>
                  <w:tcW w:w="860" w:type="dxa"/>
                  <w:vAlign w:val="center"/>
                </w:tcPr>
                <w:p>
                  <w:pPr>
                    <w:jc w:val="center"/>
                    <w:rPr>
                      <w:color w:val="auto"/>
                      <w:sz w:val="18"/>
                      <w:szCs w:val="18"/>
                      <w:highlight w:val="none"/>
                    </w:rPr>
                  </w:pPr>
                  <w:r>
                    <w:rPr>
                      <w:color w:val="auto"/>
                      <w:sz w:val="18"/>
                      <w:szCs w:val="18"/>
                      <w:highlight w:val="none"/>
                    </w:rPr>
                    <w:t>HW01</w:t>
                  </w:r>
                </w:p>
              </w:tc>
              <w:tc>
                <w:tcPr>
                  <w:tcW w:w="1416" w:type="dxa"/>
                  <w:vAlign w:val="center"/>
                </w:tcPr>
                <w:p>
                  <w:pPr>
                    <w:jc w:val="center"/>
                    <w:rPr>
                      <w:color w:val="auto"/>
                      <w:sz w:val="18"/>
                      <w:szCs w:val="18"/>
                      <w:highlight w:val="none"/>
                    </w:rPr>
                  </w:pPr>
                  <w:r>
                    <w:rPr>
                      <w:color w:val="auto"/>
                      <w:sz w:val="18"/>
                      <w:szCs w:val="18"/>
                      <w:highlight w:val="none"/>
                    </w:rPr>
                    <w:t>841-001-01</w:t>
                  </w:r>
                </w:p>
              </w:tc>
              <w:tc>
                <w:tcPr>
                  <w:tcW w:w="835"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4.5</w:t>
                  </w:r>
                </w:p>
              </w:tc>
              <w:tc>
                <w:tcPr>
                  <w:tcW w:w="1149" w:type="dxa"/>
                  <w:vAlign w:val="center"/>
                </w:tcPr>
                <w:p>
                  <w:pPr>
                    <w:jc w:val="center"/>
                    <w:rPr>
                      <w:color w:val="auto"/>
                      <w:sz w:val="18"/>
                      <w:szCs w:val="18"/>
                      <w:highlight w:val="none"/>
                    </w:rPr>
                  </w:pPr>
                  <w:r>
                    <w:rPr>
                      <w:color w:val="auto"/>
                      <w:sz w:val="18"/>
                      <w:szCs w:val="18"/>
                      <w:highlight w:val="none"/>
                    </w:rPr>
                    <w:t>污水处理</w:t>
                  </w:r>
                </w:p>
              </w:tc>
              <w:tc>
                <w:tcPr>
                  <w:tcW w:w="627" w:type="dxa"/>
                  <w:vAlign w:val="center"/>
                </w:tcPr>
                <w:p>
                  <w:pPr>
                    <w:jc w:val="center"/>
                    <w:rPr>
                      <w:color w:val="auto"/>
                      <w:sz w:val="18"/>
                      <w:szCs w:val="18"/>
                      <w:highlight w:val="none"/>
                    </w:rPr>
                  </w:pPr>
                  <w:r>
                    <w:rPr>
                      <w:color w:val="auto"/>
                      <w:sz w:val="18"/>
                      <w:szCs w:val="18"/>
                      <w:highlight w:val="none"/>
                    </w:rPr>
                    <w:t>固态</w:t>
                  </w:r>
                </w:p>
              </w:tc>
              <w:tc>
                <w:tcPr>
                  <w:tcW w:w="1101" w:type="dxa"/>
                  <w:vAlign w:val="center"/>
                </w:tcPr>
                <w:p>
                  <w:pPr>
                    <w:jc w:val="center"/>
                    <w:rPr>
                      <w:color w:val="auto"/>
                      <w:sz w:val="18"/>
                      <w:szCs w:val="18"/>
                      <w:highlight w:val="none"/>
                    </w:rPr>
                  </w:pPr>
                  <w:r>
                    <w:rPr>
                      <w:color w:val="auto"/>
                      <w:sz w:val="18"/>
                      <w:szCs w:val="18"/>
                      <w:highlight w:val="none"/>
                    </w:rPr>
                    <w:t>栅渣</w:t>
                  </w:r>
                </w:p>
              </w:tc>
              <w:tc>
                <w:tcPr>
                  <w:tcW w:w="1015" w:type="dxa"/>
                  <w:vAlign w:val="center"/>
                </w:tcPr>
                <w:p>
                  <w:pPr>
                    <w:jc w:val="center"/>
                    <w:rPr>
                      <w:color w:val="auto"/>
                      <w:sz w:val="18"/>
                      <w:szCs w:val="18"/>
                      <w:highlight w:val="none"/>
                    </w:rPr>
                  </w:pPr>
                  <w:r>
                    <w:rPr>
                      <w:color w:val="auto"/>
                      <w:sz w:val="18"/>
                      <w:szCs w:val="18"/>
                      <w:highlight w:val="none"/>
                    </w:rPr>
                    <w:t>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auto"/>
                      <w:sz w:val="18"/>
                      <w:szCs w:val="18"/>
                      <w:highlight w:val="none"/>
                    </w:rPr>
                  </w:pPr>
                  <w:r>
                    <w:rPr>
                      <w:rFonts w:hint="eastAsia"/>
                      <w:color w:val="auto"/>
                      <w:sz w:val="18"/>
                      <w:szCs w:val="18"/>
                      <w:highlight w:val="none"/>
                      <w:lang w:eastAsia="zh-CN"/>
                    </w:rPr>
                    <w:t>废离子交换树脂</w:t>
                  </w:r>
                </w:p>
              </w:tc>
              <w:tc>
                <w:tcPr>
                  <w:tcW w:w="860" w:type="dxa"/>
                  <w:vAlign w:val="center"/>
                </w:tcPr>
                <w:p>
                  <w:pPr>
                    <w:jc w:val="center"/>
                    <w:rPr>
                      <w:color w:val="auto"/>
                      <w:sz w:val="18"/>
                      <w:szCs w:val="18"/>
                      <w:highlight w:val="none"/>
                    </w:rPr>
                  </w:pPr>
                  <w:r>
                    <w:rPr>
                      <w:color w:val="auto"/>
                      <w:sz w:val="18"/>
                      <w:szCs w:val="18"/>
                      <w:highlight w:val="none"/>
                    </w:rPr>
                    <w:t>/</w:t>
                  </w:r>
                </w:p>
              </w:tc>
              <w:tc>
                <w:tcPr>
                  <w:tcW w:w="1416" w:type="dxa"/>
                  <w:vAlign w:val="center"/>
                </w:tcPr>
                <w:p>
                  <w:pPr>
                    <w:jc w:val="center"/>
                    <w:rPr>
                      <w:color w:val="auto"/>
                      <w:sz w:val="18"/>
                      <w:szCs w:val="18"/>
                      <w:highlight w:val="none"/>
                    </w:rPr>
                  </w:pPr>
                  <w:r>
                    <w:rPr>
                      <w:color w:val="auto"/>
                      <w:sz w:val="18"/>
                      <w:szCs w:val="18"/>
                      <w:highlight w:val="none"/>
                    </w:rPr>
                    <w:t>/</w:t>
                  </w:r>
                </w:p>
              </w:tc>
              <w:tc>
                <w:tcPr>
                  <w:tcW w:w="835" w:type="dxa"/>
                  <w:vAlign w:val="center"/>
                </w:tcPr>
                <w:p>
                  <w:pPr>
                    <w:jc w:val="center"/>
                    <w:rPr>
                      <w:rFonts w:hint="default"/>
                      <w:color w:val="auto"/>
                      <w:sz w:val="18"/>
                      <w:szCs w:val="18"/>
                      <w:highlight w:val="none"/>
                      <w:lang w:val="en-US" w:eastAsia="zh-CN"/>
                    </w:rPr>
                  </w:pPr>
                  <w:r>
                    <w:rPr>
                      <w:rFonts w:hint="eastAsia"/>
                      <w:color w:val="auto"/>
                      <w:sz w:val="18"/>
                      <w:szCs w:val="18"/>
                      <w:highlight w:val="none"/>
                      <w:lang w:val="en-US" w:eastAsia="zh-CN"/>
                    </w:rPr>
                    <w:t>0.02</w:t>
                  </w:r>
                </w:p>
              </w:tc>
              <w:tc>
                <w:tcPr>
                  <w:tcW w:w="1149" w:type="dxa"/>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纯水制备</w:t>
                  </w:r>
                </w:p>
              </w:tc>
              <w:tc>
                <w:tcPr>
                  <w:tcW w:w="627" w:type="dxa"/>
                  <w:vAlign w:val="center"/>
                </w:tcPr>
                <w:p>
                  <w:pPr>
                    <w:jc w:val="center"/>
                    <w:rPr>
                      <w:color w:val="auto"/>
                      <w:sz w:val="18"/>
                      <w:szCs w:val="18"/>
                      <w:highlight w:val="none"/>
                    </w:rPr>
                  </w:pPr>
                  <w:r>
                    <w:rPr>
                      <w:color w:val="auto"/>
                      <w:sz w:val="18"/>
                      <w:szCs w:val="18"/>
                      <w:highlight w:val="none"/>
                    </w:rPr>
                    <w:t>固态</w:t>
                  </w:r>
                </w:p>
              </w:tc>
              <w:tc>
                <w:tcPr>
                  <w:tcW w:w="1101" w:type="dxa"/>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树脂</w:t>
                  </w:r>
                </w:p>
              </w:tc>
              <w:tc>
                <w:tcPr>
                  <w:tcW w:w="1015" w:type="dxa"/>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auto"/>
                      <w:sz w:val="18"/>
                      <w:szCs w:val="18"/>
                      <w:highlight w:val="none"/>
                    </w:rPr>
                  </w:pPr>
                  <w:r>
                    <w:rPr>
                      <w:color w:val="auto"/>
                      <w:sz w:val="18"/>
                      <w:szCs w:val="18"/>
                      <w:highlight w:val="none"/>
                    </w:rPr>
                    <w:t>废包装物</w:t>
                  </w:r>
                </w:p>
              </w:tc>
              <w:tc>
                <w:tcPr>
                  <w:tcW w:w="860" w:type="dxa"/>
                  <w:vAlign w:val="center"/>
                </w:tcPr>
                <w:p>
                  <w:pPr>
                    <w:jc w:val="center"/>
                    <w:rPr>
                      <w:color w:val="auto"/>
                      <w:sz w:val="18"/>
                      <w:szCs w:val="18"/>
                      <w:highlight w:val="none"/>
                    </w:rPr>
                  </w:pPr>
                  <w:r>
                    <w:rPr>
                      <w:color w:val="auto"/>
                      <w:sz w:val="18"/>
                      <w:szCs w:val="18"/>
                      <w:highlight w:val="none"/>
                    </w:rPr>
                    <w:t>/</w:t>
                  </w:r>
                </w:p>
              </w:tc>
              <w:tc>
                <w:tcPr>
                  <w:tcW w:w="1416" w:type="dxa"/>
                  <w:vAlign w:val="center"/>
                </w:tcPr>
                <w:p>
                  <w:pPr>
                    <w:jc w:val="center"/>
                    <w:rPr>
                      <w:color w:val="auto"/>
                      <w:sz w:val="18"/>
                      <w:szCs w:val="18"/>
                      <w:highlight w:val="none"/>
                    </w:rPr>
                  </w:pPr>
                  <w:r>
                    <w:rPr>
                      <w:color w:val="auto"/>
                      <w:sz w:val="18"/>
                      <w:szCs w:val="18"/>
                      <w:highlight w:val="none"/>
                    </w:rPr>
                    <w:t>/</w:t>
                  </w:r>
                </w:p>
              </w:tc>
              <w:tc>
                <w:tcPr>
                  <w:tcW w:w="835"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0.3</w:t>
                  </w:r>
                </w:p>
              </w:tc>
              <w:tc>
                <w:tcPr>
                  <w:tcW w:w="1149" w:type="dxa"/>
                  <w:vAlign w:val="center"/>
                </w:tcPr>
                <w:p>
                  <w:pPr>
                    <w:jc w:val="center"/>
                    <w:rPr>
                      <w:color w:val="auto"/>
                      <w:sz w:val="18"/>
                      <w:szCs w:val="18"/>
                      <w:highlight w:val="none"/>
                    </w:rPr>
                  </w:pPr>
                  <w:r>
                    <w:rPr>
                      <w:color w:val="auto"/>
                      <w:sz w:val="18"/>
                      <w:szCs w:val="18"/>
                      <w:highlight w:val="none"/>
                    </w:rPr>
                    <w:t>医疗过程</w:t>
                  </w:r>
                </w:p>
              </w:tc>
              <w:tc>
                <w:tcPr>
                  <w:tcW w:w="627" w:type="dxa"/>
                  <w:vAlign w:val="center"/>
                </w:tcPr>
                <w:p>
                  <w:pPr>
                    <w:jc w:val="center"/>
                    <w:rPr>
                      <w:color w:val="auto"/>
                      <w:sz w:val="18"/>
                      <w:szCs w:val="18"/>
                      <w:highlight w:val="none"/>
                    </w:rPr>
                  </w:pPr>
                  <w:r>
                    <w:rPr>
                      <w:color w:val="auto"/>
                      <w:sz w:val="18"/>
                      <w:szCs w:val="18"/>
                      <w:highlight w:val="none"/>
                    </w:rPr>
                    <w:t>固态</w:t>
                  </w:r>
                </w:p>
              </w:tc>
              <w:tc>
                <w:tcPr>
                  <w:tcW w:w="1101" w:type="dxa"/>
                  <w:vAlign w:val="center"/>
                </w:tcPr>
                <w:p>
                  <w:pPr>
                    <w:jc w:val="center"/>
                    <w:rPr>
                      <w:color w:val="auto"/>
                      <w:sz w:val="18"/>
                      <w:szCs w:val="18"/>
                      <w:highlight w:val="none"/>
                    </w:rPr>
                  </w:pPr>
                  <w:r>
                    <w:rPr>
                      <w:color w:val="auto"/>
                      <w:sz w:val="18"/>
                      <w:szCs w:val="18"/>
                      <w:highlight w:val="none"/>
                    </w:rPr>
                    <w:t>纸箱、外包装塑料膜等</w:t>
                  </w:r>
                </w:p>
              </w:tc>
              <w:tc>
                <w:tcPr>
                  <w:tcW w:w="1015" w:type="dxa"/>
                  <w:vAlign w:val="center"/>
                </w:tcPr>
                <w:p>
                  <w:pPr>
                    <w:jc w:val="center"/>
                    <w:rPr>
                      <w:color w:val="auto"/>
                      <w:sz w:val="18"/>
                      <w:szCs w:val="18"/>
                      <w:highlight w:val="none"/>
                    </w:rPr>
                  </w:pPr>
                  <w:r>
                    <w:rPr>
                      <w:color w:val="auto"/>
                      <w:sz w:val="18"/>
                      <w:szCs w:val="18"/>
                      <w:highlight w:val="none"/>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8" w:type="dxa"/>
                  <w:vAlign w:val="center"/>
                </w:tcPr>
                <w:p>
                  <w:pPr>
                    <w:jc w:val="center"/>
                    <w:rPr>
                      <w:color w:val="auto"/>
                      <w:sz w:val="18"/>
                      <w:szCs w:val="18"/>
                      <w:highlight w:val="none"/>
                    </w:rPr>
                  </w:pPr>
                  <w:r>
                    <w:rPr>
                      <w:color w:val="auto"/>
                      <w:sz w:val="18"/>
                      <w:szCs w:val="18"/>
                      <w:highlight w:val="none"/>
                    </w:rPr>
                    <w:t>生活垃圾</w:t>
                  </w:r>
                </w:p>
              </w:tc>
              <w:tc>
                <w:tcPr>
                  <w:tcW w:w="860" w:type="dxa"/>
                  <w:vAlign w:val="center"/>
                </w:tcPr>
                <w:p>
                  <w:pPr>
                    <w:jc w:val="center"/>
                    <w:rPr>
                      <w:color w:val="auto"/>
                      <w:sz w:val="18"/>
                      <w:szCs w:val="18"/>
                      <w:highlight w:val="none"/>
                    </w:rPr>
                  </w:pPr>
                  <w:r>
                    <w:rPr>
                      <w:color w:val="auto"/>
                      <w:sz w:val="18"/>
                      <w:szCs w:val="18"/>
                      <w:highlight w:val="none"/>
                    </w:rPr>
                    <w:t>/</w:t>
                  </w:r>
                </w:p>
              </w:tc>
              <w:tc>
                <w:tcPr>
                  <w:tcW w:w="1416" w:type="dxa"/>
                  <w:vAlign w:val="center"/>
                </w:tcPr>
                <w:p>
                  <w:pPr>
                    <w:jc w:val="center"/>
                    <w:rPr>
                      <w:color w:val="auto"/>
                      <w:sz w:val="18"/>
                      <w:szCs w:val="18"/>
                      <w:highlight w:val="none"/>
                    </w:rPr>
                  </w:pPr>
                  <w:r>
                    <w:rPr>
                      <w:color w:val="auto"/>
                      <w:sz w:val="18"/>
                      <w:szCs w:val="18"/>
                      <w:highlight w:val="none"/>
                    </w:rPr>
                    <w:t>/</w:t>
                  </w:r>
                </w:p>
              </w:tc>
              <w:tc>
                <w:tcPr>
                  <w:tcW w:w="835"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203.85</w:t>
                  </w:r>
                </w:p>
              </w:tc>
              <w:tc>
                <w:tcPr>
                  <w:tcW w:w="1149" w:type="dxa"/>
                  <w:vAlign w:val="center"/>
                </w:tcPr>
                <w:p>
                  <w:pPr>
                    <w:jc w:val="center"/>
                    <w:rPr>
                      <w:color w:val="auto"/>
                      <w:sz w:val="18"/>
                      <w:szCs w:val="18"/>
                      <w:highlight w:val="none"/>
                    </w:rPr>
                  </w:pPr>
                  <w:r>
                    <w:rPr>
                      <w:color w:val="auto"/>
                      <w:sz w:val="18"/>
                      <w:szCs w:val="18"/>
                      <w:highlight w:val="none"/>
                    </w:rPr>
                    <w:t>人员生活</w:t>
                  </w:r>
                </w:p>
              </w:tc>
              <w:tc>
                <w:tcPr>
                  <w:tcW w:w="627" w:type="dxa"/>
                  <w:vAlign w:val="center"/>
                </w:tcPr>
                <w:p>
                  <w:pPr>
                    <w:jc w:val="center"/>
                    <w:rPr>
                      <w:color w:val="auto"/>
                      <w:sz w:val="18"/>
                      <w:szCs w:val="18"/>
                      <w:highlight w:val="none"/>
                    </w:rPr>
                  </w:pPr>
                  <w:r>
                    <w:rPr>
                      <w:color w:val="auto"/>
                      <w:sz w:val="18"/>
                      <w:szCs w:val="18"/>
                      <w:highlight w:val="none"/>
                    </w:rPr>
                    <w:t>固态</w:t>
                  </w:r>
                </w:p>
              </w:tc>
              <w:tc>
                <w:tcPr>
                  <w:tcW w:w="1101" w:type="dxa"/>
                  <w:vAlign w:val="center"/>
                </w:tcPr>
                <w:p>
                  <w:pPr>
                    <w:jc w:val="center"/>
                    <w:rPr>
                      <w:color w:val="auto"/>
                      <w:sz w:val="18"/>
                      <w:szCs w:val="18"/>
                      <w:highlight w:val="none"/>
                    </w:rPr>
                  </w:pPr>
                  <w:r>
                    <w:rPr>
                      <w:color w:val="auto"/>
                      <w:sz w:val="18"/>
                      <w:szCs w:val="18"/>
                      <w:highlight w:val="none"/>
                    </w:rPr>
                    <w:t>果皮纸屑</w:t>
                  </w:r>
                </w:p>
              </w:tc>
              <w:tc>
                <w:tcPr>
                  <w:tcW w:w="1015" w:type="dxa"/>
                  <w:vAlign w:val="center"/>
                </w:tcPr>
                <w:p>
                  <w:pPr>
                    <w:jc w:val="center"/>
                    <w:rPr>
                      <w:color w:val="auto"/>
                      <w:sz w:val="18"/>
                      <w:szCs w:val="18"/>
                      <w:highlight w:val="none"/>
                    </w:rPr>
                  </w:pPr>
                  <w:r>
                    <w:rPr>
                      <w:color w:val="auto"/>
                      <w:sz w:val="18"/>
                      <w:szCs w:val="18"/>
                      <w:highlight w:val="none"/>
                    </w:rPr>
                    <w:t>环卫部门定期清运</w:t>
                  </w:r>
                </w:p>
              </w:tc>
            </w:tr>
          </w:tbl>
          <w:p>
            <w:pPr>
              <w:autoSpaceDE w:val="0"/>
              <w:autoSpaceDN w:val="0"/>
              <w:adjustRightInd w:val="0"/>
              <w:snapToGrid w:val="0"/>
              <w:jc w:val="center"/>
              <w:rPr>
                <w:b/>
                <w:bCs/>
                <w:color w:val="auto"/>
                <w:kern w:val="0"/>
                <w:szCs w:val="21"/>
                <w:highlight w:val="none"/>
              </w:rPr>
            </w:pPr>
            <w:r>
              <w:rPr>
                <w:b/>
                <w:bCs/>
                <w:color w:val="auto"/>
                <w:kern w:val="0"/>
                <w:szCs w:val="21"/>
                <w:highlight w:val="none"/>
              </w:rPr>
              <w:t>表4-</w:t>
            </w:r>
            <w:r>
              <w:rPr>
                <w:rFonts w:hint="eastAsia"/>
                <w:b/>
                <w:bCs/>
                <w:color w:val="auto"/>
                <w:kern w:val="0"/>
                <w:szCs w:val="21"/>
                <w:highlight w:val="none"/>
                <w:lang w:val="en-US" w:eastAsia="zh-CN"/>
              </w:rPr>
              <w:t>29</w:t>
            </w:r>
            <w:r>
              <w:rPr>
                <w:b/>
                <w:bCs/>
                <w:color w:val="auto"/>
                <w:kern w:val="0"/>
                <w:szCs w:val="21"/>
                <w:highlight w:val="none"/>
              </w:rPr>
              <w:t xml:space="preserve">  危险固废产生与处置情况</w:t>
            </w:r>
          </w:p>
          <w:tbl>
            <w:tblPr>
              <w:tblStyle w:val="27"/>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5"/>
              <w:gridCol w:w="1246"/>
              <w:gridCol w:w="812"/>
              <w:gridCol w:w="653"/>
              <w:gridCol w:w="584"/>
              <w:gridCol w:w="643"/>
              <w:gridCol w:w="512"/>
              <w:gridCol w:w="990"/>
              <w:gridCol w:w="467"/>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pPr>
                    <w:jc w:val="center"/>
                    <w:rPr>
                      <w:color w:val="auto"/>
                      <w:sz w:val="18"/>
                      <w:szCs w:val="18"/>
                      <w:highlight w:val="none"/>
                    </w:rPr>
                  </w:pPr>
                  <w:r>
                    <w:rPr>
                      <w:color w:val="auto"/>
                      <w:sz w:val="18"/>
                      <w:szCs w:val="18"/>
                      <w:highlight w:val="none"/>
                    </w:rPr>
                    <w:t>危险废物名称</w:t>
                  </w:r>
                </w:p>
              </w:tc>
              <w:tc>
                <w:tcPr>
                  <w:tcW w:w="421" w:type="pct"/>
                  <w:vAlign w:val="center"/>
                </w:tcPr>
                <w:p>
                  <w:pPr>
                    <w:jc w:val="center"/>
                    <w:rPr>
                      <w:color w:val="auto"/>
                      <w:sz w:val="18"/>
                      <w:szCs w:val="18"/>
                      <w:highlight w:val="none"/>
                    </w:rPr>
                  </w:pPr>
                  <w:r>
                    <w:rPr>
                      <w:color w:val="auto"/>
                      <w:sz w:val="18"/>
                      <w:szCs w:val="18"/>
                      <w:highlight w:val="none"/>
                    </w:rPr>
                    <w:t>危险废物类别</w:t>
                  </w:r>
                </w:p>
              </w:tc>
              <w:tc>
                <w:tcPr>
                  <w:tcW w:w="744" w:type="pct"/>
                  <w:vAlign w:val="center"/>
                </w:tcPr>
                <w:p>
                  <w:pPr>
                    <w:jc w:val="center"/>
                    <w:rPr>
                      <w:color w:val="auto"/>
                      <w:sz w:val="18"/>
                      <w:szCs w:val="18"/>
                      <w:highlight w:val="none"/>
                    </w:rPr>
                  </w:pPr>
                  <w:r>
                    <w:rPr>
                      <w:color w:val="auto"/>
                      <w:sz w:val="18"/>
                      <w:szCs w:val="18"/>
                      <w:highlight w:val="none"/>
                    </w:rPr>
                    <w:t>危险废物代码</w:t>
                  </w:r>
                </w:p>
              </w:tc>
              <w:tc>
                <w:tcPr>
                  <w:tcW w:w="485" w:type="pct"/>
                  <w:vAlign w:val="center"/>
                </w:tcPr>
                <w:p>
                  <w:pPr>
                    <w:jc w:val="center"/>
                    <w:rPr>
                      <w:color w:val="auto"/>
                      <w:sz w:val="18"/>
                      <w:szCs w:val="18"/>
                      <w:highlight w:val="none"/>
                    </w:rPr>
                  </w:pPr>
                  <w:r>
                    <w:rPr>
                      <w:color w:val="auto"/>
                      <w:sz w:val="18"/>
                      <w:szCs w:val="18"/>
                      <w:highlight w:val="none"/>
                    </w:rPr>
                    <w:t>产生量（t/a）</w:t>
                  </w:r>
                </w:p>
              </w:tc>
              <w:tc>
                <w:tcPr>
                  <w:tcW w:w="390" w:type="pct"/>
                  <w:vAlign w:val="center"/>
                </w:tcPr>
                <w:p>
                  <w:pPr>
                    <w:jc w:val="center"/>
                    <w:rPr>
                      <w:color w:val="auto"/>
                      <w:sz w:val="18"/>
                      <w:szCs w:val="18"/>
                      <w:highlight w:val="none"/>
                    </w:rPr>
                  </w:pPr>
                  <w:r>
                    <w:rPr>
                      <w:color w:val="auto"/>
                      <w:sz w:val="18"/>
                      <w:szCs w:val="18"/>
                      <w:highlight w:val="none"/>
                    </w:rPr>
                    <w:t>产生工序及装置</w:t>
                  </w:r>
                </w:p>
              </w:tc>
              <w:tc>
                <w:tcPr>
                  <w:tcW w:w="349" w:type="pct"/>
                  <w:vAlign w:val="center"/>
                </w:tcPr>
                <w:p>
                  <w:pPr>
                    <w:jc w:val="center"/>
                    <w:rPr>
                      <w:color w:val="auto"/>
                      <w:sz w:val="18"/>
                      <w:szCs w:val="18"/>
                      <w:highlight w:val="none"/>
                    </w:rPr>
                  </w:pPr>
                  <w:r>
                    <w:rPr>
                      <w:color w:val="auto"/>
                      <w:sz w:val="18"/>
                      <w:szCs w:val="18"/>
                      <w:highlight w:val="none"/>
                    </w:rPr>
                    <w:t>形态</w:t>
                  </w:r>
                </w:p>
              </w:tc>
              <w:tc>
                <w:tcPr>
                  <w:tcW w:w="384" w:type="pct"/>
                  <w:vAlign w:val="center"/>
                </w:tcPr>
                <w:p>
                  <w:pPr>
                    <w:jc w:val="center"/>
                    <w:rPr>
                      <w:color w:val="auto"/>
                      <w:sz w:val="18"/>
                      <w:szCs w:val="18"/>
                      <w:highlight w:val="none"/>
                    </w:rPr>
                  </w:pPr>
                  <w:r>
                    <w:rPr>
                      <w:color w:val="auto"/>
                      <w:sz w:val="18"/>
                      <w:szCs w:val="18"/>
                      <w:highlight w:val="none"/>
                    </w:rPr>
                    <w:t>主要成分</w:t>
                  </w:r>
                </w:p>
              </w:tc>
              <w:tc>
                <w:tcPr>
                  <w:tcW w:w="306" w:type="pct"/>
                  <w:vAlign w:val="center"/>
                </w:tcPr>
                <w:p>
                  <w:pPr>
                    <w:jc w:val="center"/>
                    <w:rPr>
                      <w:color w:val="auto"/>
                      <w:sz w:val="18"/>
                      <w:szCs w:val="18"/>
                      <w:highlight w:val="none"/>
                    </w:rPr>
                  </w:pPr>
                  <w:r>
                    <w:rPr>
                      <w:color w:val="auto"/>
                      <w:sz w:val="18"/>
                      <w:szCs w:val="18"/>
                      <w:highlight w:val="none"/>
                    </w:rPr>
                    <w:t>产废周期</w:t>
                  </w:r>
                </w:p>
              </w:tc>
              <w:tc>
                <w:tcPr>
                  <w:tcW w:w="591" w:type="pct"/>
                  <w:vAlign w:val="center"/>
                </w:tcPr>
                <w:p>
                  <w:pPr>
                    <w:jc w:val="center"/>
                    <w:rPr>
                      <w:color w:val="auto"/>
                      <w:sz w:val="18"/>
                      <w:szCs w:val="18"/>
                      <w:highlight w:val="none"/>
                    </w:rPr>
                  </w:pPr>
                  <w:r>
                    <w:rPr>
                      <w:color w:val="auto"/>
                      <w:sz w:val="18"/>
                      <w:szCs w:val="18"/>
                      <w:highlight w:val="none"/>
                    </w:rPr>
                    <w:t>危险特性</w:t>
                  </w:r>
                </w:p>
              </w:tc>
              <w:tc>
                <w:tcPr>
                  <w:tcW w:w="279" w:type="pct"/>
                  <w:vAlign w:val="center"/>
                </w:tcPr>
                <w:p>
                  <w:pPr>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包装方式</w:t>
                  </w:r>
                </w:p>
              </w:tc>
              <w:tc>
                <w:tcPr>
                  <w:tcW w:w="547" w:type="pct"/>
                  <w:vAlign w:val="center"/>
                </w:tcPr>
                <w:p>
                  <w:pPr>
                    <w:jc w:val="center"/>
                    <w:rPr>
                      <w:color w:val="auto"/>
                      <w:sz w:val="18"/>
                      <w:szCs w:val="18"/>
                      <w:highlight w:val="none"/>
                    </w:rPr>
                  </w:pPr>
                  <w:r>
                    <w:rPr>
                      <w:color w:val="auto"/>
                      <w:sz w:val="18"/>
                      <w:szCs w:val="18"/>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pPr>
                    <w:jc w:val="center"/>
                    <w:rPr>
                      <w:color w:val="auto"/>
                      <w:sz w:val="18"/>
                      <w:szCs w:val="18"/>
                      <w:highlight w:val="none"/>
                    </w:rPr>
                  </w:pPr>
                  <w:r>
                    <w:rPr>
                      <w:color w:val="auto"/>
                      <w:sz w:val="18"/>
                      <w:szCs w:val="18"/>
                      <w:highlight w:val="none"/>
                    </w:rPr>
                    <w:t>医疗废物</w:t>
                  </w:r>
                </w:p>
              </w:tc>
              <w:tc>
                <w:tcPr>
                  <w:tcW w:w="421" w:type="pct"/>
                  <w:vAlign w:val="center"/>
                </w:tcPr>
                <w:p>
                  <w:pPr>
                    <w:jc w:val="center"/>
                    <w:rPr>
                      <w:color w:val="auto"/>
                      <w:sz w:val="18"/>
                      <w:szCs w:val="18"/>
                      <w:highlight w:val="none"/>
                    </w:rPr>
                  </w:pPr>
                  <w:r>
                    <w:rPr>
                      <w:color w:val="auto"/>
                      <w:sz w:val="18"/>
                      <w:szCs w:val="18"/>
                      <w:highlight w:val="none"/>
                    </w:rPr>
                    <w:t>HW01</w:t>
                  </w:r>
                </w:p>
              </w:tc>
              <w:tc>
                <w:tcPr>
                  <w:tcW w:w="744" w:type="pct"/>
                  <w:vAlign w:val="center"/>
                </w:tcPr>
                <w:p>
                  <w:pPr>
                    <w:jc w:val="center"/>
                    <w:rPr>
                      <w:color w:val="auto"/>
                      <w:sz w:val="18"/>
                      <w:szCs w:val="18"/>
                      <w:highlight w:val="none"/>
                    </w:rPr>
                  </w:pPr>
                  <w:r>
                    <w:rPr>
                      <w:color w:val="auto"/>
                      <w:sz w:val="18"/>
                      <w:szCs w:val="18"/>
                      <w:highlight w:val="none"/>
                    </w:rPr>
                    <w:t>841-001-01</w:t>
                  </w:r>
                </w:p>
                <w:p>
                  <w:pPr>
                    <w:jc w:val="center"/>
                    <w:rPr>
                      <w:color w:val="auto"/>
                      <w:sz w:val="18"/>
                      <w:szCs w:val="18"/>
                      <w:highlight w:val="none"/>
                    </w:rPr>
                  </w:pPr>
                  <w:r>
                    <w:rPr>
                      <w:color w:val="auto"/>
                      <w:sz w:val="18"/>
                      <w:szCs w:val="18"/>
                      <w:highlight w:val="none"/>
                    </w:rPr>
                    <w:t>841-002-01</w:t>
                  </w:r>
                </w:p>
                <w:p>
                  <w:pPr>
                    <w:jc w:val="center"/>
                    <w:rPr>
                      <w:color w:val="auto"/>
                      <w:sz w:val="18"/>
                      <w:szCs w:val="18"/>
                      <w:highlight w:val="none"/>
                    </w:rPr>
                  </w:pPr>
                  <w:r>
                    <w:rPr>
                      <w:color w:val="auto"/>
                      <w:sz w:val="18"/>
                      <w:szCs w:val="18"/>
                      <w:highlight w:val="none"/>
                    </w:rPr>
                    <w:t>841-003-01</w:t>
                  </w:r>
                </w:p>
                <w:p>
                  <w:pPr>
                    <w:jc w:val="center"/>
                    <w:rPr>
                      <w:color w:val="auto"/>
                      <w:sz w:val="18"/>
                      <w:szCs w:val="18"/>
                      <w:highlight w:val="none"/>
                    </w:rPr>
                  </w:pPr>
                  <w:r>
                    <w:rPr>
                      <w:color w:val="auto"/>
                      <w:sz w:val="18"/>
                      <w:szCs w:val="18"/>
                      <w:highlight w:val="none"/>
                    </w:rPr>
                    <w:t>841-004-01</w:t>
                  </w:r>
                </w:p>
                <w:p>
                  <w:pPr>
                    <w:jc w:val="center"/>
                    <w:rPr>
                      <w:color w:val="auto"/>
                      <w:sz w:val="18"/>
                      <w:szCs w:val="18"/>
                      <w:highlight w:val="none"/>
                    </w:rPr>
                  </w:pPr>
                  <w:r>
                    <w:rPr>
                      <w:color w:val="auto"/>
                      <w:sz w:val="18"/>
                      <w:szCs w:val="18"/>
                      <w:highlight w:val="none"/>
                    </w:rPr>
                    <w:t>841-005-01</w:t>
                  </w:r>
                </w:p>
              </w:tc>
              <w:tc>
                <w:tcPr>
                  <w:tcW w:w="485" w:type="pct"/>
                  <w:vAlign w:val="center"/>
                </w:tcPr>
                <w:p>
                  <w:pPr>
                    <w:jc w:val="center"/>
                    <w:rPr>
                      <w:rFonts w:hint="eastAsia" w:eastAsia="宋体"/>
                      <w:color w:val="auto"/>
                      <w:sz w:val="18"/>
                      <w:szCs w:val="18"/>
                      <w:highlight w:val="none"/>
                      <w:lang w:eastAsia="zh-CN"/>
                    </w:rPr>
                  </w:pPr>
                  <w:r>
                    <w:rPr>
                      <w:rFonts w:hint="eastAsia"/>
                      <w:color w:val="auto"/>
                      <w:sz w:val="18"/>
                      <w:szCs w:val="18"/>
                      <w:highlight w:val="none"/>
                      <w:lang w:eastAsia="zh-CN"/>
                    </w:rPr>
                    <w:t>76.83</w:t>
                  </w:r>
                </w:p>
              </w:tc>
              <w:tc>
                <w:tcPr>
                  <w:tcW w:w="390" w:type="pct"/>
                  <w:vAlign w:val="center"/>
                </w:tcPr>
                <w:p>
                  <w:pPr>
                    <w:jc w:val="center"/>
                    <w:rPr>
                      <w:color w:val="auto"/>
                      <w:sz w:val="18"/>
                      <w:szCs w:val="18"/>
                      <w:highlight w:val="none"/>
                    </w:rPr>
                  </w:pPr>
                  <w:r>
                    <w:rPr>
                      <w:color w:val="auto"/>
                      <w:sz w:val="18"/>
                      <w:szCs w:val="18"/>
                      <w:highlight w:val="none"/>
                    </w:rPr>
                    <w:t>医疗过程</w:t>
                  </w:r>
                </w:p>
              </w:tc>
              <w:tc>
                <w:tcPr>
                  <w:tcW w:w="349" w:type="pct"/>
                  <w:vAlign w:val="center"/>
                </w:tcPr>
                <w:p>
                  <w:pPr>
                    <w:jc w:val="center"/>
                    <w:rPr>
                      <w:color w:val="auto"/>
                      <w:sz w:val="18"/>
                      <w:szCs w:val="18"/>
                      <w:highlight w:val="none"/>
                    </w:rPr>
                  </w:pPr>
                  <w:r>
                    <w:rPr>
                      <w:color w:val="auto"/>
                      <w:sz w:val="18"/>
                      <w:szCs w:val="18"/>
                      <w:highlight w:val="none"/>
                    </w:rPr>
                    <w:t>液、固态</w:t>
                  </w:r>
                </w:p>
              </w:tc>
              <w:tc>
                <w:tcPr>
                  <w:tcW w:w="384" w:type="pct"/>
                  <w:vAlign w:val="center"/>
                </w:tcPr>
                <w:p>
                  <w:pPr>
                    <w:jc w:val="center"/>
                    <w:rPr>
                      <w:color w:val="auto"/>
                      <w:sz w:val="18"/>
                      <w:szCs w:val="18"/>
                      <w:highlight w:val="none"/>
                    </w:rPr>
                  </w:pPr>
                  <w:r>
                    <w:rPr>
                      <w:color w:val="auto"/>
                      <w:sz w:val="18"/>
                      <w:szCs w:val="18"/>
                      <w:highlight w:val="none"/>
                    </w:rPr>
                    <w:t>废药物、废针头等</w:t>
                  </w:r>
                </w:p>
              </w:tc>
              <w:tc>
                <w:tcPr>
                  <w:tcW w:w="306" w:type="pct"/>
                  <w:vAlign w:val="center"/>
                </w:tcPr>
                <w:p>
                  <w:pPr>
                    <w:jc w:val="center"/>
                    <w:rPr>
                      <w:color w:val="auto"/>
                      <w:sz w:val="18"/>
                      <w:szCs w:val="18"/>
                      <w:highlight w:val="none"/>
                    </w:rPr>
                  </w:pPr>
                  <w:r>
                    <w:rPr>
                      <w:color w:val="auto"/>
                      <w:sz w:val="18"/>
                      <w:szCs w:val="18"/>
                      <w:highlight w:val="none"/>
                    </w:rPr>
                    <w:t>每日</w:t>
                  </w:r>
                </w:p>
              </w:tc>
              <w:tc>
                <w:tcPr>
                  <w:tcW w:w="591" w:type="pct"/>
                  <w:vAlign w:val="center"/>
                </w:tcPr>
                <w:p>
                  <w:pPr>
                    <w:jc w:val="center"/>
                    <w:rPr>
                      <w:color w:val="auto"/>
                      <w:sz w:val="18"/>
                      <w:szCs w:val="18"/>
                      <w:highlight w:val="none"/>
                    </w:rPr>
                  </w:pPr>
                  <w:r>
                    <w:rPr>
                      <w:color w:val="auto"/>
                      <w:sz w:val="18"/>
                      <w:szCs w:val="18"/>
                      <w:highlight w:val="none"/>
                    </w:rPr>
                    <w:t>In/T/C/I/R</w:t>
                  </w:r>
                </w:p>
              </w:tc>
              <w:tc>
                <w:tcPr>
                  <w:tcW w:w="279" w:type="pct"/>
                  <w:vAlign w:val="center"/>
                </w:tcPr>
                <w:p>
                  <w:pPr>
                    <w:jc w:val="center"/>
                    <w:rPr>
                      <w:color w:val="auto"/>
                      <w:sz w:val="18"/>
                      <w:szCs w:val="18"/>
                      <w:highlight w:val="none"/>
                    </w:rPr>
                  </w:pPr>
                  <w:r>
                    <w:rPr>
                      <w:color w:val="auto"/>
                      <w:sz w:val="18"/>
                      <w:szCs w:val="18"/>
                      <w:highlight w:val="none"/>
                    </w:rPr>
                    <w:t>桶装</w:t>
                  </w:r>
                </w:p>
              </w:tc>
              <w:tc>
                <w:tcPr>
                  <w:tcW w:w="547" w:type="pct"/>
                  <w:vMerge w:val="restart"/>
                  <w:vAlign w:val="center"/>
                </w:tcPr>
                <w:p>
                  <w:pPr>
                    <w:jc w:val="center"/>
                    <w:rPr>
                      <w:color w:val="auto"/>
                      <w:sz w:val="18"/>
                      <w:szCs w:val="18"/>
                      <w:highlight w:val="none"/>
                    </w:rPr>
                  </w:pPr>
                  <w:r>
                    <w:rPr>
                      <w:color w:val="auto"/>
                      <w:sz w:val="18"/>
                      <w:szCs w:val="18"/>
                      <w:highlight w:val="none"/>
                    </w:rPr>
                    <w:t>加贴危废标识，存放于危废间，定期委托有资质单位处置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pPr>
                    <w:jc w:val="center"/>
                    <w:rPr>
                      <w:color w:val="auto"/>
                      <w:sz w:val="18"/>
                      <w:szCs w:val="18"/>
                      <w:highlight w:val="none"/>
                    </w:rPr>
                  </w:pPr>
                  <w:r>
                    <w:rPr>
                      <w:color w:val="auto"/>
                      <w:sz w:val="18"/>
                      <w:szCs w:val="18"/>
                      <w:highlight w:val="none"/>
                    </w:rPr>
                    <w:t>污水处理站污泥</w:t>
                  </w:r>
                </w:p>
              </w:tc>
              <w:tc>
                <w:tcPr>
                  <w:tcW w:w="421" w:type="pct"/>
                  <w:vAlign w:val="center"/>
                </w:tcPr>
                <w:p>
                  <w:pPr>
                    <w:jc w:val="center"/>
                    <w:rPr>
                      <w:color w:val="auto"/>
                      <w:sz w:val="18"/>
                      <w:szCs w:val="18"/>
                      <w:highlight w:val="none"/>
                    </w:rPr>
                  </w:pPr>
                  <w:r>
                    <w:rPr>
                      <w:color w:val="auto"/>
                      <w:sz w:val="18"/>
                      <w:szCs w:val="18"/>
                      <w:highlight w:val="none"/>
                    </w:rPr>
                    <w:t>HW01</w:t>
                  </w:r>
                </w:p>
              </w:tc>
              <w:tc>
                <w:tcPr>
                  <w:tcW w:w="744" w:type="pct"/>
                  <w:vAlign w:val="center"/>
                </w:tcPr>
                <w:p>
                  <w:pPr>
                    <w:jc w:val="center"/>
                    <w:rPr>
                      <w:color w:val="auto"/>
                      <w:sz w:val="18"/>
                      <w:szCs w:val="18"/>
                      <w:highlight w:val="none"/>
                    </w:rPr>
                  </w:pPr>
                  <w:r>
                    <w:rPr>
                      <w:color w:val="auto"/>
                      <w:sz w:val="18"/>
                      <w:szCs w:val="18"/>
                      <w:highlight w:val="none"/>
                    </w:rPr>
                    <w:t>841-001-01</w:t>
                  </w:r>
                </w:p>
              </w:tc>
              <w:tc>
                <w:tcPr>
                  <w:tcW w:w="485" w:type="pct"/>
                  <w:vAlign w:val="center"/>
                </w:tcPr>
                <w:p>
                  <w:pPr>
                    <w:jc w:val="center"/>
                    <w:rPr>
                      <w:rFonts w:hint="eastAsia" w:eastAsia="宋体"/>
                      <w:color w:val="auto"/>
                      <w:sz w:val="18"/>
                      <w:szCs w:val="18"/>
                      <w:highlight w:val="none"/>
                      <w:lang w:eastAsia="zh-CN"/>
                    </w:rPr>
                  </w:pPr>
                  <w:r>
                    <w:rPr>
                      <w:rFonts w:hint="eastAsia"/>
                      <w:color w:val="auto"/>
                      <w:sz w:val="18"/>
                      <w:szCs w:val="18"/>
                      <w:highlight w:val="none"/>
                      <w:lang w:eastAsia="zh-CN"/>
                    </w:rPr>
                    <w:t>106.27</w:t>
                  </w:r>
                </w:p>
              </w:tc>
              <w:tc>
                <w:tcPr>
                  <w:tcW w:w="390" w:type="pct"/>
                  <w:vAlign w:val="center"/>
                </w:tcPr>
                <w:p>
                  <w:pPr>
                    <w:jc w:val="center"/>
                    <w:rPr>
                      <w:color w:val="auto"/>
                      <w:sz w:val="18"/>
                      <w:szCs w:val="18"/>
                      <w:highlight w:val="none"/>
                    </w:rPr>
                  </w:pPr>
                  <w:r>
                    <w:rPr>
                      <w:color w:val="auto"/>
                      <w:sz w:val="18"/>
                      <w:szCs w:val="18"/>
                      <w:highlight w:val="none"/>
                    </w:rPr>
                    <w:t>污水处理</w:t>
                  </w:r>
                </w:p>
              </w:tc>
              <w:tc>
                <w:tcPr>
                  <w:tcW w:w="349" w:type="pct"/>
                  <w:vAlign w:val="center"/>
                </w:tcPr>
                <w:p>
                  <w:pPr>
                    <w:jc w:val="center"/>
                    <w:rPr>
                      <w:color w:val="auto"/>
                      <w:sz w:val="18"/>
                      <w:szCs w:val="18"/>
                      <w:highlight w:val="none"/>
                    </w:rPr>
                  </w:pPr>
                  <w:r>
                    <w:rPr>
                      <w:color w:val="auto"/>
                      <w:sz w:val="18"/>
                      <w:szCs w:val="18"/>
                      <w:highlight w:val="none"/>
                    </w:rPr>
                    <w:t>固态</w:t>
                  </w:r>
                </w:p>
              </w:tc>
              <w:tc>
                <w:tcPr>
                  <w:tcW w:w="384" w:type="pct"/>
                  <w:vAlign w:val="center"/>
                </w:tcPr>
                <w:p>
                  <w:pPr>
                    <w:jc w:val="center"/>
                    <w:rPr>
                      <w:color w:val="auto"/>
                      <w:sz w:val="18"/>
                      <w:szCs w:val="18"/>
                      <w:highlight w:val="none"/>
                    </w:rPr>
                  </w:pPr>
                  <w:r>
                    <w:rPr>
                      <w:color w:val="auto"/>
                      <w:sz w:val="18"/>
                      <w:szCs w:val="18"/>
                      <w:highlight w:val="none"/>
                    </w:rPr>
                    <w:t>污泥</w:t>
                  </w:r>
                </w:p>
              </w:tc>
              <w:tc>
                <w:tcPr>
                  <w:tcW w:w="306" w:type="pct"/>
                  <w:vAlign w:val="center"/>
                </w:tcPr>
                <w:p>
                  <w:pPr>
                    <w:jc w:val="center"/>
                    <w:rPr>
                      <w:rFonts w:hint="eastAsia" w:eastAsia="宋体"/>
                      <w:color w:val="auto"/>
                      <w:sz w:val="18"/>
                      <w:szCs w:val="18"/>
                      <w:highlight w:val="none"/>
                      <w:lang w:val="en-US" w:eastAsia="zh-CN"/>
                    </w:rPr>
                  </w:pPr>
                  <w:r>
                    <w:rPr>
                      <w:color w:val="auto"/>
                      <w:sz w:val="18"/>
                      <w:szCs w:val="18"/>
                      <w:highlight w:val="none"/>
                    </w:rPr>
                    <w:t>1次/</w:t>
                  </w:r>
                  <w:r>
                    <w:rPr>
                      <w:rFonts w:hint="eastAsia"/>
                      <w:color w:val="auto"/>
                      <w:highlight w:val="none"/>
                      <w:lang w:val="en-US" w:eastAsia="zh-CN"/>
                    </w:rPr>
                    <w:t>月</w:t>
                  </w:r>
                </w:p>
              </w:tc>
              <w:tc>
                <w:tcPr>
                  <w:tcW w:w="591" w:type="pct"/>
                  <w:vAlign w:val="center"/>
                </w:tcPr>
                <w:p>
                  <w:pPr>
                    <w:jc w:val="center"/>
                    <w:rPr>
                      <w:color w:val="auto"/>
                      <w:sz w:val="18"/>
                      <w:szCs w:val="18"/>
                      <w:highlight w:val="none"/>
                    </w:rPr>
                  </w:pPr>
                  <w:r>
                    <w:rPr>
                      <w:color w:val="auto"/>
                      <w:sz w:val="18"/>
                      <w:szCs w:val="18"/>
                      <w:highlight w:val="none"/>
                    </w:rPr>
                    <w:t xml:space="preserve">In </w:t>
                  </w:r>
                </w:p>
              </w:tc>
              <w:tc>
                <w:tcPr>
                  <w:tcW w:w="279" w:type="pct"/>
                  <w:vAlign w:val="center"/>
                </w:tcPr>
                <w:p>
                  <w:pPr>
                    <w:jc w:val="center"/>
                    <w:rPr>
                      <w:color w:val="auto"/>
                      <w:sz w:val="18"/>
                      <w:szCs w:val="18"/>
                      <w:highlight w:val="none"/>
                    </w:rPr>
                  </w:pPr>
                  <w:r>
                    <w:rPr>
                      <w:color w:val="auto"/>
                      <w:sz w:val="18"/>
                      <w:szCs w:val="18"/>
                      <w:highlight w:val="none"/>
                    </w:rPr>
                    <w:t>桶装</w:t>
                  </w:r>
                </w:p>
              </w:tc>
              <w:tc>
                <w:tcPr>
                  <w:tcW w:w="547" w:type="pct"/>
                  <w:vMerge w:val="continue"/>
                  <w:vAlign w:val="center"/>
                </w:tcPr>
                <w:p>
                  <w:pPr>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9" w:type="pct"/>
                  <w:vAlign w:val="center"/>
                </w:tcPr>
                <w:p>
                  <w:pPr>
                    <w:jc w:val="center"/>
                    <w:rPr>
                      <w:color w:val="auto"/>
                      <w:sz w:val="18"/>
                      <w:szCs w:val="18"/>
                      <w:highlight w:val="none"/>
                    </w:rPr>
                  </w:pPr>
                  <w:r>
                    <w:rPr>
                      <w:color w:val="auto"/>
                      <w:sz w:val="18"/>
                      <w:szCs w:val="18"/>
                      <w:highlight w:val="none"/>
                    </w:rPr>
                    <w:t>污水处理站栅渣</w:t>
                  </w:r>
                </w:p>
              </w:tc>
              <w:tc>
                <w:tcPr>
                  <w:tcW w:w="421" w:type="pct"/>
                  <w:vAlign w:val="center"/>
                </w:tcPr>
                <w:p>
                  <w:pPr>
                    <w:jc w:val="center"/>
                    <w:rPr>
                      <w:color w:val="auto"/>
                      <w:sz w:val="18"/>
                      <w:szCs w:val="18"/>
                      <w:highlight w:val="none"/>
                    </w:rPr>
                  </w:pPr>
                  <w:r>
                    <w:rPr>
                      <w:color w:val="auto"/>
                      <w:sz w:val="18"/>
                      <w:szCs w:val="18"/>
                      <w:highlight w:val="none"/>
                    </w:rPr>
                    <w:t>HW01</w:t>
                  </w:r>
                </w:p>
              </w:tc>
              <w:tc>
                <w:tcPr>
                  <w:tcW w:w="744" w:type="pct"/>
                  <w:vAlign w:val="center"/>
                </w:tcPr>
                <w:p>
                  <w:pPr>
                    <w:jc w:val="center"/>
                    <w:rPr>
                      <w:color w:val="auto"/>
                      <w:sz w:val="18"/>
                      <w:szCs w:val="18"/>
                      <w:highlight w:val="none"/>
                    </w:rPr>
                  </w:pPr>
                  <w:r>
                    <w:rPr>
                      <w:color w:val="auto"/>
                      <w:sz w:val="18"/>
                      <w:szCs w:val="18"/>
                      <w:highlight w:val="none"/>
                    </w:rPr>
                    <w:t>841-001-01</w:t>
                  </w:r>
                </w:p>
              </w:tc>
              <w:tc>
                <w:tcPr>
                  <w:tcW w:w="485" w:type="pct"/>
                  <w:vAlign w:val="center"/>
                </w:tcPr>
                <w:p>
                  <w:pPr>
                    <w:jc w:val="center"/>
                    <w:rPr>
                      <w:rFonts w:hint="eastAsia" w:eastAsia="宋体"/>
                      <w:color w:val="auto"/>
                      <w:sz w:val="18"/>
                      <w:szCs w:val="18"/>
                      <w:highlight w:val="none"/>
                      <w:lang w:eastAsia="zh-CN"/>
                    </w:rPr>
                  </w:pPr>
                  <w:r>
                    <w:rPr>
                      <w:rFonts w:hint="eastAsia"/>
                      <w:color w:val="auto"/>
                      <w:sz w:val="18"/>
                      <w:szCs w:val="18"/>
                      <w:highlight w:val="none"/>
                      <w:lang w:eastAsia="zh-CN"/>
                    </w:rPr>
                    <w:t>4.5</w:t>
                  </w:r>
                </w:p>
              </w:tc>
              <w:tc>
                <w:tcPr>
                  <w:tcW w:w="390" w:type="pct"/>
                  <w:vAlign w:val="center"/>
                </w:tcPr>
                <w:p>
                  <w:pPr>
                    <w:jc w:val="center"/>
                    <w:rPr>
                      <w:color w:val="auto"/>
                      <w:sz w:val="18"/>
                      <w:szCs w:val="18"/>
                      <w:highlight w:val="none"/>
                    </w:rPr>
                  </w:pPr>
                  <w:r>
                    <w:rPr>
                      <w:color w:val="auto"/>
                      <w:sz w:val="18"/>
                      <w:szCs w:val="18"/>
                      <w:highlight w:val="none"/>
                    </w:rPr>
                    <w:t>污水处理</w:t>
                  </w:r>
                </w:p>
              </w:tc>
              <w:tc>
                <w:tcPr>
                  <w:tcW w:w="349" w:type="pct"/>
                  <w:vAlign w:val="center"/>
                </w:tcPr>
                <w:p>
                  <w:pPr>
                    <w:jc w:val="center"/>
                    <w:rPr>
                      <w:color w:val="auto"/>
                      <w:sz w:val="18"/>
                      <w:szCs w:val="18"/>
                      <w:highlight w:val="none"/>
                    </w:rPr>
                  </w:pPr>
                  <w:r>
                    <w:rPr>
                      <w:color w:val="auto"/>
                      <w:sz w:val="18"/>
                      <w:szCs w:val="18"/>
                      <w:highlight w:val="none"/>
                    </w:rPr>
                    <w:t>固态</w:t>
                  </w:r>
                </w:p>
              </w:tc>
              <w:tc>
                <w:tcPr>
                  <w:tcW w:w="384" w:type="pct"/>
                  <w:vAlign w:val="center"/>
                </w:tcPr>
                <w:p>
                  <w:pPr>
                    <w:jc w:val="center"/>
                    <w:rPr>
                      <w:color w:val="auto"/>
                      <w:sz w:val="18"/>
                      <w:szCs w:val="18"/>
                      <w:highlight w:val="none"/>
                    </w:rPr>
                  </w:pPr>
                  <w:r>
                    <w:rPr>
                      <w:color w:val="auto"/>
                      <w:sz w:val="18"/>
                      <w:szCs w:val="18"/>
                      <w:highlight w:val="none"/>
                    </w:rPr>
                    <w:t>栅渣</w:t>
                  </w:r>
                </w:p>
              </w:tc>
              <w:tc>
                <w:tcPr>
                  <w:tcW w:w="306" w:type="pct"/>
                  <w:vAlign w:val="center"/>
                </w:tcPr>
                <w:p>
                  <w:pPr>
                    <w:jc w:val="center"/>
                    <w:rPr>
                      <w:color w:val="auto"/>
                      <w:sz w:val="18"/>
                      <w:szCs w:val="18"/>
                      <w:highlight w:val="none"/>
                    </w:rPr>
                  </w:pPr>
                  <w:r>
                    <w:rPr>
                      <w:color w:val="auto"/>
                      <w:sz w:val="18"/>
                      <w:szCs w:val="18"/>
                      <w:highlight w:val="none"/>
                    </w:rPr>
                    <w:t>1次/月</w:t>
                  </w:r>
                </w:p>
              </w:tc>
              <w:tc>
                <w:tcPr>
                  <w:tcW w:w="591" w:type="pct"/>
                  <w:vAlign w:val="center"/>
                </w:tcPr>
                <w:p>
                  <w:pPr>
                    <w:jc w:val="center"/>
                    <w:rPr>
                      <w:color w:val="auto"/>
                      <w:sz w:val="18"/>
                      <w:szCs w:val="18"/>
                      <w:highlight w:val="none"/>
                    </w:rPr>
                  </w:pPr>
                  <w:r>
                    <w:rPr>
                      <w:color w:val="auto"/>
                      <w:sz w:val="18"/>
                      <w:szCs w:val="18"/>
                      <w:highlight w:val="none"/>
                    </w:rPr>
                    <w:t xml:space="preserve">In </w:t>
                  </w:r>
                </w:p>
              </w:tc>
              <w:tc>
                <w:tcPr>
                  <w:tcW w:w="279" w:type="pct"/>
                  <w:vAlign w:val="center"/>
                </w:tcPr>
                <w:p>
                  <w:pPr>
                    <w:jc w:val="center"/>
                    <w:rPr>
                      <w:color w:val="auto"/>
                      <w:sz w:val="18"/>
                      <w:szCs w:val="18"/>
                      <w:highlight w:val="none"/>
                    </w:rPr>
                  </w:pPr>
                  <w:r>
                    <w:rPr>
                      <w:color w:val="auto"/>
                      <w:sz w:val="18"/>
                      <w:szCs w:val="18"/>
                      <w:highlight w:val="none"/>
                    </w:rPr>
                    <w:t>桶装</w:t>
                  </w:r>
                </w:p>
              </w:tc>
              <w:tc>
                <w:tcPr>
                  <w:tcW w:w="547" w:type="pct"/>
                  <w:vMerge w:val="continue"/>
                  <w:vAlign w:val="center"/>
                </w:tcPr>
                <w:p>
                  <w:pPr>
                    <w:jc w:val="center"/>
                    <w:rPr>
                      <w:color w:val="auto"/>
                      <w:sz w:val="18"/>
                      <w:szCs w:val="18"/>
                      <w:highlight w:val="none"/>
                    </w:rPr>
                  </w:pPr>
                </w:p>
              </w:tc>
            </w:tr>
          </w:tbl>
          <w:p>
            <w:pPr>
              <w:autoSpaceDE w:val="0"/>
              <w:autoSpaceDN w:val="0"/>
              <w:adjustRightInd w:val="0"/>
              <w:snapToGrid w:val="0"/>
              <w:jc w:val="center"/>
              <w:rPr>
                <w:b/>
                <w:bCs/>
                <w:color w:val="auto"/>
                <w:kern w:val="0"/>
                <w:szCs w:val="21"/>
                <w:highlight w:val="none"/>
              </w:rPr>
            </w:pPr>
            <w:r>
              <w:rPr>
                <w:b/>
                <w:bCs/>
                <w:color w:val="auto"/>
                <w:kern w:val="0"/>
                <w:szCs w:val="21"/>
                <w:highlight w:val="none"/>
              </w:rPr>
              <w:t>表4-</w:t>
            </w:r>
            <w:r>
              <w:rPr>
                <w:rFonts w:hint="eastAsia"/>
                <w:b/>
                <w:bCs/>
                <w:color w:val="auto"/>
                <w:kern w:val="0"/>
                <w:szCs w:val="21"/>
                <w:highlight w:val="none"/>
                <w:lang w:val="en-US" w:eastAsia="zh-CN"/>
              </w:rPr>
              <w:t>30</w:t>
            </w:r>
            <w:r>
              <w:rPr>
                <w:b/>
                <w:bCs/>
                <w:color w:val="auto"/>
                <w:kern w:val="0"/>
                <w:szCs w:val="21"/>
                <w:highlight w:val="none"/>
              </w:rPr>
              <w:t xml:space="preserve">  危险废物贮存场所基本情况表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131"/>
              <w:gridCol w:w="847"/>
              <w:gridCol w:w="1131"/>
              <w:gridCol w:w="706"/>
              <w:gridCol w:w="849"/>
              <w:gridCol w:w="988"/>
              <w:gridCol w:w="971"/>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Align w:val="center"/>
                </w:tcPr>
                <w:p>
                  <w:pPr>
                    <w:jc w:val="center"/>
                    <w:rPr>
                      <w:color w:val="auto"/>
                      <w:sz w:val="18"/>
                      <w:szCs w:val="18"/>
                      <w:highlight w:val="none"/>
                    </w:rPr>
                  </w:pPr>
                  <w:r>
                    <w:rPr>
                      <w:color w:val="auto"/>
                      <w:sz w:val="18"/>
                      <w:szCs w:val="18"/>
                      <w:highlight w:val="none"/>
                    </w:rPr>
                    <w:t>贮存场所名称</w:t>
                  </w:r>
                </w:p>
              </w:tc>
              <w:tc>
                <w:tcPr>
                  <w:tcW w:w="674" w:type="pct"/>
                  <w:vAlign w:val="center"/>
                </w:tcPr>
                <w:p>
                  <w:pPr>
                    <w:jc w:val="center"/>
                    <w:rPr>
                      <w:color w:val="auto"/>
                      <w:sz w:val="18"/>
                      <w:szCs w:val="18"/>
                      <w:highlight w:val="none"/>
                    </w:rPr>
                  </w:pPr>
                  <w:r>
                    <w:rPr>
                      <w:color w:val="auto"/>
                      <w:sz w:val="18"/>
                      <w:szCs w:val="18"/>
                      <w:highlight w:val="none"/>
                    </w:rPr>
                    <w:t>危险废物名称</w:t>
                  </w:r>
                </w:p>
              </w:tc>
              <w:tc>
                <w:tcPr>
                  <w:tcW w:w="505" w:type="pct"/>
                  <w:vAlign w:val="center"/>
                </w:tcPr>
                <w:p>
                  <w:pPr>
                    <w:jc w:val="center"/>
                    <w:rPr>
                      <w:color w:val="auto"/>
                      <w:sz w:val="18"/>
                      <w:szCs w:val="18"/>
                      <w:highlight w:val="none"/>
                    </w:rPr>
                  </w:pPr>
                  <w:r>
                    <w:rPr>
                      <w:color w:val="auto"/>
                      <w:sz w:val="18"/>
                      <w:szCs w:val="18"/>
                      <w:highlight w:val="none"/>
                    </w:rPr>
                    <w:t>危险废物类别</w:t>
                  </w:r>
                </w:p>
              </w:tc>
              <w:tc>
                <w:tcPr>
                  <w:tcW w:w="674" w:type="pct"/>
                  <w:vAlign w:val="center"/>
                </w:tcPr>
                <w:p>
                  <w:pPr>
                    <w:jc w:val="center"/>
                    <w:rPr>
                      <w:color w:val="auto"/>
                      <w:sz w:val="18"/>
                      <w:szCs w:val="18"/>
                      <w:highlight w:val="none"/>
                    </w:rPr>
                  </w:pPr>
                  <w:r>
                    <w:rPr>
                      <w:color w:val="auto"/>
                      <w:sz w:val="18"/>
                      <w:szCs w:val="18"/>
                      <w:highlight w:val="none"/>
                    </w:rPr>
                    <w:t>危险废物</w:t>
                  </w:r>
                </w:p>
                <w:p>
                  <w:pPr>
                    <w:jc w:val="center"/>
                    <w:rPr>
                      <w:color w:val="auto"/>
                      <w:sz w:val="18"/>
                      <w:szCs w:val="18"/>
                      <w:highlight w:val="none"/>
                    </w:rPr>
                  </w:pPr>
                  <w:r>
                    <w:rPr>
                      <w:color w:val="auto"/>
                      <w:sz w:val="18"/>
                      <w:szCs w:val="18"/>
                      <w:highlight w:val="none"/>
                    </w:rPr>
                    <w:t>代码</w:t>
                  </w:r>
                </w:p>
              </w:tc>
              <w:tc>
                <w:tcPr>
                  <w:tcW w:w="421" w:type="pct"/>
                  <w:vAlign w:val="center"/>
                </w:tcPr>
                <w:p>
                  <w:pPr>
                    <w:jc w:val="center"/>
                    <w:rPr>
                      <w:color w:val="auto"/>
                      <w:sz w:val="18"/>
                      <w:szCs w:val="18"/>
                      <w:highlight w:val="none"/>
                    </w:rPr>
                  </w:pPr>
                  <w:r>
                    <w:rPr>
                      <w:color w:val="auto"/>
                      <w:sz w:val="18"/>
                      <w:szCs w:val="18"/>
                      <w:highlight w:val="none"/>
                    </w:rPr>
                    <w:t>位置</w:t>
                  </w:r>
                </w:p>
              </w:tc>
              <w:tc>
                <w:tcPr>
                  <w:tcW w:w="506" w:type="pct"/>
                  <w:vAlign w:val="center"/>
                </w:tcPr>
                <w:p>
                  <w:pPr>
                    <w:jc w:val="center"/>
                    <w:rPr>
                      <w:color w:val="auto"/>
                      <w:sz w:val="18"/>
                      <w:szCs w:val="18"/>
                      <w:highlight w:val="none"/>
                    </w:rPr>
                  </w:pPr>
                  <w:r>
                    <w:rPr>
                      <w:color w:val="auto"/>
                      <w:sz w:val="18"/>
                      <w:szCs w:val="18"/>
                      <w:highlight w:val="none"/>
                    </w:rPr>
                    <w:t>占地</w:t>
                  </w:r>
                </w:p>
                <w:p>
                  <w:pPr>
                    <w:jc w:val="center"/>
                    <w:rPr>
                      <w:color w:val="auto"/>
                      <w:sz w:val="18"/>
                      <w:szCs w:val="18"/>
                      <w:highlight w:val="none"/>
                    </w:rPr>
                  </w:pPr>
                  <w:r>
                    <w:rPr>
                      <w:color w:val="auto"/>
                      <w:sz w:val="18"/>
                      <w:szCs w:val="18"/>
                      <w:highlight w:val="none"/>
                    </w:rPr>
                    <w:t>面积</w:t>
                  </w:r>
                </w:p>
              </w:tc>
              <w:tc>
                <w:tcPr>
                  <w:tcW w:w="589" w:type="pct"/>
                  <w:vAlign w:val="center"/>
                </w:tcPr>
                <w:p>
                  <w:pPr>
                    <w:jc w:val="center"/>
                    <w:rPr>
                      <w:color w:val="auto"/>
                      <w:sz w:val="18"/>
                      <w:szCs w:val="18"/>
                      <w:highlight w:val="none"/>
                    </w:rPr>
                  </w:pPr>
                  <w:r>
                    <w:rPr>
                      <w:color w:val="auto"/>
                      <w:sz w:val="18"/>
                      <w:szCs w:val="18"/>
                      <w:highlight w:val="none"/>
                    </w:rPr>
                    <w:t>贮存方式</w:t>
                  </w:r>
                </w:p>
              </w:tc>
              <w:tc>
                <w:tcPr>
                  <w:tcW w:w="579" w:type="pct"/>
                  <w:vAlign w:val="center"/>
                </w:tcPr>
                <w:p>
                  <w:pPr>
                    <w:jc w:val="center"/>
                    <w:rPr>
                      <w:color w:val="auto"/>
                      <w:sz w:val="18"/>
                      <w:szCs w:val="18"/>
                      <w:highlight w:val="none"/>
                    </w:rPr>
                  </w:pPr>
                  <w:r>
                    <w:rPr>
                      <w:color w:val="auto"/>
                      <w:sz w:val="18"/>
                      <w:szCs w:val="18"/>
                      <w:highlight w:val="none"/>
                    </w:rPr>
                    <w:t>贮存能力</w:t>
                  </w:r>
                </w:p>
              </w:tc>
              <w:tc>
                <w:tcPr>
                  <w:tcW w:w="630" w:type="pct"/>
                  <w:vAlign w:val="center"/>
                </w:tcPr>
                <w:p>
                  <w:pPr>
                    <w:jc w:val="center"/>
                    <w:rPr>
                      <w:color w:val="auto"/>
                      <w:sz w:val="18"/>
                      <w:szCs w:val="18"/>
                      <w:highlight w:val="none"/>
                    </w:rPr>
                  </w:pPr>
                  <w:r>
                    <w:rPr>
                      <w:color w:val="auto"/>
                      <w:sz w:val="18"/>
                      <w:szCs w:val="18"/>
                      <w:highlight w:val="none"/>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Merge w:val="restart"/>
                  <w:vAlign w:val="center"/>
                </w:tcPr>
                <w:p>
                  <w:pPr>
                    <w:jc w:val="center"/>
                    <w:rPr>
                      <w:color w:val="auto"/>
                      <w:sz w:val="18"/>
                      <w:szCs w:val="18"/>
                      <w:highlight w:val="none"/>
                    </w:rPr>
                  </w:pPr>
                  <w:r>
                    <w:rPr>
                      <w:color w:val="auto"/>
                      <w:sz w:val="18"/>
                      <w:szCs w:val="18"/>
                      <w:highlight w:val="none"/>
                    </w:rPr>
                    <w:t>危废间</w:t>
                  </w:r>
                </w:p>
              </w:tc>
              <w:tc>
                <w:tcPr>
                  <w:tcW w:w="674" w:type="pct"/>
                  <w:vAlign w:val="center"/>
                </w:tcPr>
                <w:p>
                  <w:pPr>
                    <w:jc w:val="center"/>
                    <w:rPr>
                      <w:color w:val="auto"/>
                      <w:sz w:val="18"/>
                      <w:szCs w:val="18"/>
                      <w:highlight w:val="none"/>
                    </w:rPr>
                  </w:pPr>
                  <w:r>
                    <w:rPr>
                      <w:color w:val="auto"/>
                      <w:sz w:val="18"/>
                      <w:szCs w:val="18"/>
                      <w:highlight w:val="none"/>
                    </w:rPr>
                    <w:t>医疗废物</w:t>
                  </w:r>
                </w:p>
              </w:tc>
              <w:tc>
                <w:tcPr>
                  <w:tcW w:w="505" w:type="pct"/>
                  <w:vAlign w:val="center"/>
                </w:tcPr>
                <w:p>
                  <w:pPr>
                    <w:jc w:val="center"/>
                    <w:rPr>
                      <w:color w:val="auto"/>
                      <w:szCs w:val="21"/>
                      <w:highlight w:val="none"/>
                    </w:rPr>
                  </w:pPr>
                  <w:r>
                    <w:rPr>
                      <w:color w:val="auto"/>
                      <w:sz w:val="18"/>
                      <w:szCs w:val="18"/>
                      <w:highlight w:val="none"/>
                    </w:rPr>
                    <w:t>HW01</w:t>
                  </w:r>
                </w:p>
              </w:tc>
              <w:tc>
                <w:tcPr>
                  <w:tcW w:w="674" w:type="pct"/>
                  <w:vAlign w:val="center"/>
                </w:tcPr>
                <w:p>
                  <w:pPr>
                    <w:jc w:val="center"/>
                    <w:rPr>
                      <w:color w:val="auto"/>
                      <w:sz w:val="18"/>
                      <w:szCs w:val="18"/>
                      <w:highlight w:val="none"/>
                    </w:rPr>
                  </w:pPr>
                  <w:r>
                    <w:rPr>
                      <w:color w:val="auto"/>
                      <w:sz w:val="18"/>
                      <w:szCs w:val="18"/>
                      <w:highlight w:val="none"/>
                    </w:rPr>
                    <w:t>841-001-01</w:t>
                  </w:r>
                </w:p>
                <w:p>
                  <w:pPr>
                    <w:jc w:val="center"/>
                    <w:rPr>
                      <w:color w:val="auto"/>
                      <w:sz w:val="18"/>
                      <w:szCs w:val="18"/>
                      <w:highlight w:val="none"/>
                    </w:rPr>
                  </w:pPr>
                  <w:r>
                    <w:rPr>
                      <w:color w:val="auto"/>
                      <w:sz w:val="18"/>
                      <w:szCs w:val="18"/>
                      <w:highlight w:val="none"/>
                    </w:rPr>
                    <w:t>841-002-01</w:t>
                  </w:r>
                </w:p>
                <w:p>
                  <w:pPr>
                    <w:jc w:val="center"/>
                    <w:rPr>
                      <w:color w:val="auto"/>
                      <w:sz w:val="18"/>
                      <w:szCs w:val="18"/>
                      <w:highlight w:val="none"/>
                    </w:rPr>
                  </w:pPr>
                  <w:r>
                    <w:rPr>
                      <w:color w:val="auto"/>
                      <w:sz w:val="18"/>
                      <w:szCs w:val="18"/>
                      <w:highlight w:val="none"/>
                    </w:rPr>
                    <w:t>841-003-01</w:t>
                  </w:r>
                </w:p>
                <w:p>
                  <w:pPr>
                    <w:jc w:val="center"/>
                    <w:rPr>
                      <w:color w:val="auto"/>
                      <w:sz w:val="18"/>
                      <w:szCs w:val="18"/>
                      <w:highlight w:val="none"/>
                    </w:rPr>
                  </w:pPr>
                  <w:r>
                    <w:rPr>
                      <w:color w:val="auto"/>
                      <w:sz w:val="18"/>
                      <w:szCs w:val="18"/>
                      <w:highlight w:val="none"/>
                    </w:rPr>
                    <w:t>841-004-01</w:t>
                  </w:r>
                </w:p>
                <w:p>
                  <w:pPr>
                    <w:jc w:val="center"/>
                    <w:rPr>
                      <w:color w:val="auto"/>
                      <w:szCs w:val="21"/>
                      <w:highlight w:val="none"/>
                    </w:rPr>
                  </w:pPr>
                  <w:r>
                    <w:rPr>
                      <w:color w:val="auto"/>
                      <w:sz w:val="18"/>
                      <w:szCs w:val="18"/>
                      <w:highlight w:val="none"/>
                    </w:rPr>
                    <w:t>841-005-01</w:t>
                  </w:r>
                </w:p>
              </w:tc>
              <w:tc>
                <w:tcPr>
                  <w:tcW w:w="421" w:type="pct"/>
                  <w:vMerge w:val="restart"/>
                  <w:vAlign w:val="center"/>
                </w:tcPr>
                <w:p>
                  <w:pPr>
                    <w:jc w:val="center"/>
                    <w:rPr>
                      <w:rFonts w:hint="default" w:eastAsia="宋体"/>
                      <w:color w:val="auto"/>
                      <w:sz w:val="18"/>
                      <w:szCs w:val="18"/>
                      <w:highlight w:val="none"/>
                      <w:lang w:val="en-US" w:eastAsia="zh-CN"/>
                    </w:rPr>
                  </w:pPr>
                  <w:r>
                    <w:rPr>
                      <w:color w:val="auto"/>
                      <w:sz w:val="18"/>
                      <w:szCs w:val="18"/>
                      <w:highlight w:val="none"/>
                    </w:rPr>
                    <w:t>院区</w:t>
                  </w:r>
                  <w:r>
                    <w:rPr>
                      <w:rFonts w:hint="eastAsia"/>
                      <w:color w:val="auto"/>
                      <w:sz w:val="18"/>
                      <w:szCs w:val="18"/>
                      <w:highlight w:val="none"/>
                      <w:lang w:val="en-US" w:eastAsia="zh-CN"/>
                    </w:rPr>
                    <w:t>-1层东北侧</w:t>
                  </w:r>
                </w:p>
              </w:tc>
              <w:tc>
                <w:tcPr>
                  <w:tcW w:w="506" w:type="pct"/>
                  <w:vMerge w:val="restart"/>
                  <w:vAlign w:val="center"/>
                </w:tcPr>
                <w:p>
                  <w:pPr>
                    <w:jc w:val="center"/>
                    <w:rPr>
                      <w:color w:val="auto"/>
                      <w:sz w:val="18"/>
                      <w:szCs w:val="18"/>
                      <w:highlight w:val="none"/>
                    </w:rPr>
                  </w:pPr>
                  <w:r>
                    <w:rPr>
                      <w:rFonts w:hint="eastAsia"/>
                      <w:color w:val="auto"/>
                      <w:sz w:val="18"/>
                      <w:szCs w:val="18"/>
                      <w:highlight w:val="none"/>
                      <w:lang w:eastAsia="zh-CN"/>
                    </w:rPr>
                    <w:t>70m</w:t>
                  </w:r>
                  <w:r>
                    <w:rPr>
                      <w:color w:val="auto"/>
                      <w:sz w:val="18"/>
                      <w:szCs w:val="18"/>
                      <w:highlight w:val="none"/>
                      <w:vertAlign w:val="superscript"/>
                    </w:rPr>
                    <w:t>2</w:t>
                  </w:r>
                </w:p>
              </w:tc>
              <w:tc>
                <w:tcPr>
                  <w:tcW w:w="589" w:type="pct"/>
                  <w:vAlign w:val="center"/>
                </w:tcPr>
                <w:p>
                  <w:pPr>
                    <w:jc w:val="center"/>
                    <w:rPr>
                      <w:color w:val="auto"/>
                      <w:sz w:val="18"/>
                      <w:szCs w:val="18"/>
                      <w:highlight w:val="none"/>
                    </w:rPr>
                  </w:pPr>
                  <w:r>
                    <w:rPr>
                      <w:color w:val="auto"/>
                      <w:sz w:val="18"/>
                      <w:szCs w:val="18"/>
                      <w:highlight w:val="none"/>
                    </w:rPr>
                    <w:t>桶装</w:t>
                  </w:r>
                </w:p>
              </w:tc>
              <w:tc>
                <w:tcPr>
                  <w:tcW w:w="579" w:type="pct"/>
                  <w:vMerge w:val="restart"/>
                  <w:vAlign w:val="center"/>
                </w:tcPr>
                <w:p>
                  <w:pPr>
                    <w:jc w:val="center"/>
                    <w:rPr>
                      <w:color w:val="auto"/>
                      <w:sz w:val="18"/>
                      <w:szCs w:val="18"/>
                      <w:highlight w:val="none"/>
                    </w:rPr>
                  </w:pPr>
                  <w:r>
                    <w:rPr>
                      <w:rFonts w:hint="eastAsia"/>
                      <w:color w:val="auto"/>
                      <w:sz w:val="18"/>
                      <w:szCs w:val="18"/>
                      <w:highlight w:val="none"/>
                      <w:lang w:val="en-US" w:eastAsia="zh-CN"/>
                    </w:rPr>
                    <w:t>20</w:t>
                  </w:r>
                  <w:r>
                    <w:rPr>
                      <w:rFonts w:hint="eastAsia"/>
                      <w:color w:val="auto"/>
                      <w:sz w:val="18"/>
                      <w:szCs w:val="18"/>
                      <w:highlight w:val="none"/>
                    </w:rPr>
                    <w:t>t</w:t>
                  </w:r>
                </w:p>
              </w:tc>
              <w:tc>
                <w:tcPr>
                  <w:tcW w:w="631" w:type="pct"/>
                  <w:vAlign w:val="center"/>
                </w:tcPr>
                <w:p>
                  <w:pPr>
                    <w:jc w:val="center"/>
                    <w:rPr>
                      <w:color w:val="auto"/>
                      <w:sz w:val="18"/>
                      <w:szCs w:val="18"/>
                      <w:highlight w:val="none"/>
                    </w:rPr>
                  </w:pPr>
                  <w:r>
                    <w:rPr>
                      <w:color w:val="auto"/>
                      <w:sz w:val="18"/>
                      <w:szCs w:val="18"/>
                      <w:highlight w:val="none"/>
                    </w:rPr>
                    <w:t>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Merge w:val="continue"/>
                  <w:vAlign w:val="center"/>
                </w:tcPr>
                <w:p>
                  <w:pPr>
                    <w:pStyle w:val="62"/>
                    <w:ind w:firstLine="0" w:firstLineChars="0"/>
                    <w:rPr>
                      <w:color w:val="auto"/>
                      <w:sz w:val="21"/>
                      <w:szCs w:val="21"/>
                      <w:highlight w:val="none"/>
                    </w:rPr>
                  </w:pPr>
                </w:p>
              </w:tc>
              <w:tc>
                <w:tcPr>
                  <w:tcW w:w="674" w:type="pct"/>
                  <w:vAlign w:val="center"/>
                </w:tcPr>
                <w:p>
                  <w:pPr>
                    <w:jc w:val="center"/>
                    <w:rPr>
                      <w:color w:val="auto"/>
                      <w:szCs w:val="21"/>
                      <w:highlight w:val="none"/>
                    </w:rPr>
                  </w:pPr>
                  <w:r>
                    <w:rPr>
                      <w:color w:val="auto"/>
                      <w:sz w:val="18"/>
                      <w:szCs w:val="18"/>
                      <w:highlight w:val="none"/>
                    </w:rPr>
                    <w:t>污水处理站污泥</w:t>
                  </w:r>
                </w:p>
              </w:tc>
              <w:tc>
                <w:tcPr>
                  <w:tcW w:w="505" w:type="pct"/>
                  <w:vAlign w:val="center"/>
                </w:tcPr>
                <w:p>
                  <w:pPr>
                    <w:jc w:val="center"/>
                    <w:rPr>
                      <w:color w:val="auto"/>
                      <w:szCs w:val="21"/>
                      <w:highlight w:val="none"/>
                    </w:rPr>
                  </w:pPr>
                  <w:r>
                    <w:rPr>
                      <w:color w:val="auto"/>
                      <w:sz w:val="18"/>
                      <w:szCs w:val="18"/>
                      <w:highlight w:val="none"/>
                    </w:rPr>
                    <w:t>HW01</w:t>
                  </w:r>
                </w:p>
              </w:tc>
              <w:tc>
                <w:tcPr>
                  <w:tcW w:w="674" w:type="pct"/>
                  <w:vAlign w:val="center"/>
                </w:tcPr>
                <w:p>
                  <w:pPr>
                    <w:jc w:val="center"/>
                    <w:rPr>
                      <w:color w:val="auto"/>
                      <w:szCs w:val="21"/>
                      <w:highlight w:val="none"/>
                    </w:rPr>
                  </w:pPr>
                  <w:r>
                    <w:rPr>
                      <w:color w:val="auto"/>
                      <w:sz w:val="18"/>
                      <w:szCs w:val="18"/>
                      <w:highlight w:val="none"/>
                    </w:rPr>
                    <w:t>841-001-01</w:t>
                  </w:r>
                </w:p>
              </w:tc>
              <w:tc>
                <w:tcPr>
                  <w:tcW w:w="421" w:type="pct"/>
                  <w:vMerge w:val="continue"/>
                  <w:vAlign w:val="center"/>
                </w:tcPr>
                <w:p>
                  <w:pPr>
                    <w:jc w:val="center"/>
                    <w:rPr>
                      <w:color w:val="auto"/>
                      <w:sz w:val="18"/>
                      <w:szCs w:val="18"/>
                      <w:highlight w:val="none"/>
                    </w:rPr>
                  </w:pPr>
                </w:p>
              </w:tc>
              <w:tc>
                <w:tcPr>
                  <w:tcW w:w="506" w:type="pct"/>
                  <w:vMerge w:val="continue"/>
                  <w:vAlign w:val="center"/>
                </w:tcPr>
                <w:p>
                  <w:pPr>
                    <w:jc w:val="center"/>
                    <w:rPr>
                      <w:color w:val="auto"/>
                      <w:sz w:val="18"/>
                      <w:szCs w:val="18"/>
                      <w:highlight w:val="none"/>
                    </w:rPr>
                  </w:pPr>
                </w:p>
              </w:tc>
              <w:tc>
                <w:tcPr>
                  <w:tcW w:w="589" w:type="pct"/>
                  <w:vAlign w:val="center"/>
                </w:tcPr>
                <w:p>
                  <w:pPr>
                    <w:jc w:val="center"/>
                    <w:rPr>
                      <w:color w:val="auto"/>
                      <w:sz w:val="18"/>
                      <w:szCs w:val="18"/>
                      <w:highlight w:val="none"/>
                    </w:rPr>
                  </w:pPr>
                  <w:r>
                    <w:rPr>
                      <w:color w:val="auto"/>
                      <w:sz w:val="18"/>
                      <w:szCs w:val="18"/>
                      <w:highlight w:val="none"/>
                    </w:rPr>
                    <w:t>桶装</w:t>
                  </w:r>
                </w:p>
              </w:tc>
              <w:tc>
                <w:tcPr>
                  <w:tcW w:w="579" w:type="pct"/>
                  <w:vMerge w:val="continue"/>
                  <w:vAlign w:val="center"/>
                </w:tcPr>
                <w:p>
                  <w:pPr>
                    <w:jc w:val="center"/>
                    <w:rPr>
                      <w:color w:val="auto"/>
                      <w:sz w:val="18"/>
                      <w:szCs w:val="18"/>
                      <w:highlight w:val="none"/>
                    </w:rPr>
                  </w:pPr>
                </w:p>
              </w:tc>
              <w:tc>
                <w:tcPr>
                  <w:tcW w:w="630" w:type="pct"/>
                  <w:vAlign w:val="center"/>
                </w:tcPr>
                <w:p>
                  <w:pPr>
                    <w:jc w:val="center"/>
                    <w:rPr>
                      <w:color w:val="auto"/>
                      <w:sz w:val="18"/>
                      <w:szCs w:val="18"/>
                      <w:highlight w:val="none"/>
                    </w:rPr>
                  </w:pPr>
                  <w:r>
                    <w:rPr>
                      <w:color w:val="auto"/>
                      <w:sz w:val="18"/>
                      <w:szCs w:val="18"/>
                      <w:highlight w:val="none"/>
                    </w:rPr>
                    <w:t>即产即转移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2" w:type="pct"/>
                  <w:vMerge w:val="continue"/>
                  <w:vAlign w:val="center"/>
                </w:tcPr>
                <w:p>
                  <w:pPr>
                    <w:pStyle w:val="62"/>
                    <w:ind w:firstLine="0" w:firstLineChars="0"/>
                    <w:rPr>
                      <w:color w:val="auto"/>
                      <w:sz w:val="21"/>
                      <w:szCs w:val="21"/>
                      <w:highlight w:val="none"/>
                    </w:rPr>
                  </w:pPr>
                </w:p>
              </w:tc>
              <w:tc>
                <w:tcPr>
                  <w:tcW w:w="674" w:type="pct"/>
                  <w:vAlign w:val="center"/>
                </w:tcPr>
                <w:p>
                  <w:pPr>
                    <w:jc w:val="center"/>
                    <w:rPr>
                      <w:color w:val="auto"/>
                      <w:sz w:val="18"/>
                      <w:szCs w:val="18"/>
                      <w:highlight w:val="none"/>
                    </w:rPr>
                  </w:pPr>
                  <w:r>
                    <w:rPr>
                      <w:color w:val="auto"/>
                      <w:sz w:val="18"/>
                      <w:szCs w:val="18"/>
                      <w:highlight w:val="none"/>
                    </w:rPr>
                    <w:t>污水处理站栅渣</w:t>
                  </w:r>
                </w:p>
              </w:tc>
              <w:tc>
                <w:tcPr>
                  <w:tcW w:w="505" w:type="pct"/>
                  <w:vAlign w:val="center"/>
                </w:tcPr>
                <w:p>
                  <w:pPr>
                    <w:jc w:val="center"/>
                    <w:rPr>
                      <w:color w:val="auto"/>
                      <w:sz w:val="18"/>
                      <w:szCs w:val="18"/>
                      <w:highlight w:val="none"/>
                    </w:rPr>
                  </w:pPr>
                  <w:r>
                    <w:rPr>
                      <w:color w:val="auto"/>
                      <w:sz w:val="18"/>
                      <w:szCs w:val="18"/>
                      <w:highlight w:val="none"/>
                    </w:rPr>
                    <w:t>HW01</w:t>
                  </w:r>
                </w:p>
              </w:tc>
              <w:tc>
                <w:tcPr>
                  <w:tcW w:w="674" w:type="pct"/>
                  <w:vAlign w:val="center"/>
                </w:tcPr>
                <w:p>
                  <w:pPr>
                    <w:jc w:val="center"/>
                    <w:rPr>
                      <w:color w:val="auto"/>
                      <w:sz w:val="18"/>
                      <w:szCs w:val="18"/>
                      <w:highlight w:val="none"/>
                    </w:rPr>
                  </w:pPr>
                  <w:r>
                    <w:rPr>
                      <w:color w:val="auto"/>
                      <w:sz w:val="18"/>
                      <w:szCs w:val="18"/>
                      <w:highlight w:val="none"/>
                    </w:rPr>
                    <w:t>841-001-01</w:t>
                  </w:r>
                </w:p>
              </w:tc>
              <w:tc>
                <w:tcPr>
                  <w:tcW w:w="421" w:type="pct"/>
                  <w:vMerge w:val="continue"/>
                  <w:vAlign w:val="center"/>
                </w:tcPr>
                <w:p>
                  <w:pPr>
                    <w:jc w:val="center"/>
                    <w:rPr>
                      <w:color w:val="auto"/>
                      <w:sz w:val="18"/>
                      <w:szCs w:val="18"/>
                      <w:highlight w:val="none"/>
                    </w:rPr>
                  </w:pPr>
                </w:p>
              </w:tc>
              <w:tc>
                <w:tcPr>
                  <w:tcW w:w="506" w:type="pct"/>
                  <w:vMerge w:val="continue"/>
                  <w:vAlign w:val="center"/>
                </w:tcPr>
                <w:p>
                  <w:pPr>
                    <w:jc w:val="center"/>
                    <w:rPr>
                      <w:color w:val="auto"/>
                      <w:sz w:val="18"/>
                      <w:szCs w:val="18"/>
                      <w:highlight w:val="none"/>
                    </w:rPr>
                  </w:pPr>
                </w:p>
              </w:tc>
              <w:tc>
                <w:tcPr>
                  <w:tcW w:w="589" w:type="pct"/>
                  <w:vAlign w:val="center"/>
                </w:tcPr>
                <w:p>
                  <w:pPr>
                    <w:jc w:val="center"/>
                    <w:rPr>
                      <w:color w:val="auto"/>
                      <w:sz w:val="18"/>
                      <w:szCs w:val="18"/>
                      <w:highlight w:val="none"/>
                    </w:rPr>
                  </w:pPr>
                  <w:r>
                    <w:rPr>
                      <w:color w:val="auto"/>
                      <w:sz w:val="18"/>
                      <w:szCs w:val="18"/>
                      <w:highlight w:val="none"/>
                    </w:rPr>
                    <w:t>桶装</w:t>
                  </w:r>
                </w:p>
              </w:tc>
              <w:tc>
                <w:tcPr>
                  <w:tcW w:w="579" w:type="pct"/>
                  <w:vMerge w:val="continue"/>
                  <w:vAlign w:val="center"/>
                </w:tcPr>
                <w:p>
                  <w:pPr>
                    <w:jc w:val="center"/>
                    <w:rPr>
                      <w:color w:val="auto"/>
                      <w:sz w:val="18"/>
                      <w:szCs w:val="18"/>
                      <w:highlight w:val="none"/>
                    </w:rPr>
                  </w:pPr>
                </w:p>
              </w:tc>
              <w:tc>
                <w:tcPr>
                  <w:tcW w:w="630" w:type="pct"/>
                  <w:vAlign w:val="center"/>
                </w:tcPr>
                <w:p>
                  <w:pPr>
                    <w:jc w:val="center"/>
                    <w:rPr>
                      <w:color w:val="auto"/>
                      <w:sz w:val="18"/>
                      <w:szCs w:val="18"/>
                      <w:highlight w:val="none"/>
                    </w:rPr>
                  </w:pPr>
                  <w:r>
                    <w:rPr>
                      <w:color w:val="auto"/>
                      <w:sz w:val="18"/>
                      <w:szCs w:val="18"/>
                      <w:highlight w:val="none"/>
                    </w:rPr>
                    <w:t>即产即转移</w:t>
                  </w:r>
                </w:p>
              </w:tc>
            </w:tr>
          </w:tbl>
          <w:p>
            <w:pPr>
              <w:pStyle w:val="62"/>
              <w:ind w:firstLine="420"/>
              <w:rPr>
                <w:color w:val="auto"/>
                <w:sz w:val="21"/>
                <w:szCs w:val="21"/>
                <w:highlight w:val="none"/>
              </w:rPr>
            </w:pPr>
            <w:r>
              <w:rPr>
                <w:color w:val="auto"/>
                <w:sz w:val="21"/>
                <w:szCs w:val="21"/>
                <w:highlight w:val="none"/>
              </w:rPr>
              <w:t>由上表可以看出</w:t>
            </w:r>
            <w:r>
              <w:rPr>
                <w:rFonts w:hint="eastAsia"/>
                <w:color w:val="auto"/>
                <w:sz w:val="21"/>
                <w:szCs w:val="21"/>
                <w:highlight w:val="none"/>
              </w:rPr>
              <w:t>，</w:t>
            </w:r>
            <w:r>
              <w:rPr>
                <w:color w:val="auto"/>
                <w:sz w:val="21"/>
                <w:szCs w:val="21"/>
                <w:highlight w:val="none"/>
              </w:rPr>
              <w:t>本项目危险废物贮存周期为</w:t>
            </w:r>
            <w:r>
              <w:rPr>
                <w:rFonts w:hint="eastAsia"/>
                <w:color w:val="auto"/>
                <w:sz w:val="21"/>
                <w:szCs w:val="21"/>
                <w:highlight w:val="none"/>
              </w:rPr>
              <w:t>2d，转运频次为2d/次，危废间贮存能力为</w:t>
            </w:r>
            <w:r>
              <w:rPr>
                <w:rFonts w:hint="eastAsia"/>
                <w:color w:val="auto"/>
                <w:sz w:val="21"/>
                <w:szCs w:val="21"/>
                <w:highlight w:val="none"/>
                <w:lang w:val="en-US" w:eastAsia="zh-CN"/>
              </w:rPr>
              <w:t>20</w:t>
            </w:r>
            <w:r>
              <w:rPr>
                <w:rFonts w:hint="eastAsia"/>
                <w:color w:val="auto"/>
                <w:sz w:val="21"/>
                <w:szCs w:val="21"/>
                <w:highlight w:val="none"/>
              </w:rPr>
              <w:t>t，危废间能够满足项目危险废物临时贮存的需求。</w:t>
            </w:r>
          </w:p>
          <w:p>
            <w:pPr>
              <w:pStyle w:val="62"/>
              <w:ind w:firstLine="422"/>
              <w:rPr>
                <w:b/>
                <w:color w:val="auto"/>
                <w:sz w:val="21"/>
                <w:szCs w:val="21"/>
                <w:highlight w:val="none"/>
              </w:rPr>
            </w:pPr>
            <w:r>
              <w:rPr>
                <w:b/>
                <w:color w:val="auto"/>
                <w:sz w:val="21"/>
                <w:szCs w:val="21"/>
                <w:highlight w:val="none"/>
              </w:rPr>
              <w:t>4.2危废暂存间</w:t>
            </w:r>
            <w:r>
              <w:rPr>
                <w:rFonts w:hint="eastAsia"/>
                <w:b/>
                <w:color w:val="auto"/>
                <w:sz w:val="21"/>
                <w:szCs w:val="21"/>
                <w:highlight w:val="none"/>
              </w:rPr>
              <w:t>建设及合规性分析</w:t>
            </w:r>
          </w:p>
          <w:p>
            <w:pPr>
              <w:pStyle w:val="62"/>
              <w:ind w:firstLine="420"/>
              <w:rPr>
                <w:color w:val="auto"/>
                <w:sz w:val="21"/>
                <w:szCs w:val="21"/>
                <w:highlight w:val="none"/>
              </w:rPr>
            </w:pPr>
            <w:r>
              <w:rPr>
                <w:color w:val="auto"/>
                <w:sz w:val="21"/>
                <w:szCs w:val="21"/>
                <w:highlight w:val="none"/>
              </w:rPr>
              <w:t>本项目院区</w:t>
            </w:r>
            <w:r>
              <w:rPr>
                <w:rFonts w:hint="eastAsia"/>
                <w:color w:val="auto"/>
                <w:sz w:val="21"/>
                <w:szCs w:val="21"/>
                <w:highlight w:val="none"/>
                <w:lang w:val="en-US" w:eastAsia="zh-CN"/>
              </w:rPr>
              <w:t>-1层东北侧</w:t>
            </w:r>
            <w:r>
              <w:rPr>
                <w:color w:val="auto"/>
                <w:sz w:val="21"/>
                <w:szCs w:val="21"/>
                <w:highlight w:val="none"/>
              </w:rPr>
              <w:t>建有1座</w:t>
            </w:r>
            <w:r>
              <w:rPr>
                <w:rFonts w:hint="eastAsia"/>
                <w:color w:val="auto"/>
                <w:sz w:val="21"/>
                <w:szCs w:val="21"/>
                <w:highlight w:val="none"/>
                <w:lang w:eastAsia="zh-CN"/>
              </w:rPr>
              <w:t>70m</w:t>
            </w:r>
            <w:r>
              <w:rPr>
                <w:color w:val="auto"/>
                <w:sz w:val="21"/>
                <w:szCs w:val="21"/>
                <w:highlight w:val="none"/>
                <w:vertAlign w:val="superscript"/>
              </w:rPr>
              <w:t>2</w:t>
            </w:r>
            <w:r>
              <w:rPr>
                <w:color w:val="auto"/>
                <w:sz w:val="21"/>
                <w:szCs w:val="21"/>
                <w:highlight w:val="none"/>
              </w:rPr>
              <w:t>的危废间内，危险废物贮存能力可达</w:t>
            </w:r>
            <w:r>
              <w:rPr>
                <w:rFonts w:hint="eastAsia"/>
                <w:color w:val="auto"/>
                <w:sz w:val="21"/>
                <w:szCs w:val="21"/>
                <w:highlight w:val="none"/>
                <w:lang w:val="en-US" w:eastAsia="zh-CN"/>
              </w:rPr>
              <w:t>20</w:t>
            </w:r>
            <w:r>
              <w:rPr>
                <w:color w:val="auto"/>
                <w:sz w:val="21"/>
                <w:szCs w:val="21"/>
                <w:highlight w:val="none"/>
              </w:rPr>
              <w:t>t。院内危废产生量最大为</w:t>
            </w:r>
            <w:r>
              <w:rPr>
                <w:rFonts w:hint="eastAsia"/>
                <w:color w:val="auto"/>
                <w:sz w:val="21"/>
                <w:szCs w:val="21"/>
                <w:highlight w:val="none"/>
                <w:lang w:val="en-US" w:eastAsia="zh-CN"/>
              </w:rPr>
              <w:t>187.6</w:t>
            </w:r>
            <w:r>
              <w:rPr>
                <w:color w:val="auto"/>
                <w:sz w:val="21"/>
                <w:szCs w:val="21"/>
                <w:highlight w:val="none"/>
              </w:rPr>
              <w:t>t/a，医疗废物转运频次为</w:t>
            </w:r>
            <w:r>
              <w:rPr>
                <w:rFonts w:hint="eastAsia"/>
                <w:color w:val="auto"/>
                <w:sz w:val="21"/>
                <w:szCs w:val="21"/>
                <w:highlight w:val="none"/>
              </w:rPr>
              <w:t>2d/次，污水处理站污泥</w:t>
            </w:r>
            <w:r>
              <w:rPr>
                <w:rFonts w:hint="eastAsia"/>
                <w:color w:val="auto"/>
                <w:sz w:val="21"/>
                <w:szCs w:val="21"/>
                <w:highlight w:val="none"/>
                <w:lang w:val="en-US" w:eastAsia="zh-CN"/>
              </w:rPr>
              <w:t>及</w:t>
            </w:r>
            <w:r>
              <w:rPr>
                <w:rFonts w:hint="eastAsia"/>
                <w:color w:val="auto"/>
                <w:sz w:val="21"/>
                <w:szCs w:val="21"/>
                <w:highlight w:val="none"/>
              </w:rPr>
              <w:t>污水处理站栅渣即产即转移</w:t>
            </w:r>
            <w:r>
              <w:rPr>
                <w:rFonts w:hint="eastAsia"/>
                <w:color w:val="auto"/>
                <w:sz w:val="21"/>
                <w:szCs w:val="21"/>
                <w:highlight w:val="none"/>
                <w:lang w:eastAsia="zh-CN"/>
              </w:rPr>
              <w:t>。</w:t>
            </w:r>
            <w:r>
              <w:rPr>
                <w:color w:val="auto"/>
                <w:sz w:val="21"/>
                <w:szCs w:val="21"/>
                <w:highlight w:val="none"/>
              </w:rPr>
              <w:t>危废暂存间完全有能力可以容纳本项目危废暂存。</w:t>
            </w:r>
          </w:p>
          <w:p>
            <w:pPr>
              <w:pStyle w:val="62"/>
              <w:ind w:firstLine="422"/>
              <w:rPr>
                <w:b/>
                <w:color w:val="auto"/>
                <w:sz w:val="21"/>
                <w:szCs w:val="21"/>
                <w:highlight w:val="none"/>
              </w:rPr>
            </w:pPr>
            <w:r>
              <w:rPr>
                <w:b/>
                <w:color w:val="auto"/>
                <w:sz w:val="21"/>
                <w:szCs w:val="21"/>
                <w:highlight w:val="none"/>
              </w:rPr>
              <w:t>4.3 固体废物环境管理要求及措施</w:t>
            </w:r>
          </w:p>
          <w:p>
            <w:pPr>
              <w:pStyle w:val="62"/>
              <w:ind w:firstLine="420"/>
              <w:rPr>
                <w:color w:val="auto"/>
                <w:sz w:val="21"/>
                <w:szCs w:val="21"/>
                <w:highlight w:val="none"/>
              </w:rPr>
            </w:pPr>
            <w:r>
              <w:rPr>
                <w:color w:val="auto"/>
                <w:sz w:val="21"/>
                <w:szCs w:val="21"/>
                <w:highlight w:val="none"/>
              </w:rPr>
              <w:t>一、一般固体废物</w:t>
            </w:r>
          </w:p>
          <w:p>
            <w:pPr>
              <w:pStyle w:val="62"/>
              <w:ind w:firstLine="420"/>
              <w:rPr>
                <w:color w:val="auto"/>
                <w:sz w:val="21"/>
                <w:szCs w:val="21"/>
                <w:highlight w:val="none"/>
              </w:rPr>
            </w:pPr>
            <w:r>
              <w:rPr>
                <w:color w:val="auto"/>
                <w:sz w:val="21"/>
                <w:szCs w:val="21"/>
                <w:highlight w:val="none"/>
              </w:rPr>
              <w:t>一般固体废物执行《一般工业固体废物贮存和填埋污染控制标准》（GB18599-2020）。贮存区采取防风防雨措施，各类固废应分类收集，贮存区按照《环境保护图形标志——固体废物贮存（处置）场》(GB15562.2)的要求设置环保图形标志；指定专人进行日常管理。</w:t>
            </w:r>
          </w:p>
          <w:p>
            <w:pPr>
              <w:pStyle w:val="62"/>
              <w:ind w:firstLine="420"/>
              <w:rPr>
                <w:color w:val="auto"/>
                <w:sz w:val="21"/>
                <w:szCs w:val="21"/>
                <w:highlight w:val="none"/>
              </w:rPr>
            </w:pPr>
            <w:r>
              <w:rPr>
                <w:color w:val="auto"/>
                <w:sz w:val="21"/>
                <w:szCs w:val="21"/>
                <w:highlight w:val="none"/>
              </w:rPr>
              <w:t>二、危险废物</w:t>
            </w:r>
          </w:p>
          <w:p>
            <w:pPr>
              <w:pStyle w:val="62"/>
              <w:ind w:firstLine="420"/>
              <w:rPr>
                <w:color w:val="auto"/>
                <w:sz w:val="21"/>
                <w:szCs w:val="21"/>
                <w:highlight w:val="none"/>
              </w:rPr>
            </w:pPr>
            <w:r>
              <w:rPr>
                <w:color w:val="auto"/>
                <w:sz w:val="21"/>
                <w:szCs w:val="21"/>
                <w:highlight w:val="none"/>
              </w:rPr>
              <w:t>危险废物执行《危险废物贮存污染控制标准》（GB 18597-20</w:t>
            </w:r>
            <w:r>
              <w:rPr>
                <w:rFonts w:hint="eastAsia"/>
                <w:color w:val="auto"/>
                <w:sz w:val="21"/>
                <w:szCs w:val="21"/>
                <w:highlight w:val="none"/>
                <w:lang w:val="en-US" w:eastAsia="zh-CN"/>
              </w:rPr>
              <w:t>23</w:t>
            </w:r>
            <w:r>
              <w:rPr>
                <w:color w:val="auto"/>
                <w:sz w:val="21"/>
                <w:szCs w:val="21"/>
                <w:highlight w:val="none"/>
              </w:rPr>
              <w:t>）及《山东省医疗机构污染物排放控制标准》（DB37/596-2020）的要求。</w:t>
            </w:r>
          </w:p>
          <w:p>
            <w:pPr>
              <w:pStyle w:val="62"/>
              <w:ind w:firstLine="420"/>
              <w:rPr>
                <w:color w:val="auto"/>
                <w:sz w:val="21"/>
                <w:szCs w:val="21"/>
                <w:highlight w:val="none"/>
                <w:lang w:val="zh-CN"/>
              </w:rPr>
            </w:pPr>
            <w:r>
              <w:rPr>
                <w:rFonts w:hint="eastAsia"/>
                <w:color w:val="auto"/>
                <w:sz w:val="21"/>
                <w:szCs w:val="21"/>
                <w:highlight w:val="none"/>
                <w:lang w:val="zh-CN"/>
              </w:rPr>
              <w:t>企业</w:t>
            </w:r>
            <w:r>
              <w:rPr>
                <w:color w:val="auto"/>
                <w:sz w:val="21"/>
                <w:szCs w:val="21"/>
                <w:highlight w:val="none"/>
                <w:lang w:val="zh-CN"/>
              </w:rPr>
              <w:t>危废管理须符合以下要求：</w:t>
            </w:r>
          </w:p>
          <w:p>
            <w:pPr>
              <w:pStyle w:val="62"/>
              <w:ind w:firstLine="420"/>
              <w:rPr>
                <w:color w:val="auto"/>
                <w:sz w:val="21"/>
                <w:szCs w:val="21"/>
                <w:highlight w:val="none"/>
                <w:lang w:val="zh-CN"/>
              </w:rPr>
            </w:pPr>
            <w:r>
              <w:rPr>
                <w:color w:val="auto"/>
                <w:sz w:val="21"/>
                <w:szCs w:val="21"/>
                <w:highlight w:val="none"/>
                <w:lang w:val="zh-CN"/>
              </w:rPr>
              <w:t>1、医疗废物分类收集</w:t>
            </w:r>
          </w:p>
          <w:p>
            <w:pPr>
              <w:pStyle w:val="62"/>
              <w:ind w:firstLine="420"/>
              <w:rPr>
                <w:color w:val="auto"/>
                <w:sz w:val="21"/>
                <w:szCs w:val="21"/>
                <w:highlight w:val="none"/>
                <w:lang w:val="zh-CN"/>
              </w:rPr>
            </w:pPr>
            <w:r>
              <w:rPr>
                <w:color w:val="auto"/>
                <w:sz w:val="21"/>
                <w:szCs w:val="21"/>
                <w:highlight w:val="none"/>
                <w:lang w:val="zh-CN"/>
              </w:rPr>
              <w:t>（1）本项目产生的医疗废物分为感染性废物、病理性废物、损伤性废物、药物性废物和化学性废物，院方应对医疗废物实施分类收集，不得混合收集。</w:t>
            </w:r>
          </w:p>
          <w:p>
            <w:pPr>
              <w:pStyle w:val="62"/>
              <w:ind w:firstLine="420"/>
              <w:rPr>
                <w:color w:val="auto"/>
                <w:sz w:val="21"/>
                <w:szCs w:val="21"/>
                <w:highlight w:val="none"/>
                <w:lang w:val="zh-CN"/>
              </w:rPr>
            </w:pPr>
            <w:r>
              <w:rPr>
                <w:color w:val="auto"/>
                <w:sz w:val="21"/>
                <w:szCs w:val="21"/>
                <w:highlight w:val="none"/>
                <w:lang w:val="zh-CN"/>
              </w:rPr>
              <w:t>（2）根据医疗废物的类别，将医疗废物分置于符合《医疗废物专用包装物、容器的标准和警示标识的规定》（环发［2003］188号）的包装物或者容器内（包装袋、利器盒和周转箱（桶））；在盛装医疗废物前，应当对医疗废物包装物或者容器进行认真检查，确保无破损、渗漏和其它缺陷。</w:t>
            </w:r>
          </w:p>
          <w:p>
            <w:pPr>
              <w:pStyle w:val="62"/>
              <w:ind w:firstLine="420"/>
              <w:rPr>
                <w:color w:val="auto"/>
                <w:sz w:val="21"/>
                <w:szCs w:val="21"/>
                <w:highlight w:val="none"/>
                <w:lang w:val="zh-CN"/>
              </w:rPr>
            </w:pPr>
            <w:r>
              <w:rPr>
                <w:color w:val="auto"/>
                <w:sz w:val="21"/>
                <w:szCs w:val="21"/>
                <w:highlight w:val="none"/>
                <w:lang w:val="zh-CN"/>
              </w:rPr>
              <w:t>（3）院区管理上做到日出日清。</w:t>
            </w:r>
          </w:p>
          <w:p>
            <w:pPr>
              <w:pStyle w:val="62"/>
              <w:ind w:firstLine="420"/>
              <w:rPr>
                <w:color w:val="auto"/>
                <w:sz w:val="21"/>
                <w:szCs w:val="21"/>
                <w:highlight w:val="none"/>
                <w:lang w:val="zh-CN"/>
              </w:rPr>
            </w:pPr>
            <w:r>
              <w:rPr>
                <w:color w:val="auto"/>
                <w:sz w:val="21"/>
                <w:szCs w:val="21"/>
                <w:highlight w:val="none"/>
                <w:lang w:val="zh-CN"/>
              </w:rPr>
              <w:t>（4）对医疗废物的处理应按要求将医疗垃圾分类，用塑料袋包装，确保不破不漏，用专用垃圾储存箱存放，加锁封存，然后由专业医疗垃圾处理公司承担医疗废弃物运输和集中处置工作，定时到医院开锁收取医疗垃圾，按规定消毒、运输及处置。</w:t>
            </w:r>
          </w:p>
          <w:p>
            <w:pPr>
              <w:pStyle w:val="62"/>
              <w:ind w:firstLine="420"/>
              <w:rPr>
                <w:color w:val="auto"/>
                <w:sz w:val="21"/>
                <w:szCs w:val="21"/>
                <w:highlight w:val="none"/>
                <w:lang w:val="zh-CN"/>
              </w:rPr>
            </w:pPr>
            <w:r>
              <w:rPr>
                <w:color w:val="auto"/>
                <w:sz w:val="21"/>
                <w:szCs w:val="21"/>
                <w:highlight w:val="none"/>
                <w:lang w:val="zh-CN"/>
              </w:rPr>
              <w:t>（5）医疗废物转交出去后，每天及时对暂时贮存地点、设施及时进行清洁和消毒处理。</w:t>
            </w:r>
          </w:p>
          <w:p>
            <w:pPr>
              <w:pStyle w:val="62"/>
              <w:ind w:firstLine="420"/>
              <w:rPr>
                <w:color w:val="auto"/>
                <w:sz w:val="21"/>
                <w:szCs w:val="21"/>
                <w:highlight w:val="none"/>
                <w:lang w:val="zh-CN"/>
              </w:rPr>
            </w:pPr>
            <w:r>
              <w:rPr>
                <w:color w:val="auto"/>
                <w:sz w:val="21"/>
                <w:szCs w:val="21"/>
                <w:highlight w:val="none"/>
                <w:lang w:val="zh-CN"/>
              </w:rPr>
              <w:t>2、危险废物贮存</w:t>
            </w:r>
          </w:p>
          <w:p>
            <w:pPr>
              <w:pStyle w:val="62"/>
              <w:ind w:firstLine="420"/>
              <w:rPr>
                <w:color w:val="auto"/>
                <w:sz w:val="21"/>
                <w:szCs w:val="21"/>
                <w:highlight w:val="none"/>
                <w:lang w:val="zh-CN"/>
              </w:rPr>
            </w:pPr>
            <w:r>
              <w:rPr>
                <w:color w:val="auto"/>
                <w:sz w:val="21"/>
                <w:szCs w:val="21"/>
                <w:highlight w:val="none"/>
                <w:lang w:val="zh-CN"/>
              </w:rPr>
              <w:t>（1）医疗废物用专用容器密闭盛装，根据《医疗废物管理条例》，医疗废物暂存时间不超过2天。</w:t>
            </w:r>
          </w:p>
          <w:p>
            <w:pPr>
              <w:pStyle w:val="62"/>
              <w:ind w:firstLine="420"/>
              <w:rPr>
                <w:color w:val="auto"/>
                <w:sz w:val="21"/>
                <w:szCs w:val="21"/>
                <w:highlight w:val="none"/>
                <w:lang w:val="zh-CN"/>
              </w:rPr>
            </w:pPr>
            <w:r>
              <w:rPr>
                <w:color w:val="auto"/>
                <w:sz w:val="21"/>
                <w:szCs w:val="21"/>
                <w:highlight w:val="none"/>
                <w:lang w:val="zh-CN"/>
              </w:rPr>
              <w:t>（2）项目危废暂存间按照《危险废物贮存污染控制标准》（GB18597-20</w:t>
            </w:r>
            <w:r>
              <w:rPr>
                <w:rFonts w:hint="eastAsia"/>
                <w:color w:val="auto"/>
                <w:sz w:val="21"/>
                <w:szCs w:val="21"/>
                <w:highlight w:val="none"/>
                <w:lang w:val="en-US" w:eastAsia="zh-CN"/>
              </w:rPr>
              <w:t>23</w:t>
            </w:r>
            <w:r>
              <w:rPr>
                <w:color w:val="auto"/>
                <w:sz w:val="21"/>
                <w:szCs w:val="21"/>
                <w:highlight w:val="none"/>
                <w:lang w:val="zh-CN"/>
              </w:rPr>
              <w:t>）进行建设，落实</w:t>
            </w:r>
            <w:r>
              <w:rPr>
                <w:rFonts w:hint="eastAsia"/>
                <w:color w:val="auto"/>
                <w:sz w:val="21"/>
                <w:szCs w:val="21"/>
                <w:highlight w:val="none"/>
                <w:lang w:val="zh-CN"/>
              </w:rPr>
              <w:t>“</w:t>
            </w:r>
            <w:r>
              <w:rPr>
                <w:color w:val="auto"/>
                <w:sz w:val="21"/>
                <w:szCs w:val="21"/>
                <w:highlight w:val="none"/>
                <w:lang w:val="zh-CN"/>
              </w:rPr>
              <w:t>防雨、防风、防晒、防渗漏</w:t>
            </w:r>
            <w:r>
              <w:rPr>
                <w:rFonts w:hint="eastAsia"/>
                <w:color w:val="auto"/>
                <w:sz w:val="21"/>
                <w:szCs w:val="21"/>
                <w:highlight w:val="none"/>
                <w:lang w:val="zh-CN"/>
              </w:rPr>
              <w:t>”</w:t>
            </w:r>
            <w:r>
              <w:rPr>
                <w:color w:val="auto"/>
                <w:sz w:val="21"/>
                <w:szCs w:val="21"/>
                <w:highlight w:val="none"/>
                <w:lang w:val="zh-CN"/>
              </w:rPr>
              <w:t>等措施。危废暂存间在日常运营过程中应注意以下几点，具体有：</w:t>
            </w:r>
          </w:p>
          <w:p>
            <w:pPr>
              <w:pStyle w:val="62"/>
              <w:ind w:firstLine="420"/>
              <w:rPr>
                <w:color w:val="auto"/>
                <w:sz w:val="21"/>
                <w:szCs w:val="21"/>
                <w:highlight w:val="none"/>
                <w:lang w:val="zh-CN"/>
              </w:rPr>
            </w:pPr>
            <w:r>
              <w:rPr>
                <w:rFonts w:hint="eastAsia" w:ascii="宋体" w:hAnsi="宋体" w:cs="宋体"/>
                <w:color w:val="auto"/>
                <w:sz w:val="21"/>
                <w:szCs w:val="21"/>
                <w:highlight w:val="none"/>
                <w:lang w:val="zh-CN"/>
              </w:rPr>
              <w:t>①</w:t>
            </w:r>
            <w:r>
              <w:rPr>
                <w:color w:val="auto"/>
                <w:sz w:val="21"/>
                <w:szCs w:val="21"/>
                <w:highlight w:val="none"/>
                <w:lang w:val="zh-CN"/>
              </w:rPr>
              <w:t>根据危废按照不同的类别和性质，危废应分别存放于专门的容器中（防渗），不同类别危废分区堆放，堆放时从第一堆放区开始堆放，依次类推，每个贮存区域之间留出搬运通道。</w:t>
            </w:r>
          </w:p>
          <w:p>
            <w:pPr>
              <w:pStyle w:val="62"/>
              <w:ind w:firstLine="420"/>
              <w:rPr>
                <w:color w:val="auto"/>
                <w:sz w:val="21"/>
                <w:szCs w:val="21"/>
                <w:highlight w:val="none"/>
                <w:lang w:val="zh-CN"/>
              </w:rPr>
            </w:pPr>
            <w:r>
              <w:rPr>
                <w:rFonts w:hint="eastAsia" w:ascii="宋体" w:hAnsi="宋体" w:cs="宋体"/>
                <w:color w:val="auto"/>
                <w:sz w:val="21"/>
                <w:szCs w:val="21"/>
                <w:highlight w:val="none"/>
                <w:lang w:val="zh-CN"/>
              </w:rPr>
              <w:t>②</w:t>
            </w:r>
            <w:r>
              <w:rPr>
                <w:color w:val="auto"/>
                <w:sz w:val="21"/>
                <w:szCs w:val="21"/>
                <w:highlight w:val="none"/>
                <w:lang w:val="zh-CN"/>
              </w:rPr>
              <w:t>暂存库应由专业人员操作，单独收集和贮运，严格执行《危险废物收集贮存运输技术规范》（HJ2025-2012）和《危险废物转移联单管理办法》，并制定好危险废物转移运输途中的污染防范及事故应急措施，严格按照要求办理有关手续。</w:t>
            </w:r>
          </w:p>
          <w:p>
            <w:pPr>
              <w:pStyle w:val="62"/>
              <w:ind w:firstLine="420"/>
              <w:rPr>
                <w:color w:val="auto"/>
                <w:sz w:val="21"/>
                <w:szCs w:val="21"/>
                <w:highlight w:val="none"/>
                <w:lang w:val="zh-CN"/>
              </w:rPr>
            </w:pPr>
            <w:r>
              <w:rPr>
                <w:rFonts w:hint="eastAsia" w:ascii="宋体" w:hAnsi="宋体" w:cs="宋体"/>
                <w:color w:val="auto"/>
                <w:sz w:val="21"/>
                <w:szCs w:val="21"/>
                <w:highlight w:val="none"/>
                <w:lang w:val="zh-CN"/>
              </w:rPr>
              <w:t>③</w:t>
            </w:r>
            <w:r>
              <w:rPr>
                <w:color w:val="auto"/>
                <w:sz w:val="21"/>
                <w:szCs w:val="21"/>
                <w:highlight w:val="none"/>
                <w:lang w:val="zh-CN"/>
              </w:rPr>
              <w:t>医疗废物暂存库应按照《环境保护图形标志一固体废物贮存（处置场）（GB15562.2-1995）标准及各级生态环境管理部门相关要求设置明显的标识牌。</w:t>
            </w:r>
          </w:p>
          <w:p>
            <w:pPr>
              <w:pStyle w:val="62"/>
              <w:ind w:firstLine="420"/>
              <w:rPr>
                <w:rFonts w:hint="eastAsia" w:eastAsia="宋体"/>
                <w:color w:val="auto"/>
                <w:sz w:val="21"/>
                <w:szCs w:val="21"/>
                <w:highlight w:val="none"/>
                <w:lang w:val="en-US" w:eastAsia="zh-CN"/>
              </w:rPr>
            </w:pPr>
            <w:r>
              <w:rPr>
                <w:rFonts w:hint="eastAsia"/>
                <w:color w:val="auto"/>
                <w:sz w:val="21"/>
                <w:szCs w:val="21"/>
                <w:highlight w:val="none"/>
                <w:lang w:val="zh-CN"/>
              </w:rPr>
              <w:t>（</w:t>
            </w:r>
            <w:r>
              <w:rPr>
                <w:rFonts w:hint="eastAsia"/>
                <w:color w:val="auto"/>
                <w:sz w:val="21"/>
                <w:szCs w:val="21"/>
                <w:highlight w:val="none"/>
                <w:lang w:val="en-US" w:eastAsia="zh-CN"/>
              </w:rPr>
              <w:t>3</w:t>
            </w:r>
            <w:r>
              <w:rPr>
                <w:rFonts w:hint="eastAsia"/>
                <w:color w:val="auto"/>
                <w:sz w:val="21"/>
                <w:szCs w:val="21"/>
                <w:highlight w:val="none"/>
                <w:lang w:val="zh-CN"/>
              </w:rPr>
              <w:t>）</w:t>
            </w:r>
            <w:r>
              <w:rPr>
                <w:rFonts w:hint="eastAsia"/>
                <w:color w:val="auto"/>
                <w:sz w:val="21"/>
                <w:szCs w:val="21"/>
                <w:highlight w:val="none"/>
                <w:lang w:val="en-US" w:eastAsia="zh-CN"/>
              </w:rPr>
              <w:t>根据《排污许可证申请与核发技术规范 医疗机构》(HJ1105-2020)对各类固废的处理要求，严格按规范执行。医疗机构具体的危险废物种类和处理方式见下表。</w:t>
            </w:r>
          </w:p>
          <w:p>
            <w:pPr>
              <w:spacing w:line="360" w:lineRule="auto"/>
              <w:ind w:firstLine="420"/>
              <w:jc w:val="center"/>
              <w:rPr>
                <w:b/>
                <w:bCs/>
                <w:color w:val="auto"/>
                <w:szCs w:val="21"/>
                <w:highlight w:val="none"/>
              </w:rPr>
            </w:pPr>
            <w:r>
              <w:rPr>
                <w:b/>
                <w:bCs/>
                <w:color w:val="auto"/>
                <w:szCs w:val="21"/>
                <w:highlight w:val="none"/>
              </w:rPr>
              <w:t>表4-</w:t>
            </w:r>
            <w:r>
              <w:rPr>
                <w:rFonts w:hint="eastAsia"/>
                <w:b/>
                <w:bCs/>
                <w:color w:val="auto"/>
                <w:szCs w:val="21"/>
                <w:highlight w:val="none"/>
                <w:lang w:val="en-US" w:eastAsia="zh-CN"/>
              </w:rPr>
              <w:t>31</w:t>
            </w:r>
            <w:r>
              <w:rPr>
                <w:b/>
                <w:bCs/>
                <w:color w:val="auto"/>
                <w:szCs w:val="21"/>
                <w:highlight w:val="none"/>
              </w:rPr>
              <w:t xml:space="preserve">  医疗机构排污单位危险废物种类和处理方式表</w:t>
            </w:r>
          </w:p>
          <w:tbl>
            <w:tblPr>
              <w:tblStyle w:val="27"/>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317"/>
              <w:gridCol w:w="2171"/>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1" w:type="dxa"/>
                  <w:noWrap w:val="0"/>
                  <w:vAlign w:val="center"/>
                </w:tcPr>
                <w:p>
                  <w:pPr>
                    <w:jc w:val="center"/>
                    <w:rPr>
                      <w:rFonts w:ascii="Times New Roman" w:hAnsi="Times New Roman" w:eastAsia="宋体" w:cs="Times New Roman"/>
                      <w:color w:val="auto"/>
                      <w:sz w:val="18"/>
                      <w:szCs w:val="18"/>
                      <w:highlight w:val="none"/>
                      <w:lang w:val="zh-CN"/>
                    </w:rPr>
                  </w:pPr>
                  <w:r>
                    <w:rPr>
                      <w:rFonts w:ascii="Times New Roman" w:hAnsi="Times New Roman" w:eastAsia="宋体" w:cs="Times New Roman"/>
                      <w:color w:val="auto"/>
                      <w:sz w:val="18"/>
                      <w:szCs w:val="18"/>
                      <w:highlight w:val="none"/>
                    </w:rPr>
                    <w:t>危险废物种类</w:t>
                  </w:r>
                </w:p>
              </w:tc>
              <w:tc>
                <w:tcPr>
                  <w:tcW w:w="2317" w:type="dxa"/>
                  <w:noWrap w:val="0"/>
                  <w:vAlign w:val="center"/>
                </w:tcPr>
                <w:p>
                  <w:pPr>
                    <w:jc w:val="center"/>
                    <w:rPr>
                      <w:rFonts w:ascii="Times New Roman" w:hAnsi="Times New Roman" w:eastAsia="宋体" w:cs="Times New Roman"/>
                      <w:color w:val="auto"/>
                      <w:sz w:val="18"/>
                      <w:szCs w:val="18"/>
                      <w:highlight w:val="none"/>
                      <w:lang w:val="zh-CN"/>
                    </w:rPr>
                  </w:pPr>
                  <w:r>
                    <w:rPr>
                      <w:rFonts w:ascii="Times New Roman" w:hAnsi="Times New Roman" w:eastAsia="宋体" w:cs="Times New Roman"/>
                      <w:color w:val="auto"/>
                      <w:sz w:val="18"/>
                      <w:szCs w:val="18"/>
                      <w:highlight w:val="none"/>
                    </w:rPr>
                    <w:t>危险废物名称</w:t>
                  </w:r>
                </w:p>
              </w:tc>
              <w:tc>
                <w:tcPr>
                  <w:tcW w:w="2171" w:type="dxa"/>
                  <w:noWrap w:val="0"/>
                  <w:vAlign w:val="center"/>
                </w:tcPr>
                <w:p>
                  <w:pPr>
                    <w:jc w:val="center"/>
                    <w:rPr>
                      <w:rFonts w:ascii="Times New Roman" w:hAnsi="Times New Roman" w:eastAsia="宋体" w:cs="Times New Roman"/>
                      <w:color w:val="auto"/>
                      <w:sz w:val="18"/>
                      <w:szCs w:val="18"/>
                      <w:highlight w:val="none"/>
                      <w:lang w:val="zh-CN"/>
                    </w:rPr>
                  </w:pPr>
                  <w:r>
                    <w:rPr>
                      <w:rFonts w:ascii="Times New Roman" w:hAnsi="Times New Roman" w:eastAsia="宋体" w:cs="Times New Roman"/>
                      <w:color w:val="auto"/>
                      <w:sz w:val="18"/>
                      <w:szCs w:val="18"/>
                      <w:highlight w:val="none"/>
                    </w:rPr>
                    <w:t>处理措施</w:t>
                  </w:r>
                </w:p>
              </w:tc>
              <w:tc>
                <w:tcPr>
                  <w:tcW w:w="2578" w:type="dxa"/>
                  <w:noWrap w:val="0"/>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1" w:type="dxa"/>
                  <w:noWrap w:val="0"/>
                  <w:vAlign w:val="center"/>
                </w:tcPr>
                <w:p>
                  <w:pPr>
                    <w:jc w:val="center"/>
                    <w:rPr>
                      <w:rFonts w:ascii="Times New Roman" w:hAnsi="Times New Roman" w:eastAsia="宋体" w:cs="Times New Roman"/>
                      <w:color w:val="auto"/>
                      <w:sz w:val="18"/>
                      <w:szCs w:val="18"/>
                      <w:highlight w:val="none"/>
                      <w:lang w:val="zh-CN"/>
                    </w:rPr>
                  </w:pPr>
                  <w:r>
                    <w:rPr>
                      <w:rFonts w:ascii="Times New Roman" w:hAnsi="Times New Roman" w:eastAsia="宋体" w:cs="Times New Roman"/>
                      <w:color w:val="auto"/>
                      <w:sz w:val="18"/>
                      <w:szCs w:val="18"/>
                      <w:highlight w:val="none"/>
                    </w:rPr>
                    <w:t>HW01：医疗废物</w:t>
                  </w:r>
                </w:p>
              </w:tc>
              <w:tc>
                <w:tcPr>
                  <w:tcW w:w="2317" w:type="dxa"/>
                  <w:noWrap w:val="0"/>
                  <w:vAlign w:val="center"/>
                </w:tcPr>
                <w:p>
                  <w:pPr>
                    <w:jc w:val="center"/>
                    <w:rPr>
                      <w:rFonts w:hint="eastAsia" w:ascii="Times New Roman" w:hAnsi="Times New Roman" w:eastAsia="宋体" w:cs="Times New Roman"/>
                      <w:color w:val="auto"/>
                      <w:sz w:val="18"/>
                      <w:szCs w:val="18"/>
                      <w:highlight w:val="none"/>
                      <w:lang w:eastAsia="zh-CN"/>
                    </w:rPr>
                  </w:pPr>
                  <w:r>
                    <w:rPr>
                      <w:rFonts w:ascii="Times New Roman" w:hAnsi="Times New Roman" w:eastAsia="宋体" w:cs="Times New Roman"/>
                      <w:color w:val="auto"/>
                      <w:sz w:val="18"/>
                      <w:szCs w:val="18"/>
                      <w:highlight w:val="none"/>
                    </w:rPr>
                    <w:t>感染性废物(831-001-01)、损伤性废物 (831-002-01)、病理性废物(831-003-01)、 化学性废物(831-004-01)、药物性废物 (831-005-01)</w:t>
                  </w:r>
                </w:p>
              </w:tc>
              <w:tc>
                <w:tcPr>
                  <w:tcW w:w="2171" w:type="dxa"/>
                  <w:noWrap w:val="0"/>
                  <w:vAlign w:val="center"/>
                </w:tcPr>
                <w:p>
                  <w:pPr>
                    <w:jc w:val="center"/>
                    <w:rPr>
                      <w:rFonts w:ascii="Times New Roman" w:hAnsi="Times New Roman" w:eastAsia="宋体" w:cs="Times New Roman"/>
                      <w:color w:val="auto"/>
                      <w:sz w:val="18"/>
                      <w:szCs w:val="18"/>
                      <w:highlight w:val="none"/>
                      <w:lang w:val="zh-CN"/>
                    </w:rPr>
                  </w:pPr>
                  <w:r>
                    <w:rPr>
                      <w:rFonts w:ascii="Times New Roman" w:hAnsi="Times New Roman" w:eastAsia="宋体" w:cs="Times New Roman"/>
                      <w:color w:val="auto"/>
                      <w:sz w:val="18"/>
                      <w:szCs w:val="18"/>
                      <w:highlight w:val="none"/>
                    </w:rPr>
                    <w:t>分类收集包装，进入危废暂存间</w:t>
                  </w:r>
                </w:p>
              </w:tc>
              <w:tc>
                <w:tcPr>
                  <w:tcW w:w="2578" w:type="dxa"/>
                  <w:vMerge w:val="restart"/>
                  <w:noWrap w:val="0"/>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交由有资质的单位处置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21" w:type="dxa"/>
                  <w:noWrap w:val="0"/>
                  <w:vAlign w:val="center"/>
                </w:tcPr>
                <w:p>
                  <w:pPr>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污水处理站污泥</w:t>
                  </w:r>
                </w:p>
              </w:tc>
              <w:tc>
                <w:tcPr>
                  <w:tcW w:w="2317" w:type="dxa"/>
                  <w:noWrap w:val="0"/>
                  <w:vAlign w:val="center"/>
                </w:tcPr>
                <w:p>
                  <w:pPr>
                    <w:jc w:val="center"/>
                    <w:rPr>
                      <w:rFonts w:ascii="Times New Roman" w:hAnsi="Times New Roman" w:eastAsia="宋体" w:cs="Times New Roman"/>
                      <w:color w:val="auto"/>
                      <w:sz w:val="18"/>
                      <w:szCs w:val="18"/>
                      <w:highlight w:val="none"/>
                      <w:lang w:val="zh-CN"/>
                    </w:rPr>
                  </w:pPr>
                  <w:r>
                    <w:rPr>
                      <w:rFonts w:ascii="Times New Roman" w:hAnsi="Times New Roman" w:eastAsia="宋体" w:cs="Times New Roman"/>
                      <w:color w:val="auto"/>
                      <w:sz w:val="18"/>
                      <w:szCs w:val="18"/>
                      <w:highlight w:val="none"/>
                    </w:rPr>
                    <w:t>污水处理站污泥</w:t>
                  </w:r>
                </w:p>
              </w:tc>
              <w:tc>
                <w:tcPr>
                  <w:tcW w:w="2171" w:type="dxa"/>
                  <w:noWrap w:val="0"/>
                  <w:vAlign w:val="center"/>
                </w:tcPr>
                <w:p>
                  <w:pPr>
                    <w:jc w:val="center"/>
                    <w:rPr>
                      <w:rFonts w:ascii="Times New Roman" w:hAnsi="Times New Roman" w:eastAsia="宋体" w:cs="Times New Roman"/>
                      <w:color w:val="auto"/>
                      <w:sz w:val="18"/>
                      <w:szCs w:val="18"/>
                      <w:highlight w:val="none"/>
                      <w:lang w:val="zh-CN"/>
                    </w:rPr>
                  </w:pPr>
                  <w:r>
                    <w:rPr>
                      <w:rFonts w:ascii="Times New Roman" w:hAnsi="Times New Roman" w:eastAsia="宋体" w:cs="Times New Roman"/>
                      <w:color w:val="auto"/>
                      <w:sz w:val="18"/>
                      <w:szCs w:val="18"/>
                      <w:highlight w:val="none"/>
                    </w:rPr>
                    <w:t>消毒</w:t>
                  </w:r>
                </w:p>
              </w:tc>
              <w:tc>
                <w:tcPr>
                  <w:tcW w:w="2578" w:type="dxa"/>
                  <w:vMerge w:val="continue"/>
                  <w:noWrap w:val="0"/>
                  <w:vAlign w:val="center"/>
                </w:tcPr>
                <w:p>
                  <w:pPr>
                    <w:widowControl/>
                    <w:snapToGrid/>
                    <w:spacing w:line="240" w:lineRule="auto"/>
                    <w:jc w:val="center"/>
                    <w:rPr>
                      <w:rFonts w:ascii="Times New Roman" w:hAnsi="Times New Roman" w:eastAsia="宋体" w:cs="Times New Roman"/>
                      <w:color w:val="auto"/>
                      <w:kern w:val="0"/>
                      <w:sz w:val="18"/>
                      <w:szCs w:val="18"/>
                      <w:highlight w:val="none"/>
                      <w:lang w:val="zh-CN"/>
                    </w:rPr>
                  </w:pPr>
                </w:p>
              </w:tc>
            </w:tr>
          </w:tbl>
          <w:p>
            <w:pPr>
              <w:pStyle w:val="62"/>
              <w:ind w:firstLine="420"/>
              <w:rPr>
                <w:color w:val="auto"/>
                <w:sz w:val="21"/>
                <w:szCs w:val="21"/>
                <w:highlight w:val="none"/>
                <w:lang w:val="zh-CN"/>
              </w:rPr>
            </w:pPr>
            <w:r>
              <w:rPr>
                <w:color w:val="auto"/>
                <w:sz w:val="21"/>
                <w:szCs w:val="21"/>
                <w:highlight w:val="none"/>
                <w:lang w:val="zh-CN"/>
              </w:rPr>
              <w:t>3、运输</w:t>
            </w:r>
          </w:p>
          <w:p>
            <w:pPr>
              <w:pStyle w:val="62"/>
              <w:ind w:firstLine="420"/>
              <w:rPr>
                <w:color w:val="auto"/>
                <w:sz w:val="21"/>
                <w:szCs w:val="21"/>
                <w:highlight w:val="none"/>
                <w:lang w:val="zh-CN"/>
              </w:rPr>
            </w:pPr>
            <w:r>
              <w:rPr>
                <w:color w:val="auto"/>
                <w:sz w:val="21"/>
                <w:szCs w:val="21"/>
                <w:highlight w:val="none"/>
                <w:lang w:val="zh-CN"/>
              </w:rPr>
              <w:t>本项目运营期产生的危废在转移运输过程中要严格遵守《国家危险废物转移联单管理办法》，需按程序和期限向有关生态环境部门报告，以便及时的控制废物流向，控制危险废物污染的扩散。危险废物运输中应做到以下几点：</w:t>
            </w:r>
          </w:p>
          <w:p>
            <w:pPr>
              <w:pStyle w:val="62"/>
              <w:ind w:firstLine="420"/>
              <w:rPr>
                <w:color w:val="auto"/>
                <w:sz w:val="21"/>
                <w:szCs w:val="21"/>
                <w:highlight w:val="none"/>
                <w:lang w:val="zh-CN"/>
              </w:rPr>
            </w:pPr>
            <w:r>
              <w:rPr>
                <w:color w:val="auto"/>
                <w:sz w:val="21"/>
                <w:szCs w:val="21"/>
                <w:highlight w:val="none"/>
                <w:lang w:val="zh-CN"/>
              </w:rPr>
              <w:t>（1）危险废物的运输车辆须经主管单位检查，并持有有关单位签发的许可证，负责运输的司机应通过培训，持有证明文件。</w:t>
            </w:r>
          </w:p>
          <w:p>
            <w:pPr>
              <w:pStyle w:val="62"/>
              <w:ind w:firstLine="420"/>
              <w:rPr>
                <w:color w:val="auto"/>
                <w:sz w:val="21"/>
                <w:szCs w:val="21"/>
                <w:highlight w:val="none"/>
                <w:lang w:val="zh-CN"/>
              </w:rPr>
            </w:pPr>
            <w:r>
              <w:rPr>
                <w:color w:val="auto"/>
                <w:sz w:val="21"/>
                <w:szCs w:val="21"/>
                <w:highlight w:val="none"/>
                <w:lang w:val="zh-CN"/>
              </w:rPr>
              <w:t>（2）承载危险废物的车辆须有明显的标志或适当的危险符号，以引起注意。</w:t>
            </w:r>
          </w:p>
          <w:p>
            <w:pPr>
              <w:pStyle w:val="62"/>
              <w:ind w:firstLine="420"/>
              <w:rPr>
                <w:color w:val="auto"/>
                <w:sz w:val="21"/>
                <w:szCs w:val="21"/>
                <w:highlight w:val="none"/>
                <w:lang w:val="zh-CN"/>
              </w:rPr>
            </w:pPr>
            <w:r>
              <w:rPr>
                <w:color w:val="auto"/>
                <w:sz w:val="21"/>
                <w:szCs w:val="21"/>
                <w:highlight w:val="none"/>
                <w:lang w:val="zh-CN"/>
              </w:rPr>
              <w:t>（3）载有危险废物的车辆在公路上行驶时，需持有运输许可证，其上应注明废物来源、性质和运往地点。</w:t>
            </w:r>
          </w:p>
          <w:p>
            <w:pPr>
              <w:pStyle w:val="62"/>
              <w:ind w:firstLine="420"/>
              <w:rPr>
                <w:color w:val="auto"/>
                <w:sz w:val="21"/>
                <w:szCs w:val="21"/>
                <w:highlight w:val="none"/>
                <w:lang w:val="zh-CN"/>
              </w:rPr>
            </w:pPr>
            <w:r>
              <w:rPr>
                <w:color w:val="auto"/>
                <w:sz w:val="21"/>
                <w:szCs w:val="21"/>
                <w:highlight w:val="none"/>
                <w:lang w:val="zh-CN"/>
              </w:rPr>
              <w:t>（4）组织危险废物的运输单位，在事先需作出周密的运输计划和行驶路线，其中包括有效的废物泄漏情况下的应急措施。</w:t>
            </w:r>
          </w:p>
          <w:p>
            <w:pPr>
              <w:pStyle w:val="62"/>
              <w:ind w:firstLine="420"/>
              <w:rPr>
                <w:color w:val="auto"/>
                <w:sz w:val="21"/>
                <w:szCs w:val="21"/>
                <w:highlight w:val="none"/>
                <w:lang w:val="zh-CN"/>
              </w:rPr>
            </w:pPr>
            <w:r>
              <w:rPr>
                <w:color w:val="auto"/>
                <w:sz w:val="21"/>
                <w:szCs w:val="21"/>
                <w:highlight w:val="none"/>
                <w:lang w:val="zh-CN"/>
              </w:rPr>
              <w:t>4、委托利用或者处置</w:t>
            </w:r>
          </w:p>
          <w:p>
            <w:pPr>
              <w:pStyle w:val="62"/>
              <w:ind w:firstLine="420"/>
              <w:rPr>
                <w:color w:val="auto"/>
                <w:sz w:val="21"/>
                <w:szCs w:val="21"/>
                <w:highlight w:val="none"/>
                <w:lang w:val="zh-CN"/>
              </w:rPr>
            </w:pPr>
            <w:r>
              <w:rPr>
                <w:color w:val="auto"/>
                <w:sz w:val="21"/>
                <w:szCs w:val="21"/>
                <w:highlight w:val="none"/>
                <w:lang w:val="zh-CN"/>
              </w:rPr>
              <w:t>企业需建立完善危险废物管理台账，如实记录危险废物贮存、利用、处置相关情况，制定危险废物管理计划并报环保局备案，如实申报危险废物种类、产生量、流向、贮存、处置等有关情况。</w:t>
            </w:r>
          </w:p>
          <w:p>
            <w:pPr>
              <w:pStyle w:val="62"/>
              <w:ind w:firstLine="420"/>
              <w:rPr>
                <w:color w:val="auto"/>
                <w:sz w:val="21"/>
                <w:szCs w:val="21"/>
                <w:highlight w:val="none"/>
                <w:lang w:val="zh-CN"/>
              </w:rPr>
            </w:pPr>
            <w:r>
              <w:rPr>
                <w:color w:val="auto"/>
                <w:sz w:val="21"/>
                <w:szCs w:val="21"/>
                <w:highlight w:val="none"/>
                <w:lang w:val="zh-CN"/>
              </w:rPr>
              <w:t>危险废物委托必须委托具有相应危险废物经营资质的单位利用处置，签订委托处理协议。</w:t>
            </w:r>
          </w:p>
          <w:p>
            <w:pPr>
              <w:pStyle w:val="62"/>
              <w:ind w:firstLine="420"/>
              <w:rPr>
                <w:color w:val="auto"/>
                <w:sz w:val="21"/>
                <w:szCs w:val="21"/>
                <w:highlight w:val="none"/>
                <w:lang w:val="zh-CN"/>
              </w:rPr>
            </w:pPr>
            <w:r>
              <w:rPr>
                <w:color w:val="auto"/>
                <w:sz w:val="21"/>
                <w:szCs w:val="21"/>
                <w:highlight w:val="none"/>
                <w:lang w:val="zh-CN"/>
              </w:rPr>
              <w:t>本项目危险废物均委托有资质的单位进行处置，不会产生显著的环境影响。</w:t>
            </w:r>
          </w:p>
          <w:p>
            <w:pPr>
              <w:pStyle w:val="62"/>
              <w:ind w:firstLine="420"/>
              <w:jc w:val="both"/>
              <w:rPr>
                <w:color w:val="auto"/>
                <w:sz w:val="21"/>
                <w:szCs w:val="21"/>
                <w:highlight w:val="none"/>
                <w:lang w:val="zh-CN"/>
              </w:rPr>
            </w:pPr>
            <w:r>
              <w:rPr>
                <w:color w:val="auto"/>
                <w:sz w:val="21"/>
                <w:szCs w:val="21"/>
                <w:highlight w:val="none"/>
                <w:lang w:val="zh-CN"/>
              </w:rPr>
              <w:t>本项目生活垃圾经收集后由市政环卫部门定期清运；医疗废物严格按照《医疗卫生机构医疗废物管理办法》、《医疗废物管理条例》、《医疗废物集中处置技术规范(试行)》的相关规定进行分类收集、存储，同时，暂存间必须封闭、采取防风、防雨、防渗处理，并定时消毒、清洁，防止蚊蝇滋生：污水站栅渣、污泥在危废暂存间暂存后交有资质单位处置。经采取上述措施后，危险废物的处理措施和处置方案满足《危险废物贮存污染控制标准》（GB18597-20</w:t>
            </w:r>
            <w:r>
              <w:rPr>
                <w:rFonts w:hint="eastAsia"/>
                <w:color w:val="auto"/>
                <w:sz w:val="21"/>
                <w:szCs w:val="21"/>
                <w:highlight w:val="none"/>
                <w:lang w:val="en-US" w:eastAsia="zh-CN"/>
              </w:rPr>
              <w:t>23</w:t>
            </w:r>
            <w:r>
              <w:rPr>
                <w:color w:val="auto"/>
                <w:sz w:val="21"/>
                <w:szCs w:val="21"/>
                <w:highlight w:val="none"/>
                <w:lang w:val="zh-CN"/>
              </w:rPr>
              <w:t>）</w:t>
            </w:r>
            <w:r>
              <w:rPr>
                <w:rFonts w:hint="eastAsia"/>
                <w:color w:val="auto"/>
                <w:sz w:val="21"/>
                <w:szCs w:val="21"/>
                <w:highlight w:val="none"/>
                <w:lang w:val="en-US" w:eastAsia="zh-CN"/>
              </w:rPr>
              <w:t>要求</w:t>
            </w:r>
            <w:r>
              <w:rPr>
                <w:color w:val="auto"/>
                <w:sz w:val="21"/>
                <w:szCs w:val="21"/>
                <w:highlight w:val="none"/>
                <w:lang w:val="zh-CN"/>
              </w:rPr>
              <w:t>，对周围环境影响很小。</w:t>
            </w:r>
          </w:p>
          <w:p>
            <w:pPr>
              <w:spacing w:line="360" w:lineRule="auto"/>
              <w:ind w:firstLine="420"/>
              <w:rPr>
                <w:b/>
                <w:color w:val="auto"/>
                <w:highlight w:val="none"/>
              </w:rPr>
            </w:pPr>
            <w:r>
              <w:rPr>
                <w:b/>
                <w:color w:val="auto"/>
                <w:highlight w:val="none"/>
              </w:rPr>
              <w:t>五、地下水、土壤</w:t>
            </w:r>
          </w:p>
          <w:p>
            <w:pPr>
              <w:spacing w:line="360" w:lineRule="auto"/>
              <w:ind w:firstLine="420"/>
              <w:rPr>
                <w:b/>
                <w:color w:val="auto"/>
                <w:highlight w:val="none"/>
                <w:lang w:val="zh-CN"/>
              </w:rPr>
            </w:pPr>
            <w:r>
              <w:rPr>
                <w:b/>
                <w:color w:val="auto"/>
                <w:highlight w:val="none"/>
                <w:lang w:val="zh-CN"/>
              </w:rPr>
              <w:t>5.1污染途径</w:t>
            </w:r>
          </w:p>
          <w:p>
            <w:pPr>
              <w:spacing w:line="360" w:lineRule="auto"/>
              <w:ind w:firstLine="420"/>
              <w:rPr>
                <w:color w:val="auto"/>
                <w:highlight w:val="none"/>
                <w:lang w:val="zh-CN"/>
              </w:rPr>
            </w:pPr>
            <w:r>
              <w:rPr>
                <w:color w:val="auto"/>
                <w:highlight w:val="none"/>
                <w:lang w:val="zh-CN"/>
              </w:rPr>
              <w:t>本项目为医院项目不涉及工业风险，项目正常工况下无区域地下水、土壤产生污染的重大污染源、污染物及污染途径。项目可能对地下水、土壤产生影响的情况为事故状态下危废暂存间</w:t>
            </w:r>
            <w:r>
              <w:rPr>
                <w:color w:val="auto"/>
                <w:highlight w:val="none"/>
              </w:rPr>
              <w:t>、化粪池、污水站、污水输送管线</w:t>
            </w:r>
            <w:r>
              <w:rPr>
                <w:color w:val="auto"/>
                <w:highlight w:val="none"/>
                <w:lang w:val="zh-CN"/>
              </w:rPr>
              <w:t>，造成废水污染物下渗污染地下水、土壤；项目排放的氨（氨气）、硫化氢通过大气沉降等对土壤造成污染。污染物主要为氨（氨气）、硫化氢等。</w:t>
            </w:r>
          </w:p>
          <w:p>
            <w:pPr>
              <w:spacing w:line="360" w:lineRule="auto"/>
              <w:ind w:firstLine="420"/>
              <w:rPr>
                <w:b/>
                <w:color w:val="auto"/>
                <w:highlight w:val="none"/>
                <w:lang w:val="zh-CN"/>
              </w:rPr>
            </w:pPr>
            <w:r>
              <w:rPr>
                <w:b/>
                <w:color w:val="auto"/>
                <w:highlight w:val="none"/>
                <w:lang w:val="zh-CN"/>
              </w:rPr>
              <w:t>5.2污染防治措施</w:t>
            </w:r>
          </w:p>
          <w:p>
            <w:pPr>
              <w:spacing w:line="360" w:lineRule="auto"/>
              <w:ind w:firstLine="420"/>
              <w:rPr>
                <w:color w:val="auto"/>
                <w:highlight w:val="none"/>
                <w:lang w:val="zh-CN"/>
              </w:rPr>
            </w:pPr>
            <w:r>
              <w:rPr>
                <w:color w:val="auto"/>
                <w:highlight w:val="none"/>
                <w:lang w:val="zh-CN"/>
              </w:rPr>
              <w:t>（1）院内</w:t>
            </w:r>
            <w:r>
              <w:rPr>
                <w:rFonts w:hint="eastAsia"/>
                <w:color w:val="auto"/>
                <w:highlight w:val="none"/>
                <w:lang w:val="en-US" w:eastAsia="zh-CN"/>
              </w:rPr>
              <w:t>应</w:t>
            </w:r>
            <w:r>
              <w:rPr>
                <w:color w:val="auto"/>
                <w:highlight w:val="none"/>
                <w:lang w:val="zh-CN"/>
              </w:rPr>
              <w:t>对设施进行防渗处理，主要防渗措施如下：</w:t>
            </w:r>
          </w:p>
          <w:p>
            <w:pPr>
              <w:spacing w:line="360" w:lineRule="auto"/>
              <w:ind w:firstLine="420"/>
              <w:jc w:val="center"/>
              <w:rPr>
                <w:b/>
                <w:bCs/>
                <w:color w:val="auto"/>
                <w:szCs w:val="21"/>
                <w:highlight w:val="none"/>
              </w:rPr>
            </w:pPr>
            <w:r>
              <w:rPr>
                <w:b/>
                <w:bCs/>
                <w:color w:val="auto"/>
                <w:szCs w:val="21"/>
                <w:highlight w:val="none"/>
              </w:rPr>
              <w:t>表4-</w:t>
            </w:r>
            <w:r>
              <w:rPr>
                <w:rFonts w:hint="eastAsia"/>
                <w:b/>
                <w:bCs/>
                <w:color w:val="auto"/>
                <w:szCs w:val="21"/>
                <w:highlight w:val="none"/>
                <w:lang w:val="en-US" w:eastAsia="zh-CN"/>
              </w:rPr>
              <w:t>32</w:t>
            </w:r>
            <w:r>
              <w:rPr>
                <w:b/>
                <w:bCs/>
                <w:color w:val="auto"/>
                <w:szCs w:val="21"/>
                <w:highlight w:val="none"/>
              </w:rPr>
              <w:t xml:space="preserve">  </w:t>
            </w:r>
            <w:r>
              <w:rPr>
                <w:rFonts w:hint="eastAsia"/>
                <w:b/>
                <w:bCs/>
                <w:color w:val="auto"/>
                <w:szCs w:val="21"/>
                <w:highlight w:val="none"/>
              </w:rPr>
              <w:t>本</w:t>
            </w:r>
            <w:r>
              <w:rPr>
                <w:b/>
                <w:bCs/>
                <w:color w:val="auto"/>
                <w:szCs w:val="21"/>
                <w:highlight w:val="none"/>
              </w:rPr>
              <w:t>项目污染区划分及防渗等级一览表</w:t>
            </w:r>
          </w:p>
          <w:tbl>
            <w:tblPr>
              <w:tblStyle w:val="27"/>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599"/>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47" w:type="dxa"/>
                  <w:noWrap w:val="0"/>
                  <w:vAlign w:val="center"/>
                </w:tcPr>
                <w:p>
                  <w:pPr>
                    <w:widowControl/>
                    <w:snapToGrid/>
                    <w:spacing w:line="240" w:lineRule="auto"/>
                    <w:jc w:val="center"/>
                    <w:rPr>
                      <w:rFonts w:ascii="Times New Roman" w:hAnsi="Times New Roman" w:eastAsia="宋体" w:cs="Times New Roman"/>
                      <w:color w:val="auto"/>
                      <w:kern w:val="0"/>
                      <w:sz w:val="18"/>
                      <w:szCs w:val="18"/>
                      <w:highlight w:val="none"/>
                      <w:lang w:val="zh-CN"/>
                    </w:rPr>
                  </w:pPr>
                  <w:r>
                    <w:rPr>
                      <w:rFonts w:ascii="Times New Roman" w:hAnsi="Times New Roman" w:eastAsia="宋体" w:cs="Times New Roman"/>
                      <w:color w:val="auto"/>
                      <w:kern w:val="0"/>
                      <w:sz w:val="18"/>
                      <w:szCs w:val="18"/>
                      <w:highlight w:val="none"/>
                    </w:rPr>
                    <w:t>分区</w:t>
                  </w:r>
                </w:p>
              </w:tc>
              <w:tc>
                <w:tcPr>
                  <w:tcW w:w="1599" w:type="dxa"/>
                  <w:noWrap w:val="0"/>
                  <w:vAlign w:val="center"/>
                </w:tcPr>
                <w:p>
                  <w:pPr>
                    <w:widowControl/>
                    <w:snapToGrid/>
                    <w:spacing w:line="240" w:lineRule="auto"/>
                    <w:jc w:val="center"/>
                    <w:rPr>
                      <w:rFonts w:ascii="Times New Roman" w:hAnsi="Times New Roman" w:eastAsia="宋体" w:cs="Times New Roman"/>
                      <w:color w:val="auto"/>
                      <w:kern w:val="0"/>
                      <w:sz w:val="18"/>
                      <w:szCs w:val="18"/>
                      <w:highlight w:val="none"/>
                      <w:lang w:val="zh-CN"/>
                    </w:rPr>
                  </w:pPr>
                  <w:r>
                    <w:rPr>
                      <w:rFonts w:ascii="Times New Roman" w:hAnsi="Times New Roman" w:eastAsia="宋体" w:cs="Times New Roman"/>
                      <w:color w:val="auto"/>
                      <w:kern w:val="0"/>
                      <w:sz w:val="18"/>
                      <w:szCs w:val="18"/>
                      <w:highlight w:val="none"/>
                    </w:rPr>
                    <w:t>厂内分区</w:t>
                  </w:r>
                </w:p>
              </w:tc>
              <w:tc>
                <w:tcPr>
                  <w:tcW w:w="5441" w:type="dxa"/>
                  <w:noWrap w:val="0"/>
                  <w:vAlign w:val="center"/>
                </w:tcPr>
                <w:p>
                  <w:pPr>
                    <w:widowControl/>
                    <w:snapToGrid/>
                    <w:spacing w:line="240" w:lineRule="auto"/>
                    <w:jc w:val="center"/>
                    <w:rPr>
                      <w:rFonts w:ascii="Times New Roman" w:hAnsi="Times New Roman" w:eastAsia="宋体" w:cs="Times New Roman"/>
                      <w:color w:val="auto"/>
                      <w:kern w:val="0"/>
                      <w:sz w:val="18"/>
                      <w:szCs w:val="18"/>
                      <w:highlight w:val="none"/>
                      <w:lang w:val="zh-CN"/>
                    </w:rPr>
                  </w:pPr>
                  <w:r>
                    <w:rPr>
                      <w:rFonts w:ascii="Times New Roman" w:hAnsi="Times New Roman" w:eastAsia="宋体" w:cs="Times New Roman"/>
                      <w:color w:val="auto"/>
                      <w:kern w:val="0"/>
                      <w:sz w:val="18"/>
                      <w:szCs w:val="18"/>
                      <w:highlight w:val="none"/>
                    </w:rPr>
                    <w:t>防渗等级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47" w:type="dxa"/>
                  <w:noWrap w:val="0"/>
                  <w:vAlign w:val="center"/>
                </w:tcPr>
                <w:p>
                  <w:pPr>
                    <w:widowControl/>
                    <w:snapToGrid/>
                    <w:spacing w:line="240" w:lineRule="auto"/>
                    <w:jc w:val="center"/>
                    <w:rPr>
                      <w:rFonts w:ascii="Times New Roman" w:hAnsi="Times New Roman" w:eastAsia="宋体" w:cs="Times New Roman"/>
                      <w:color w:val="auto"/>
                      <w:kern w:val="0"/>
                      <w:sz w:val="18"/>
                      <w:szCs w:val="18"/>
                      <w:highlight w:val="none"/>
                      <w:lang w:val="zh-CN"/>
                    </w:rPr>
                  </w:pPr>
                  <w:r>
                    <w:rPr>
                      <w:rFonts w:ascii="Times New Roman" w:hAnsi="Times New Roman" w:eastAsia="宋体" w:cs="Times New Roman"/>
                      <w:color w:val="auto"/>
                      <w:kern w:val="0"/>
                      <w:sz w:val="18"/>
                      <w:szCs w:val="18"/>
                      <w:highlight w:val="none"/>
                    </w:rPr>
                    <w:t>简单防渗区</w:t>
                  </w:r>
                </w:p>
              </w:tc>
              <w:tc>
                <w:tcPr>
                  <w:tcW w:w="1599" w:type="dxa"/>
                  <w:noWrap w:val="0"/>
                  <w:vAlign w:val="center"/>
                </w:tcPr>
                <w:p>
                  <w:pPr>
                    <w:widowControl/>
                    <w:snapToGrid/>
                    <w:spacing w:line="240" w:lineRule="auto"/>
                    <w:jc w:val="center"/>
                    <w:rPr>
                      <w:rFonts w:hint="eastAsia" w:ascii="Times New Roman" w:hAnsi="Times New Roman" w:eastAsia="宋体" w:cs="Times New Roman"/>
                      <w:color w:val="auto"/>
                      <w:kern w:val="0"/>
                      <w:sz w:val="18"/>
                      <w:szCs w:val="18"/>
                      <w:highlight w:val="none"/>
                      <w:lang w:eastAsia="zh-CN"/>
                    </w:rPr>
                  </w:pPr>
                  <w:r>
                    <w:rPr>
                      <w:rFonts w:hint="eastAsia" w:ascii="Times New Roman" w:hAnsi="Times New Roman" w:eastAsia="宋体" w:cs="Times New Roman"/>
                      <w:color w:val="auto"/>
                      <w:kern w:val="0"/>
                      <w:sz w:val="18"/>
                      <w:szCs w:val="18"/>
                      <w:highlight w:val="none"/>
                      <w:lang w:val="en-US" w:eastAsia="zh-CN"/>
                    </w:rPr>
                    <w:t>综合楼</w:t>
                  </w:r>
                </w:p>
              </w:tc>
              <w:tc>
                <w:tcPr>
                  <w:tcW w:w="5441" w:type="dxa"/>
                  <w:noWrap w:val="0"/>
                  <w:vAlign w:val="center"/>
                </w:tcPr>
                <w:p>
                  <w:pPr>
                    <w:widowControl/>
                    <w:snapToGrid/>
                    <w:spacing w:line="240" w:lineRule="auto"/>
                    <w:jc w:val="center"/>
                    <w:rPr>
                      <w:rFonts w:ascii="Times New Roman" w:hAnsi="Times New Roman" w:eastAsia="宋体" w:cs="Times New Roman"/>
                      <w:color w:val="auto"/>
                      <w:kern w:val="0"/>
                      <w:sz w:val="18"/>
                      <w:szCs w:val="18"/>
                      <w:highlight w:val="none"/>
                      <w:lang w:val="zh-CN"/>
                    </w:rPr>
                  </w:pPr>
                  <w:r>
                    <w:rPr>
                      <w:rFonts w:ascii="Times New Roman" w:hAnsi="Times New Roman" w:eastAsia="宋体" w:cs="Times New Roman"/>
                      <w:color w:val="auto"/>
                      <w:kern w:val="0"/>
                      <w:sz w:val="18"/>
                      <w:szCs w:val="18"/>
                      <w:highlight w:val="none"/>
                    </w:rPr>
                    <w:t>一般地面硬化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47" w:type="dxa"/>
                  <w:noWrap w:val="0"/>
                  <w:vAlign w:val="center"/>
                </w:tcPr>
                <w:p>
                  <w:pPr>
                    <w:widowControl/>
                    <w:snapToGrid/>
                    <w:spacing w:line="240" w:lineRule="auto"/>
                    <w:jc w:val="center"/>
                    <w:rPr>
                      <w:rFonts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重点防渗区</w:t>
                  </w:r>
                </w:p>
              </w:tc>
              <w:tc>
                <w:tcPr>
                  <w:tcW w:w="1599" w:type="dxa"/>
                  <w:noWrap w:val="0"/>
                  <w:vAlign w:val="center"/>
                </w:tcPr>
                <w:p>
                  <w:pPr>
                    <w:widowControl/>
                    <w:snapToGrid/>
                    <w:spacing w:line="240" w:lineRule="auto"/>
                    <w:jc w:val="center"/>
                    <w:rPr>
                      <w:rFonts w:ascii="Times New Roman" w:hAnsi="Times New Roman" w:eastAsia="宋体" w:cs="Times New Roman"/>
                      <w:color w:val="auto"/>
                      <w:kern w:val="0"/>
                      <w:sz w:val="18"/>
                      <w:szCs w:val="18"/>
                      <w:highlight w:val="none"/>
                    </w:rPr>
                  </w:pPr>
                  <w:r>
                    <w:rPr>
                      <w:rFonts w:ascii="Times New Roman" w:hAnsi="Times New Roman" w:eastAsia="宋体" w:cs="Times New Roman"/>
                      <w:color w:val="auto"/>
                      <w:kern w:val="0"/>
                      <w:sz w:val="18"/>
                      <w:szCs w:val="18"/>
                      <w:highlight w:val="none"/>
                      <w:lang w:val="zh-CN"/>
                    </w:rPr>
                    <w:t>危废间、污水站、污水输送管线</w:t>
                  </w:r>
                </w:p>
              </w:tc>
              <w:tc>
                <w:tcPr>
                  <w:tcW w:w="5441" w:type="dxa"/>
                  <w:noWrap w:val="0"/>
                  <w:vAlign w:val="center"/>
                </w:tcPr>
                <w:p>
                  <w:pPr>
                    <w:widowControl/>
                    <w:snapToGrid/>
                    <w:spacing w:line="240" w:lineRule="auto"/>
                    <w:jc w:val="center"/>
                    <w:rPr>
                      <w:rFonts w:ascii="Times New Roman" w:hAnsi="Times New Roman" w:eastAsia="宋体" w:cs="Times New Roman"/>
                      <w:color w:val="auto"/>
                      <w:kern w:val="0"/>
                      <w:sz w:val="18"/>
                      <w:szCs w:val="18"/>
                      <w:highlight w:val="none"/>
                    </w:rPr>
                  </w:pPr>
                  <w:r>
                    <w:rPr>
                      <w:rFonts w:ascii="Times New Roman" w:hAnsi="Times New Roman" w:eastAsia="宋体" w:cs="Times New Roman"/>
                      <w:color w:val="auto"/>
                      <w:kern w:val="0"/>
                      <w:sz w:val="18"/>
                      <w:szCs w:val="18"/>
                      <w:highlight w:val="none"/>
                      <w:lang w:val="zh-CN"/>
                    </w:rPr>
                    <w:t>地面基础防渗层采用黏土夯实，黏土上方浇筑400mm厚S6防渗水泥，上部层铺设2mm厚高密度聚乙烯，防渗系数≤10</w:t>
                  </w:r>
                  <w:r>
                    <w:rPr>
                      <w:rFonts w:ascii="Times New Roman" w:hAnsi="Times New Roman" w:eastAsia="宋体" w:cs="Times New Roman"/>
                      <w:color w:val="auto"/>
                      <w:kern w:val="0"/>
                      <w:sz w:val="18"/>
                      <w:szCs w:val="18"/>
                      <w:highlight w:val="none"/>
                      <w:vertAlign w:val="superscript"/>
                      <w:lang w:val="zh-CN"/>
                    </w:rPr>
                    <w:t>-10</w:t>
                  </w:r>
                  <w:r>
                    <w:rPr>
                      <w:rFonts w:ascii="Times New Roman" w:hAnsi="Times New Roman" w:eastAsia="宋体" w:cs="Times New Roman"/>
                      <w:color w:val="auto"/>
                      <w:kern w:val="0"/>
                      <w:sz w:val="18"/>
                      <w:szCs w:val="18"/>
                      <w:highlight w:val="none"/>
                      <w:lang w:val="zh-CN"/>
                    </w:rPr>
                    <w:t xml:space="preserve"> cm/s，且表面无裂隙，各建筑已进行防雨和防晒。</w:t>
                  </w:r>
                </w:p>
              </w:tc>
            </w:tr>
          </w:tbl>
          <w:p>
            <w:pPr>
              <w:spacing w:line="360" w:lineRule="auto"/>
              <w:ind w:firstLine="420"/>
              <w:rPr>
                <w:color w:val="auto"/>
                <w:highlight w:val="none"/>
                <w:lang w:val="zh-CN"/>
              </w:rPr>
            </w:pPr>
            <w:r>
              <w:rPr>
                <w:color w:val="auto"/>
                <w:highlight w:val="none"/>
                <w:lang w:val="zh-CN"/>
              </w:rPr>
              <w:t>（2）对各项废气污染物采取相应的环保措施，并定期检查，使各项污染物的排放量降至最低。</w:t>
            </w:r>
          </w:p>
          <w:p>
            <w:pPr>
              <w:spacing w:line="360" w:lineRule="auto"/>
              <w:ind w:firstLine="420"/>
              <w:rPr>
                <w:b/>
                <w:color w:val="auto"/>
                <w:highlight w:val="none"/>
              </w:rPr>
            </w:pPr>
            <w:r>
              <w:rPr>
                <w:b/>
                <w:color w:val="auto"/>
                <w:highlight w:val="none"/>
              </w:rPr>
              <w:t>六、外界环境对本项目的环境影响分析</w:t>
            </w:r>
          </w:p>
          <w:p>
            <w:pPr>
              <w:spacing w:line="360" w:lineRule="auto"/>
              <w:ind w:firstLine="420"/>
              <w:rPr>
                <w:rFonts w:hint="default" w:eastAsia="宋体"/>
                <w:color w:val="auto"/>
                <w:kern w:val="0"/>
                <w:szCs w:val="21"/>
                <w:highlight w:val="none"/>
                <w:lang w:val="en-US" w:eastAsia="zh-CN"/>
              </w:rPr>
            </w:pPr>
            <w:r>
              <w:rPr>
                <w:color w:val="auto"/>
                <w:highlight w:val="none"/>
              </w:rPr>
              <w:t>本项目位于</w:t>
            </w:r>
            <w:r>
              <w:rPr>
                <w:rFonts w:hint="eastAsia"/>
                <w:color w:val="auto"/>
                <w:highlight w:val="none"/>
                <w:lang w:eastAsia="zh-CN"/>
              </w:rPr>
              <w:t>淄博市张店区共青团路与原山大道交接处以东路北</w:t>
            </w:r>
            <w:r>
              <w:rPr>
                <w:color w:val="auto"/>
                <w:highlight w:val="none"/>
              </w:rPr>
              <w:t>，</w:t>
            </w:r>
            <w:r>
              <w:rPr>
                <w:rFonts w:hint="eastAsia"/>
                <w:color w:val="auto"/>
                <w:highlight w:val="none"/>
                <w:lang w:val="en-US" w:eastAsia="zh-CN"/>
              </w:rPr>
              <w:t>周边无工业企业，</w:t>
            </w:r>
            <w:r>
              <w:rPr>
                <w:color w:val="auto"/>
                <w:kern w:val="0"/>
                <w:szCs w:val="21"/>
                <w:highlight w:val="none"/>
              </w:rPr>
              <w:t>院区四周现状南侧为</w:t>
            </w:r>
            <w:r>
              <w:rPr>
                <w:rFonts w:hint="eastAsia"/>
                <w:color w:val="auto"/>
                <w:kern w:val="0"/>
                <w:szCs w:val="21"/>
                <w:highlight w:val="none"/>
                <w:lang w:val="en-US" w:eastAsia="zh-CN"/>
              </w:rPr>
              <w:t>共青团西路</w:t>
            </w:r>
            <w:r>
              <w:rPr>
                <w:color w:val="auto"/>
                <w:kern w:val="0"/>
                <w:szCs w:val="21"/>
                <w:highlight w:val="none"/>
              </w:rPr>
              <w:t>，东侧</w:t>
            </w:r>
            <w:r>
              <w:rPr>
                <w:rFonts w:hint="eastAsia"/>
                <w:color w:val="auto"/>
                <w:kern w:val="0"/>
                <w:szCs w:val="21"/>
                <w:highlight w:val="none"/>
                <w:lang w:val="en-US" w:eastAsia="zh-CN"/>
              </w:rPr>
              <w:t>为鸿泰吉祥苑</w:t>
            </w:r>
            <w:r>
              <w:rPr>
                <w:color w:val="auto"/>
                <w:kern w:val="0"/>
                <w:szCs w:val="21"/>
                <w:highlight w:val="none"/>
              </w:rPr>
              <w:t>，西侧为</w:t>
            </w:r>
            <w:r>
              <w:rPr>
                <w:rFonts w:hint="eastAsia"/>
                <w:color w:val="auto"/>
                <w:kern w:val="0"/>
                <w:szCs w:val="21"/>
                <w:highlight w:val="none"/>
                <w:lang w:val="en-US" w:eastAsia="zh-CN"/>
              </w:rPr>
              <w:t>原山大道</w:t>
            </w:r>
            <w:r>
              <w:rPr>
                <w:color w:val="auto"/>
                <w:kern w:val="0"/>
                <w:szCs w:val="21"/>
                <w:highlight w:val="none"/>
              </w:rPr>
              <w:t>，北侧为</w:t>
            </w:r>
            <w:r>
              <w:rPr>
                <w:rFonts w:hint="eastAsia"/>
                <w:color w:val="auto"/>
                <w:kern w:val="0"/>
                <w:szCs w:val="21"/>
                <w:highlight w:val="none"/>
                <w:lang w:val="en-US" w:eastAsia="zh-CN"/>
              </w:rPr>
              <w:t>空地</w:t>
            </w:r>
            <w:r>
              <w:rPr>
                <w:color w:val="auto"/>
                <w:kern w:val="0"/>
                <w:szCs w:val="21"/>
                <w:highlight w:val="none"/>
              </w:rPr>
              <w:t>。</w:t>
            </w:r>
            <w:r>
              <w:rPr>
                <w:rFonts w:hint="eastAsia"/>
                <w:color w:val="auto"/>
                <w:kern w:val="0"/>
                <w:szCs w:val="21"/>
                <w:highlight w:val="none"/>
                <w:lang w:val="en-US" w:eastAsia="zh-CN"/>
              </w:rPr>
              <w:t>本项目外界的影响主要为原山大道对本项目的噪声影响。</w:t>
            </w:r>
          </w:p>
          <w:p>
            <w:pPr>
              <w:spacing w:line="360" w:lineRule="auto"/>
              <w:ind w:firstLine="420"/>
              <w:jc w:val="left"/>
              <w:rPr>
                <w:rFonts w:hint="default" w:eastAsia="宋体"/>
                <w:color w:val="auto"/>
                <w:highlight w:val="none"/>
                <w:lang w:val="en-US" w:eastAsia="zh-CN"/>
              </w:rPr>
            </w:pPr>
            <w:r>
              <w:rPr>
                <w:rFonts w:hint="eastAsia"/>
                <w:b/>
                <w:bCs/>
                <w:color w:val="auto"/>
                <w:spacing w:val="-10"/>
                <w:szCs w:val="21"/>
                <w:highlight w:val="none"/>
                <w:lang w:val="en-US" w:eastAsia="zh-CN"/>
              </w:rPr>
              <w:t>（1）原山大道交通噪声对本项目影响</w:t>
            </w:r>
          </w:p>
          <w:p>
            <w:pPr>
              <w:adjustRightInd w:val="0"/>
              <w:snapToGrid w:val="0"/>
              <w:spacing w:line="360" w:lineRule="auto"/>
              <w:ind w:firstLine="420" w:firstLineChars="200"/>
              <w:rPr>
                <w:rFonts w:hint="default" w:cs="Times New Roman"/>
                <w:color w:val="auto"/>
                <w:highlight w:val="none"/>
                <w:lang w:val="en-US" w:eastAsia="zh-CN"/>
              </w:rPr>
            </w:pPr>
            <w:r>
              <w:rPr>
                <w:rFonts w:hint="default" w:ascii="Times New Roman" w:hAnsi="Times New Roman" w:cs="Times New Roman"/>
                <w:color w:val="auto"/>
                <w:highlight w:val="none"/>
                <w:lang w:val="en-US" w:eastAsia="zh-CN"/>
              </w:rPr>
              <w:t>拟建项目西侧临近原山大道，距离</w:t>
            </w:r>
            <w:r>
              <w:rPr>
                <w:rFonts w:hint="eastAsia" w:ascii="Times New Roman" w:hAnsi="Times New Roman" w:cs="Times New Roman"/>
                <w:color w:val="auto"/>
                <w:highlight w:val="none"/>
                <w:lang w:val="en-US" w:eastAsia="zh-CN"/>
              </w:rPr>
              <w:t>本项目最近的建筑为综合楼门诊区部分，距离</w:t>
            </w:r>
            <w:r>
              <w:rPr>
                <w:rFonts w:hint="eastAsia" w:cs="Times New Roman"/>
                <w:color w:val="auto"/>
                <w:highlight w:val="none"/>
                <w:lang w:val="en-US" w:eastAsia="zh-CN"/>
              </w:rPr>
              <w:t>原山大道中线</w:t>
            </w:r>
            <w:r>
              <w:rPr>
                <w:rFonts w:hint="eastAsia" w:ascii="Times New Roman" w:hAnsi="Times New Roman" w:cs="Times New Roman"/>
                <w:color w:val="auto"/>
                <w:highlight w:val="none"/>
                <w:lang w:val="en-US" w:eastAsia="zh-CN"/>
              </w:rPr>
              <w:t>40</w:t>
            </w:r>
            <w:r>
              <w:rPr>
                <w:rFonts w:hint="default" w:ascii="Times New Roman" w:hAnsi="Times New Roman" w:cs="Times New Roman"/>
                <w:color w:val="auto"/>
                <w:highlight w:val="none"/>
                <w:lang w:val="en-US" w:eastAsia="zh-CN"/>
              </w:rPr>
              <w:t>m，</w:t>
            </w:r>
            <w:r>
              <w:rPr>
                <w:rFonts w:hint="eastAsia" w:cs="Times New Roman"/>
                <w:color w:val="auto"/>
                <w:highlight w:val="none"/>
                <w:lang w:val="en-US" w:eastAsia="zh-CN"/>
              </w:rPr>
              <w:t>该部分</w:t>
            </w:r>
            <w:r>
              <w:rPr>
                <w:rFonts w:hint="eastAsia" w:ascii="Times New Roman" w:hAnsi="Times New Roman" w:cs="Times New Roman"/>
                <w:color w:val="auto"/>
                <w:highlight w:val="none"/>
                <w:lang w:val="en-US" w:eastAsia="zh-CN"/>
              </w:rPr>
              <w:t>建筑物高度为</w:t>
            </w:r>
            <w:r>
              <w:rPr>
                <w:rFonts w:hint="eastAsia" w:cs="Times New Roman"/>
                <w:color w:val="auto"/>
                <w:highlight w:val="none"/>
                <w:lang w:val="en-US" w:eastAsia="zh-CN"/>
              </w:rPr>
              <w:t>14.5</w:t>
            </w:r>
            <w:r>
              <w:rPr>
                <w:rFonts w:hint="eastAsia" w:ascii="Times New Roman" w:hAnsi="Times New Roman" w:cs="Times New Roman"/>
                <w:color w:val="auto"/>
                <w:highlight w:val="none"/>
                <w:lang w:val="en-US" w:eastAsia="zh-CN"/>
              </w:rPr>
              <w:t>m，原山</w:t>
            </w:r>
            <w:r>
              <w:rPr>
                <w:rFonts w:hint="default" w:ascii="Times New Roman" w:hAnsi="Times New Roman" w:cs="Times New Roman"/>
                <w:color w:val="auto"/>
                <w:highlight w:val="none"/>
                <w:lang w:val="en-US" w:eastAsia="zh-CN"/>
              </w:rPr>
              <w:t>大道的交通噪声会对拟建项目的声环境产生一定影响。由于噪声受车流量影响较大，</w:t>
            </w:r>
            <w:r>
              <w:rPr>
                <w:rFonts w:hint="eastAsia" w:ascii="Times New Roman" w:hAnsi="Times New Roman" w:cs="Times New Roman"/>
                <w:color w:val="auto"/>
                <w:highlight w:val="none"/>
                <w:lang w:val="en-US" w:eastAsia="zh-CN"/>
              </w:rPr>
              <w:t>本项目通过</w:t>
            </w:r>
            <w:r>
              <w:rPr>
                <w:rFonts w:hint="eastAsia" w:cs="Times New Roman"/>
                <w:color w:val="auto"/>
                <w:highlight w:val="none"/>
                <w:lang w:val="en-US" w:eastAsia="zh-CN"/>
              </w:rPr>
              <w:t>引用</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原山大道快速路建设项目建设项目环境影响报告表</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中原山大道1.2m平面和13.2m平面对邻近地域噪声的分析数据，详细情况如下。</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cs="Times New Roman"/>
                <w:b/>
                <w:bCs/>
                <w:color w:val="auto"/>
                <w:szCs w:val="24"/>
                <w:highlight w:val="none"/>
              </w:rPr>
            </w:pPr>
            <w:r>
              <w:rPr>
                <w:rFonts w:hint="default" w:ascii="Times New Roman" w:hAnsi="Times New Roman" w:cs="Times New Roman"/>
                <w:b/>
                <w:bCs/>
                <w:color w:val="auto"/>
                <w:szCs w:val="24"/>
                <w:highlight w:val="none"/>
              </w:rPr>
              <w:t>表</w:t>
            </w:r>
            <w:r>
              <w:rPr>
                <w:rFonts w:hint="eastAsia" w:ascii="Times New Roman" w:hAnsi="Times New Roman" w:cs="Times New Roman"/>
                <w:b/>
                <w:bCs/>
                <w:color w:val="auto"/>
                <w:szCs w:val="24"/>
                <w:highlight w:val="none"/>
                <w:lang w:val="en-US" w:eastAsia="zh-CN"/>
              </w:rPr>
              <w:t>4-</w:t>
            </w:r>
            <w:r>
              <w:rPr>
                <w:rFonts w:hint="eastAsia" w:cs="Times New Roman"/>
                <w:b/>
                <w:bCs/>
                <w:color w:val="auto"/>
                <w:szCs w:val="24"/>
                <w:highlight w:val="none"/>
                <w:lang w:val="en-US" w:eastAsia="zh-CN"/>
              </w:rPr>
              <w:t>33</w:t>
            </w:r>
            <w:r>
              <w:rPr>
                <w:rFonts w:hint="default" w:ascii="Times New Roman" w:hAnsi="Times New Roman" w:cs="Times New Roman"/>
                <w:b/>
                <w:bCs/>
                <w:color w:val="auto"/>
                <w:szCs w:val="24"/>
                <w:highlight w:val="none"/>
              </w:rPr>
              <w:t>高架桥+地面道路各评价年空旷地域噪声衰减一览表（联通路-新村路）</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62"/>
              <w:gridCol w:w="1101"/>
              <w:gridCol w:w="1126"/>
              <w:gridCol w:w="954"/>
              <w:gridCol w:w="873"/>
              <w:gridCol w:w="832"/>
              <w:gridCol w:w="100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vMerge w:val="restart"/>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color w:val="auto"/>
                      <w:spacing w:val="0"/>
                      <w:w w:val="100"/>
                      <w:position w:val="0"/>
                      <w:sz w:val="20"/>
                      <w:szCs w:val="20"/>
                      <w:highlight w:val="none"/>
                      <w:lang w:val="zh-TW" w:eastAsia="zh-TW" w:bidi="zh-TW"/>
                    </w:rPr>
                    <w:t>路段</w:t>
                  </w:r>
                </w:p>
              </w:tc>
              <w:tc>
                <w:tcPr>
                  <w:tcW w:w="1101" w:type="dxa"/>
                  <w:vMerge w:val="restart"/>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color w:val="auto"/>
                      <w:spacing w:val="0"/>
                      <w:w w:val="100"/>
                      <w:position w:val="0"/>
                      <w:sz w:val="20"/>
                      <w:szCs w:val="20"/>
                      <w:highlight w:val="none"/>
                      <w:lang w:val="zh-TW" w:eastAsia="zh-TW" w:bidi="zh-TW"/>
                    </w:rPr>
                    <w:t>到路中心线距离</w:t>
                  </w:r>
                  <w:r>
                    <w:rPr>
                      <w:color w:val="auto"/>
                      <w:spacing w:val="0"/>
                      <w:w w:val="100"/>
                      <w:position w:val="0"/>
                      <w:sz w:val="20"/>
                      <w:szCs w:val="20"/>
                      <w:highlight w:val="none"/>
                      <w:lang w:val="en-US" w:eastAsia="en-US" w:bidi="en-US"/>
                    </w:rPr>
                    <w:t>（</w:t>
                  </w:r>
                  <w:r>
                    <w:rPr>
                      <w:rFonts w:ascii="Times New Roman" w:hAnsi="Times New Roman" w:eastAsia="Times New Roman" w:cs="Times New Roman"/>
                      <w:color w:val="auto"/>
                      <w:spacing w:val="0"/>
                      <w:w w:val="100"/>
                      <w:position w:val="0"/>
                      <w:sz w:val="20"/>
                      <w:szCs w:val="20"/>
                      <w:highlight w:val="none"/>
                      <w:lang w:val="en-US" w:eastAsia="en-US" w:bidi="en-US"/>
                    </w:rPr>
                    <w:t>m</w:t>
                  </w:r>
                  <w:r>
                    <w:rPr>
                      <w:color w:val="auto"/>
                      <w:spacing w:val="0"/>
                      <w:w w:val="100"/>
                      <w:position w:val="0"/>
                      <w:sz w:val="20"/>
                      <w:szCs w:val="20"/>
                      <w:highlight w:val="none"/>
                      <w:lang w:val="en-US" w:eastAsia="en-US" w:bidi="en-US"/>
                    </w:rPr>
                    <w:t>）</w:t>
                  </w:r>
                </w:p>
              </w:tc>
              <w:tc>
                <w:tcPr>
                  <w:tcW w:w="6124" w:type="dxa"/>
                  <w:gridSpan w:val="6"/>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color w:val="auto"/>
                      <w:spacing w:val="0"/>
                      <w:w w:val="100"/>
                      <w:position w:val="0"/>
                      <w:sz w:val="20"/>
                      <w:szCs w:val="20"/>
                      <w:highlight w:val="none"/>
                      <w:lang w:val="zh-TW" w:eastAsia="zh-TW" w:bidi="zh-TW"/>
                    </w:rPr>
                    <w:t>交通噪声预测值</w:t>
                  </w:r>
                  <w:r>
                    <w:rPr>
                      <w:rFonts w:ascii="Times New Roman" w:hAnsi="Times New Roman" w:eastAsia="Times New Roman" w:cs="Times New Roman"/>
                      <w:color w:val="auto"/>
                      <w:spacing w:val="0"/>
                      <w:w w:val="100"/>
                      <w:position w:val="0"/>
                      <w:sz w:val="20"/>
                      <w:szCs w:val="20"/>
                      <w:highlight w:val="none"/>
                      <w:lang w:val="en-US" w:eastAsia="en-US" w:bidi="en-US"/>
                    </w:rPr>
                    <w:t>dB</w:t>
                  </w:r>
                  <w:r>
                    <w:rPr>
                      <w:color w:val="auto"/>
                      <w:spacing w:val="0"/>
                      <w:w w:val="100"/>
                      <w:position w:val="0"/>
                      <w:sz w:val="20"/>
                      <w:szCs w:val="20"/>
                      <w:highlight w:val="none"/>
                      <w:lang w:val="en-US" w:eastAsia="en-US" w:bidi="en-US"/>
                    </w:rPr>
                    <w:t>（</w:t>
                  </w:r>
                  <w:r>
                    <w:rPr>
                      <w:rFonts w:ascii="Times New Roman" w:hAnsi="Times New Roman" w:eastAsia="Times New Roman" w:cs="Times New Roman"/>
                      <w:color w:val="auto"/>
                      <w:spacing w:val="0"/>
                      <w:w w:val="100"/>
                      <w:position w:val="0"/>
                      <w:sz w:val="20"/>
                      <w:szCs w:val="20"/>
                      <w:highlight w:val="none"/>
                      <w:lang w:val="en-US" w:eastAsia="en-US" w:bidi="en-U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vMerge w:val="continue"/>
                  <w:shd w:val="clear" w:color="auto" w:fill="FFFFFF"/>
                  <w:vAlign w:val="center"/>
                </w:tcPr>
                <w:p>
                  <w:pPr>
                    <w:rPr>
                      <w:color w:val="auto"/>
                      <w:highlight w:val="none"/>
                    </w:rPr>
                  </w:pPr>
                </w:p>
              </w:tc>
              <w:tc>
                <w:tcPr>
                  <w:tcW w:w="1101" w:type="dxa"/>
                  <w:vMerge w:val="continue"/>
                  <w:shd w:val="clear" w:color="auto" w:fill="FFFFFF"/>
                  <w:vAlign w:val="center"/>
                </w:tcPr>
                <w:p>
                  <w:pPr>
                    <w:rPr>
                      <w:color w:val="auto"/>
                      <w:highlight w:val="none"/>
                    </w:rPr>
                  </w:pPr>
                </w:p>
              </w:tc>
              <w:tc>
                <w:tcPr>
                  <w:tcW w:w="2080" w:type="dxa"/>
                  <w:gridSpan w:val="2"/>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color w:val="auto"/>
                      <w:spacing w:val="0"/>
                      <w:w w:val="100"/>
                      <w:position w:val="0"/>
                      <w:sz w:val="20"/>
                      <w:szCs w:val="20"/>
                      <w:highlight w:val="none"/>
                      <w:lang w:val="zh-TW" w:eastAsia="zh-TW" w:bidi="zh-TW"/>
                    </w:rPr>
                    <w:t>初期（</w:t>
                  </w:r>
                  <w:r>
                    <w:rPr>
                      <w:rFonts w:ascii="Times New Roman" w:hAnsi="Times New Roman" w:eastAsia="Times New Roman" w:cs="Times New Roman"/>
                      <w:color w:val="auto"/>
                      <w:spacing w:val="0"/>
                      <w:w w:val="100"/>
                      <w:position w:val="0"/>
                      <w:sz w:val="20"/>
                      <w:szCs w:val="20"/>
                      <w:highlight w:val="none"/>
                      <w:lang w:val="zh-TW" w:eastAsia="zh-TW" w:bidi="zh-TW"/>
                    </w:rPr>
                    <w:t>2030</w:t>
                  </w:r>
                  <w:r>
                    <w:rPr>
                      <w:color w:val="auto"/>
                      <w:spacing w:val="0"/>
                      <w:w w:val="100"/>
                      <w:position w:val="0"/>
                      <w:sz w:val="20"/>
                      <w:szCs w:val="20"/>
                      <w:highlight w:val="none"/>
                      <w:lang w:val="zh-TW" w:eastAsia="zh-TW" w:bidi="zh-TW"/>
                    </w:rPr>
                    <w:t>年）</w:t>
                  </w:r>
                </w:p>
              </w:tc>
              <w:tc>
                <w:tcPr>
                  <w:tcW w:w="1705" w:type="dxa"/>
                  <w:gridSpan w:val="2"/>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color w:val="auto"/>
                      <w:spacing w:val="0"/>
                      <w:w w:val="100"/>
                      <w:position w:val="0"/>
                      <w:sz w:val="20"/>
                      <w:szCs w:val="20"/>
                      <w:highlight w:val="none"/>
                      <w:lang w:val="zh-TW" w:eastAsia="zh-TW" w:bidi="zh-TW"/>
                    </w:rPr>
                    <w:t>中期（</w:t>
                  </w:r>
                  <w:r>
                    <w:rPr>
                      <w:rFonts w:ascii="Times New Roman" w:hAnsi="Times New Roman" w:eastAsia="Times New Roman" w:cs="Times New Roman"/>
                      <w:color w:val="auto"/>
                      <w:spacing w:val="0"/>
                      <w:w w:val="100"/>
                      <w:position w:val="0"/>
                      <w:sz w:val="20"/>
                      <w:szCs w:val="20"/>
                      <w:highlight w:val="none"/>
                      <w:lang w:val="zh-TW" w:eastAsia="zh-TW" w:bidi="zh-TW"/>
                    </w:rPr>
                    <w:t>2035</w:t>
                  </w:r>
                  <w:r>
                    <w:rPr>
                      <w:color w:val="auto"/>
                      <w:spacing w:val="0"/>
                      <w:w w:val="100"/>
                      <w:position w:val="0"/>
                      <w:sz w:val="20"/>
                      <w:szCs w:val="20"/>
                      <w:highlight w:val="none"/>
                      <w:lang w:val="zh-TW" w:eastAsia="zh-TW" w:bidi="zh-TW"/>
                    </w:rPr>
                    <w:t>年）</w:t>
                  </w:r>
                </w:p>
              </w:tc>
              <w:tc>
                <w:tcPr>
                  <w:tcW w:w="2339" w:type="dxa"/>
                  <w:gridSpan w:val="2"/>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color w:val="auto"/>
                      <w:spacing w:val="0"/>
                      <w:w w:val="100"/>
                      <w:position w:val="0"/>
                      <w:sz w:val="20"/>
                      <w:szCs w:val="20"/>
                      <w:highlight w:val="none"/>
                      <w:lang w:val="zh-TW" w:eastAsia="zh-TW" w:bidi="zh-TW"/>
                    </w:rPr>
                    <w:t>远期（</w:t>
                  </w:r>
                  <w:r>
                    <w:rPr>
                      <w:rFonts w:ascii="Times New Roman" w:hAnsi="Times New Roman" w:eastAsia="Times New Roman" w:cs="Times New Roman"/>
                      <w:color w:val="auto"/>
                      <w:spacing w:val="0"/>
                      <w:w w:val="100"/>
                      <w:position w:val="0"/>
                      <w:sz w:val="20"/>
                      <w:szCs w:val="20"/>
                      <w:highlight w:val="none"/>
                      <w:lang w:val="zh-TW" w:eastAsia="zh-TW" w:bidi="zh-TW"/>
                    </w:rPr>
                    <w:t>2040</w:t>
                  </w:r>
                  <w:r>
                    <w:rPr>
                      <w:color w:val="auto"/>
                      <w:spacing w:val="0"/>
                      <w:w w:val="100"/>
                      <w:position w:val="0"/>
                      <w:sz w:val="20"/>
                      <w:szCs w:val="20"/>
                      <w:highlight w:val="none"/>
                      <w:lang w:val="zh-TW" w:eastAsia="zh-TW" w:bidi="zh-TW"/>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vMerge w:val="continue"/>
                  <w:shd w:val="clear" w:color="auto" w:fill="FFFFFF"/>
                  <w:vAlign w:val="center"/>
                </w:tcPr>
                <w:p>
                  <w:pPr>
                    <w:rPr>
                      <w:color w:val="auto"/>
                      <w:highlight w:val="none"/>
                    </w:rPr>
                  </w:pPr>
                </w:p>
              </w:tc>
              <w:tc>
                <w:tcPr>
                  <w:tcW w:w="1101" w:type="dxa"/>
                  <w:vMerge w:val="continue"/>
                  <w:shd w:val="clear" w:color="auto" w:fill="FFFFFF"/>
                  <w:vAlign w:val="center"/>
                </w:tcPr>
                <w:p>
                  <w:pPr>
                    <w:rPr>
                      <w:color w:val="auto"/>
                      <w:highlight w:val="none"/>
                    </w:rPr>
                  </w:pPr>
                </w:p>
              </w:tc>
              <w:tc>
                <w:tcPr>
                  <w:tcW w:w="1126" w:type="dxa"/>
                  <w:shd w:val="clear" w:color="auto" w:fill="FFFFFF"/>
                  <w:vAlign w:val="center"/>
                </w:tcPr>
                <w:p>
                  <w:pPr>
                    <w:pStyle w:val="94"/>
                    <w:keepNext w:val="0"/>
                    <w:keepLines w:val="0"/>
                    <w:widowControl w:val="0"/>
                    <w:shd w:val="clear" w:color="auto" w:fill="auto"/>
                    <w:bidi w:val="0"/>
                    <w:spacing w:before="0" w:after="0" w:line="240" w:lineRule="auto"/>
                    <w:ind w:left="0" w:right="0" w:firstLine="240"/>
                    <w:jc w:val="both"/>
                    <w:rPr>
                      <w:color w:val="auto"/>
                      <w:sz w:val="20"/>
                      <w:szCs w:val="20"/>
                      <w:highlight w:val="none"/>
                    </w:rPr>
                  </w:pPr>
                  <w:r>
                    <w:rPr>
                      <w:color w:val="auto"/>
                      <w:spacing w:val="0"/>
                      <w:w w:val="100"/>
                      <w:position w:val="0"/>
                      <w:sz w:val="20"/>
                      <w:szCs w:val="20"/>
                      <w:highlight w:val="none"/>
                      <w:lang w:val="zh-TW" w:eastAsia="zh-TW" w:bidi="zh-TW"/>
                    </w:rPr>
                    <w:t>昼间</w:t>
                  </w:r>
                </w:p>
              </w:tc>
              <w:tc>
                <w:tcPr>
                  <w:tcW w:w="954" w:type="dxa"/>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color w:val="auto"/>
                      <w:spacing w:val="0"/>
                      <w:w w:val="100"/>
                      <w:position w:val="0"/>
                      <w:sz w:val="20"/>
                      <w:szCs w:val="20"/>
                      <w:highlight w:val="none"/>
                      <w:lang w:val="zh-TW" w:eastAsia="zh-TW" w:bidi="zh-TW"/>
                    </w:rPr>
                    <w:t>夜间</w:t>
                  </w:r>
                </w:p>
              </w:tc>
              <w:tc>
                <w:tcPr>
                  <w:tcW w:w="873" w:type="dxa"/>
                  <w:shd w:val="clear" w:color="auto" w:fill="FFFFFF"/>
                  <w:vAlign w:val="center"/>
                </w:tcPr>
                <w:p>
                  <w:pPr>
                    <w:pStyle w:val="94"/>
                    <w:keepNext w:val="0"/>
                    <w:keepLines w:val="0"/>
                    <w:widowControl w:val="0"/>
                    <w:shd w:val="clear" w:color="auto" w:fill="auto"/>
                    <w:bidi w:val="0"/>
                    <w:spacing w:before="0" w:after="0" w:line="240" w:lineRule="auto"/>
                    <w:ind w:left="0" w:right="0" w:firstLine="240"/>
                    <w:jc w:val="left"/>
                    <w:rPr>
                      <w:color w:val="auto"/>
                      <w:sz w:val="20"/>
                      <w:szCs w:val="20"/>
                      <w:highlight w:val="none"/>
                    </w:rPr>
                  </w:pPr>
                  <w:r>
                    <w:rPr>
                      <w:color w:val="auto"/>
                      <w:spacing w:val="0"/>
                      <w:w w:val="100"/>
                      <w:position w:val="0"/>
                      <w:sz w:val="20"/>
                      <w:szCs w:val="20"/>
                      <w:highlight w:val="none"/>
                      <w:lang w:val="zh-TW" w:eastAsia="zh-TW" w:bidi="zh-TW"/>
                    </w:rPr>
                    <w:t>昼间</w:t>
                  </w:r>
                </w:p>
              </w:tc>
              <w:tc>
                <w:tcPr>
                  <w:tcW w:w="832" w:type="dxa"/>
                  <w:shd w:val="clear" w:color="auto" w:fill="FFFFFF"/>
                  <w:vAlign w:val="center"/>
                </w:tcPr>
                <w:p>
                  <w:pPr>
                    <w:pStyle w:val="94"/>
                    <w:keepNext w:val="0"/>
                    <w:keepLines w:val="0"/>
                    <w:widowControl w:val="0"/>
                    <w:shd w:val="clear" w:color="auto" w:fill="auto"/>
                    <w:bidi w:val="0"/>
                    <w:spacing w:before="0" w:after="0" w:line="240" w:lineRule="auto"/>
                    <w:ind w:left="0" w:right="0" w:firstLine="240"/>
                    <w:jc w:val="both"/>
                    <w:rPr>
                      <w:color w:val="auto"/>
                      <w:sz w:val="20"/>
                      <w:szCs w:val="20"/>
                      <w:highlight w:val="none"/>
                    </w:rPr>
                  </w:pPr>
                  <w:r>
                    <w:rPr>
                      <w:color w:val="auto"/>
                      <w:spacing w:val="0"/>
                      <w:w w:val="100"/>
                      <w:position w:val="0"/>
                      <w:sz w:val="20"/>
                      <w:szCs w:val="20"/>
                      <w:highlight w:val="none"/>
                      <w:lang w:val="zh-TW" w:eastAsia="zh-TW" w:bidi="zh-TW"/>
                    </w:rPr>
                    <w:t>夜间</w:t>
                  </w:r>
                </w:p>
              </w:tc>
              <w:tc>
                <w:tcPr>
                  <w:tcW w:w="1009" w:type="dxa"/>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color w:val="auto"/>
                      <w:spacing w:val="0"/>
                      <w:w w:val="100"/>
                      <w:position w:val="0"/>
                      <w:sz w:val="20"/>
                      <w:szCs w:val="20"/>
                      <w:highlight w:val="none"/>
                      <w:lang w:val="zh-TW" w:eastAsia="zh-TW" w:bidi="zh-TW"/>
                    </w:rPr>
                    <w:t>昼间</w:t>
                  </w:r>
                </w:p>
              </w:tc>
              <w:tc>
                <w:tcPr>
                  <w:tcW w:w="1330" w:type="dxa"/>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color w:val="auto"/>
                      <w:spacing w:val="0"/>
                      <w:w w:val="100"/>
                      <w:position w:val="0"/>
                      <w:sz w:val="20"/>
                      <w:szCs w:val="20"/>
                      <w:highlight w:val="none"/>
                      <w:lang w:val="zh-TW" w:eastAsia="zh-TW" w:bidi="zh-TW"/>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vMerge w:val="restart"/>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1.2m</w:t>
                  </w:r>
                  <w:r>
                    <w:rPr>
                      <w:color w:val="auto"/>
                      <w:spacing w:val="0"/>
                      <w:w w:val="100"/>
                      <w:position w:val="0"/>
                      <w:sz w:val="20"/>
                      <w:szCs w:val="20"/>
                      <w:highlight w:val="none"/>
                      <w:lang w:val="zh-TW" w:eastAsia="zh-TW" w:bidi="zh-TW"/>
                    </w:rPr>
                    <w:t>平面</w:t>
                  </w:r>
                </w:p>
              </w:tc>
              <w:tc>
                <w:tcPr>
                  <w:tcW w:w="1101" w:type="dxa"/>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30</w:t>
                  </w:r>
                </w:p>
              </w:tc>
              <w:tc>
                <w:tcPr>
                  <w:tcW w:w="1126"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74.4</w:t>
                  </w:r>
                </w:p>
              </w:tc>
              <w:tc>
                <w:tcPr>
                  <w:tcW w:w="954"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62.9</w:t>
                  </w:r>
                </w:p>
              </w:tc>
              <w:tc>
                <w:tcPr>
                  <w:tcW w:w="873"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75.3</w:t>
                  </w:r>
                </w:p>
              </w:tc>
              <w:tc>
                <w:tcPr>
                  <w:tcW w:w="832"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63.8</w:t>
                  </w:r>
                </w:p>
              </w:tc>
              <w:tc>
                <w:tcPr>
                  <w:tcW w:w="1009"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76.0</w:t>
                  </w:r>
                </w:p>
              </w:tc>
              <w:tc>
                <w:tcPr>
                  <w:tcW w:w="1330"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exact"/>
                <w:jc w:val="center"/>
              </w:trPr>
              <w:tc>
                <w:tcPr>
                  <w:vMerge w:val="continue"/>
                  <w:shd w:val="clear" w:color="auto" w:fill="FFFFFF"/>
                  <w:vAlign w:val="center"/>
                </w:tcPr>
                <w:p>
                  <w:pPr>
                    <w:jc w:val="center"/>
                    <w:rPr>
                      <w:color w:val="auto"/>
                      <w:highlight w:val="none"/>
                    </w:rPr>
                  </w:pPr>
                </w:p>
              </w:tc>
              <w:tc>
                <w:tcPr>
                  <w:tcW w:w="1101" w:type="dxa"/>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40</w:t>
                  </w:r>
                </w:p>
              </w:tc>
              <w:tc>
                <w:tcPr>
                  <w:tcW w:w="1126"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auto"/>
                      <w:sz w:val="20"/>
                      <w:szCs w:val="20"/>
                      <w:highlight w:val="none"/>
                    </w:rPr>
                  </w:pPr>
                  <w:r>
                    <w:rPr>
                      <w:rFonts w:ascii="Times New Roman" w:hAnsi="Times New Roman" w:eastAsia="Times New Roman" w:cs="Times New Roman"/>
                      <w:b/>
                      <w:bCs/>
                      <w:color w:val="auto"/>
                      <w:spacing w:val="0"/>
                      <w:w w:val="100"/>
                      <w:position w:val="0"/>
                      <w:sz w:val="20"/>
                      <w:szCs w:val="20"/>
                      <w:highlight w:val="none"/>
                      <w:lang w:val="zh-TW" w:eastAsia="zh-TW" w:bidi="zh-TW"/>
                    </w:rPr>
                    <w:t>69.1</w:t>
                  </w:r>
                </w:p>
              </w:tc>
              <w:tc>
                <w:tcPr>
                  <w:tcW w:w="954"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auto"/>
                      <w:sz w:val="20"/>
                      <w:szCs w:val="20"/>
                      <w:highlight w:val="none"/>
                    </w:rPr>
                  </w:pPr>
                  <w:r>
                    <w:rPr>
                      <w:rFonts w:ascii="Times New Roman" w:hAnsi="Times New Roman" w:eastAsia="Times New Roman" w:cs="Times New Roman"/>
                      <w:b/>
                      <w:bCs/>
                      <w:color w:val="auto"/>
                      <w:spacing w:val="0"/>
                      <w:w w:val="100"/>
                      <w:position w:val="0"/>
                      <w:sz w:val="20"/>
                      <w:szCs w:val="20"/>
                      <w:highlight w:val="none"/>
                      <w:lang w:val="en-US" w:eastAsia="en-US" w:bidi="en-US"/>
                    </w:rPr>
                    <w:t>56.5</w:t>
                  </w:r>
                </w:p>
              </w:tc>
              <w:tc>
                <w:tcPr>
                  <w:tcW w:w="873"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auto"/>
                      <w:sz w:val="20"/>
                      <w:szCs w:val="20"/>
                      <w:highlight w:val="none"/>
                    </w:rPr>
                  </w:pPr>
                  <w:r>
                    <w:rPr>
                      <w:rFonts w:ascii="Times New Roman" w:hAnsi="Times New Roman" w:eastAsia="Times New Roman" w:cs="Times New Roman"/>
                      <w:b/>
                      <w:bCs/>
                      <w:color w:val="auto"/>
                      <w:spacing w:val="0"/>
                      <w:w w:val="100"/>
                      <w:position w:val="0"/>
                      <w:sz w:val="20"/>
                      <w:szCs w:val="20"/>
                      <w:highlight w:val="none"/>
                      <w:lang w:val="en-US" w:eastAsia="en-US" w:bidi="en-US"/>
                    </w:rPr>
                    <w:t>69.9</w:t>
                  </w:r>
                </w:p>
              </w:tc>
              <w:tc>
                <w:tcPr>
                  <w:tcW w:w="832"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auto"/>
                      <w:sz w:val="20"/>
                      <w:szCs w:val="20"/>
                      <w:highlight w:val="none"/>
                    </w:rPr>
                  </w:pPr>
                  <w:r>
                    <w:rPr>
                      <w:rFonts w:ascii="Times New Roman" w:hAnsi="Times New Roman" w:eastAsia="Times New Roman" w:cs="Times New Roman"/>
                      <w:b/>
                      <w:bCs/>
                      <w:color w:val="auto"/>
                      <w:spacing w:val="0"/>
                      <w:w w:val="100"/>
                      <w:position w:val="0"/>
                      <w:sz w:val="20"/>
                      <w:szCs w:val="20"/>
                      <w:highlight w:val="none"/>
                      <w:lang w:val="zh-TW" w:eastAsia="zh-TW" w:bidi="zh-TW"/>
                    </w:rPr>
                    <w:t>57.3</w:t>
                  </w:r>
                </w:p>
              </w:tc>
              <w:tc>
                <w:tcPr>
                  <w:tcW w:w="1009"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auto"/>
                      <w:sz w:val="20"/>
                      <w:szCs w:val="20"/>
                      <w:highlight w:val="none"/>
                    </w:rPr>
                  </w:pPr>
                  <w:r>
                    <w:rPr>
                      <w:rFonts w:ascii="Times New Roman" w:hAnsi="Times New Roman" w:eastAsia="Times New Roman" w:cs="Times New Roman"/>
                      <w:b/>
                      <w:bCs/>
                      <w:color w:val="auto"/>
                      <w:spacing w:val="0"/>
                      <w:w w:val="100"/>
                      <w:position w:val="0"/>
                      <w:sz w:val="20"/>
                      <w:szCs w:val="20"/>
                      <w:highlight w:val="none"/>
                      <w:lang w:val="en-US" w:eastAsia="en-US" w:bidi="en-US"/>
                    </w:rPr>
                    <w:t>70.7</w:t>
                  </w:r>
                </w:p>
              </w:tc>
              <w:tc>
                <w:tcPr>
                  <w:tcW w:w="1330"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b/>
                      <w:bCs/>
                      <w:color w:val="auto"/>
                      <w:sz w:val="20"/>
                      <w:szCs w:val="20"/>
                      <w:highlight w:val="none"/>
                    </w:rPr>
                  </w:pPr>
                  <w:r>
                    <w:rPr>
                      <w:rFonts w:ascii="Times New Roman" w:hAnsi="Times New Roman" w:eastAsia="Times New Roman" w:cs="Times New Roman"/>
                      <w:b/>
                      <w:bCs/>
                      <w:color w:val="auto"/>
                      <w:spacing w:val="0"/>
                      <w:w w:val="100"/>
                      <w:position w:val="0"/>
                      <w:sz w:val="20"/>
                      <w:szCs w:val="20"/>
                      <w:highlight w:val="none"/>
                      <w:lang w:val="en-US" w:eastAsia="en-US" w:bidi="en-US"/>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exact"/>
                <w:jc w:val="center"/>
              </w:trPr>
              <w:tc>
                <w:tcPr>
                  <w:vMerge w:val="continue"/>
                  <w:shd w:val="clear" w:color="auto" w:fill="FFFFFF"/>
                  <w:vAlign w:val="center"/>
                </w:tcPr>
                <w:p>
                  <w:pPr>
                    <w:jc w:val="center"/>
                    <w:rPr>
                      <w:color w:val="auto"/>
                      <w:highlight w:val="none"/>
                    </w:rPr>
                  </w:pPr>
                </w:p>
              </w:tc>
              <w:tc>
                <w:tcPr>
                  <w:tcW w:w="1101" w:type="dxa"/>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60</w:t>
                  </w:r>
                </w:p>
              </w:tc>
              <w:tc>
                <w:tcPr>
                  <w:tcW w:w="1126"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65.4</w:t>
                  </w:r>
                </w:p>
              </w:tc>
              <w:tc>
                <w:tcPr>
                  <w:tcW w:w="954"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52.4</w:t>
                  </w:r>
                </w:p>
              </w:tc>
              <w:tc>
                <w:tcPr>
                  <w:tcW w:w="873"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66.3</w:t>
                  </w:r>
                </w:p>
              </w:tc>
              <w:tc>
                <w:tcPr>
                  <w:tcW w:w="832"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53.2</w:t>
                  </w:r>
                </w:p>
              </w:tc>
              <w:tc>
                <w:tcPr>
                  <w:tcW w:w="1009"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67.0</w:t>
                  </w:r>
                </w:p>
              </w:tc>
              <w:tc>
                <w:tcPr>
                  <w:tcW w:w="1330"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vMerge w:val="continue"/>
                  <w:shd w:val="clear" w:color="auto" w:fill="FFFFFF"/>
                  <w:vAlign w:val="center"/>
                </w:tcPr>
                <w:p>
                  <w:pPr>
                    <w:jc w:val="center"/>
                    <w:rPr>
                      <w:color w:val="auto"/>
                      <w:highlight w:val="none"/>
                    </w:rPr>
                  </w:pPr>
                </w:p>
              </w:tc>
              <w:tc>
                <w:tcPr>
                  <w:tcW w:w="1101" w:type="dxa"/>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80</w:t>
                  </w:r>
                </w:p>
              </w:tc>
              <w:tc>
                <w:tcPr>
                  <w:tcW w:w="1126"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63.0</w:t>
                  </w:r>
                </w:p>
              </w:tc>
              <w:tc>
                <w:tcPr>
                  <w:tcW w:w="954"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50.0</w:t>
                  </w:r>
                </w:p>
              </w:tc>
              <w:tc>
                <w:tcPr>
                  <w:tcW w:w="873"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63.9</w:t>
                  </w:r>
                </w:p>
              </w:tc>
              <w:tc>
                <w:tcPr>
                  <w:tcW w:w="832"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50.8</w:t>
                  </w:r>
                </w:p>
              </w:tc>
              <w:tc>
                <w:tcPr>
                  <w:tcW w:w="1009"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64.6</w:t>
                  </w:r>
                </w:p>
              </w:tc>
              <w:tc>
                <w:tcPr>
                  <w:tcW w:w="1330"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exact"/>
                <w:jc w:val="center"/>
              </w:trPr>
              <w:tc>
                <w:tcPr>
                  <w:vMerge w:val="continue"/>
                  <w:shd w:val="clear" w:color="auto" w:fill="FFFFFF"/>
                  <w:vAlign w:val="center"/>
                </w:tcPr>
                <w:p>
                  <w:pPr>
                    <w:jc w:val="center"/>
                    <w:rPr>
                      <w:color w:val="auto"/>
                      <w:highlight w:val="none"/>
                    </w:rPr>
                  </w:pPr>
                </w:p>
              </w:tc>
              <w:tc>
                <w:tcPr>
                  <w:tcW w:w="1101" w:type="dxa"/>
                  <w:shd w:val="clear" w:color="auto" w:fill="FFFFFF"/>
                  <w:vAlign w:val="center"/>
                </w:tcPr>
                <w:p>
                  <w:pPr>
                    <w:pStyle w:val="94"/>
                    <w:keepNext w:val="0"/>
                    <w:keepLines w:val="0"/>
                    <w:widowControl w:val="0"/>
                    <w:shd w:val="clear" w:color="auto" w:fill="auto"/>
                    <w:bidi w:val="0"/>
                    <w:spacing w:before="0" w:after="0" w:line="240" w:lineRule="auto"/>
                    <w:ind w:left="0" w:right="0" w:firstLine="0"/>
                    <w:jc w:val="center"/>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100</w:t>
                  </w:r>
                </w:p>
              </w:tc>
              <w:tc>
                <w:tcPr>
                  <w:tcW w:w="1126"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61.3</w:t>
                  </w:r>
                </w:p>
              </w:tc>
              <w:tc>
                <w:tcPr>
                  <w:tcW w:w="954"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48.3</w:t>
                  </w:r>
                </w:p>
              </w:tc>
              <w:tc>
                <w:tcPr>
                  <w:tcW w:w="873"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62.2</w:t>
                  </w:r>
                </w:p>
              </w:tc>
              <w:tc>
                <w:tcPr>
                  <w:tcW w:w="832"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zh-TW" w:eastAsia="zh-TW" w:bidi="zh-TW"/>
                    </w:rPr>
                    <w:t>49.2</w:t>
                  </w:r>
                </w:p>
              </w:tc>
              <w:tc>
                <w:tcPr>
                  <w:tcW w:w="1009"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62.9</w:t>
                  </w:r>
                </w:p>
              </w:tc>
              <w:tc>
                <w:tcPr>
                  <w:tcW w:w="1330"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color w:val="auto"/>
                      <w:sz w:val="20"/>
                      <w:szCs w:val="20"/>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exact"/>
                <w:jc w:val="center"/>
              </w:trPr>
              <w:tc>
                <w:tcPr>
                  <w:vMerge w:val="restart"/>
                  <w:shd w:val="clear" w:color="auto" w:fill="FFFFFF"/>
                  <w:vAlign w:val="center"/>
                </w:tcPr>
                <w:p>
                  <w:pPr>
                    <w:jc w:val="center"/>
                    <w:rPr>
                      <w:color w:val="auto"/>
                      <w:highlight w:val="none"/>
                    </w:rPr>
                  </w:pPr>
                  <w:r>
                    <w:rPr>
                      <w:rFonts w:ascii="Times New Roman" w:hAnsi="Times New Roman" w:eastAsia="Times New Roman" w:cs="Times New Roman"/>
                      <w:color w:val="auto"/>
                      <w:spacing w:val="0"/>
                      <w:w w:val="100"/>
                      <w:position w:val="0"/>
                      <w:sz w:val="20"/>
                      <w:szCs w:val="20"/>
                      <w:highlight w:val="none"/>
                      <w:lang w:val="en-US" w:eastAsia="en-US" w:bidi="en-US"/>
                    </w:rPr>
                    <w:t>13</w:t>
                  </w:r>
                  <w:r>
                    <w:rPr>
                      <w:rFonts w:hint="eastAsia" w:eastAsia="宋体" w:cs="Times New Roman"/>
                      <w:color w:val="auto"/>
                      <w:spacing w:val="0"/>
                      <w:w w:val="100"/>
                      <w:position w:val="0"/>
                      <w:sz w:val="20"/>
                      <w:szCs w:val="20"/>
                      <w:highlight w:val="none"/>
                      <w:lang w:val="en-US" w:eastAsia="zh-CN" w:bidi="en-US"/>
                    </w:rPr>
                    <w:t>.2</w:t>
                  </w:r>
                  <w:r>
                    <w:rPr>
                      <w:rFonts w:ascii="Times New Roman" w:hAnsi="Times New Roman" w:eastAsia="Times New Roman" w:cs="Times New Roman"/>
                      <w:color w:val="auto"/>
                      <w:spacing w:val="0"/>
                      <w:w w:val="100"/>
                      <w:position w:val="0"/>
                      <w:sz w:val="20"/>
                      <w:szCs w:val="20"/>
                      <w:highlight w:val="none"/>
                      <w:lang w:val="en-US" w:eastAsia="en-US" w:bidi="en-US"/>
                    </w:rPr>
                    <w:t>m</w:t>
                  </w:r>
                  <w:r>
                    <w:rPr>
                      <w:color w:val="auto"/>
                      <w:spacing w:val="0"/>
                      <w:w w:val="100"/>
                      <w:position w:val="0"/>
                      <w:sz w:val="20"/>
                      <w:szCs w:val="20"/>
                      <w:highlight w:val="none"/>
                      <w:lang w:val="zh-TW" w:eastAsia="zh-TW" w:bidi="zh-TW"/>
                    </w:rPr>
                    <w:t>平面五层楼高度</w:t>
                  </w:r>
                </w:p>
              </w:tc>
              <w:tc>
                <w:tcPr>
                  <w:tcW w:w="1101" w:type="dxa"/>
                  <w:shd w:val="clear" w:color="auto" w:fill="FFFFFF"/>
                  <w:vAlign w:val="center"/>
                </w:tcPr>
                <w:p>
                  <w:pPr>
                    <w:pStyle w:val="94"/>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30</w:t>
                  </w:r>
                </w:p>
              </w:tc>
              <w:tc>
                <w:tcPr>
                  <w:tcW w:w="1126"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71.4</w:t>
                  </w:r>
                </w:p>
              </w:tc>
              <w:tc>
                <w:tcPr>
                  <w:tcW w:w="954"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58.7</w:t>
                  </w:r>
                </w:p>
              </w:tc>
              <w:tc>
                <w:tcPr>
                  <w:tcW w:w="873"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72.3</w:t>
                  </w:r>
                </w:p>
              </w:tc>
              <w:tc>
                <w:tcPr>
                  <w:tcW w:w="832"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59.6</w:t>
                  </w:r>
                </w:p>
              </w:tc>
              <w:tc>
                <w:tcPr>
                  <w:tcW w:w="1009"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73.0</w:t>
                  </w:r>
                </w:p>
              </w:tc>
              <w:tc>
                <w:tcPr>
                  <w:tcW w:w="1330"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vMerge w:val="continue"/>
                  <w:shd w:val="clear" w:color="auto" w:fill="FFFFFF"/>
                  <w:vAlign w:val="center"/>
                </w:tcPr>
                <w:p>
                  <w:pPr>
                    <w:rPr>
                      <w:color w:val="auto"/>
                      <w:highlight w:val="none"/>
                    </w:rPr>
                  </w:pPr>
                </w:p>
              </w:tc>
              <w:tc>
                <w:tcPr>
                  <w:tcW w:w="1101" w:type="dxa"/>
                  <w:shd w:val="clear" w:color="auto" w:fill="FFFFFF"/>
                  <w:vAlign w:val="center"/>
                </w:tcPr>
                <w:p>
                  <w:pPr>
                    <w:pStyle w:val="94"/>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40</w:t>
                  </w:r>
                </w:p>
              </w:tc>
              <w:tc>
                <w:tcPr>
                  <w:tcW w:w="1126"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b/>
                      <w:bCs/>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b/>
                      <w:bCs/>
                      <w:color w:val="auto"/>
                      <w:spacing w:val="0"/>
                      <w:w w:val="100"/>
                      <w:position w:val="0"/>
                      <w:sz w:val="20"/>
                      <w:szCs w:val="20"/>
                      <w:highlight w:val="none"/>
                      <w:lang w:val="zh-TW" w:eastAsia="zh-TW" w:bidi="zh-TW"/>
                    </w:rPr>
                    <w:t>69.8</w:t>
                  </w:r>
                </w:p>
              </w:tc>
              <w:tc>
                <w:tcPr>
                  <w:tcW w:w="954"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b/>
                      <w:bCs/>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b/>
                      <w:bCs/>
                      <w:color w:val="auto"/>
                      <w:spacing w:val="0"/>
                      <w:w w:val="100"/>
                      <w:position w:val="0"/>
                      <w:sz w:val="20"/>
                      <w:szCs w:val="20"/>
                      <w:highlight w:val="none"/>
                      <w:lang w:val="en-US" w:eastAsia="en-US" w:bidi="en-US"/>
                    </w:rPr>
                    <w:t>57.2</w:t>
                  </w:r>
                </w:p>
              </w:tc>
              <w:tc>
                <w:tcPr>
                  <w:tcW w:w="873"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b/>
                      <w:bCs/>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b/>
                      <w:bCs/>
                      <w:color w:val="auto"/>
                      <w:spacing w:val="0"/>
                      <w:w w:val="100"/>
                      <w:position w:val="0"/>
                      <w:sz w:val="20"/>
                      <w:szCs w:val="20"/>
                      <w:highlight w:val="none"/>
                      <w:lang w:val="en-US" w:eastAsia="en-US" w:bidi="en-US"/>
                    </w:rPr>
                    <w:t>70.7</w:t>
                  </w:r>
                </w:p>
              </w:tc>
              <w:tc>
                <w:tcPr>
                  <w:tcW w:w="832"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b/>
                      <w:bCs/>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b/>
                      <w:bCs/>
                      <w:color w:val="auto"/>
                      <w:spacing w:val="0"/>
                      <w:w w:val="100"/>
                      <w:position w:val="0"/>
                      <w:sz w:val="20"/>
                      <w:szCs w:val="20"/>
                      <w:highlight w:val="none"/>
                      <w:lang w:val="zh-TW" w:eastAsia="zh-TW" w:bidi="zh-TW"/>
                    </w:rPr>
                    <w:t>58.0</w:t>
                  </w:r>
                </w:p>
              </w:tc>
              <w:tc>
                <w:tcPr>
                  <w:tcW w:w="1009"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b/>
                      <w:bCs/>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b/>
                      <w:bCs/>
                      <w:color w:val="auto"/>
                      <w:spacing w:val="0"/>
                      <w:w w:val="100"/>
                      <w:position w:val="0"/>
                      <w:sz w:val="20"/>
                      <w:szCs w:val="20"/>
                      <w:highlight w:val="none"/>
                      <w:lang w:val="en-US" w:eastAsia="en-US" w:bidi="en-US"/>
                    </w:rPr>
                    <w:t>71.4</w:t>
                  </w:r>
                </w:p>
              </w:tc>
              <w:tc>
                <w:tcPr>
                  <w:tcW w:w="1330"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b/>
                      <w:bCs/>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b/>
                      <w:bCs/>
                      <w:color w:val="auto"/>
                      <w:spacing w:val="0"/>
                      <w:w w:val="100"/>
                      <w:position w:val="0"/>
                      <w:sz w:val="20"/>
                      <w:szCs w:val="20"/>
                      <w:highlight w:val="none"/>
                      <w:lang w:val="en-US" w:eastAsia="en-US" w:bidi="en-US"/>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vMerge w:val="continue"/>
                  <w:shd w:val="clear" w:color="auto" w:fill="FFFFFF"/>
                  <w:vAlign w:val="center"/>
                </w:tcPr>
                <w:p>
                  <w:pPr>
                    <w:rPr>
                      <w:color w:val="auto"/>
                      <w:highlight w:val="none"/>
                    </w:rPr>
                  </w:pPr>
                </w:p>
              </w:tc>
              <w:tc>
                <w:tcPr>
                  <w:tcW w:w="1101" w:type="dxa"/>
                  <w:shd w:val="clear" w:color="auto" w:fill="FFFFFF"/>
                  <w:vAlign w:val="center"/>
                </w:tcPr>
                <w:p>
                  <w:pPr>
                    <w:pStyle w:val="94"/>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60</w:t>
                  </w:r>
                </w:p>
              </w:tc>
              <w:tc>
                <w:tcPr>
                  <w:tcW w:w="1126"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67.2</w:t>
                  </w:r>
                </w:p>
              </w:tc>
              <w:tc>
                <w:tcPr>
                  <w:tcW w:w="954"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54.4</w:t>
                  </w:r>
                </w:p>
              </w:tc>
              <w:tc>
                <w:tcPr>
                  <w:tcW w:w="873"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68.0</w:t>
                  </w:r>
                </w:p>
              </w:tc>
              <w:tc>
                <w:tcPr>
                  <w:tcW w:w="832"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55.3</w:t>
                  </w:r>
                </w:p>
              </w:tc>
              <w:tc>
                <w:tcPr>
                  <w:tcW w:w="1009"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68.8</w:t>
                  </w:r>
                </w:p>
              </w:tc>
              <w:tc>
                <w:tcPr>
                  <w:tcW w:w="1330"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exact"/>
                <w:jc w:val="center"/>
              </w:trPr>
              <w:tc>
                <w:tcPr>
                  <w:vMerge w:val="continue"/>
                  <w:shd w:val="clear" w:color="auto" w:fill="FFFFFF"/>
                  <w:vAlign w:val="center"/>
                </w:tcPr>
                <w:p>
                  <w:pPr>
                    <w:rPr>
                      <w:color w:val="auto"/>
                      <w:highlight w:val="none"/>
                    </w:rPr>
                  </w:pPr>
                </w:p>
              </w:tc>
              <w:tc>
                <w:tcPr>
                  <w:tcW w:w="1101" w:type="dxa"/>
                  <w:shd w:val="clear" w:color="auto" w:fill="FFFFFF"/>
                  <w:vAlign w:val="center"/>
                </w:tcPr>
                <w:p>
                  <w:pPr>
                    <w:pStyle w:val="94"/>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80</w:t>
                  </w:r>
                </w:p>
              </w:tc>
              <w:tc>
                <w:tcPr>
                  <w:tcW w:w="1126"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65.1</w:t>
                  </w:r>
                </w:p>
              </w:tc>
              <w:tc>
                <w:tcPr>
                  <w:tcW w:w="954"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52.3</w:t>
                  </w:r>
                </w:p>
              </w:tc>
              <w:tc>
                <w:tcPr>
                  <w:tcW w:w="873"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66.0</w:t>
                  </w:r>
                </w:p>
              </w:tc>
              <w:tc>
                <w:tcPr>
                  <w:tcW w:w="832"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53.1</w:t>
                  </w:r>
                </w:p>
              </w:tc>
              <w:tc>
                <w:tcPr>
                  <w:tcW w:w="1009"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66.7</w:t>
                  </w:r>
                </w:p>
              </w:tc>
              <w:tc>
                <w:tcPr>
                  <w:tcW w:w="1330"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0" w:hRule="exact"/>
                <w:jc w:val="center"/>
              </w:trPr>
              <w:tc>
                <w:tcPr>
                  <w:vMerge w:val="continue"/>
                  <w:shd w:val="clear" w:color="auto" w:fill="FFFFFF"/>
                  <w:vAlign w:val="center"/>
                </w:tcPr>
                <w:p>
                  <w:pPr>
                    <w:rPr>
                      <w:color w:val="auto"/>
                      <w:highlight w:val="none"/>
                    </w:rPr>
                  </w:pPr>
                </w:p>
              </w:tc>
              <w:tc>
                <w:tcPr>
                  <w:tcW w:w="1101" w:type="dxa"/>
                  <w:shd w:val="clear" w:color="auto" w:fill="FFFFFF"/>
                  <w:vAlign w:val="center"/>
                </w:tcPr>
                <w:p>
                  <w:pPr>
                    <w:pStyle w:val="94"/>
                    <w:keepNext w:val="0"/>
                    <w:keepLines w:val="0"/>
                    <w:widowControl w:val="0"/>
                    <w:shd w:val="clear" w:color="auto" w:fill="auto"/>
                    <w:bidi w:val="0"/>
                    <w:spacing w:before="0" w:after="0" w:line="240" w:lineRule="auto"/>
                    <w:ind w:left="0" w:leftChars="0" w:right="0" w:rightChars="0" w:firstLine="0" w:firstLineChars="0"/>
                    <w:jc w:val="center"/>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100</w:t>
                  </w:r>
                </w:p>
              </w:tc>
              <w:tc>
                <w:tcPr>
                  <w:tcW w:w="1126"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63.3</w:t>
                  </w:r>
                </w:p>
              </w:tc>
              <w:tc>
                <w:tcPr>
                  <w:tcW w:w="954"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50.3</w:t>
                  </w:r>
                </w:p>
              </w:tc>
              <w:tc>
                <w:tcPr>
                  <w:tcW w:w="873"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64.1</w:t>
                  </w:r>
                </w:p>
              </w:tc>
              <w:tc>
                <w:tcPr>
                  <w:tcW w:w="832"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zh-TW" w:eastAsia="zh-TW" w:bidi="en-US"/>
                    </w:rPr>
                  </w:pPr>
                  <w:r>
                    <w:rPr>
                      <w:rFonts w:ascii="Times New Roman" w:hAnsi="Times New Roman" w:eastAsia="Times New Roman" w:cs="Times New Roman"/>
                      <w:color w:val="auto"/>
                      <w:spacing w:val="0"/>
                      <w:w w:val="100"/>
                      <w:position w:val="0"/>
                      <w:sz w:val="20"/>
                      <w:szCs w:val="20"/>
                      <w:highlight w:val="none"/>
                      <w:lang w:val="zh-TW" w:eastAsia="zh-TW" w:bidi="zh-TW"/>
                    </w:rPr>
                    <w:t>51.2</w:t>
                  </w:r>
                </w:p>
              </w:tc>
              <w:tc>
                <w:tcPr>
                  <w:tcW w:w="1009"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64.9</w:t>
                  </w:r>
                </w:p>
              </w:tc>
              <w:tc>
                <w:tcPr>
                  <w:tcW w:w="1330" w:type="dxa"/>
                  <w:shd w:val="clear" w:color="auto" w:fill="FFFFFF"/>
                  <w:vAlign w:val="center"/>
                </w:tcPr>
                <w:p>
                  <w:pPr>
                    <w:pStyle w:val="9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ascii="宋体" w:hAnsi="宋体" w:eastAsia="宋体" w:cs="宋体"/>
                      <w:color w:val="auto"/>
                      <w:spacing w:val="0"/>
                      <w:w w:val="100"/>
                      <w:position w:val="0"/>
                      <w:sz w:val="20"/>
                      <w:szCs w:val="20"/>
                      <w:highlight w:val="none"/>
                      <w:u w:val="none"/>
                      <w:shd w:val="clear" w:color="auto" w:fill="auto"/>
                      <w:lang w:val="en-US" w:eastAsia="en-US" w:bidi="en-US"/>
                    </w:rPr>
                  </w:pPr>
                  <w:r>
                    <w:rPr>
                      <w:rFonts w:ascii="Times New Roman" w:hAnsi="Times New Roman" w:eastAsia="Times New Roman" w:cs="Times New Roman"/>
                      <w:color w:val="auto"/>
                      <w:spacing w:val="0"/>
                      <w:w w:val="100"/>
                      <w:position w:val="0"/>
                      <w:sz w:val="20"/>
                      <w:szCs w:val="20"/>
                      <w:highlight w:val="none"/>
                      <w:lang w:val="en-US" w:eastAsia="en-US" w:bidi="en-US"/>
                    </w:rPr>
                    <w:t>51.9</w:t>
                  </w:r>
                </w:p>
              </w:tc>
            </w:tr>
          </w:tbl>
          <w:p>
            <w:pPr>
              <w:adjustRightInd w:val="0"/>
              <w:snapToGrid w:val="0"/>
              <w:spacing w:line="360" w:lineRule="auto"/>
              <w:ind w:firstLine="420" w:firstLineChars="200"/>
              <w:rPr>
                <w:rFonts w:hint="default" w:ascii="Times New Roman" w:hAnsi="Times New Roman" w:eastAsia="宋体" w:cs="Times New Roman"/>
                <w:color w:val="auto"/>
                <w:highlight w:val="none"/>
                <w:lang w:val="en-US" w:eastAsia="zh-CN"/>
              </w:rPr>
            </w:pPr>
            <w:r>
              <w:rPr>
                <w:rFonts w:hint="eastAsia"/>
                <w:color w:val="auto"/>
                <w:highlight w:val="none"/>
                <w:lang w:val="en-US" w:eastAsia="zh-CN"/>
              </w:rPr>
              <w:t>根据数据可知，原山大道对本项目区域产生的交通噪声影响较大，项目西厂界初期、中期、远期均不满足</w:t>
            </w:r>
            <w:r>
              <w:rPr>
                <w:rFonts w:hint="default" w:ascii="Times New Roman" w:hAnsi="Times New Roman" w:eastAsia="宋体" w:cs="Times New Roman"/>
                <w:color w:val="auto"/>
                <w:highlight w:val="none"/>
              </w:rPr>
              <w:t>《工业企业厂界环境噪声排放标准》（GB12348-2008）</w:t>
            </w:r>
            <w:r>
              <w:rPr>
                <w:rFonts w:hint="eastAsia" w:cs="Times New Roman"/>
                <w:color w:val="auto"/>
                <w:highlight w:val="none"/>
                <w:lang w:val="en-US" w:eastAsia="zh-CN"/>
              </w:rPr>
              <w:t>4</w:t>
            </w:r>
            <w:r>
              <w:rPr>
                <w:rFonts w:hint="default" w:ascii="Times New Roman" w:hAnsi="Times New Roman" w:eastAsia="宋体" w:cs="Times New Roman"/>
                <w:color w:val="auto"/>
                <w:highlight w:val="none"/>
              </w:rPr>
              <w:t>类标准</w:t>
            </w:r>
            <w:r>
              <w:rPr>
                <w:rFonts w:hint="eastAsia"/>
                <w:color w:val="auto"/>
                <w:highlight w:val="none"/>
                <w:lang w:val="en-US" w:eastAsia="zh-CN"/>
              </w:rPr>
              <w:t>。</w:t>
            </w:r>
          </w:p>
          <w:p>
            <w:pPr>
              <w:spacing w:line="360" w:lineRule="auto"/>
              <w:ind w:firstLine="420"/>
              <w:rPr>
                <w:color w:val="auto"/>
                <w:highlight w:val="none"/>
              </w:rPr>
            </w:pPr>
            <w:r>
              <w:rPr>
                <w:color w:val="auto"/>
                <w:highlight w:val="none"/>
              </w:rPr>
              <w:t>为进一步减小区域交通噪声对项目的影响，建议建设单位强化降噪措施，具体如下：</w:t>
            </w:r>
          </w:p>
          <w:p>
            <w:pPr>
              <w:spacing w:line="360" w:lineRule="auto"/>
              <w:ind w:firstLine="420"/>
              <w:rPr>
                <w:color w:val="auto"/>
                <w:highlight w:val="none"/>
              </w:rPr>
            </w:pPr>
            <w:r>
              <w:rPr>
                <w:color w:val="auto"/>
                <w:highlight w:val="none"/>
              </w:rPr>
              <w:t>1、采取隔声措施，如增加树木绿化等，减少外部</w:t>
            </w:r>
            <w:r>
              <w:rPr>
                <w:rFonts w:hint="eastAsia"/>
                <w:color w:val="auto"/>
                <w:highlight w:val="none"/>
                <w:lang w:val="en-US" w:eastAsia="zh-CN"/>
              </w:rPr>
              <w:t>交通</w:t>
            </w:r>
            <w:r>
              <w:rPr>
                <w:color w:val="auto"/>
                <w:highlight w:val="none"/>
              </w:rPr>
              <w:t>噪声对本项目的影响。</w:t>
            </w:r>
          </w:p>
          <w:p>
            <w:pPr>
              <w:spacing w:line="360" w:lineRule="auto"/>
              <w:ind w:firstLine="420"/>
              <w:rPr>
                <w:color w:val="auto"/>
                <w:highlight w:val="none"/>
              </w:rPr>
            </w:pPr>
            <w:r>
              <w:rPr>
                <w:color w:val="auto"/>
                <w:highlight w:val="none"/>
              </w:rPr>
              <w:t>2、提高房间门窗的隔声性能，沿路一侧的窗户需要安装双层中空隔声玻璃，采用窗户增加橡胶条、窗缝注密封胶，且采取符合国家</w:t>
            </w:r>
            <w:r>
              <w:rPr>
                <w:rFonts w:hint="eastAsia"/>
                <w:color w:val="auto"/>
                <w:highlight w:val="none"/>
                <w:lang w:eastAsia="zh-CN"/>
              </w:rPr>
              <w:t>“</w:t>
            </w:r>
            <w:r>
              <w:rPr>
                <w:color w:val="auto"/>
                <w:highlight w:val="none"/>
              </w:rPr>
              <w:t>三密</w:t>
            </w:r>
            <w:r>
              <w:rPr>
                <w:rFonts w:hint="eastAsia"/>
                <w:color w:val="auto"/>
                <w:highlight w:val="none"/>
                <w:lang w:eastAsia="zh-CN"/>
              </w:rPr>
              <w:t>”</w:t>
            </w:r>
            <w:r>
              <w:rPr>
                <w:color w:val="auto"/>
                <w:highlight w:val="none"/>
              </w:rPr>
              <w:t>（气密性、水密性、隔声性） 标准的玻璃；门窗进行嵌缝，嵌缝后平均隔声量可提高13分贝，减少汽车经过时噪声的影响。</w:t>
            </w:r>
          </w:p>
          <w:p>
            <w:pPr>
              <w:spacing w:line="360" w:lineRule="auto"/>
              <w:ind w:firstLine="420"/>
              <w:rPr>
                <w:rFonts w:hint="default"/>
                <w:color w:val="auto"/>
                <w:kern w:val="0"/>
                <w:szCs w:val="21"/>
                <w:highlight w:val="none"/>
                <w:lang w:val="en-US" w:eastAsia="zh-CN"/>
              </w:rPr>
            </w:pPr>
            <w:r>
              <w:rPr>
                <w:rFonts w:hint="eastAsia"/>
                <w:color w:val="auto"/>
                <w:kern w:val="0"/>
                <w:szCs w:val="21"/>
                <w:highlight w:val="none"/>
                <w:lang w:val="en-US" w:eastAsia="zh-CN"/>
              </w:rPr>
              <w:t>3、在临近的原山大道路段设置声屏障。</w:t>
            </w:r>
          </w:p>
          <w:p>
            <w:pPr>
              <w:spacing w:line="360" w:lineRule="auto"/>
              <w:ind w:firstLine="420"/>
              <w:rPr>
                <w:rFonts w:hint="default" w:eastAsia="宋体"/>
                <w:color w:val="auto"/>
                <w:highlight w:val="none"/>
                <w:lang w:val="en-US" w:eastAsia="zh-CN"/>
              </w:rPr>
            </w:pPr>
            <w:r>
              <w:rPr>
                <w:rFonts w:hint="eastAsia"/>
                <w:color w:val="auto"/>
                <w:highlight w:val="none"/>
                <w:lang w:val="en-US" w:eastAsia="zh-CN"/>
              </w:rPr>
              <w:t>根据前文噪声预测数据可知，院区西厂界噪声源强为37.8</w:t>
            </w:r>
            <w:r>
              <w:rPr>
                <w:color w:val="auto"/>
                <w:highlight w:val="none"/>
                <w:lang w:val="en-US" w:eastAsia="en-US"/>
              </w:rPr>
              <w:t>dB（A）</w:t>
            </w:r>
            <w:r>
              <w:rPr>
                <w:rFonts w:hint="eastAsia"/>
                <w:color w:val="auto"/>
                <w:highlight w:val="none"/>
                <w:lang w:val="en-US" w:eastAsia="zh-CN"/>
              </w:rPr>
              <w:t>，将厂界噪声与交通噪声叠加后，可得本项目建成西厂界噪声值，</w:t>
            </w:r>
            <w:r>
              <w:rPr>
                <w:color w:val="auto"/>
                <w:highlight w:val="none"/>
              </w:rPr>
              <w:t>采取</w:t>
            </w:r>
            <w:r>
              <w:rPr>
                <w:rFonts w:hint="eastAsia"/>
                <w:color w:val="auto"/>
                <w:highlight w:val="none"/>
                <w:lang w:val="en-US" w:eastAsia="zh-CN"/>
              </w:rPr>
              <w:t>上文</w:t>
            </w:r>
            <w:r>
              <w:rPr>
                <w:color w:val="auto"/>
                <w:highlight w:val="none"/>
              </w:rPr>
              <w:t>措施后</w:t>
            </w:r>
            <w:r>
              <w:rPr>
                <w:rFonts w:hint="eastAsia"/>
                <w:color w:val="auto"/>
                <w:highlight w:val="none"/>
                <w:lang w:val="en-US" w:eastAsia="zh-CN"/>
              </w:rPr>
              <w:t>可降噪15</w:t>
            </w:r>
            <w:r>
              <w:rPr>
                <w:rFonts w:hint="default"/>
                <w:color w:val="auto"/>
                <w:highlight w:val="none"/>
              </w:rPr>
              <w:t>dB(A)</w:t>
            </w:r>
            <w:r>
              <w:rPr>
                <w:rFonts w:hint="eastAsia"/>
                <w:color w:val="auto"/>
                <w:highlight w:val="none"/>
                <w:lang w:eastAsia="zh-CN"/>
              </w:rPr>
              <w:t>，</w:t>
            </w:r>
            <w:r>
              <w:rPr>
                <w:rFonts w:hint="eastAsia"/>
                <w:color w:val="auto"/>
                <w:highlight w:val="none"/>
                <w:lang w:val="en-US" w:eastAsia="zh-CN"/>
              </w:rPr>
              <w:t>具体计算结果如下表所示。</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b/>
                <w:bCs/>
                <w:color w:val="auto"/>
                <w:szCs w:val="24"/>
                <w:highlight w:val="none"/>
              </w:rPr>
            </w:pPr>
            <w:r>
              <w:rPr>
                <w:rFonts w:hint="default" w:ascii="Times New Roman"/>
                <w:b/>
                <w:bCs/>
                <w:color w:val="auto"/>
                <w:szCs w:val="24"/>
                <w:highlight w:val="none"/>
              </w:rPr>
              <w:t>表4-</w:t>
            </w:r>
            <w:r>
              <w:rPr>
                <w:rFonts w:hint="eastAsia"/>
                <w:b/>
                <w:bCs/>
                <w:color w:val="auto"/>
                <w:szCs w:val="24"/>
                <w:highlight w:val="none"/>
                <w:lang w:val="en-US" w:eastAsia="zh-CN"/>
              </w:rPr>
              <w:t>34</w:t>
            </w:r>
            <w:r>
              <w:rPr>
                <w:rFonts w:hint="default" w:ascii="Times New Roman"/>
                <w:b/>
                <w:bCs/>
                <w:color w:val="auto"/>
                <w:szCs w:val="24"/>
                <w:highlight w:val="none"/>
              </w:rPr>
              <w:t>噪声预测结果（单位：dB(A)）</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756"/>
              <w:gridCol w:w="618"/>
              <w:gridCol w:w="1151"/>
              <w:gridCol w:w="1234"/>
              <w:gridCol w:w="985"/>
              <w:gridCol w:w="987"/>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311" w:type="pc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rPr>
                    <w:t>序号</w:t>
                  </w:r>
                </w:p>
              </w:tc>
              <w:tc>
                <w:tcPr>
                  <w:tcW w:w="818" w:type="pct"/>
                  <w:gridSpan w:val="2"/>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rFonts w:hint="eastAsia" w:hAnsi="宋体" w:eastAsia="宋体"/>
                      <w:b/>
                      <w:bCs/>
                      <w:color w:val="auto"/>
                      <w:sz w:val="18"/>
                      <w:szCs w:val="18"/>
                      <w:highlight w:val="none"/>
                      <w:lang w:val="en-US" w:eastAsia="zh-CN"/>
                    </w:rPr>
                  </w:pPr>
                  <w:r>
                    <w:rPr>
                      <w:rFonts w:hint="eastAsia" w:hAnsi="宋体"/>
                      <w:b/>
                      <w:bCs/>
                      <w:color w:val="auto"/>
                      <w:sz w:val="18"/>
                      <w:szCs w:val="18"/>
                      <w:highlight w:val="none"/>
                      <w:lang w:val="en-US" w:eastAsia="zh-CN"/>
                    </w:rPr>
                    <w:t>时间</w:t>
                  </w:r>
                </w:p>
              </w:tc>
              <w:tc>
                <w:tcPr>
                  <w:tcW w:w="686" w:type="pc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rPr>
                    <w:t>厂界</w:t>
                  </w:r>
                </w:p>
              </w:tc>
              <w:tc>
                <w:tcPr>
                  <w:tcW w:w="735" w:type="pc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b/>
                      <w:bCs/>
                      <w:color w:val="auto"/>
                      <w:sz w:val="18"/>
                      <w:szCs w:val="18"/>
                      <w:highlight w:val="none"/>
                    </w:rPr>
                  </w:pPr>
                  <w:r>
                    <w:rPr>
                      <w:rFonts w:hint="eastAsia" w:hAnsi="宋体"/>
                      <w:b/>
                      <w:bCs/>
                      <w:color w:val="auto"/>
                      <w:sz w:val="18"/>
                      <w:szCs w:val="18"/>
                      <w:highlight w:val="none"/>
                      <w:lang w:val="en-US" w:eastAsia="zh-CN"/>
                    </w:rPr>
                    <w:t>交通</w:t>
                  </w:r>
                  <w:r>
                    <w:rPr>
                      <w:rFonts w:hint="eastAsia" w:hAnsi="宋体"/>
                      <w:b/>
                      <w:bCs/>
                      <w:color w:val="auto"/>
                      <w:sz w:val="18"/>
                      <w:szCs w:val="18"/>
                      <w:highlight w:val="none"/>
                      <w:lang w:eastAsia="zh-CN"/>
                    </w:rPr>
                    <w:t>噪声源强</w:t>
                  </w:r>
                </w:p>
              </w:tc>
              <w:tc>
                <w:tcPr>
                  <w:tcW w:w="587" w:type="pc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rFonts w:hint="default" w:hAnsi="宋体"/>
                      <w:b/>
                      <w:bCs/>
                      <w:color w:val="auto"/>
                      <w:sz w:val="18"/>
                      <w:szCs w:val="18"/>
                      <w:highlight w:val="none"/>
                      <w:lang w:val="en-US" w:eastAsia="zh-CN"/>
                    </w:rPr>
                  </w:pPr>
                  <w:r>
                    <w:rPr>
                      <w:rFonts w:hint="eastAsia" w:hAnsi="宋体"/>
                      <w:b/>
                      <w:bCs/>
                      <w:color w:val="auto"/>
                      <w:sz w:val="18"/>
                      <w:szCs w:val="18"/>
                      <w:highlight w:val="none"/>
                      <w:lang w:val="en-US" w:eastAsia="zh-CN"/>
                    </w:rPr>
                    <w:t>西厂界噪音源强</w:t>
                  </w:r>
                </w:p>
              </w:tc>
              <w:tc>
                <w:tcPr>
                  <w:tcW w:w="588" w:type="pc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rFonts w:hint="default"/>
                      <w:b/>
                      <w:bCs/>
                      <w:color w:val="auto"/>
                      <w:sz w:val="18"/>
                      <w:szCs w:val="18"/>
                      <w:highlight w:val="none"/>
                      <w:lang w:val="en-US"/>
                    </w:rPr>
                  </w:pPr>
                  <w:r>
                    <w:rPr>
                      <w:rFonts w:hint="eastAsia" w:hAnsi="宋体"/>
                      <w:b/>
                      <w:bCs/>
                      <w:color w:val="auto"/>
                      <w:sz w:val="18"/>
                      <w:szCs w:val="18"/>
                      <w:highlight w:val="none"/>
                      <w:lang w:val="en-US" w:eastAsia="zh-CN"/>
                    </w:rPr>
                    <w:t>叠加值</w:t>
                  </w:r>
                </w:p>
              </w:tc>
              <w:tc>
                <w:tcPr>
                  <w:tcW w:w="635" w:type="pc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rFonts w:hint="default" w:eastAsia="宋体"/>
                      <w:b/>
                      <w:bCs/>
                      <w:color w:val="auto"/>
                      <w:sz w:val="18"/>
                      <w:szCs w:val="18"/>
                      <w:highlight w:val="none"/>
                      <w:lang w:val="en-US" w:eastAsia="zh-CN"/>
                    </w:rPr>
                  </w:pPr>
                  <w:r>
                    <w:rPr>
                      <w:rFonts w:hint="eastAsia"/>
                      <w:b/>
                      <w:bCs/>
                      <w:color w:val="auto"/>
                      <w:sz w:val="18"/>
                      <w:szCs w:val="18"/>
                      <w:highlight w:val="none"/>
                      <w:lang w:val="en-US" w:eastAsia="zh-CN"/>
                    </w:rPr>
                    <w:t>措施降噪值</w:t>
                  </w:r>
                </w:p>
              </w:tc>
              <w:tc>
                <w:tcPr>
                  <w:tcW w:w="635" w:type="pct"/>
                  <w:noWrap w:val="0"/>
                  <w:vAlign w:val="center"/>
                </w:tcPr>
                <w:p>
                  <w:pPr>
                    <w:keepNext w:val="0"/>
                    <w:keepLines w:val="0"/>
                    <w:pageBreakBefore w:val="0"/>
                    <w:kinsoku/>
                    <w:wordWrap/>
                    <w:overflowPunct/>
                    <w:topLinePunct w:val="0"/>
                    <w:autoSpaceDE/>
                    <w:autoSpaceDN/>
                    <w:bidi w:val="0"/>
                    <w:adjustRightInd w:val="0"/>
                    <w:snapToGrid w:val="0"/>
                    <w:spacing w:line="312" w:lineRule="atLeast"/>
                    <w:ind w:firstLine="0" w:firstLineChars="0"/>
                    <w:jc w:val="center"/>
                    <w:rPr>
                      <w:rFonts w:hint="default" w:eastAsia="宋体"/>
                      <w:b/>
                      <w:bCs/>
                      <w:color w:val="auto"/>
                      <w:sz w:val="18"/>
                      <w:szCs w:val="18"/>
                      <w:highlight w:val="none"/>
                      <w:lang w:val="en-US" w:eastAsia="zh-CN"/>
                    </w:rPr>
                  </w:pPr>
                  <w:r>
                    <w:rPr>
                      <w:rFonts w:hint="eastAsia" w:hAnsi="宋体"/>
                      <w:b/>
                      <w:bCs/>
                      <w:color w:val="auto"/>
                      <w:sz w:val="18"/>
                      <w:szCs w:val="18"/>
                      <w:highlight w:val="none"/>
                      <w:lang w:val="en-US" w:eastAsia="zh-CN"/>
                    </w:rPr>
                    <w:t>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 w:type="pct"/>
                  <w:noWrap w:val="0"/>
                  <w:vAlign w:val="center"/>
                </w:tcPr>
                <w:p>
                  <w:pPr>
                    <w:pStyle w:val="81"/>
                    <w:spacing w:line="240" w:lineRule="auto"/>
                    <w:ind w:firstLine="0" w:firstLineChars="0"/>
                    <w:jc w:val="center"/>
                    <w:rPr>
                      <w:rFonts w:hint="eastAsia" w:eastAsia="宋体"/>
                      <w:color w:val="auto"/>
                      <w:sz w:val="18"/>
                      <w:szCs w:val="18"/>
                      <w:highlight w:val="none"/>
                      <w:lang w:eastAsia="zh-CN"/>
                    </w:rPr>
                  </w:pPr>
                  <w:r>
                    <w:rPr>
                      <w:rFonts w:hint="eastAsia"/>
                      <w:color w:val="auto"/>
                      <w:sz w:val="18"/>
                      <w:szCs w:val="18"/>
                      <w:highlight w:val="none"/>
                      <w:lang w:val="en-US" w:eastAsia="zh-CN"/>
                    </w:rPr>
                    <w:t>1</w:t>
                  </w:r>
                </w:p>
              </w:tc>
              <w:tc>
                <w:tcPr>
                  <w:tcW w:w="450" w:type="pct"/>
                  <w:vMerge w:val="restart"/>
                  <w:noWrap w:val="0"/>
                  <w:vAlign w:val="center"/>
                </w:tcPr>
                <w:p>
                  <w:pPr>
                    <w:pStyle w:val="81"/>
                    <w:spacing w:line="240" w:lineRule="auto"/>
                    <w:ind w:firstLine="0" w:firstLineChars="0"/>
                    <w:jc w:val="center"/>
                    <w:rPr>
                      <w:rFonts w:hint="eastAsia"/>
                      <w:color w:val="auto"/>
                      <w:sz w:val="18"/>
                      <w:szCs w:val="18"/>
                      <w:highlight w:val="none"/>
                      <w:lang w:val="en-US" w:eastAsia="zh-CN"/>
                    </w:rPr>
                  </w:pPr>
                  <w:r>
                    <w:rPr>
                      <w:rFonts w:hint="eastAsia"/>
                      <w:color w:val="auto"/>
                      <w:sz w:val="18"/>
                      <w:szCs w:val="18"/>
                      <w:highlight w:val="none"/>
                      <w:lang w:val="zh-TW" w:eastAsia="zh-TW"/>
                    </w:rPr>
                    <w:t>初期（2030年）</w:t>
                  </w:r>
                </w:p>
              </w:tc>
              <w:tc>
                <w:tcPr>
                  <w:tcW w:w="367" w:type="pct"/>
                  <w:vMerge w:val="restar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昼间</w:t>
                  </w:r>
                </w:p>
              </w:tc>
              <w:tc>
                <w:tcPr>
                  <w:tcW w:w="686"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西厂界1.2m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69.1</w:t>
                  </w:r>
                </w:p>
              </w:tc>
              <w:tc>
                <w:tcPr>
                  <w:tcW w:w="587" w:type="pct"/>
                  <w:noWrap w:val="0"/>
                  <w:vAlign w:val="center"/>
                </w:tcPr>
                <w:p>
                  <w:pPr>
                    <w:widowControl/>
                    <w:jc w:val="center"/>
                    <w:rPr>
                      <w:rFonts w:hint="default"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69.1</w:t>
                  </w:r>
                </w:p>
              </w:tc>
              <w:tc>
                <w:tcPr>
                  <w:tcW w:w="635" w:type="pct"/>
                  <w:vMerge w:val="restart"/>
                  <w:noWrap w:val="0"/>
                  <w:vAlign w:val="center"/>
                </w:tcPr>
                <w:p>
                  <w:pPr>
                    <w:widowControl/>
                    <w:jc w:val="center"/>
                    <w:rPr>
                      <w:rFonts w:hint="default"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15</w:t>
                  </w:r>
                </w:p>
              </w:tc>
              <w:tc>
                <w:tcPr>
                  <w:tcW w:w="635" w:type="pct"/>
                  <w:noWrap w:val="0"/>
                  <w:vAlign w:val="center"/>
                </w:tcPr>
                <w:p>
                  <w:pPr>
                    <w:widowControl/>
                    <w:jc w:val="center"/>
                    <w:rPr>
                      <w:rFonts w:hint="eastAsia" w:ascii="Times New Roman" w:hAnsi="Times New Roman" w:eastAsia="宋体" w:cs="Times New Roman"/>
                      <w:color w:val="auto"/>
                      <w:kern w:val="2"/>
                      <w:sz w:val="18"/>
                      <w:szCs w:val="18"/>
                      <w:highlight w:val="none"/>
                      <w:lang w:val="en-US" w:eastAsia="zh-CN" w:bidi="ar-SA"/>
                    </w:rPr>
                  </w:pPr>
                  <w:r>
                    <w:rPr>
                      <w:rFonts w:hint="eastAsia" w:cs="Times New Roman"/>
                      <w:color w:val="auto"/>
                      <w:kern w:val="2"/>
                      <w:sz w:val="18"/>
                      <w:szCs w:val="18"/>
                      <w:highlight w:val="none"/>
                      <w:lang w:val="en-US" w:eastAsia="zh-CN" w:bidi="ar-SA"/>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 w:type="pc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2</w:t>
                  </w:r>
                </w:p>
              </w:tc>
              <w:tc>
                <w:tcPr>
                  <w:tcW w:w="450"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367"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686"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西厂界13.2m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69.8</w:t>
                  </w:r>
                </w:p>
              </w:tc>
              <w:tc>
                <w:tcPr>
                  <w:tcW w:w="587" w:type="pct"/>
                  <w:noWrap w:val="0"/>
                  <w:vAlign w:val="center"/>
                </w:tcPr>
                <w:p>
                  <w:pPr>
                    <w:widowControl/>
                    <w:jc w:val="center"/>
                    <w:rPr>
                      <w:rFonts w:hint="eastAsia"/>
                      <w:color w:val="auto"/>
                      <w:sz w:val="18"/>
                      <w:szCs w:val="18"/>
                      <w:highlight w:val="none"/>
                      <w:lang w:val="en-US" w:eastAsia="zh-CN"/>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69.8</w:t>
                  </w:r>
                </w:p>
              </w:tc>
              <w:tc>
                <w:tcPr>
                  <w:tcW w:w="635" w:type="pct"/>
                  <w:vMerge w:val="continue"/>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p>
              </w:tc>
              <w:tc>
                <w:tcPr>
                  <w:tcW w:w="635" w:type="pct"/>
                  <w:noWrap w:val="0"/>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 w:type="pc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3</w:t>
                  </w:r>
                </w:p>
              </w:tc>
              <w:tc>
                <w:tcPr>
                  <w:tcW w:w="450"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367" w:type="pct"/>
                  <w:vMerge w:val="restar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夜间</w:t>
                  </w:r>
                </w:p>
              </w:tc>
              <w:tc>
                <w:tcPr>
                  <w:tcW w:w="686"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西厂界1.2m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56.5</w:t>
                  </w:r>
                </w:p>
              </w:tc>
              <w:tc>
                <w:tcPr>
                  <w:tcW w:w="587" w:type="pct"/>
                  <w:noWrap w:val="0"/>
                  <w:vAlign w:val="center"/>
                </w:tcPr>
                <w:p>
                  <w:pPr>
                    <w:widowControl/>
                    <w:jc w:val="center"/>
                    <w:rPr>
                      <w:rFonts w:hint="eastAsia"/>
                      <w:color w:val="auto"/>
                      <w:sz w:val="18"/>
                      <w:szCs w:val="18"/>
                      <w:highlight w:val="none"/>
                      <w:lang w:val="en-US" w:eastAsia="zh-CN"/>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56.5</w:t>
                  </w:r>
                </w:p>
              </w:tc>
              <w:tc>
                <w:tcPr>
                  <w:tcW w:w="635" w:type="pct"/>
                  <w:vMerge w:val="continue"/>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p>
              </w:tc>
              <w:tc>
                <w:tcPr>
                  <w:tcW w:w="635" w:type="pct"/>
                  <w:noWrap w:val="0"/>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11" w:type="pc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4</w:t>
                  </w:r>
                </w:p>
              </w:tc>
              <w:tc>
                <w:tcPr>
                  <w:tcW w:w="450"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367"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686"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西厂界13.2m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57.2</w:t>
                  </w:r>
                </w:p>
              </w:tc>
              <w:tc>
                <w:tcPr>
                  <w:tcW w:w="587" w:type="pct"/>
                  <w:noWrap w:val="0"/>
                  <w:vAlign w:val="center"/>
                </w:tcPr>
                <w:p>
                  <w:pPr>
                    <w:widowControl/>
                    <w:jc w:val="center"/>
                    <w:rPr>
                      <w:rFonts w:hint="eastAsia"/>
                      <w:color w:val="auto"/>
                      <w:sz w:val="18"/>
                      <w:szCs w:val="18"/>
                      <w:highlight w:val="none"/>
                      <w:lang w:val="en-US" w:eastAsia="zh-CN"/>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57.2</w:t>
                  </w:r>
                </w:p>
              </w:tc>
              <w:tc>
                <w:tcPr>
                  <w:tcW w:w="635" w:type="pct"/>
                  <w:vMerge w:val="continue"/>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p>
              </w:tc>
              <w:tc>
                <w:tcPr>
                  <w:tcW w:w="635" w:type="pct"/>
                  <w:noWrap w:val="0"/>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 w:type="pc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5</w:t>
                  </w:r>
                </w:p>
              </w:tc>
              <w:tc>
                <w:tcPr>
                  <w:tcW w:w="450" w:type="pct"/>
                  <w:vMerge w:val="restart"/>
                  <w:noWrap w:val="0"/>
                  <w:vAlign w:val="center"/>
                </w:tcPr>
                <w:p>
                  <w:pPr>
                    <w:pStyle w:val="81"/>
                    <w:spacing w:line="240" w:lineRule="auto"/>
                    <w:ind w:firstLine="0" w:firstLineChars="0"/>
                    <w:jc w:val="center"/>
                    <w:rPr>
                      <w:rFonts w:hint="eastAsia"/>
                      <w:color w:val="auto"/>
                      <w:sz w:val="18"/>
                      <w:szCs w:val="18"/>
                      <w:highlight w:val="none"/>
                      <w:lang w:val="en-US" w:eastAsia="zh-CN"/>
                    </w:rPr>
                  </w:pPr>
                  <w:r>
                    <w:rPr>
                      <w:rFonts w:hint="eastAsia"/>
                      <w:color w:val="auto"/>
                      <w:sz w:val="18"/>
                      <w:szCs w:val="18"/>
                      <w:highlight w:val="none"/>
                      <w:lang w:val="zh-TW" w:eastAsia="zh-TW"/>
                    </w:rPr>
                    <w:t>中期（2035年）</w:t>
                  </w:r>
                </w:p>
              </w:tc>
              <w:tc>
                <w:tcPr>
                  <w:tcW w:w="367" w:type="pct"/>
                  <w:vMerge w:val="restart"/>
                  <w:noWrap w:val="0"/>
                  <w:vAlign w:val="center"/>
                </w:tcPr>
                <w:p>
                  <w:pPr>
                    <w:pStyle w:val="81"/>
                    <w:spacing w:line="240" w:lineRule="auto"/>
                    <w:ind w:firstLine="0" w:firstLineChars="0"/>
                    <w:jc w:val="center"/>
                    <w:rPr>
                      <w:rFonts w:hint="eastAsia"/>
                      <w:b/>
                      <w:bCs/>
                      <w:color w:val="auto"/>
                      <w:sz w:val="18"/>
                      <w:szCs w:val="18"/>
                      <w:highlight w:val="none"/>
                      <w:lang w:val="en-US" w:eastAsia="zh-CN"/>
                    </w:rPr>
                  </w:pPr>
                  <w:r>
                    <w:rPr>
                      <w:rFonts w:hint="eastAsia"/>
                      <w:color w:val="auto"/>
                      <w:sz w:val="18"/>
                      <w:szCs w:val="18"/>
                      <w:highlight w:val="none"/>
                      <w:lang w:val="en-US" w:eastAsia="zh-CN"/>
                    </w:rPr>
                    <w:t>昼间</w:t>
                  </w:r>
                </w:p>
              </w:tc>
              <w:tc>
                <w:tcPr>
                  <w:tcW w:w="686"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西厂界1.2m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69.9</w:t>
                  </w:r>
                </w:p>
              </w:tc>
              <w:tc>
                <w:tcPr>
                  <w:tcW w:w="587" w:type="pct"/>
                  <w:noWrap w:val="0"/>
                  <w:vAlign w:val="center"/>
                </w:tcPr>
                <w:p>
                  <w:pPr>
                    <w:widowControl/>
                    <w:jc w:val="center"/>
                    <w:rPr>
                      <w:rFonts w:hint="eastAsia"/>
                      <w:color w:val="auto"/>
                      <w:sz w:val="18"/>
                      <w:szCs w:val="18"/>
                      <w:highlight w:val="none"/>
                      <w:lang w:val="en-US" w:eastAsia="zh-CN"/>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69.9</w:t>
                  </w:r>
                </w:p>
              </w:tc>
              <w:tc>
                <w:tcPr>
                  <w:tcW w:w="635" w:type="pct"/>
                  <w:vMerge w:val="continue"/>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p>
              </w:tc>
              <w:tc>
                <w:tcPr>
                  <w:tcW w:w="635" w:type="pct"/>
                  <w:noWrap w:val="0"/>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11" w:type="pc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450"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367" w:type="pct"/>
                  <w:vMerge w:val="continue"/>
                  <w:noWrap w:val="0"/>
                  <w:vAlign w:val="center"/>
                </w:tcPr>
                <w:p>
                  <w:pPr>
                    <w:pStyle w:val="81"/>
                    <w:spacing w:line="240" w:lineRule="auto"/>
                    <w:ind w:firstLine="0" w:firstLineChars="0"/>
                    <w:jc w:val="center"/>
                    <w:rPr>
                      <w:rFonts w:hint="eastAsia"/>
                      <w:b/>
                      <w:bCs/>
                      <w:color w:val="auto"/>
                      <w:sz w:val="18"/>
                      <w:szCs w:val="18"/>
                      <w:highlight w:val="none"/>
                      <w:lang w:val="en-US" w:eastAsia="zh-CN"/>
                    </w:rPr>
                  </w:pPr>
                </w:p>
              </w:tc>
              <w:tc>
                <w:tcPr>
                  <w:tcW w:w="686"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西厂界13.2m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70.7</w:t>
                  </w:r>
                </w:p>
              </w:tc>
              <w:tc>
                <w:tcPr>
                  <w:tcW w:w="587" w:type="pct"/>
                  <w:noWrap w:val="0"/>
                  <w:vAlign w:val="center"/>
                </w:tcPr>
                <w:p>
                  <w:pPr>
                    <w:widowControl/>
                    <w:jc w:val="center"/>
                    <w:rPr>
                      <w:rFonts w:hint="eastAsia"/>
                      <w:color w:val="auto"/>
                      <w:sz w:val="18"/>
                      <w:szCs w:val="18"/>
                      <w:highlight w:val="none"/>
                      <w:lang w:val="en-US" w:eastAsia="zh-CN"/>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70.7</w:t>
                  </w:r>
                </w:p>
              </w:tc>
              <w:tc>
                <w:tcPr>
                  <w:tcW w:w="635" w:type="pct"/>
                  <w:vMerge w:val="continue"/>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p>
              </w:tc>
              <w:tc>
                <w:tcPr>
                  <w:tcW w:w="635" w:type="pct"/>
                  <w:noWrap w:val="0"/>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 w:type="pc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7</w:t>
                  </w:r>
                </w:p>
              </w:tc>
              <w:tc>
                <w:tcPr>
                  <w:tcW w:w="450"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367" w:type="pct"/>
                  <w:vMerge w:val="restart"/>
                  <w:noWrap w:val="0"/>
                  <w:vAlign w:val="center"/>
                </w:tcPr>
                <w:p>
                  <w:pPr>
                    <w:pStyle w:val="81"/>
                    <w:spacing w:line="240" w:lineRule="auto"/>
                    <w:ind w:firstLine="0" w:firstLineChars="0"/>
                    <w:jc w:val="center"/>
                    <w:rPr>
                      <w:rFonts w:hint="eastAsia"/>
                      <w:b/>
                      <w:bCs/>
                      <w:color w:val="auto"/>
                      <w:sz w:val="18"/>
                      <w:szCs w:val="18"/>
                      <w:highlight w:val="none"/>
                      <w:lang w:val="en-US" w:eastAsia="zh-CN"/>
                    </w:rPr>
                  </w:pPr>
                  <w:r>
                    <w:rPr>
                      <w:rFonts w:hint="eastAsia"/>
                      <w:color w:val="auto"/>
                      <w:sz w:val="18"/>
                      <w:szCs w:val="18"/>
                      <w:highlight w:val="none"/>
                      <w:lang w:val="en-US" w:eastAsia="zh-CN"/>
                    </w:rPr>
                    <w:t>夜间</w:t>
                  </w:r>
                </w:p>
              </w:tc>
              <w:tc>
                <w:tcPr>
                  <w:tcW w:w="686"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西厂界1.2m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57.3</w:t>
                  </w:r>
                </w:p>
              </w:tc>
              <w:tc>
                <w:tcPr>
                  <w:tcW w:w="587" w:type="pct"/>
                  <w:noWrap w:val="0"/>
                  <w:vAlign w:val="center"/>
                </w:tcPr>
                <w:p>
                  <w:pPr>
                    <w:widowControl/>
                    <w:jc w:val="center"/>
                    <w:rPr>
                      <w:rFonts w:hint="eastAsia"/>
                      <w:color w:val="auto"/>
                      <w:sz w:val="18"/>
                      <w:szCs w:val="18"/>
                      <w:highlight w:val="none"/>
                      <w:lang w:val="en-US" w:eastAsia="zh-CN"/>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57.3</w:t>
                  </w:r>
                </w:p>
              </w:tc>
              <w:tc>
                <w:tcPr>
                  <w:tcW w:w="635" w:type="pct"/>
                  <w:vMerge w:val="continue"/>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p>
              </w:tc>
              <w:tc>
                <w:tcPr>
                  <w:tcW w:w="635" w:type="pct"/>
                  <w:noWrap w:val="0"/>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11" w:type="pc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8</w:t>
                  </w:r>
                </w:p>
              </w:tc>
              <w:tc>
                <w:tcPr>
                  <w:tcW w:w="450"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367" w:type="pct"/>
                  <w:vMerge w:val="continue"/>
                  <w:noWrap w:val="0"/>
                  <w:vAlign w:val="center"/>
                </w:tcPr>
                <w:p>
                  <w:pPr>
                    <w:pStyle w:val="81"/>
                    <w:spacing w:line="240" w:lineRule="auto"/>
                    <w:ind w:firstLine="0" w:firstLineChars="0"/>
                    <w:jc w:val="center"/>
                    <w:rPr>
                      <w:rFonts w:hint="eastAsia"/>
                      <w:b/>
                      <w:bCs/>
                      <w:color w:val="auto"/>
                      <w:sz w:val="18"/>
                      <w:szCs w:val="18"/>
                      <w:highlight w:val="none"/>
                      <w:lang w:val="en-US" w:eastAsia="zh-CN"/>
                    </w:rPr>
                  </w:pPr>
                </w:p>
              </w:tc>
              <w:tc>
                <w:tcPr>
                  <w:tcW w:w="686"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西厂界13.2m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58</w:t>
                  </w:r>
                </w:p>
              </w:tc>
              <w:tc>
                <w:tcPr>
                  <w:tcW w:w="587" w:type="pct"/>
                  <w:noWrap w:val="0"/>
                  <w:vAlign w:val="center"/>
                </w:tcPr>
                <w:p>
                  <w:pPr>
                    <w:widowControl/>
                    <w:jc w:val="center"/>
                    <w:rPr>
                      <w:rFonts w:hint="eastAsia"/>
                      <w:color w:val="auto"/>
                      <w:sz w:val="18"/>
                      <w:szCs w:val="18"/>
                      <w:highlight w:val="none"/>
                      <w:lang w:val="en-US" w:eastAsia="zh-CN"/>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58</w:t>
                  </w:r>
                </w:p>
              </w:tc>
              <w:tc>
                <w:tcPr>
                  <w:tcW w:w="635" w:type="pct"/>
                  <w:vMerge w:val="continue"/>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p>
              </w:tc>
              <w:tc>
                <w:tcPr>
                  <w:tcW w:w="635" w:type="pct"/>
                  <w:noWrap w:val="0"/>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11" w:type="pc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450" w:type="pct"/>
                  <w:vMerge w:val="restart"/>
                  <w:noWrap w:val="0"/>
                  <w:vAlign w:val="center"/>
                </w:tcPr>
                <w:p>
                  <w:pPr>
                    <w:pStyle w:val="81"/>
                    <w:spacing w:line="240" w:lineRule="auto"/>
                    <w:ind w:firstLine="0" w:firstLineChars="0"/>
                    <w:jc w:val="center"/>
                    <w:rPr>
                      <w:rFonts w:hint="eastAsia"/>
                      <w:color w:val="auto"/>
                      <w:sz w:val="18"/>
                      <w:szCs w:val="18"/>
                      <w:highlight w:val="none"/>
                      <w:lang w:val="en-US" w:eastAsia="zh-CN"/>
                    </w:rPr>
                  </w:pPr>
                  <w:r>
                    <w:rPr>
                      <w:rFonts w:hint="eastAsia"/>
                      <w:color w:val="auto"/>
                      <w:sz w:val="18"/>
                      <w:szCs w:val="18"/>
                      <w:highlight w:val="none"/>
                      <w:lang w:val="zh-TW" w:eastAsia="zh-TW"/>
                    </w:rPr>
                    <w:t>远期（2040年）</w:t>
                  </w:r>
                </w:p>
              </w:tc>
              <w:tc>
                <w:tcPr>
                  <w:tcW w:w="367" w:type="pct"/>
                  <w:vMerge w:val="restart"/>
                  <w:noWrap w:val="0"/>
                  <w:vAlign w:val="center"/>
                </w:tcPr>
                <w:p>
                  <w:pPr>
                    <w:pStyle w:val="81"/>
                    <w:spacing w:line="240" w:lineRule="auto"/>
                    <w:ind w:firstLine="0" w:firstLineChars="0"/>
                    <w:jc w:val="center"/>
                    <w:rPr>
                      <w:rFonts w:hint="eastAsia"/>
                      <w:b/>
                      <w:bCs/>
                      <w:color w:val="auto"/>
                      <w:sz w:val="18"/>
                      <w:szCs w:val="18"/>
                      <w:highlight w:val="none"/>
                      <w:lang w:val="en-US" w:eastAsia="zh-CN"/>
                    </w:rPr>
                  </w:pPr>
                  <w:r>
                    <w:rPr>
                      <w:rFonts w:hint="eastAsia"/>
                      <w:color w:val="auto"/>
                      <w:sz w:val="18"/>
                      <w:szCs w:val="18"/>
                      <w:highlight w:val="none"/>
                      <w:lang w:val="en-US" w:eastAsia="zh-CN"/>
                    </w:rPr>
                    <w:t>昼间</w:t>
                  </w:r>
                </w:p>
              </w:tc>
              <w:tc>
                <w:tcPr>
                  <w:tcW w:w="686"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西厂界1.2m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70.7</w:t>
                  </w:r>
                </w:p>
              </w:tc>
              <w:tc>
                <w:tcPr>
                  <w:tcW w:w="587" w:type="pct"/>
                  <w:noWrap w:val="0"/>
                  <w:vAlign w:val="center"/>
                </w:tcPr>
                <w:p>
                  <w:pPr>
                    <w:widowControl/>
                    <w:jc w:val="center"/>
                    <w:rPr>
                      <w:rFonts w:hint="eastAsia"/>
                      <w:color w:val="auto"/>
                      <w:sz w:val="18"/>
                      <w:szCs w:val="18"/>
                      <w:highlight w:val="none"/>
                      <w:lang w:val="en-US" w:eastAsia="zh-CN"/>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70.7</w:t>
                  </w:r>
                </w:p>
              </w:tc>
              <w:tc>
                <w:tcPr>
                  <w:tcW w:w="635" w:type="pct"/>
                  <w:vMerge w:val="continue"/>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p>
              </w:tc>
              <w:tc>
                <w:tcPr>
                  <w:tcW w:w="635" w:type="pct"/>
                  <w:noWrap w:val="0"/>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 w:type="pc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450"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367" w:type="pct"/>
                  <w:vMerge w:val="continue"/>
                  <w:noWrap w:val="0"/>
                  <w:vAlign w:val="center"/>
                </w:tcPr>
                <w:p>
                  <w:pPr>
                    <w:pStyle w:val="81"/>
                    <w:spacing w:line="240" w:lineRule="auto"/>
                    <w:ind w:firstLine="0" w:firstLineChars="0"/>
                    <w:jc w:val="center"/>
                    <w:rPr>
                      <w:rFonts w:hint="eastAsia"/>
                      <w:b/>
                      <w:bCs/>
                      <w:color w:val="auto"/>
                      <w:sz w:val="18"/>
                      <w:szCs w:val="18"/>
                      <w:highlight w:val="none"/>
                      <w:lang w:val="en-US" w:eastAsia="zh-CN"/>
                    </w:rPr>
                  </w:pPr>
                </w:p>
              </w:tc>
              <w:tc>
                <w:tcPr>
                  <w:tcW w:w="686"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西厂界13.2m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71.4</w:t>
                  </w:r>
                </w:p>
              </w:tc>
              <w:tc>
                <w:tcPr>
                  <w:tcW w:w="587" w:type="pct"/>
                  <w:noWrap w:val="0"/>
                  <w:vAlign w:val="center"/>
                </w:tcPr>
                <w:p>
                  <w:pPr>
                    <w:widowControl/>
                    <w:jc w:val="center"/>
                    <w:rPr>
                      <w:rFonts w:hint="eastAsia"/>
                      <w:color w:val="auto"/>
                      <w:sz w:val="18"/>
                      <w:szCs w:val="18"/>
                      <w:highlight w:val="none"/>
                      <w:lang w:val="en-US" w:eastAsia="zh-CN"/>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71.4</w:t>
                  </w:r>
                </w:p>
              </w:tc>
              <w:tc>
                <w:tcPr>
                  <w:tcW w:w="635" w:type="pct"/>
                  <w:vMerge w:val="continue"/>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p>
              </w:tc>
              <w:tc>
                <w:tcPr>
                  <w:tcW w:w="635" w:type="pct"/>
                  <w:noWrap w:val="0"/>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1" w:type="pc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450"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367" w:type="pct"/>
                  <w:vMerge w:val="restart"/>
                  <w:noWrap w:val="0"/>
                  <w:vAlign w:val="center"/>
                </w:tcPr>
                <w:p>
                  <w:pPr>
                    <w:pStyle w:val="81"/>
                    <w:spacing w:line="240" w:lineRule="auto"/>
                    <w:ind w:firstLine="0" w:firstLineChars="0"/>
                    <w:jc w:val="center"/>
                    <w:rPr>
                      <w:rFonts w:hint="eastAsia"/>
                      <w:b/>
                      <w:bCs/>
                      <w:color w:val="auto"/>
                      <w:sz w:val="18"/>
                      <w:szCs w:val="18"/>
                      <w:highlight w:val="none"/>
                      <w:lang w:val="en-US" w:eastAsia="zh-CN"/>
                    </w:rPr>
                  </w:pPr>
                  <w:r>
                    <w:rPr>
                      <w:rFonts w:hint="eastAsia"/>
                      <w:color w:val="auto"/>
                      <w:sz w:val="18"/>
                      <w:szCs w:val="18"/>
                      <w:highlight w:val="none"/>
                      <w:lang w:val="en-US" w:eastAsia="zh-CN"/>
                    </w:rPr>
                    <w:t>夜间</w:t>
                  </w:r>
                </w:p>
              </w:tc>
              <w:tc>
                <w:tcPr>
                  <w:tcW w:w="686"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西厂界1.2m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58.1</w:t>
                  </w:r>
                </w:p>
              </w:tc>
              <w:tc>
                <w:tcPr>
                  <w:tcW w:w="587" w:type="pct"/>
                  <w:noWrap w:val="0"/>
                  <w:vAlign w:val="center"/>
                </w:tcPr>
                <w:p>
                  <w:pPr>
                    <w:widowControl/>
                    <w:jc w:val="center"/>
                    <w:rPr>
                      <w:rFonts w:hint="eastAsia"/>
                      <w:color w:val="auto"/>
                      <w:sz w:val="18"/>
                      <w:szCs w:val="18"/>
                      <w:highlight w:val="none"/>
                      <w:lang w:val="en-US" w:eastAsia="zh-CN"/>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58.1</w:t>
                  </w:r>
                </w:p>
              </w:tc>
              <w:tc>
                <w:tcPr>
                  <w:tcW w:w="635" w:type="pct"/>
                  <w:vMerge w:val="continue"/>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p>
              </w:tc>
              <w:tc>
                <w:tcPr>
                  <w:tcW w:w="635" w:type="pct"/>
                  <w:noWrap w:val="0"/>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11" w:type="pct"/>
                  <w:noWrap w:val="0"/>
                  <w:vAlign w:val="center"/>
                </w:tcPr>
                <w:p>
                  <w:pPr>
                    <w:pStyle w:val="81"/>
                    <w:spacing w:line="240" w:lineRule="auto"/>
                    <w:ind w:firstLine="0" w:firstLineChars="0"/>
                    <w:jc w:val="center"/>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450"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367" w:type="pct"/>
                  <w:vMerge w:val="continue"/>
                  <w:noWrap w:val="0"/>
                  <w:vAlign w:val="center"/>
                </w:tcPr>
                <w:p>
                  <w:pPr>
                    <w:pStyle w:val="81"/>
                    <w:spacing w:line="240" w:lineRule="auto"/>
                    <w:ind w:firstLine="0" w:firstLineChars="0"/>
                    <w:jc w:val="center"/>
                    <w:rPr>
                      <w:rFonts w:hint="eastAsia"/>
                      <w:color w:val="auto"/>
                      <w:sz w:val="18"/>
                      <w:szCs w:val="18"/>
                      <w:highlight w:val="none"/>
                      <w:lang w:val="en-US" w:eastAsia="zh-CN"/>
                    </w:rPr>
                  </w:pPr>
                </w:p>
              </w:tc>
              <w:tc>
                <w:tcPr>
                  <w:tcW w:w="686" w:type="pct"/>
                  <w:noWrap w:val="0"/>
                  <w:vAlign w:val="center"/>
                </w:tcPr>
                <w:p>
                  <w:pPr>
                    <w:widowControl/>
                    <w:jc w:val="center"/>
                    <w:rPr>
                      <w:rFonts w:hint="eastAsia"/>
                      <w:color w:val="auto"/>
                      <w:sz w:val="18"/>
                      <w:szCs w:val="18"/>
                      <w:highlight w:val="none"/>
                      <w:lang w:val="en-US" w:eastAsia="zh-CN"/>
                    </w:rPr>
                  </w:pPr>
                  <w:r>
                    <w:rPr>
                      <w:rFonts w:hint="eastAsia"/>
                      <w:color w:val="auto"/>
                      <w:sz w:val="18"/>
                      <w:szCs w:val="18"/>
                      <w:highlight w:val="none"/>
                      <w:lang w:val="en-US" w:eastAsia="zh-CN"/>
                    </w:rPr>
                    <w:t>西厂界13.2m</w:t>
                  </w:r>
                  <w:r>
                    <w:rPr>
                      <w:rFonts w:hint="eastAsia"/>
                      <w:color w:val="auto"/>
                      <w:sz w:val="18"/>
                      <w:szCs w:val="18"/>
                      <w:highlight w:val="none"/>
                      <w:lang w:val="zh-TW" w:eastAsia="zh-TW"/>
                    </w:rPr>
                    <w:t>平面</w:t>
                  </w:r>
                </w:p>
              </w:tc>
              <w:tc>
                <w:tcPr>
                  <w:tcW w:w="735"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58.8</w:t>
                  </w:r>
                </w:p>
              </w:tc>
              <w:tc>
                <w:tcPr>
                  <w:tcW w:w="587" w:type="pct"/>
                  <w:noWrap w:val="0"/>
                  <w:vAlign w:val="center"/>
                </w:tcPr>
                <w:p>
                  <w:pPr>
                    <w:widowControl/>
                    <w:jc w:val="center"/>
                    <w:rPr>
                      <w:rFonts w:hint="eastAsia"/>
                      <w:color w:val="auto"/>
                      <w:sz w:val="18"/>
                      <w:szCs w:val="18"/>
                      <w:highlight w:val="none"/>
                      <w:lang w:val="en-US" w:eastAsia="zh-CN"/>
                    </w:rPr>
                  </w:pPr>
                  <w:r>
                    <w:rPr>
                      <w:rFonts w:hint="eastAsia" w:cs="Times New Roman"/>
                      <w:color w:val="auto"/>
                      <w:kern w:val="2"/>
                      <w:sz w:val="18"/>
                      <w:szCs w:val="18"/>
                      <w:highlight w:val="none"/>
                      <w:lang w:val="en-US" w:eastAsia="zh-CN" w:bidi="ar-SA"/>
                    </w:rPr>
                    <w:t>37.8</w:t>
                  </w:r>
                </w:p>
              </w:tc>
              <w:tc>
                <w:tcPr>
                  <w:tcW w:w="588" w:type="pct"/>
                  <w:noWrap w:val="0"/>
                  <w:vAlign w:val="center"/>
                </w:tcPr>
                <w:p>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58.8</w:t>
                  </w:r>
                </w:p>
              </w:tc>
              <w:tc>
                <w:tcPr>
                  <w:tcW w:w="635" w:type="pct"/>
                  <w:vMerge w:val="continue"/>
                  <w:noWrap w:val="0"/>
                  <w:vAlign w:val="center"/>
                </w:tcPr>
                <w:p>
                  <w:pPr>
                    <w:widowControl/>
                    <w:jc w:val="center"/>
                    <w:rPr>
                      <w:rFonts w:hint="default" w:ascii="Times New Roman" w:hAnsi="Times New Roman" w:eastAsia="宋体" w:cs="Times New Roman"/>
                      <w:color w:val="auto"/>
                      <w:kern w:val="0"/>
                      <w:sz w:val="18"/>
                      <w:szCs w:val="18"/>
                      <w:highlight w:val="none"/>
                      <w:lang w:val="en-US" w:eastAsia="zh-CN" w:bidi="ar-SA"/>
                    </w:rPr>
                  </w:pPr>
                </w:p>
              </w:tc>
              <w:tc>
                <w:tcPr>
                  <w:tcW w:w="635" w:type="pct"/>
                  <w:noWrap w:val="0"/>
                  <w:vAlign w:val="center"/>
                </w:tcPr>
                <w:p>
                  <w:pPr>
                    <w:widowControl/>
                    <w:jc w:val="center"/>
                    <w:rPr>
                      <w:rFonts w:hint="eastAsia" w:ascii="Times New Roman" w:hAnsi="Times New Roman" w:eastAsia="宋体" w:cs="Times New Roman"/>
                      <w:color w:val="auto"/>
                      <w:kern w:val="0"/>
                      <w:sz w:val="18"/>
                      <w:szCs w:val="18"/>
                      <w:highlight w:val="none"/>
                      <w:lang w:val="en-US" w:eastAsia="zh-CN" w:bidi="ar-SA"/>
                    </w:rPr>
                  </w:pPr>
                  <w:r>
                    <w:rPr>
                      <w:rFonts w:hint="eastAsia"/>
                      <w:color w:val="auto"/>
                      <w:kern w:val="0"/>
                      <w:sz w:val="18"/>
                      <w:szCs w:val="18"/>
                      <w:highlight w:val="none"/>
                      <w:lang w:val="en-US" w:eastAsia="zh-CN"/>
                    </w:rPr>
                    <w:t>43.8</w:t>
                  </w:r>
                </w:p>
              </w:tc>
            </w:tr>
          </w:tbl>
          <w:p>
            <w:pPr>
              <w:spacing w:line="360" w:lineRule="auto"/>
              <w:ind w:firstLine="420"/>
              <w:rPr>
                <w:rFonts w:hint="eastAsia" w:eastAsia="宋体"/>
                <w:color w:val="auto"/>
                <w:highlight w:val="none"/>
                <w:lang w:val="en-US" w:eastAsia="zh-CN"/>
              </w:rPr>
            </w:pPr>
            <w:r>
              <w:rPr>
                <w:rFonts w:hint="eastAsia"/>
                <w:color w:val="auto"/>
                <w:highlight w:val="none"/>
                <w:lang w:val="en-US" w:eastAsia="zh-CN"/>
              </w:rPr>
              <w:t>根据预测数据可知，</w:t>
            </w:r>
            <w:r>
              <w:rPr>
                <w:color w:val="auto"/>
                <w:highlight w:val="none"/>
              </w:rPr>
              <w:t>采取以上措施后可</w:t>
            </w:r>
            <w:r>
              <w:rPr>
                <w:rFonts w:hint="eastAsia"/>
                <w:color w:val="auto"/>
                <w:highlight w:val="none"/>
                <w:lang w:val="en-US" w:eastAsia="zh-CN"/>
              </w:rPr>
              <w:t>进一步降低原山大道交通噪声对本项目的影响，院区西边界满足</w:t>
            </w:r>
            <w:r>
              <w:rPr>
                <w:rFonts w:hint="default" w:ascii="Times New Roman" w:hAnsi="Times New Roman" w:eastAsia="宋体" w:cs="Times New Roman"/>
                <w:color w:val="auto"/>
                <w:highlight w:val="none"/>
              </w:rPr>
              <w:t>《工业企业厂界环境噪声排放标准》（GB12348-2008）</w:t>
            </w:r>
            <w:r>
              <w:rPr>
                <w:rFonts w:hint="eastAsia" w:cs="Times New Roman"/>
                <w:color w:val="auto"/>
                <w:highlight w:val="none"/>
                <w:lang w:val="en-US" w:eastAsia="zh-CN"/>
              </w:rPr>
              <w:t>4</w:t>
            </w:r>
            <w:r>
              <w:rPr>
                <w:rFonts w:hint="default" w:ascii="Times New Roman" w:hAnsi="Times New Roman" w:eastAsia="宋体" w:cs="Times New Roman"/>
                <w:color w:val="auto"/>
                <w:highlight w:val="none"/>
              </w:rPr>
              <w:t>类标准</w:t>
            </w:r>
            <w:r>
              <w:rPr>
                <w:rFonts w:hint="eastAsia" w:cs="Times New Roman"/>
                <w:color w:val="auto"/>
                <w:highlight w:val="none"/>
                <w:lang w:eastAsia="zh-CN"/>
              </w:rPr>
              <w:t>。</w:t>
            </w:r>
          </w:p>
          <w:p>
            <w:pPr>
              <w:spacing w:line="360" w:lineRule="auto"/>
              <w:ind w:firstLine="420"/>
              <w:rPr>
                <w:b/>
                <w:color w:val="auto"/>
                <w:highlight w:val="none"/>
              </w:rPr>
            </w:pPr>
            <w:r>
              <w:rPr>
                <w:b/>
                <w:color w:val="auto"/>
                <w:highlight w:val="none"/>
              </w:rPr>
              <w:t>七、生态</w:t>
            </w:r>
          </w:p>
          <w:p>
            <w:pPr>
              <w:spacing w:line="360" w:lineRule="auto"/>
              <w:ind w:firstLine="420"/>
              <w:rPr>
                <w:color w:val="auto"/>
                <w:highlight w:val="none"/>
              </w:rPr>
            </w:pPr>
            <w:r>
              <w:rPr>
                <w:rFonts w:hint="eastAsia"/>
                <w:color w:val="auto"/>
                <w:highlight w:val="none"/>
              </w:rPr>
              <w:t>企业用地现状为空地</w:t>
            </w:r>
            <w:r>
              <w:rPr>
                <w:color w:val="auto"/>
                <w:highlight w:val="none"/>
              </w:rPr>
              <w:t xml:space="preserve">，用地范围内无生态环境保护目标。  </w:t>
            </w:r>
          </w:p>
          <w:p>
            <w:pPr>
              <w:spacing w:line="360" w:lineRule="auto"/>
              <w:ind w:firstLine="422" w:firstLineChars="200"/>
              <w:rPr>
                <w:b/>
                <w:color w:val="auto"/>
                <w:highlight w:val="none"/>
              </w:rPr>
            </w:pPr>
            <w:r>
              <w:rPr>
                <w:rFonts w:hint="eastAsia"/>
                <w:b/>
                <w:color w:val="auto"/>
                <w:highlight w:val="none"/>
              </w:rPr>
              <w:t>八</w:t>
            </w:r>
            <w:r>
              <w:rPr>
                <w:b/>
                <w:color w:val="auto"/>
                <w:highlight w:val="none"/>
              </w:rPr>
              <w:t>、环境风险</w:t>
            </w:r>
          </w:p>
          <w:p>
            <w:pPr>
              <w:spacing w:line="360" w:lineRule="auto"/>
              <w:ind w:firstLine="420"/>
              <w:rPr>
                <w:color w:val="auto"/>
                <w:highlight w:val="none"/>
              </w:rPr>
            </w:pPr>
            <w:r>
              <w:rPr>
                <w:color w:val="auto"/>
                <w:highlight w:val="none"/>
              </w:rPr>
              <w:t>环境风险是指突发性事故造成的重大环境污染的事件，其特点是危害大、影响范围广、发生概率具有很大的不确定性。环境风险评价的目的是分析和预测建设项目存在的潜在危险、有害因素，建设项目建设和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pPr>
              <w:spacing w:line="360" w:lineRule="auto"/>
              <w:ind w:firstLine="420"/>
              <w:rPr>
                <w:color w:val="auto"/>
                <w:highlight w:val="none"/>
              </w:rPr>
            </w:pPr>
            <w:r>
              <w:rPr>
                <w:color w:val="auto"/>
                <w:highlight w:val="none"/>
              </w:rPr>
              <w:t>环境风险评价遵照国家环保总局环发[2012]77号文《关于进一步加强环境影响评价管理防范环境风险的通知》和环发[2012]98号《关于切实加强风险防范严格环境影响评价管理的通知》精神，以《建设项目环境风险评价技术导则》（HJ169-2018）为指导，对项目营运期过程进行环境风险分析。</w:t>
            </w:r>
          </w:p>
          <w:p>
            <w:pPr>
              <w:pStyle w:val="62"/>
              <w:ind w:firstLine="420"/>
              <w:rPr>
                <w:color w:val="auto"/>
                <w:sz w:val="21"/>
                <w:szCs w:val="21"/>
                <w:highlight w:val="none"/>
                <w:lang w:val="zh-CN"/>
              </w:rPr>
            </w:pPr>
            <w:r>
              <w:rPr>
                <w:color w:val="auto"/>
                <w:sz w:val="21"/>
                <w:szCs w:val="21"/>
                <w:highlight w:val="none"/>
                <w:lang w:val="zh-CN"/>
              </w:rPr>
              <w:t>1、环境风险潜势</w:t>
            </w:r>
          </w:p>
          <w:p>
            <w:pPr>
              <w:pStyle w:val="62"/>
              <w:ind w:firstLine="420"/>
              <w:rPr>
                <w:color w:val="auto"/>
                <w:sz w:val="21"/>
                <w:szCs w:val="21"/>
                <w:highlight w:val="none"/>
              </w:rPr>
            </w:pPr>
            <w:r>
              <w:rPr>
                <w:color w:val="auto"/>
                <w:sz w:val="21"/>
                <w:szCs w:val="21"/>
                <w:highlight w:val="none"/>
              </w:rPr>
              <w:t>根据本项目原辅材料、产品情况，本项目涉及《建设项目环境风险评价技术导则》（HJ/T169-2018）导则附录B危险物质主要为84消毒液（主要成分次氯酸钠）</w:t>
            </w:r>
            <w:r>
              <w:rPr>
                <w:rFonts w:hint="eastAsia"/>
                <w:color w:val="auto"/>
                <w:sz w:val="21"/>
                <w:szCs w:val="21"/>
                <w:highlight w:val="none"/>
                <w:lang w:eastAsia="zh-CN"/>
              </w:rPr>
              <w:t>、</w:t>
            </w:r>
            <w:r>
              <w:rPr>
                <w:color w:val="auto"/>
                <w:sz w:val="21"/>
                <w:szCs w:val="21"/>
                <w:highlight w:val="none"/>
              </w:rPr>
              <w:t>柴油</w:t>
            </w:r>
            <w:r>
              <w:rPr>
                <w:rFonts w:hint="eastAsia"/>
                <w:color w:val="auto"/>
                <w:sz w:val="21"/>
                <w:szCs w:val="21"/>
                <w:highlight w:val="none"/>
                <w:lang w:eastAsia="zh-CN"/>
              </w:rPr>
              <w:t>、</w:t>
            </w:r>
            <w:r>
              <w:rPr>
                <w:color w:val="auto"/>
                <w:sz w:val="21"/>
                <w:szCs w:val="21"/>
                <w:highlight w:val="none"/>
              </w:rPr>
              <w:t>乙醇</w:t>
            </w:r>
            <w:r>
              <w:rPr>
                <w:rFonts w:hint="eastAsia"/>
                <w:color w:val="auto"/>
                <w:sz w:val="21"/>
                <w:szCs w:val="21"/>
                <w:highlight w:val="none"/>
                <w:lang w:eastAsia="zh-CN"/>
              </w:rPr>
              <w:t>、</w:t>
            </w:r>
            <w:r>
              <w:rPr>
                <w:color w:val="auto"/>
                <w:sz w:val="21"/>
                <w:szCs w:val="21"/>
                <w:highlight w:val="none"/>
              </w:rPr>
              <w:t>液氧，</w:t>
            </w:r>
            <w:r>
              <w:rPr>
                <w:rFonts w:hint="eastAsia"/>
                <w:color w:val="auto"/>
                <w:sz w:val="21"/>
                <w:szCs w:val="21"/>
                <w:highlight w:val="none"/>
                <w:lang w:val="en-US" w:eastAsia="zh-CN"/>
              </w:rPr>
              <w:t>本项目</w:t>
            </w:r>
            <w:r>
              <w:rPr>
                <w:color w:val="auto"/>
                <w:sz w:val="21"/>
                <w:szCs w:val="21"/>
                <w:highlight w:val="none"/>
              </w:rPr>
              <w:t>84消毒液最大贮存量为</w:t>
            </w:r>
            <w:r>
              <w:rPr>
                <w:rFonts w:hint="eastAsia"/>
                <w:color w:val="auto"/>
                <w:sz w:val="21"/>
                <w:szCs w:val="21"/>
                <w:highlight w:val="none"/>
                <w:lang w:val="en-US" w:eastAsia="zh-CN"/>
              </w:rPr>
              <w:t>2</w:t>
            </w:r>
            <w:r>
              <w:rPr>
                <w:color w:val="auto"/>
                <w:sz w:val="21"/>
                <w:szCs w:val="21"/>
                <w:highlight w:val="none"/>
              </w:rPr>
              <w:t>00瓶，包装规格400mL/瓶，根据企业提供技术资料，84消毒液有效率含量最高为6.5%，据此折算次氯酸钠最大存在量为</w:t>
            </w:r>
            <w:r>
              <w:rPr>
                <w:rFonts w:hint="eastAsia"/>
                <w:color w:val="auto"/>
                <w:sz w:val="21"/>
                <w:szCs w:val="21"/>
                <w:highlight w:val="none"/>
                <w:lang w:val="en-US" w:eastAsia="zh-CN"/>
              </w:rPr>
              <w:t>5.2</w:t>
            </w:r>
            <w:r>
              <w:rPr>
                <w:color w:val="auto"/>
                <w:sz w:val="21"/>
                <w:szCs w:val="21"/>
                <w:highlight w:val="none"/>
              </w:rPr>
              <w:t>kg，临界量为5t</w:t>
            </w:r>
            <w:r>
              <w:rPr>
                <w:rFonts w:hint="eastAsia"/>
                <w:color w:val="auto"/>
                <w:sz w:val="21"/>
                <w:szCs w:val="21"/>
                <w:highlight w:val="none"/>
                <w:lang w:eastAsia="zh-CN"/>
              </w:rPr>
              <w:t>；</w:t>
            </w:r>
            <w:r>
              <w:rPr>
                <w:rFonts w:hint="eastAsia"/>
                <w:color w:val="auto"/>
                <w:sz w:val="21"/>
                <w:szCs w:val="21"/>
                <w:highlight w:val="none"/>
                <w:lang w:val="en-US" w:eastAsia="zh-CN"/>
              </w:rPr>
              <w:t>乙醇</w:t>
            </w:r>
            <w:r>
              <w:rPr>
                <w:color w:val="auto"/>
                <w:sz w:val="21"/>
                <w:szCs w:val="21"/>
                <w:highlight w:val="none"/>
              </w:rPr>
              <w:t>最大贮存量为</w:t>
            </w:r>
            <w:r>
              <w:rPr>
                <w:rFonts w:hint="eastAsia"/>
                <w:color w:val="auto"/>
                <w:sz w:val="21"/>
                <w:szCs w:val="21"/>
                <w:highlight w:val="none"/>
                <w:lang w:val="en-US" w:eastAsia="zh-CN"/>
              </w:rPr>
              <w:t>1000</w:t>
            </w:r>
            <w:r>
              <w:rPr>
                <w:color w:val="auto"/>
                <w:sz w:val="21"/>
                <w:szCs w:val="21"/>
                <w:highlight w:val="none"/>
              </w:rPr>
              <w:t>瓶，包装规格</w:t>
            </w:r>
            <w:r>
              <w:rPr>
                <w:rFonts w:hint="eastAsia"/>
                <w:color w:val="auto"/>
                <w:sz w:val="21"/>
                <w:szCs w:val="21"/>
                <w:highlight w:val="none"/>
                <w:lang w:val="en-US" w:eastAsia="zh-CN"/>
              </w:rPr>
              <w:t>5</w:t>
            </w:r>
            <w:r>
              <w:rPr>
                <w:color w:val="auto"/>
                <w:sz w:val="21"/>
                <w:szCs w:val="21"/>
                <w:highlight w:val="none"/>
              </w:rPr>
              <w:t>00mL/瓶，根据企业提供技术资料，</w:t>
            </w:r>
            <w:r>
              <w:rPr>
                <w:rFonts w:hint="eastAsia"/>
                <w:color w:val="auto"/>
                <w:sz w:val="21"/>
                <w:szCs w:val="21"/>
                <w:highlight w:val="none"/>
                <w:lang w:val="en-US" w:eastAsia="zh-CN"/>
              </w:rPr>
              <w:t>乙醇</w:t>
            </w:r>
            <w:r>
              <w:rPr>
                <w:color w:val="auto"/>
                <w:sz w:val="21"/>
                <w:szCs w:val="21"/>
                <w:highlight w:val="none"/>
              </w:rPr>
              <w:t>有效率含量最高为</w:t>
            </w:r>
            <w:r>
              <w:rPr>
                <w:rFonts w:hint="eastAsia"/>
                <w:color w:val="auto"/>
                <w:sz w:val="21"/>
                <w:szCs w:val="21"/>
                <w:highlight w:val="none"/>
                <w:lang w:val="en-US" w:eastAsia="zh-CN"/>
              </w:rPr>
              <w:t>75</w:t>
            </w:r>
            <w:r>
              <w:rPr>
                <w:color w:val="auto"/>
                <w:sz w:val="21"/>
                <w:szCs w:val="21"/>
                <w:highlight w:val="none"/>
              </w:rPr>
              <w:t>%，据此折算</w:t>
            </w:r>
            <w:r>
              <w:rPr>
                <w:rFonts w:hint="eastAsia"/>
                <w:color w:val="auto"/>
                <w:sz w:val="21"/>
                <w:szCs w:val="21"/>
                <w:highlight w:val="none"/>
                <w:lang w:val="en-US" w:eastAsia="zh-CN"/>
              </w:rPr>
              <w:t>乙醇</w:t>
            </w:r>
            <w:r>
              <w:rPr>
                <w:color w:val="auto"/>
                <w:sz w:val="21"/>
                <w:szCs w:val="21"/>
                <w:highlight w:val="none"/>
              </w:rPr>
              <w:t>最大存在量为</w:t>
            </w:r>
            <w:r>
              <w:rPr>
                <w:rFonts w:hint="eastAsia"/>
                <w:color w:val="auto"/>
                <w:sz w:val="21"/>
                <w:szCs w:val="21"/>
                <w:highlight w:val="none"/>
                <w:lang w:val="en-US" w:eastAsia="zh-CN"/>
              </w:rPr>
              <w:t>0.3t</w:t>
            </w:r>
            <w:r>
              <w:rPr>
                <w:color w:val="auto"/>
                <w:sz w:val="21"/>
                <w:szCs w:val="21"/>
                <w:highlight w:val="none"/>
              </w:rPr>
              <w:t>，临界量为5t</w:t>
            </w:r>
            <w:r>
              <w:rPr>
                <w:rFonts w:hint="eastAsia"/>
                <w:color w:val="auto"/>
                <w:sz w:val="21"/>
                <w:szCs w:val="21"/>
                <w:highlight w:val="none"/>
                <w:lang w:eastAsia="zh-CN"/>
              </w:rPr>
              <w:t>；</w:t>
            </w:r>
            <w:r>
              <w:rPr>
                <w:rFonts w:hint="eastAsia"/>
                <w:color w:val="auto"/>
                <w:sz w:val="21"/>
                <w:szCs w:val="21"/>
                <w:highlight w:val="none"/>
                <w:lang w:val="en-US" w:eastAsia="zh-CN"/>
              </w:rPr>
              <w:t>项目设置5</w:t>
            </w:r>
            <w:r>
              <w:rPr>
                <w:rFonts w:hint="eastAsia"/>
                <w:color w:val="auto"/>
                <w:sz w:val="21"/>
                <w:szCs w:val="21"/>
                <w:highlight w:val="none"/>
                <w:lang w:eastAsia="zh-CN"/>
              </w:rPr>
              <w:t>m</w:t>
            </w:r>
            <w:r>
              <w:rPr>
                <w:rFonts w:hint="eastAsia"/>
                <w:color w:val="auto"/>
                <w:sz w:val="21"/>
                <w:szCs w:val="21"/>
                <w:highlight w:val="none"/>
                <w:vertAlign w:val="superscript"/>
                <w:lang w:eastAsia="zh-CN"/>
              </w:rPr>
              <w:t>3</w:t>
            </w:r>
            <w:r>
              <w:rPr>
                <w:rFonts w:hint="eastAsia"/>
                <w:color w:val="auto"/>
                <w:sz w:val="21"/>
                <w:szCs w:val="21"/>
                <w:highlight w:val="none"/>
                <w:lang w:eastAsia="zh-CN"/>
              </w:rPr>
              <w:t>的柴油</w:t>
            </w:r>
            <w:r>
              <w:rPr>
                <w:rFonts w:hint="eastAsia"/>
                <w:color w:val="auto"/>
                <w:sz w:val="21"/>
                <w:szCs w:val="21"/>
                <w:highlight w:val="none"/>
                <w:lang w:val="en-US" w:eastAsia="zh-CN"/>
              </w:rPr>
              <w:t>罐用于备用发电机燃料使用，柴油最大存在量为3.79</w:t>
            </w:r>
            <w:r>
              <w:rPr>
                <w:rFonts w:hint="eastAsia"/>
                <w:color w:val="auto"/>
                <w:highlight w:val="none"/>
                <w:lang w:val="en-US" w:eastAsia="zh-CN"/>
              </w:rPr>
              <w:t>t/a</w:t>
            </w:r>
            <w:r>
              <w:rPr>
                <w:rFonts w:hint="eastAsia"/>
                <w:color w:val="auto"/>
                <w:sz w:val="21"/>
                <w:szCs w:val="21"/>
                <w:highlight w:val="none"/>
                <w:lang w:val="en-US" w:eastAsia="zh-CN"/>
              </w:rPr>
              <w:t>，临界量为2500t/a；项目液氧站设置一个20</w:t>
            </w:r>
            <w:r>
              <w:rPr>
                <w:rFonts w:hint="eastAsia"/>
                <w:color w:val="auto"/>
                <w:sz w:val="21"/>
                <w:szCs w:val="21"/>
                <w:highlight w:val="none"/>
                <w:lang w:eastAsia="zh-CN"/>
              </w:rPr>
              <w:t>m</w:t>
            </w:r>
            <w:r>
              <w:rPr>
                <w:rFonts w:hint="eastAsia"/>
                <w:color w:val="auto"/>
                <w:sz w:val="21"/>
                <w:szCs w:val="21"/>
                <w:highlight w:val="none"/>
                <w:vertAlign w:val="superscript"/>
                <w:lang w:eastAsia="zh-CN"/>
              </w:rPr>
              <w:t>3</w:t>
            </w:r>
            <w:r>
              <w:rPr>
                <w:rFonts w:hint="eastAsia"/>
                <w:color w:val="auto"/>
                <w:sz w:val="21"/>
                <w:szCs w:val="21"/>
                <w:highlight w:val="none"/>
                <w:lang w:eastAsia="zh-CN"/>
              </w:rPr>
              <w:t>的</w:t>
            </w:r>
            <w:r>
              <w:rPr>
                <w:rFonts w:hint="eastAsia"/>
                <w:color w:val="auto"/>
                <w:sz w:val="21"/>
                <w:szCs w:val="21"/>
                <w:highlight w:val="none"/>
                <w:lang w:val="en-US" w:eastAsia="zh-CN"/>
              </w:rPr>
              <w:t>液氧罐罐用于院区供氧，液氧最大存在量为17.1，临界量为50t/a。</w:t>
            </w:r>
          </w:p>
          <w:p>
            <w:pPr>
              <w:pStyle w:val="62"/>
              <w:ind w:firstLine="420"/>
              <w:rPr>
                <w:rFonts w:ascii="Times New Roman" w:hAnsi="Times New Roman" w:eastAsia="宋体" w:cs="Times New Roman"/>
                <w:color w:val="auto"/>
                <w:sz w:val="21"/>
                <w:szCs w:val="21"/>
                <w:highlight w:val="none"/>
                <w:lang w:val="zh-CN"/>
              </w:rPr>
            </w:pPr>
            <w:r>
              <w:rPr>
                <w:rFonts w:ascii="Times New Roman" w:hAnsi="Times New Roman" w:eastAsia="宋体" w:cs="Times New Roman"/>
                <w:color w:val="auto"/>
                <w:sz w:val="21"/>
                <w:szCs w:val="21"/>
                <w:highlight w:val="none"/>
                <w:lang w:val="zh-CN"/>
              </w:rPr>
              <w:t>项目涉及的危险物质数量与临界量比值（Q）计算结果见</w:t>
            </w:r>
            <w:r>
              <w:rPr>
                <w:rFonts w:hint="eastAsia" w:ascii="Times New Roman" w:hAnsi="Times New Roman" w:eastAsia="宋体" w:cs="Times New Roman"/>
                <w:color w:val="auto"/>
                <w:sz w:val="21"/>
                <w:szCs w:val="21"/>
                <w:highlight w:val="none"/>
                <w:lang w:val="en-US" w:eastAsia="zh-CN"/>
              </w:rPr>
              <w:t>下</w:t>
            </w:r>
            <w:r>
              <w:rPr>
                <w:rFonts w:ascii="Times New Roman" w:hAnsi="Times New Roman" w:eastAsia="宋体" w:cs="Times New Roman"/>
                <w:color w:val="auto"/>
                <w:sz w:val="21"/>
                <w:szCs w:val="21"/>
                <w:highlight w:val="none"/>
                <w:lang w:val="zh-CN"/>
              </w:rPr>
              <w:t>表。</w:t>
            </w:r>
          </w:p>
          <w:p>
            <w:pPr>
              <w:autoSpaceDE w:val="0"/>
              <w:autoSpaceDN w:val="0"/>
              <w:adjustRightInd w:val="0"/>
              <w:snapToGrid w:val="0"/>
              <w:jc w:val="center"/>
              <w:rPr>
                <w:rFonts w:ascii="Times New Roman" w:hAnsi="Times New Roman" w:eastAsia="宋体" w:cs="Times New Roman"/>
                <w:b/>
                <w:bCs/>
                <w:color w:val="auto"/>
                <w:kern w:val="0"/>
                <w:szCs w:val="21"/>
                <w:highlight w:val="none"/>
                <w:lang w:val="zh-CN" w:eastAsia="zh-CN"/>
              </w:rPr>
            </w:pPr>
            <w:r>
              <w:rPr>
                <w:rFonts w:ascii="Times New Roman" w:hAnsi="Times New Roman" w:eastAsia="宋体" w:cs="Times New Roman"/>
                <w:b/>
                <w:bCs/>
                <w:color w:val="auto"/>
                <w:kern w:val="0"/>
                <w:szCs w:val="21"/>
                <w:highlight w:val="none"/>
                <w:lang w:val="zh-CN" w:eastAsia="zh-CN"/>
              </w:rPr>
              <w:t>表</w:t>
            </w:r>
            <w:r>
              <w:rPr>
                <w:rFonts w:hint="eastAsia" w:ascii="Times New Roman" w:hAnsi="Times New Roman" w:eastAsia="宋体" w:cs="Times New Roman"/>
                <w:b/>
                <w:bCs/>
                <w:color w:val="auto"/>
                <w:kern w:val="0"/>
                <w:szCs w:val="21"/>
                <w:highlight w:val="none"/>
                <w:lang w:val="en-US" w:eastAsia="zh-CN"/>
              </w:rPr>
              <w:t>4-</w:t>
            </w:r>
            <w:r>
              <w:rPr>
                <w:rFonts w:hint="eastAsia" w:cs="Times New Roman"/>
                <w:b/>
                <w:bCs/>
                <w:color w:val="auto"/>
                <w:kern w:val="0"/>
                <w:szCs w:val="21"/>
                <w:highlight w:val="none"/>
                <w:lang w:val="en-US" w:eastAsia="zh-CN"/>
              </w:rPr>
              <w:t>35</w:t>
            </w:r>
            <w:r>
              <w:rPr>
                <w:rFonts w:ascii="Times New Roman" w:hAnsi="Times New Roman" w:eastAsia="宋体" w:cs="Times New Roman"/>
                <w:b/>
                <w:bCs/>
                <w:color w:val="auto"/>
                <w:kern w:val="0"/>
                <w:szCs w:val="21"/>
                <w:highlight w:val="none"/>
                <w:lang w:val="zh-CN" w:eastAsia="zh-CN"/>
              </w:rPr>
              <w:t xml:space="preserve">  项目Q值计算确定表</w:t>
            </w:r>
          </w:p>
          <w:tbl>
            <w:tblPr>
              <w:tblStyle w:val="27"/>
              <w:tblW w:w="5000" w:type="pct"/>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15" w:type="dxa"/>
                <w:left w:w="108" w:type="dxa"/>
                <w:bottom w:w="15" w:type="dxa"/>
                <w:right w:w="108" w:type="dxa"/>
              </w:tblCellMar>
            </w:tblPr>
            <w:tblGrid>
              <w:gridCol w:w="1249"/>
              <w:gridCol w:w="1463"/>
              <w:gridCol w:w="1463"/>
              <w:gridCol w:w="1421"/>
              <w:gridCol w:w="1545"/>
              <w:gridCol w:w="1256"/>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15" w:type="dxa"/>
                  <w:left w:w="108" w:type="dxa"/>
                  <w:bottom w:w="15" w:type="dxa"/>
                  <w:right w:w="108" w:type="dxa"/>
                </w:tblCellMar>
              </w:tblPrEx>
              <w:trPr>
                <w:trHeight w:val="340" w:hRule="atLeast"/>
                <w:tblHeader/>
                <w:jc w:val="center"/>
              </w:trPr>
              <w:tc>
                <w:tcPr>
                  <w:tcW w:w="744" w:type="pct"/>
                  <w:tcBorders>
                    <w:top w:val="single" w:color="auto" w:sz="4" w:space="0"/>
                    <w:left w:val="single" w:color="auto" w:sz="0" w:space="0"/>
                    <w:bottom w:val="single" w:color="auto" w:sz="4" w:space="0"/>
                    <w:right w:val="single" w:color="auto" w:sz="4" w:space="0"/>
                  </w:tcBorders>
                  <w:shd w:val="clear" w:color="auto" w:fill="auto"/>
                  <w:vAlign w:val="center"/>
                </w:tcPr>
                <w:p>
                  <w:pPr>
                    <w:widowControl/>
                    <w:snapToGrid/>
                    <w:spacing w:line="240" w:lineRule="auto"/>
                    <w:jc w:val="center"/>
                    <w:rPr>
                      <w:rFonts w:eastAsia="Times New Roman"/>
                      <w:color w:val="auto"/>
                      <w:kern w:val="0"/>
                      <w:sz w:val="18"/>
                      <w:szCs w:val="18"/>
                      <w:highlight w:val="none"/>
                    </w:rPr>
                  </w:pPr>
                  <w:r>
                    <w:rPr>
                      <w:color w:val="auto"/>
                      <w:kern w:val="0"/>
                      <w:sz w:val="18"/>
                      <w:szCs w:val="18"/>
                      <w:highlight w:val="none"/>
                    </w:rPr>
                    <w:t>序号</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rFonts w:eastAsia="Times New Roman"/>
                      <w:color w:val="auto"/>
                      <w:kern w:val="0"/>
                      <w:sz w:val="18"/>
                      <w:szCs w:val="18"/>
                      <w:highlight w:val="none"/>
                    </w:rPr>
                  </w:pPr>
                  <w:r>
                    <w:rPr>
                      <w:color w:val="auto"/>
                      <w:kern w:val="0"/>
                      <w:sz w:val="18"/>
                      <w:szCs w:val="18"/>
                      <w:highlight w:val="none"/>
                    </w:rPr>
                    <w:t>物质名称</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储存位置</w:t>
                  </w:r>
                </w:p>
              </w:tc>
              <w:tc>
                <w:tcPr>
                  <w:tcW w:w="84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rFonts w:eastAsia="Times New Roman"/>
                      <w:color w:val="auto"/>
                      <w:kern w:val="0"/>
                      <w:sz w:val="18"/>
                      <w:szCs w:val="18"/>
                      <w:highlight w:val="none"/>
                    </w:rPr>
                  </w:pPr>
                  <w:r>
                    <w:rPr>
                      <w:color w:val="auto"/>
                      <w:kern w:val="0"/>
                      <w:sz w:val="18"/>
                      <w:szCs w:val="18"/>
                      <w:highlight w:val="none"/>
                    </w:rPr>
                    <w:t>厂区存在总量</w:t>
                  </w:r>
                </w:p>
                <w:p>
                  <w:pPr>
                    <w:widowControl/>
                    <w:snapToGrid/>
                    <w:spacing w:line="240" w:lineRule="auto"/>
                    <w:jc w:val="center"/>
                    <w:rPr>
                      <w:color w:val="auto"/>
                      <w:kern w:val="0"/>
                      <w:sz w:val="18"/>
                      <w:szCs w:val="18"/>
                      <w:highlight w:val="none"/>
                    </w:rPr>
                  </w:pPr>
                  <w:r>
                    <w:rPr>
                      <w:color w:val="auto"/>
                      <w:kern w:val="0"/>
                      <w:sz w:val="18"/>
                      <w:szCs w:val="18"/>
                      <w:highlight w:val="none"/>
                    </w:rPr>
                    <w:t>（</w:t>
                  </w:r>
                  <w:r>
                    <w:rPr>
                      <w:rFonts w:eastAsia="Times New Roman"/>
                      <w:color w:val="auto"/>
                      <w:kern w:val="0"/>
                      <w:sz w:val="18"/>
                      <w:szCs w:val="18"/>
                      <w:highlight w:val="none"/>
                    </w:rPr>
                    <w:t>t</w:t>
                  </w:r>
                  <w:r>
                    <w:rPr>
                      <w:color w:val="auto"/>
                      <w:kern w:val="0"/>
                      <w:sz w:val="18"/>
                      <w:szCs w:val="18"/>
                      <w:highlight w:val="none"/>
                    </w:rPr>
                    <w:t>）</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rFonts w:eastAsia="Times New Roman"/>
                      <w:color w:val="auto"/>
                      <w:kern w:val="0"/>
                      <w:sz w:val="18"/>
                      <w:szCs w:val="18"/>
                      <w:highlight w:val="none"/>
                    </w:rPr>
                  </w:pPr>
                  <w:r>
                    <w:rPr>
                      <w:color w:val="auto"/>
                      <w:kern w:val="0"/>
                      <w:sz w:val="18"/>
                      <w:szCs w:val="18"/>
                      <w:highlight w:val="none"/>
                    </w:rPr>
                    <w:t>临界量</w:t>
                  </w:r>
                </w:p>
                <w:p>
                  <w:pPr>
                    <w:widowControl/>
                    <w:snapToGrid/>
                    <w:spacing w:line="240" w:lineRule="auto"/>
                    <w:jc w:val="center"/>
                    <w:rPr>
                      <w:rFonts w:eastAsia="Times New Roman"/>
                      <w:color w:val="auto"/>
                      <w:kern w:val="0"/>
                      <w:sz w:val="18"/>
                      <w:szCs w:val="18"/>
                      <w:highlight w:val="none"/>
                    </w:rPr>
                  </w:pPr>
                  <w:r>
                    <w:rPr>
                      <w:color w:val="auto"/>
                      <w:kern w:val="0"/>
                      <w:sz w:val="18"/>
                      <w:szCs w:val="18"/>
                      <w:highlight w:val="none"/>
                    </w:rPr>
                    <w:t>（</w:t>
                  </w:r>
                  <w:r>
                    <w:rPr>
                      <w:rFonts w:eastAsia="Times New Roman"/>
                      <w:color w:val="auto"/>
                      <w:kern w:val="0"/>
                      <w:sz w:val="18"/>
                      <w:szCs w:val="18"/>
                      <w:highlight w:val="none"/>
                    </w:rPr>
                    <w:t>t</w:t>
                  </w:r>
                  <w:r>
                    <w:rPr>
                      <w:color w:val="auto"/>
                      <w:kern w:val="0"/>
                      <w:sz w:val="18"/>
                      <w:szCs w:val="18"/>
                      <w:highlight w:val="none"/>
                    </w:rPr>
                    <w:t>）</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rFonts w:eastAsia="Times New Roman"/>
                      <w:color w:val="auto"/>
                      <w:kern w:val="0"/>
                      <w:sz w:val="18"/>
                      <w:szCs w:val="18"/>
                      <w:highlight w:val="none"/>
                    </w:rPr>
                  </w:pPr>
                  <w:r>
                    <w:rPr>
                      <w:rFonts w:eastAsia="Times New Roman"/>
                      <w:color w:val="auto"/>
                      <w:kern w:val="0"/>
                      <w:sz w:val="18"/>
                      <w:szCs w:val="18"/>
                      <w:highlight w:val="none"/>
                    </w:rPr>
                    <w:t>Q</w:t>
                  </w:r>
                  <w:r>
                    <w:rPr>
                      <w:color w:val="auto"/>
                      <w:kern w:val="0"/>
                      <w:sz w:val="18"/>
                      <w:szCs w:val="18"/>
                      <w:highlight w:val="none"/>
                    </w:rPr>
                    <w:t>值</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15" w:type="dxa"/>
                  <w:left w:w="108" w:type="dxa"/>
                  <w:bottom w:w="15" w:type="dxa"/>
                  <w:right w:w="108" w:type="dxa"/>
                </w:tblCellMar>
              </w:tblPrEx>
              <w:trPr>
                <w:trHeight w:val="90" w:hRule="atLeast"/>
                <w:jc w:val="center"/>
              </w:trPr>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1</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柴油</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rFonts w:hint="eastAsia" w:eastAsia="宋体"/>
                      <w:color w:val="auto"/>
                      <w:kern w:val="0"/>
                      <w:sz w:val="18"/>
                      <w:szCs w:val="18"/>
                      <w:highlight w:val="none"/>
                      <w:lang w:eastAsia="zh-CN"/>
                    </w:rPr>
                  </w:pPr>
                  <w:r>
                    <w:rPr>
                      <w:color w:val="auto"/>
                      <w:kern w:val="0"/>
                      <w:sz w:val="18"/>
                      <w:szCs w:val="18"/>
                      <w:highlight w:val="none"/>
                    </w:rPr>
                    <w:t>地下柴油</w:t>
                  </w:r>
                  <w:r>
                    <w:rPr>
                      <w:rFonts w:hint="eastAsia"/>
                      <w:color w:val="auto"/>
                      <w:kern w:val="0"/>
                      <w:sz w:val="18"/>
                      <w:szCs w:val="18"/>
                      <w:highlight w:val="none"/>
                      <w:lang w:val="en-US" w:eastAsia="zh-CN"/>
                    </w:rPr>
                    <w:t>罐</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jc w:val="center"/>
                    <w:rPr>
                      <w:color w:val="auto"/>
                      <w:sz w:val="18"/>
                      <w:szCs w:val="18"/>
                      <w:highlight w:val="none"/>
                    </w:rPr>
                  </w:pPr>
                  <w:r>
                    <w:rPr>
                      <w:rFonts w:hint="eastAsia"/>
                      <w:color w:val="auto"/>
                      <w:sz w:val="18"/>
                      <w:szCs w:val="18"/>
                      <w:highlight w:val="none"/>
                      <w:lang w:val="en-US" w:eastAsia="zh-CN"/>
                    </w:rPr>
                    <w:t>3.79</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jc w:val="center"/>
                    <w:rPr>
                      <w:color w:val="auto"/>
                      <w:sz w:val="18"/>
                      <w:szCs w:val="18"/>
                      <w:highlight w:val="none"/>
                    </w:rPr>
                  </w:pPr>
                  <w:r>
                    <w:rPr>
                      <w:color w:val="auto"/>
                      <w:sz w:val="18"/>
                      <w:szCs w:val="18"/>
                      <w:highlight w:val="none"/>
                    </w:rPr>
                    <w:t>2500</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jc w:val="center"/>
                    <w:rPr>
                      <w:rFonts w:hint="default" w:eastAsia="宋体"/>
                      <w:color w:val="auto"/>
                      <w:sz w:val="18"/>
                      <w:szCs w:val="18"/>
                      <w:highlight w:val="none"/>
                      <w:lang w:val="en-US" w:eastAsia="zh-CN"/>
                    </w:rPr>
                  </w:pPr>
                  <w:r>
                    <w:rPr>
                      <w:color w:val="auto"/>
                      <w:sz w:val="18"/>
                      <w:szCs w:val="18"/>
                      <w:highlight w:val="none"/>
                    </w:rPr>
                    <w:t>0.00</w:t>
                  </w:r>
                  <w:r>
                    <w:rPr>
                      <w:rFonts w:hint="eastAsia"/>
                      <w:color w:val="auto"/>
                      <w:sz w:val="18"/>
                      <w:szCs w:val="18"/>
                      <w:highlight w:val="none"/>
                      <w:lang w:val="en-US" w:eastAsia="zh-CN"/>
                    </w:rPr>
                    <w:t>15</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40" w:hRule="atLeast"/>
                <w:jc w:val="center"/>
              </w:trPr>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2</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乙醇</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库房</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0.3</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jc w:val="center"/>
                    <w:rPr>
                      <w:color w:val="auto"/>
                      <w:sz w:val="18"/>
                      <w:szCs w:val="18"/>
                      <w:highlight w:val="none"/>
                    </w:rPr>
                  </w:pPr>
                  <w:r>
                    <w:rPr>
                      <w:color w:val="auto"/>
                      <w:sz w:val="18"/>
                      <w:szCs w:val="18"/>
                      <w:highlight w:val="none"/>
                    </w:rPr>
                    <w:t>500</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jc w:val="center"/>
                    <w:rPr>
                      <w:rFonts w:hint="eastAsia" w:eastAsia="宋体"/>
                      <w:color w:val="auto"/>
                      <w:sz w:val="18"/>
                      <w:szCs w:val="18"/>
                      <w:highlight w:val="none"/>
                      <w:lang w:eastAsia="zh-CN"/>
                    </w:rPr>
                  </w:pPr>
                  <w:r>
                    <w:rPr>
                      <w:color w:val="auto"/>
                      <w:sz w:val="18"/>
                      <w:szCs w:val="18"/>
                      <w:highlight w:val="none"/>
                    </w:rPr>
                    <w:t>0.000</w:t>
                  </w:r>
                  <w:r>
                    <w:rPr>
                      <w:rFonts w:hint="eastAsia"/>
                      <w:color w:val="auto"/>
                      <w:sz w:val="18"/>
                      <w:szCs w:val="18"/>
                      <w:highlight w:val="none"/>
                      <w:lang w:val="en-US" w:eastAsia="zh-CN"/>
                    </w:rPr>
                    <w:t>6</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15" w:type="dxa"/>
                  <w:left w:w="108" w:type="dxa"/>
                  <w:bottom w:w="15" w:type="dxa"/>
                  <w:right w:w="108" w:type="dxa"/>
                </w:tblCellMar>
              </w:tblPrEx>
              <w:trPr>
                <w:trHeight w:val="340" w:hRule="atLeast"/>
                <w:jc w:val="center"/>
              </w:trPr>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3</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次氯酸钠</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库房</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adjustRightInd w:val="0"/>
                    <w:spacing w:line="240" w:lineRule="auto"/>
                    <w:jc w:val="center"/>
                    <w:rPr>
                      <w:rFonts w:hint="default" w:eastAsia="宋体"/>
                      <w:color w:val="auto"/>
                      <w:kern w:val="0"/>
                      <w:sz w:val="18"/>
                      <w:szCs w:val="18"/>
                      <w:highlight w:val="none"/>
                      <w:lang w:val="en-US" w:eastAsia="zh-CN"/>
                    </w:rPr>
                  </w:pPr>
                  <w:r>
                    <w:rPr>
                      <w:rFonts w:hint="eastAsia"/>
                      <w:color w:val="auto"/>
                      <w:kern w:val="0"/>
                      <w:sz w:val="18"/>
                      <w:szCs w:val="18"/>
                      <w:highlight w:val="none"/>
                      <w:lang w:val="en-US" w:eastAsia="zh-CN"/>
                    </w:rPr>
                    <w:t>0.0052</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jc w:val="center"/>
                    <w:rPr>
                      <w:color w:val="auto"/>
                      <w:sz w:val="18"/>
                      <w:szCs w:val="18"/>
                      <w:highlight w:val="none"/>
                    </w:rPr>
                  </w:pPr>
                  <w:r>
                    <w:rPr>
                      <w:color w:val="auto"/>
                      <w:sz w:val="18"/>
                      <w:szCs w:val="18"/>
                      <w:highlight w:val="none"/>
                    </w:rPr>
                    <w:t>5</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jc w:val="center"/>
                    <w:rPr>
                      <w:color w:val="auto"/>
                      <w:sz w:val="18"/>
                      <w:szCs w:val="18"/>
                      <w:highlight w:val="none"/>
                    </w:rPr>
                  </w:pPr>
                  <w:r>
                    <w:rPr>
                      <w:color w:val="auto"/>
                      <w:sz w:val="18"/>
                      <w:szCs w:val="18"/>
                      <w:highlight w:val="none"/>
                    </w:rPr>
                    <w:t>0.</w:t>
                  </w:r>
                  <w:r>
                    <w:rPr>
                      <w:rFonts w:hint="eastAsia"/>
                      <w:color w:val="auto"/>
                      <w:sz w:val="18"/>
                      <w:szCs w:val="18"/>
                      <w:highlight w:val="none"/>
                      <w:lang w:val="en-US" w:eastAsia="zh-CN"/>
                    </w:rPr>
                    <w:t>00</w:t>
                  </w:r>
                  <w:r>
                    <w:rPr>
                      <w:color w:val="auto"/>
                      <w:sz w:val="18"/>
                      <w:szCs w:val="18"/>
                      <w:highlight w:val="none"/>
                    </w:rPr>
                    <w:t>1</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15" w:type="dxa"/>
                  <w:left w:w="108" w:type="dxa"/>
                  <w:bottom w:w="15" w:type="dxa"/>
                  <w:right w:w="108" w:type="dxa"/>
                </w:tblCellMar>
              </w:tblPrEx>
              <w:trPr>
                <w:trHeight w:val="340" w:hRule="atLeast"/>
                <w:jc w:val="center"/>
              </w:trPr>
              <w:tc>
                <w:tcPr>
                  <w:tcW w:w="7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4</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液氧</w:t>
                  </w:r>
                </w:p>
              </w:tc>
              <w:tc>
                <w:tcPr>
                  <w:tcW w:w="8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spacing w:line="240" w:lineRule="auto"/>
                    <w:jc w:val="center"/>
                    <w:rPr>
                      <w:color w:val="auto"/>
                      <w:kern w:val="0"/>
                      <w:sz w:val="18"/>
                      <w:szCs w:val="18"/>
                      <w:highlight w:val="none"/>
                    </w:rPr>
                  </w:pPr>
                  <w:r>
                    <w:rPr>
                      <w:color w:val="auto"/>
                      <w:kern w:val="0"/>
                      <w:sz w:val="18"/>
                      <w:szCs w:val="18"/>
                      <w:highlight w:val="none"/>
                    </w:rPr>
                    <w:t>液氧罐</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topLinePunct/>
                    <w:adjustRightInd w:val="0"/>
                    <w:spacing w:line="240" w:lineRule="auto"/>
                    <w:jc w:val="center"/>
                    <w:rPr>
                      <w:rFonts w:hint="default"/>
                      <w:color w:val="auto"/>
                      <w:kern w:val="0"/>
                      <w:sz w:val="18"/>
                      <w:szCs w:val="18"/>
                      <w:highlight w:val="none"/>
                      <w:lang w:val="en-US"/>
                    </w:rPr>
                  </w:pPr>
                  <w:r>
                    <w:rPr>
                      <w:rFonts w:hint="eastAsia"/>
                      <w:color w:val="auto"/>
                      <w:kern w:val="0"/>
                      <w:sz w:val="18"/>
                      <w:szCs w:val="18"/>
                      <w:highlight w:val="none"/>
                      <w:lang w:val="en-US" w:eastAsia="zh-CN"/>
                    </w:rPr>
                    <w:t>17.1</w:t>
                  </w:r>
                </w:p>
              </w:tc>
              <w:tc>
                <w:tcPr>
                  <w:tcW w:w="92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jc w:val="center"/>
                    <w:rPr>
                      <w:color w:val="auto"/>
                      <w:sz w:val="18"/>
                      <w:szCs w:val="18"/>
                      <w:highlight w:val="none"/>
                    </w:rPr>
                  </w:pPr>
                  <w:r>
                    <w:rPr>
                      <w:color w:val="auto"/>
                      <w:sz w:val="18"/>
                      <w:szCs w:val="18"/>
                      <w:highlight w:val="none"/>
                    </w:rPr>
                    <w:t>50</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0.342</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340" w:hRule="atLeast"/>
                <w:jc w:val="center"/>
              </w:trPr>
              <w:tc>
                <w:tcPr>
                  <w:tcW w:w="4252"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napToGrid/>
                    <w:spacing w:line="240" w:lineRule="auto"/>
                    <w:jc w:val="center"/>
                    <w:textAlignment w:val="center"/>
                    <w:rPr>
                      <w:color w:val="auto"/>
                      <w:kern w:val="0"/>
                      <w:sz w:val="18"/>
                      <w:szCs w:val="18"/>
                      <w:highlight w:val="none"/>
                    </w:rPr>
                  </w:pPr>
                  <w:r>
                    <w:rPr>
                      <w:color w:val="auto"/>
                      <w:kern w:val="0"/>
                      <w:sz w:val="18"/>
                      <w:szCs w:val="18"/>
                      <w:highlight w:val="none"/>
                    </w:rPr>
                    <w:t>合计</w:t>
                  </w:r>
                </w:p>
              </w:tc>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line="240" w:lineRule="auto"/>
                    <w:jc w:val="center"/>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0.3451</w:t>
                  </w:r>
                </w:p>
              </w:tc>
            </w:tr>
          </w:tbl>
          <w:p>
            <w:pPr>
              <w:pStyle w:val="62"/>
              <w:ind w:firstLine="420"/>
              <w:rPr>
                <w:color w:val="auto"/>
                <w:sz w:val="21"/>
                <w:szCs w:val="21"/>
                <w:highlight w:val="none"/>
              </w:rPr>
            </w:pPr>
            <w:r>
              <w:rPr>
                <w:color w:val="auto"/>
                <w:sz w:val="21"/>
                <w:szCs w:val="21"/>
                <w:highlight w:val="none"/>
              </w:rPr>
              <w:t>因此本项目Q值=</w:t>
            </w:r>
            <w:r>
              <w:rPr>
                <w:rFonts w:hint="eastAsia"/>
                <w:color w:val="auto"/>
                <w:sz w:val="21"/>
                <w:szCs w:val="21"/>
                <w:highlight w:val="none"/>
                <w:lang w:val="en-US" w:eastAsia="zh-CN"/>
              </w:rPr>
              <w:t>0.3451</w:t>
            </w:r>
            <w:r>
              <w:rPr>
                <w:color w:val="auto"/>
                <w:sz w:val="21"/>
                <w:szCs w:val="21"/>
                <w:highlight w:val="none"/>
              </w:rPr>
              <w:t>＜1，则本项目环境风险潜势为Ⅰ，不需要设置环境风险专项。</w:t>
            </w:r>
          </w:p>
          <w:p>
            <w:pPr>
              <w:spacing w:line="360" w:lineRule="auto"/>
              <w:ind w:firstLine="420" w:firstLineChars="200"/>
              <w:rPr>
                <w:color w:val="auto"/>
                <w:szCs w:val="21"/>
                <w:highlight w:val="none"/>
              </w:rPr>
            </w:pPr>
            <w:r>
              <w:rPr>
                <w:color w:val="auto"/>
                <w:szCs w:val="21"/>
                <w:highlight w:val="none"/>
              </w:rPr>
              <w:t>2、风险源分布及影响途径分析</w:t>
            </w:r>
          </w:p>
          <w:p>
            <w:pPr>
              <w:spacing w:line="360" w:lineRule="auto"/>
              <w:ind w:firstLine="420" w:firstLineChars="200"/>
              <w:rPr>
                <w:rFonts w:hint="eastAsia" w:eastAsia="宋体"/>
                <w:color w:val="auto"/>
                <w:szCs w:val="21"/>
                <w:highlight w:val="none"/>
                <w:lang w:eastAsia="zh-CN"/>
              </w:rPr>
            </w:pPr>
            <w:r>
              <w:rPr>
                <w:color w:val="auto"/>
                <w:szCs w:val="21"/>
                <w:highlight w:val="none"/>
              </w:rPr>
              <w:t>危险物质识别：本项目涉及《建设项目环境风险评价技术导则》（HJ/T169-2018）导则附录B中的危险物质为84消毒液（主要成分次氯酸钠）</w:t>
            </w:r>
            <w:r>
              <w:rPr>
                <w:rFonts w:hint="eastAsia"/>
                <w:color w:val="auto"/>
                <w:szCs w:val="21"/>
                <w:highlight w:val="none"/>
              </w:rPr>
              <w:t>。另外本项目库房储存75%酒精，主要成分为乙醇，虽然不属于附录B中危险物质，但是乙醇属于第3.2类中闪点易燃液体，本次风险评价将乙醇、</w:t>
            </w:r>
            <w:r>
              <w:rPr>
                <w:color w:val="auto"/>
                <w:szCs w:val="21"/>
                <w:highlight w:val="none"/>
              </w:rPr>
              <w:t>次氯酸钠</w:t>
            </w:r>
            <w:r>
              <w:rPr>
                <w:rFonts w:hint="eastAsia"/>
                <w:color w:val="auto"/>
                <w:szCs w:val="21"/>
                <w:highlight w:val="none"/>
                <w:lang w:eastAsia="zh-CN"/>
              </w:rPr>
              <w:t>、</w:t>
            </w:r>
            <w:r>
              <w:rPr>
                <w:rFonts w:hint="eastAsia"/>
                <w:color w:val="auto"/>
                <w:szCs w:val="21"/>
                <w:highlight w:val="none"/>
                <w:lang w:val="en-US" w:eastAsia="zh-CN"/>
              </w:rPr>
              <w:t>液氧、柴油</w:t>
            </w:r>
            <w:r>
              <w:rPr>
                <w:rFonts w:hint="eastAsia"/>
                <w:color w:val="auto"/>
                <w:szCs w:val="21"/>
                <w:highlight w:val="none"/>
              </w:rPr>
              <w:t>列为风险源物质</w:t>
            </w:r>
            <w:r>
              <w:rPr>
                <w:rFonts w:hint="eastAsia"/>
                <w:color w:val="auto"/>
                <w:szCs w:val="21"/>
                <w:highlight w:val="none"/>
                <w:lang w:eastAsia="zh-CN"/>
              </w:rPr>
              <w:t>。</w:t>
            </w:r>
          </w:p>
          <w:p>
            <w:pPr>
              <w:pStyle w:val="59"/>
              <w:spacing w:line="360" w:lineRule="auto"/>
              <w:ind w:firstLine="420" w:firstLineChars="200"/>
              <w:jc w:val="both"/>
              <w:rPr>
                <w:rFonts w:ascii="Times New Roman" w:cs="Times New Roman"/>
                <w:color w:val="auto"/>
                <w:kern w:val="2"/>
                <w:sz w:val="21"/>
                <w:szCs w:val="21"/>
                <w:highlight w:val="none"/>
              </w:rPr>
            </w:pPr>
            <w:r>
              <w:rPr>
                <w:rFonts w:ascii="Times New Roman" w:cs="Times New Roman"/>
                <w:color w:val="auto"/>
                <w:kern w:val="2"/>
                <w:sz w:val="21"/>
                <w:szCs w:val="21"/>
                <w:highlight w:val="none"/>
              </w:rPr>
              <w:t>危险物质分布：本项目主要风险物质为84消毒液</w:t>
            </w:r>
            <w:r>
              <w:rPr>
                <w:rFonts w:hint="eastAsia" w:ascii="Times New Roman" w:cs="Times New Roman"/>
                <w:color w:val="auto"/>
                <w:kern w:val="2"/>
                <w:sz w:val="21"/>
                <w:szCs w:val="21"/>
                <w:highlight w:val="none"/>
              </w:rPr>
              <w:t>、75%酒精</w:t>
            </w:r>
            <w:r>
              <w:rPr>
                <w:rFonts w:ascii="Times New Roman" w:cs="Times New Roman"/>
                <w:color w:val="auto"/>
                <w:kern w:val="2"/>
                <w:sz w:val="21"/>
                <w:szCs w:val="21"/>
                <w:highlight w:val="none"/>
              </w:rPr>
              <w:t>，贮存位置为</w:t>
            </w:r>
            <w:r>
              <w:rPr>
                <w:rFonts w:hint="eastAsia" w:ascii="Times New Roman" w:cs="Times New Roman"/>
                <w:color w:val="auto"/>
                <w:kern w:val="2"/>
                <w:sz w:val="21"/>
                <w:szCs w:val="21"/>
                <w:highlight w:val="none"/>
                <w:lang w:val="en-US" w:eastAsia="zh-CN"/>
              </w:rPr>
              <w:t>药品</w:t>
            </w:r>
            <w:r>
              <w:rPr>
                <w:rFonts w:ascii="Times New Roman" w:cs="Times New Roman"/>
                <w:color w:val="auto"/>
                <w:kern w:val="2"/>
                <w:sz w:val="21"/>
                <w:szCs w:val="21"/>
                <w:highlight w:val="none"/>
              </w:rPr>
              <w:t>仓库，位于</w:t>
            </w:r>
            <w:r>
              <w:rPr>
                <w:rFonts w:hint="eastAsia" w:ascii="Times New Roman" w:cs="Times New Roman"/>
                <w:color w:val="auto"/>
                <w:kern w:val="2"/>
                <w:sz w:val="21"/>
                <w:szCs w:val="21"/>
                <w:highlight w:val="none"/>
                <w:lang w:val="en-US" w:eastAsia="zh-CN"/>
              </w:rPr>
              <w:t>院</w:t>
            </w:r>
            <w:r>
              <w:rPr>
                <w:rFonts w:ascii="Times New Roman" w:cs="Times New Roman"/>
                <w:color w:val="auto"/>
                <w:kern w:val="2"/>
                <w:sz w:val="21"/>
                <w:szCs w:val="21"/>
                <w:highlight w:val="none"/>
              </w:rPr>
              <w:t>区</w:t>
            </w:r>
            <w:r>
              <w:rPr>
                <w:rFonts w:hint="eastAsia" w:ascii="Times New Roman" w:cs="Times New Roman"/>
                <w:color w:val="auto"/>
                <w:kern w:val="2"/>
                <w:sz w:val="21"/>
                <w:szCs w:val="21"/>
                <w:highlight w:val="none"/>
                <w:lang w:val="en-US" w:eastAsia="zh-CN"/>
              </w:rPr>
              <w:t>-1层仓库储存</w:t>
            </w:r>
            <w:r>
              <w:rPr>
                <w:rFonts w:ascii="Times New Roman" w:cs="Times New Roman"/>
                <w:color w:val="auto"/>
                <w:kern w:val="2"/>
                <w:sz w:val="21"/>
                <w:szCs w:val="21"/>
                <w:highlight w:val="none"/>
              </w:rPr>
              <w:t>，最大暂存量为</w:t>
            </w:r>
            <w:r>
              <w:rPr>
                <w:rFonts w:hint="eastAsia" w:ascii="Times New Roman" w:cs="Times New Roman"/>
                <w:color w:val="auto"/>
                <w:kern w:val="2"/>
                <w:sz w:val="21"/>
                <w:szCs w:val="21"/>
                <w:highlight w:val="none"/>
              </w:rPr>
              <w:t>84消毒液</w:t>
            </w:r>
            <w:r>
              <w:rPr>
                <w:rFonts w:hint="eastAsia" w:ascii="Times New Roman" w:cs="Times New Roman"/>
                <w:color w:val="auto"/>
                <w:kern w:val="2"/>
                <w:sz w:val="21"/>
                <w:szCs w:val="21"/>
                <w:highlight w:val="none"/>
                <w:lang w:val="en-US" w:eastAsia="zh-CN"/>
              </w:rPr>
              <w:t>2</w:t>
            </w:r>
            <w:r>
              <w:rPr>
                <w:rFonts w:ascii="Times New Roman" w:cs="Times New Roman"/>
                <w:color w:val="auto"/>
                <w:kern w:val="2"/>
                <w:sz w:val="21"/>
                <w:szCs w:val="21"/>
                <w:highlight w:val="none"/>
              </w:rPr>
              <w:t>00瓶（0.0</w:t>
            </w:r>
            <w:r>
              <w:rPr>
                <w:rFonts w:hint="eastAsia" w:ascii="Times New Roman" w:cs="Times New Roman"/>
                <w:color w:val="auto"/>
                <w:kern w:val="2"/>
                <w:sz w:val="21"/>
                <w:szCs w:val="21"/>
                <w:highlight w:val="none"/>
                <w:lang w:val="en-US" w:eastAsia="zh-CN"/>
              </w:rPr>
              <w:t>8</w:t>
            </w:r>
            <w:r>
              <w:rPr>
                <w:rFonts w:ascii="Times New Roman" w:cs="Times New Roman"/>
                <w:color w:val="auto"/>
                <w:kern w:val="2"/>
                <w:sz w:val="21"/>
                <w:szCs w:val="21"/>
                <w:highlight w:val="none"/>
              </w:rPr>
              <w:t>t）</w:t>
            </w:r>
            <w:r>
              <w:rPr>
                <w:rFonts w:hint="eastAsia" w:ascii="Times New Roman" w:cs="Times New Roman"/>
                <w:color w:val="auto"/>
                <w:kern w:val="2"/>
                <w:sz w:val="21"/>
                <w:szCs w:val="21"/>
                <w:highlight w:val="none"/>
              </w:rPr>
              <w:t>、75%酒精</w:t>
            </w:r>
            <w:r>
              <w:rPr>
                <w:rFonts w:hint="eastAsia" w:ascii="Times New Roman" w:cs="Times New Roman"/>
                <w:color w:val="auto"/>
                <w:kern w:val="2"/>
                <w:sz w:val="21"/>
                <w:szCs w:val="21"/>
                <w:highlight w:val="none"/>
                <w:lang w:val="en-US" w:eastAsia="zh-CN"/>
              </w:rPr>
              <w:t>10</w:t>
            </w:r>
            <w:r>
              <w:rPr>
                <w:rFonts w:hint="eastAsia" w:ascii="Times New Roman" w:cs="Times New Roman"/>
                <w:color w:val="auto"/>
                <w:kern w:val="2"/>
                <w:sz w:val="21"/>
                <w:szCs w:val="21"/>
                <w:highlight w:val="none"/>
              </w:rPr>
              <w:t>00瓶（0.</w:t>
            </w:r>
            <w:r>
              <w:rPr>
                <w:rFonts w:hint="eastAsia" w:ascii="Times New Roman" w:cs="Times New Roman"/>
                <w:color w:val="auto"/>
                <w:kern w:val="2"/>
                <w:sz w:val="21"/>
                <w:szCs w:val="21"/>
                <w:highlight w:val="none"/>
                <w:lang w:val="en-US" w:eastAsia="zh-CN"/>
              </w:rPr>
              <w:t>4</w:t>
            </w:r>
            <w:r>
              <w:rPr>
                <w:rFonts w:hint="eastAsia" w:ascii="Times New Roman" w:cs="Times New Roman"/>
                <w:color w:val="auto"/>
                <w:kern w:val="2"/>
                <w:sz w:val="21"/>
                <w:szCs w:val="21"/>
                <w:highlight w:val="none"/>
              </w:rPr>
              <w:t>t）</w:t>
            </w:r>
            <w:r>
              <w:rPr>
                <w:rFonts w:hint="eastAsia" w:ascii="Times New Roman" w:cs="Times New Roman"/>
                <w:color w:val="auto"/>
                <w:kern w:val="2"/>
                <w:sz w:val="21"/>
                <w:szCs w:val="21"/>
                <w:highlight w:val="none"/>
                <w:lang w:eastAsia="zh-CN"/>
              </w:rPr>
              <w:t>；</w:t>
            </w:r>
            <w:r>
              <w:rPr>
                <w:rFonts w:hint="eastAsia" w:ascii="Times New Roman" w:cs="Times New Roman"/>
                <w:color w:val="auto"/>
                <w:kern w:val="2"/>
                <w:sz w:val="21"/>
                <w:szCs w:val="21"/>
                <w:highlight w:val="none"/>
                <w:lang w:val="en-US" w:eastAsia="zh-CN"/>
              </w:rPr>
              <w:t>液氧位于院区西侧，柴油罐位于综合楼地下-1层</w:t>
            </w:r>
            <w:r>
              <w:rPr>
                <w:rFonts w:ascii="Times New Roman" w:cs="Times New Roman"/>
                <w:color w:val="auto"/>
                <w:kern w:val="2"/>
                <w:sz w:val="21"/>
                <w:szCs w:val="21"/>
                <w:highlight w:val="none"/>
              </w:rPr>
              <w:t>。</w:t>
            </w:r>
          </w:p>
          <w:p>
            <w:pPr>
              <w:spacing w:line="360" w:lineRule="auto"/>
              <w:ind w:firstLine="420" w:firstLineChars="200"/>
              <w:rPr>
                <w:color w:val="auto"/>
                <w:szCs w:val="21"/>
                <w:highlight w:val="none"/>
              </w:rPr>
            </w:pPr>
            <w:r>
              <w:rPr>
                <w:color w:val="auto"/>
                <w:szCs w:val="21"/>
                <w:highlight w:val="none"/>
              </w:rPr>
              <w:t>次氯酸钠</w:t>
            </w:r>
            <w:r>
              <w:rPr>
                <w:rFonts w:hint="eastAsia"/>
                <w:color w:val="auto"/>
                <w:szCs w:val="21"/>
                <w:highlight w:val="none"/>
              </w:rPr>
              <w:t>、</w:t>
            </w:r>
            <w:r>
              <w:rPr>
                <w:rFonts w:hint="eastAsia"/>
                <w:color w:val="auto"/>
                <w:szCs w:val="21"/>
                <w:highlight w:val="none"/>
                <w:lang w:val="en-US" w:eastAsia="zh-CN"/>
              </w:rPr>
              <w:t>乙醇</w:t>
            </w:r>
            <w:r>
              <w:rPr>
                <w:rFonts w:hint="eastAsia"/>
                <w:color w:val="auto"/>
                <w:szCs w:val="21"/>
                <w:highlight w:val="none"/>
                <w:lang w:eastAsia="zh-CN"/>
              </w:rPr>
              <w:t>、</w:t>
            </w:r>
            <w:r>
              <w:rPr>
                <w:rFonts w:hint="eastAsia"/>
                <w:color w:val="auto"/>
                <w:szCs w:val="21"/>
                <w:highlight w:val="none"/>
                <w:lang w:val="en-US" w:eastAsia="zh-CN"/>
              </w:rPr>
              <w:t>柴油、液氧</w:t>
            </w:r>
            <w:r>
              <w:rPr>
                <w:color w:val="auto"/>
                <w:szCs w:val="21"/>
                <w:highlight w:val="none"/>
              </w:rPr>
              <w:t>贮存过程中发生泄漏事故，如不能得到有效控制溢流至外部环境，可能污染周围土壤及地表水、地下水环境；若遇火灾事故可能会产生有毒烟气，污染周围大气环境。</w:t>
            </w:r>
          </w:p>
          <w:p>
            <w:pPr>
              <w:spacing w:line="360" w:lineRule="auto"/>
              <w:ind w:firstLine="420" w:firstLineChars="200"/>
              <w:rPr>
                <w:color w:val="auto"/>
                <w:szCs w:val="21"/>
                <w:highlight w:val="none"/>
                <w:lang w:val="zh-CN"/>
              </w:rPr>
            </w:pPr>
            <w:r>
              <w:rPr>
                <w:color w:val="auto"/>
                <w:szCs w:val="21"/>
                <w:highlight w:val="none"/>
                <w:lang w:val="zh-CN"/>
              </w:rPr>
              <w:t>医疗垃圾中可能存在传染性病菌、病毒、化学污染物等有害物质，由于医疗垃圾具有空间污染、急性传染和潜伏性污染等特征，其病毒、病菌的危害性是普通生活垃圾的几十、几百甚至上千倍，且基本没有回收再利用的价值。在国外，医疗垃圾被视为</w:t>
            </w:r>
            <w:r>
              <w:rPr>
                <w:rFonts w:hint="eastAsia"/>
                <w:color w:val="auto"/>
                <w:szCs w:val="21"/>
                <w:highlight w:val="none"/>
                <w:lang w:val="zh-CN"/>
              </w:rPr>
              <w:t>“</w:t>
            </w:r>
            <w:r>
              <w:rPr>
                <w:color w:val="auto"/>
                <w:szCs w:val="21"/>
                <w:highlight w:val="none"/>
                <w:lang w:val="zh-CN"/>
              </w:rPr>
              <w:t>顶级危险</w:t>
            </w:r>
            <w:r>
              <w:rPr>
                <w:rFonts w:hint="eastAsia"/>
                <w:color w:val="auto"/>
                <w:szCs w:val="21"/>
                <w:highlight w:val="none"/>
                <w:lang w:val="zh-CN"/>
              </w:rPr>
              <w:t>”</w:t>
            </w:r>
            <w:r>
              <w:rPr>
                <w:color w:val="auto"/>
                <w:szCs w:val="21"/>
                <w:highlight w:val="none"/>
                <w:lang w:val="zh-CN"/>
              </w:rPr>
              <w:t>和</w:t>
            </w:r>
            <w:r>
              <w:rPr>
                <w:rFonts w:hint="eastAsia"/>
                <w:color w:val="auto"/>
                <w:szCs w:val="21"/>
                <w:highlight w:val="none"/>
                <w:lang w:val="zh-CN"/>
              </w:rPr>
              <w:t>“</w:t>
            </w:r>
            <w:r>
              <w:rPr>
                <w:color w:val="auto"/>
                <w:szCs w:val="21"/>
                <w:highlight w:val="none"/>
                <w:lang w:val="zh-CN"/>
              </w:rPr>
              <w:t>致命杀手</w:t>
            </w:r>
            <w:r>
              <w:rPr>
                <w:rFonts w:hint="eastAsia"/>
                <w:color w:val="auto"/>
                <w:szCs w:val="21"/>
                <w:highlight w:val="none"/>
                <w:lang w:val="zh-CN"/>
              </w:rPr>
              <w:t>”</w:t>
            </w:r>
            <w:r>
              <w:rPr>
                <w:color w:val="auto"/>
                <w:szCs w:val="21"/>
                <w:highlight w:val="none"/>
                <w:lang w:val="zh-CN"/>
              </w:rPr>
              <w:t>。据检测，医疗垃圾中存在着大量的病菌、病毒等，如乙肝表面抗原阳性率在未经浓缩的样品中为7.42%，医疗垃圾的阳性率则高达 8.9%。有关资料证实，医疗垃圾引起的交叉感染占社会交叉感染率的 20%。在我国早已将其列为头号危险废物。</w:t>
            </w:r>
          </w:p>
          <w:p>
            <w:pPr>
              <w:spacing w:line="360" w:lineRule="auto"/>
              <w:ind w:firstLine="420" w:firstLineChars="200"/>
              <w:rPr>
                <w:color w:val="auto"/>
                <w:szCs w:val="21"/>
                <w:highlight w:val="none"/>
              </w:rPr>
            </w:pPr>
            <w:r>
              <w:rPr>
                <w:color w:val="auto"/>
                <w:szCs w:val="21"/>
                <w:highlight w:val="none"/>
                <w:lang w:val="zh-CN"/>
              </w:rPr>
              <w:t>医疗垃圾残留及衍生的大量病菌是十分有害有毒的物质，如果不经分类收集、临时储存等有效处理的话，很容易引起各种疾病的传播和蔓延；医疗废物在运输过程中如不加强管理，造成医疗废物的泄露，会对沿途居住人群的健康造成影响。</w:t>
            </w:r>
          </w:p>
          <w:p>
            <w:pPr>
              <w:spacing w:line="360" w:lineRule="auto"/>
              <w:ind w:firstLine="420" w:firstLineChars="200"/>
              <w:rPr>
                <w:color w:val="auto"/>
                <w:szCs w:val="21"/>
                <w:highlight w:val="none"/>
              </w:rPr>
            </w:pPr>
            <w:r>
              <w:rPr>
                <w:color w:val="auto"/>
                <w:szCs w:val="21"/>
                <w:highlight w:val="none"/>
              </w:rPr>
              <w:t>本项目环境风险类型及危害具体详见下表：</w:t>
            </w:r>
          </w:p>
          <w:p>
            <w:pPr>
              <w:autoSpaceDE w:val="0"/>
              <w:autoSpaceDN w:val="0"/>
              <w:adjustRightInd w:val="0"/>
              <w:snapToGrid w:val="0"/>
              <w:jc w:val="center"/>
              <w:rPr>
                <w:rFonts w:ascii="Times New Roman" w:hAnsi="Times New Roman" w:eastAsia="宋体" w:cs="Times New Roman"/>
                <w:b/>
                <w:bCs/>
                <w:color w:val="auto"/>
                <w:kern w:val="0"/>
                <w:szCs w:val="21"/>
                <w:highlight w:val="none"/>
                <w:lang w:val="zh-CN" w:eastAsia="zh-CN"/>
              </w:rPr>
            </w:pPr>
            <w:r>
              <w:rPr>
                <w:rFonts w:ascii="Times New Roman" w:hAnsi="Times New Roman" w:eastAsia="宋体" w:cs="Times New Roman"/>
                <w:b/>
                <w:bCs/>
                <w:color w:val="auto"/>
                <w:kern w:val="0"/>
                <w:szCs w:val="21"/>
                <w:highlight w:val="none"/>
                <w:lang w:val="zh-CN" w:eastAsia="zh-CN"/>
              </w:rPr>
              <w:t>表4-</w:t>
            </w:r>
            <w:r>
              <w:rPr>
                <w:rFonts w:hint="eastAsia" w:cs="Times New Roman"/>
                <w:b/>
                <w:bCs/>
                <w:color w:val="auto"/>
                <w:kern w:val="0"/>
                <w:szCs w:val="21"/>
                <w:highlight w:val="none"/>
                <w:lang w:val="en-US" w:eastAsia="zh-CN"/>
              </w:rPr>
              <w:t>36</w:t>
            </w:r>
            <w:r>
              <w:rPr>
                <w:rFonts w:ascii="Times New Roman" w:hAnsi="Times New Roman" w:eastAsia="宋体" w:cs="Times New Roman"/>
                <w:b/>
                <w:bCs/>
                <w:color w:val="auto"/>
                <w:kern w:val="0"/>
                <w:szCs w:val="21"/>
                <w:highlight w:val="none"/>
                <w:lang w:val="zh-CN" w:eastAsia="zh-CN"/>
              </w:rPr>
              <w:t xml:space="preserve">  环境风险类型及危害分析表</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37"/>
              <w:gridCol w:w="2388"/>
              <w:gridCol w:w="2108"/>
              <w:gridCol w:w="1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风险类型</w:t>
                  </w: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影响途径</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影响方式</w:t>
                  </w:r>
                </w:p>
              </w:tc>
              <w:tc>
                <w:tcPr>
                  <w:tcW w:w="926"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restart"/>
                  <w:tcBorders>
                    <w:top w:val="single" w:color="000000" w:sz="4" w:space="0"/>
                    <w:left w:val="single" w:color="000000" w:sz="4" w:space="0"/>
                    <w:right w:val="single" w:color="000000" w:sz="4" w:space="0"/>
                  </w:tcBorders>
                  <w:vAlign w:val="center"/>
                </w:tcPr>
                <w:p>
                  <w:pPr>
                    <w:jc w:val="center"/>
                    <w:rPr>
                      <w:color w:val="auto"/>
                      <w:sz w:val="18"/>
                      <w:szCs w:val="18"/>
                      <w:highlight w:val="none"/>
                    </w:rPr>
                  </w:pPr>
                  <w:r>
                    <w:rPr>
                      <w:rFonts w:hint="eastAsia"/>
                      <w:color w:val="auto"/>
                      <w:sz w:val="18"/>
                      <w:szCs w:val="18"/>
                      <w:highlight w:val="none"/>
                      <w:lang w:val="en-US" w:eastAsia="zh-CN"/>
                    </w:rPr>
                    <w:t>次氯酸钠</w:t>
                  </w:r>
                  <w:r>
                    <w:rPr>
                      <w:rFonts w:hint="eastAsia"/>
                      <w:color w:val="auto"/>
                      <w:sz w:val="18"/>
                      <w:szCs w:val="18"/>
                      <w:highlight w:val="none"/>
                    </w:rPr>
                    <w:t>、</w:t>
                  </w:r>
                  <w:r>
                    <w:rPr>
                      <w:rFonts w:hint="eastAsia"/>
                      <w:color w:val="auto"/>
                      <w:sz w:val="18"/>
                      <w:szCs w:val="18"/>
                      <w:highlight w:val="none"/>
                      <w:lang w:val="en-US" w:eastAsia="zh-CN"/>
                    </w:rPr>
                    <w:t>乙醇</w:t>
                  </w:r>
                  <w:r>
                    <w:rPr>
                      <w:rFonts w:hint="eastAsia"/>
                      <w:color w:val="auto"/>
                      <w:sz w:val="18"/>
                      <w:szCs w:val="18"/>
                      <w:highlight w:val="none"/>
                      <w:lang w:eastAsia="zh-CN"/>
                    </w:rPr>
                    <w:t>、</w:t>
                  </w:r>
                  <w:r>
                    <w:rPr>
                      <w:rFonts w:hint="eastAsia"/>
                      <w:color w:val="auto"/>
                      <w:sz w:val="18"/>
                      <w:szCs w:val="18"/>
                      <w:highlight w:val="none"/>
                      <w:lang w:val="en-US" w:eastAsia="zh-CN"/>
                    </w:rPr>
                    <w:t>液氧、柴油</w:t>
                  </w:r>
                  <w:r>
                    <w:rPr>
                      <w:color w:val="auto"/>
                      <w:sz w:val="18"/>
                      <w:szCs w:val="18"/>
                      <w:highlight w:val="none"/>
                    </w:rPr>
                    <w:t>泄漏</w:t>
                  </w: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大气污染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大气扩散</w:t>
                  </w:r>
                </w:p>
              </w:tc>
              <w:tc>
                <w:tcPr>
                  <w:tcW w:w="926" w:type="pct"/>
                  <w:vMerge w:val="restart"/>
                  <w:tcBorders>
                    <w:top w:val="single" w:color="000000" w:sz="4" w:space="0"/>
                    <w:left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污染大气、水体、周边土壤，造成人员伤害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top w:val="single" w:color="000000" w:sz="4" w:space="0"/>
                    <w:left w:val="single" w:color="000000" w:sz="4" w:space="0"/>
                    <w:right w:val="single" w:color="000000" w:sz="4" w:space="0"/>
                  </w:tcBorders>
                  <w:vAlign w:val="center"/>
                </w:tcPr>
                <w:p>
                  <w:pPr>
                    <w:jc w:val="center"/>
                    <w:rPr>
                      <w:color w:val="auto"/>
                      <w:sz w:val="18"/>
                      <w:szCs w:val="18"/>
                      <w:highlight w:val="none"/>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地表水、地下水污染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地表径流、下渗</w:t>
                  </w:r>
                </w:p>
              </w:tc>
              <w:tc>
                <w:tcPr>
                  <w:tcW w:w="926" w:type="pct"/>
                  <w:vMerge w:val="continue"/>
                  <w:tcBorders>
                    <w:top w:val="single" w:color="000000" w:sz="4" w:space="0"/>
                    <w:left w:val="single" w:color="000000" w:sz="4" w:space="0"/>
                    <w:right w:val="single" w:color="000000" w:sz="4"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left w:val="single" w:color="000000" w:sz="4" w:space="0"/>
                    <w:bottom w:val="single" w:color="000000" w:sz="4" w:space="0"/>
                    <w:right w:val="single" w:color="000000" w:sz="4" w:space="0"/>
                  </w:tcBorders>
                  <w:vAlign w:val="center"/>
                </w:tcPr>
                <w:p>
                  <w:pPr>
                    <w:jc w:val="center"/>
                    <w:rPr>
                      <w:color w:val="auto"/>
                      <w:sz w:val="18"/>
                      <w:szCs w:val="18"/>
                      <w:highlight w:val="none"/>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土壤污染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下渗</w:t>
                  </w:r>
                </w:p>
              </w:tc>
              <w:tc>
                <w:tcPr>
                  <w:tcW w:w="926" w:type="pct"/>
                  <w:vMerge w:val="continue"/>
                  <w:tcBorders>
                    <w:left w:val="single" w:color="000000" w:sz="4" w:space="0"/>
                    <w:right w:val="single" w:color="000000" w:sz="4"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restart"/>
                  <w:tcBorders>
                    <w:left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医疗废物</w:t>
                  </w:r>
                  <w:r>
                    <w:rPr>
                      <w:rFonts w:hint="eastAsia"/>
                      <w:color w:val="auto"/>
                      <w:sz w:val="18"/>
                      <w:szCs w:val="18"/>
                      <w:highlight w:val="none"/>
                    </w:rPr>
                    <w:t>泄露</w:t>
                  </w:r>
                </w:p>
              </w:tc>
              <w:tc>
                <w:tcPr>
                  <w:tcW w:w="241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大气污染</w:t>
                  </w:r>
                </w:p>
              </w:tc>
              <w:tc>
                <w:tcPr>
                  <w:tcW w:w="21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大气扩散</w:t>
                  </w:r>
                </w:p>
              </w:tc>
              <w:tc>
                <w:tcPr>
                  <w:tcW w:w="926" w:type="pct"/>
                  <w:vMerge w:val="continue"/>
                  <w:tcBorders>
                    <w:left w:val="single" w:color="000000" w:sz="4" w:space="0"/>
                    <w:right w:val="single" w:color="000000" w:sz="4"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left w:val="single" w:color="000000" w:sz="4" w:space="0"/>
                    <w:right w:val="single" w:color="000000" w:sz="4" w:space="0"/>
                  </w:tcBorders>
                  <w:vAlign w:val="center"/>
                </w:tcPr>
                <w:p>
                  <w:pPr>
                    <w:jc w:val="center"/>
                    <w:rPr>
                      <w:color w:val="auto"/>
                      <w:sz w:val="18"/>
                      <w:szCs w:val="18"/>
                      <w:highlight w:val="none"/>
                    </w:rPr>
                  </w:pPr>
                </w:p>
              </w:tc>
              <w:tc>
                <w:tcPr>
                  <w:tcW w:w="241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地表水、地下水污染</w:t>
                  </w:r>
                </w:p>
              </w:tc>
              <w:tc>
                <w:tcPr>
                  <w:tcW w:w="21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地表径流、下渗</w:t>
                  </w:r>
                </w:p>
              </w:tc>
              <w:tc>
                <w:tcPr>
                  <w:tcW w:w="926" w:type="pct"/>
                  <w:vMerge w:val="continue"/>
                  <w:tcBorders>
                    <w:left w:val="single" w:color="000000" w:sz="4" w:space="0"/>
                    <w:right w:val="single" w:color="000000" w:sz="4"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left w:val="single" w:color="000000" w:sz="4" w:space="0"/>
                    <w:bottom w:val="single" w:color="000000" w:sz="4" w:space="0"/>
                    <w:right w:val="single" w:color="000000" w:sz="4" w:space="0"/>
                  </w:tcBorders>
                  <w:vAlign w:val="center"/>
                </w:tcPr>
                <w:p>
                  <w:pPr>
                    <w:jc w:val="center"/>
                    <w:rPr>
                      <w:color w:val="auto"/>
                      <w:sz w:val="18"/>
                      <w:szCs w:val="18"/>
                      <w:highlight w:val="none"/>
                    </w:rPr>
                  </w:pPr>
                </w:p>
              </w:tc>
              <w:tc>
                <w:tcPr>
                  <w:tcW w:w="2417"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土壤污染</w:t>
                  </w:r>
                </w:p>
              </w:tc>
              <w:tc>
                <w:tcPr>
                  <w:tcW w:w="2134"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下渗</w:t>
                  </w:r>
                </w:p>
              </w:tc>
              <w:tc>
                <w:tcPr>
                  <w:tcW w:w="926" w:type="pct"/>
                  <w:vMerge w:val="continue"/>
                  <w:tcBorders>
                    <w:left w:val="single" w:color="000000" w:sz="4" w:space="0"/>
                    <w:right w:val="single" w:color="000000" w:sz="4"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火灾事故及伴生/次生污染事故</w:t>
                  </w: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地表水、地下水污染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地表径流、下渗</w:t>
                  </w:r>
                </w:p>
              </w:tc>
              <w:tc>
                <w:tcPr>
                  <w:tcW w:w="926" w:type="pct"/>
                  <w:vMerge w:val="continue"/>
                  <w:tcBorders>
                    <w:left w:val="single" w:color="000000" w:sz="4" w:space="0"/>
                    <w:right w:val="single" w:color="000000" w:sz="4"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土壤污染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下渗</w:t>
                  </w:r>
                </w:p>
              </w:tc>
              <w:tc>
                <w:tcPr>
                  <w:tcW w:w="926" w:type="pct"/>
                  <w:vMerge w:val="continue"/>
                  <w:tcBorders>
                    <w:left w:val="single" w:color="000000" w:sz="4" w:space="0"/>
                    <w:right w:val="single" w:color="000000" w:sz="4" w:space="0"/>
                  </w:tcBorders>
                  <w:vAlign w:val="center"/>
                </w:tcPr>
                <w:p>
                  <w:pPr>
                    <w:jc w:val="center"/>
                    <w:rPr>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9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p>
              </w:tc>
              <w:tc>
                <w:tcPr>
                  <w:tcW w:w="1423"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大气污染</w:t>
                  </w:r>
                </w:p>
              </w:tc>
              <w:tc>
                <w:tcPr>
                  <w:tcW w:w="1256" w:type="pct"/>
                  <w:tcBorders>
                    <w:top w:val="single" w:color="000000" w:sz="4" w:space="0"/>
                    <w:left w:val="single" w:color="000000" w:sz="4" w:space="0"/>
                    <w:bottom w:val="single" w:color="000000" w:sz="4" w:space="0"/>
                    <w:right w:val="single" w:color="000000" w:sz="4" w:space="0"/>
                  </w:tcBorders>
                  <w:vAlign w:val="center"/>
                </w:tcPr>
                <w:p>
                  <w:pPr>
                    <w:jc w:val="center"/>
                    <w:rPr>
                      <w:color w:val="auto"/>
                      <w:sz w:val="18"/>
                      <w:szCs w:val="18"/>
                      <w:highlight w:val="none"/>
                    </w:rPr>
                  </w:pPr>
                  <w:r>
                    <w:rPr>
                      <w:color w:val="auto"/>
                      <w:sz w:val="18"/>
                      <w:szCs w:val="18"/>
                      <w:highlight w:val="none"/>
                    </w:rPr>
                    <w:t>大气扩散</w:t>
                  </w:r>
                </w:p>
              </w:tc>
              <w:tc>
                <w:tcPr>
                  <w:tcW w:w="926" w:type="pct"/>
                  <w:vMerge w:val="continue"/>
                  <w:tcBorders>
                    <w:left w:val="single" w:color="000000" w:sz="4" w:space="0"/>
                    <w:bottom w:val="single" w:color="000000" w:sz="4" w:space="0"/>
                    <w:right w:val="single" w:color="000000" w:sz="4" w:space="0"/>
                  </w:tcBorders>
                  <w:vAlign w:val="center"/>
                </w:tcPr>
                <w:p>
                  <w:pPr>
                    <w:jc w:val="center"/>
                    <w:rPr>
                      <w:color w:val="auto"/>
                      <w:sz w:val="18"/>
                      <w:szCs w:val="18"/>
                      <w:highlight w:val="none"/>
                    </w:rPr>
                  </w:pPr>
                </w:p>
              </w:tc>
            </w:tr>
          </w:tbl>
          <w:p>
            <w:pPr>
              <w:spacing w:line="360" w:lineRule="auto"/>
              <w:ind w:firstLine="420"/>
              <w:rPr>
                <w:color w:val="auto"/>
                <w:highlight w:val="none"/>
              </w:rPr>
            </w:pPr>
            <w:r>
              <w:rPr>
                <w:color w:val="auto"/>
                <w:highlight w:val="none"/>
              </w:rPr>
              <w:t>3、环境风险分析</w:t>
            </w:r>
          </w:p>
          <w:p>
            <w:pPr>
              <w:spacing w:line="360" w:lineRule="auto"/>
              <w:ind w:firstLine="420"/>
              <w:rPr>
                <w:color w:val="auto"/>
                <w:highlight w:val="none"/>
              </w:rPr>
            </w:pPr>
            <w:r>
              <w:rPr>
                <w:color w:val="auto"/>
                <w:highlight w:val="none"/>
              </w:rPr>
              <w:t>（1）泄漏事故环境风险分析</w:t>
            </w:r>
          </w:p>
          <w:p>
            <w:pPr>
              <w:spacing w:line="360" w:lineRule="auto"/>
              <w:ind w:firstLine="420"/>
              <w:rPr>
                <w:color w:val="auto"/>
                <w:highlight w:val="none"/>
              </w:rPr>
            </w:pPr>
            <w:r>
              <w:rPr>
                <w:color w:val="auto"/>
                <w:highlight w:val="none"/>
              </w:rPr>
              <w:t>1）地表水：有毒有害物质进入水体环境的方式主要有两种情况，一是液体泄漏直接进入水体的情况，二是火灾时含有毒有害化学物质的消防水由于处理措施不当直接排入地表水系统，引起环境污染。</w:t>
            </w:r>
          </w:p>
          <w:p>
            <w:pPr>
              <w:spacing w:line="360" w:lineRule="auto"/>
              <w:ind w:firstLine="420"/>
              <w:rPr>
                <w:color w:val="auto"/>
                <w:highlight w:val="none"/>
              </w:rPr>
            </w:pPr>
            <w:r>
              <w:rPr>
                <w:color w:val="auto"/>
                <w:highlight w:val="none"/>
              </w:rPr>
              <w:t>2）地下水、土壤：液体泄漏、消防水漫流至非防渗区，会导致泄漏物料及消防水中的污染物对地下水、土壤环境造成影响。</w:t>
            </w:r>
          </w:p>
          <w:p>
            <w:pPr>
              <w:spacing w:line="360" w:lineRule="auto"/>
              <w:ind w:firstLine="420"/>
              <w:rPr>
                <w:color w:val="auto"/>
                <w:highlight w:val="none"/>
              </w:rPr>
            </w:pPr>
            <w:r>
              <w:rPr>
                <w:color w:val="auto"/>
                <w:highlight w:val="none"/>
              </w:rPr>
              <w:t>（2）火灾事故及伴生/次生污染事故环境风险分析</w:t>
            </w:r>
          </w:p>
          <w:p>
            <w:pPr>
              <w:spacing w:line="360" w:lineRule="auto"/>
              <w:ind w:firstLine="420"/>
              <w:rPr>
                <w:color w:val="auto"/>
                <w:highlight w:val="none"/>
              </w:rPr>
            </w:pPr>
            <w:r>
              <w:rPr>
                <w:color w:val="auto"/>
                <w:highlight w:val="none"/>
              </w:rPr>
              <w:t>在发生火灾事故处理过程中，可能会产生以下伴生/次生污染：燃烧烟气、有毒废气、热辐射以及消防污水。</w:t>
            </w:r>
          </w:p>
          <w:p>
            <w:pPr>
              <w:spacing w:line="360" w:lineRule="auto"/>
              <w:ind w:firstLine="420"/>
              <w:rPr>
                <w:color w:val="auto"/>
                <w:highlight w:val="none"/>
              </w:rPr>
            </w:pPr>
            <w:r>
              <w:rPr>
                <w:color w:val="auto"/>
                <w:highlight w:val="none"/>
              </w:rPr>
              <w:t>1）火灾燃烧烟气：火灾产生的浓烟会以火源为中心在一定范围内降落烟尘，火源上空局部气温、气压、能见度等会产生明显的变化，对局部大气环境（包括下风向大气环境）造成短期的影响。</w:t>
            </w:r>
          </w:p>
          <w:p>
            <w:pPr>
              <w:spacing w:line="360" w:lineRule="auto"/>
              <w:ind w:firstLine="420"/>
              <w:rPr>
                <w:color w:val="auto"/>
                <w:highlight w:val="none"/>
              </w:rPr>
            </w:pPr>
            <w:r>
              <w:rPr>
                <w:color w:val="auto"/>
                <w:highlight w:val="none"/>
              </w:rPr>
              <w:t>2）热辐射：易燃物品由于其遇热挥发和易于流散，不但燃烧速度快、燃烧面积太，而且放出大量的辐射热。</w:t>
            </w:r>
          </w:p>
          <w:p>
            <w:pPr>
              <w:spacing w:line="360" w:lineRule="auto"/>
              <w:ind w:firstLine="420"/>
              <w:rPr>
                <w:color w:val="auto"/>
                <w:highlight w:val="none"/>
              </w:rPr>
            </w:pPr>
            <w:r>
              <w:rPr>
                <w:color w:val="auto"/>
                <w:highlight w:val="none"/>
              </w:rPr>
              <w:t>3）有毒废气：易燃物品火灾时在放出大量辐射热的同时，还散发出大量的浓烟，它是由燃烧物质释放出的高温蒸汽和毒气，被分解的未燃物质和被火加热而带入上升气流中的空气和污染物质的混合物。它不但含有大量的热量，而且还含有蒸汽，有毒气体和弥散的固体微粒，对火场周围的人员生命安全造成危害、对周围的大气环境质量造成污染。</w:t>
            </w:r>
          </w:p>
          <w:p>
            <w:pPr>
              <w:spacing w:line="360" w:lineRule="auto"/>
              <w:ind w:firstLine="420"/>
              <w:rPr>
                <w:color w:val="auto"/>
                <w:highlight w:val="none"/>
              </w:rPr>
            </w:pPr>
            <w:r>
              <w:rPr>
                <w:color w:val="auto"/>
                <w:highlight w:val="none"/>
              </w:rPr>
              <w:t>4）事故消防污水：主要是发生事故情况下没有及时切换雨水收集管网阀门，事故消防污水将可能经雨水管排入附近水体，对水体水质及生态环境将产生一定的影响。火灾事故对周围大气环境影响会产生短期局部影响基本无法控制，因此，落实完善风险减缓措施，加强运行管理，是避免火灾爆炸环境风险事故的根本保障。</w:t>
            </w:r>
          </w:p>
          <w:p>
            <w:pPr>
              <w:spacing w:line="360" w:lineRule="auto"/>
              <w:ind w:firstLine="420"/>
              <w:rPr>
                <w:color w:val="auto"/>
                <w:highlight w:val="none"/>
              </w:rPr>
            </w:pPr>
            <w:r>
              <w:rPr>
                <w:color w:val="auto"/>
                <w:highlight w:val="none"/>
              </w:rPr>
              <w:t>4、环境风险防范措施</w:t>
            </w:r>
          </w:p>
          <w:p>
            <w:pPr>
              <w:spacing w:line="360" w:lineRule="auto"/>
              <w:ind w:firstLine="420"/>
              <w:rPr>
                <w:color w:val="auto"/>
                <w:highlight w:val="none"/>
              </w:rPr>
            </w:pPr>
            <w:r>
              <w:rPr>
                <w:color w:val="auto"/>
                <w:highlight w:val="none"/>
              </w:rPr>
              <w:t>（1）防止火灾事故的风险防范措施</w:t>
            </w:r>
          </w:p>
          <w:p>
            <w:pPr>
              <w:spacing w:line="360" w:lineRule="auto"/>
              <w:ind w:firstLine="420"/>
              <w:rPr>
                <w:color w:val="auto"/>
                <w:highlight w:val="none"/>
              </w:rPr>
            </w:pPr>
            <w:r>
              <w:rPr>
                <w:color w:val="auto"/>
                <w:highlight w:val="none"/>
              </w:rPr>
              <w:t>仓库内禁止吸烟、禁止明火，加强对仓库的管理和安全知识教育，增强防范意识，防止火灾发生；加强对用电设备管理，电线线路及设备线路定期进行检查，严禁乱拉乱接电源电器，严防电器线路引起火灾。</w:t>
            </w:r>
          </w:p>
          <w:p>
            <w:pPr>
              <w:spacing w:line="360" w:lineRule="auto"/>
              <w:ind w:firstLine="420"/>
              <w:rPr>
                <w:color w:val="auto"/>
                <w:highlight w:val="none"/>
              </w:rPr>
            </w:pPr>
            <w:r>
              <w:rPr>
                <w:rFonts w:hint="eastAsia"/>
                <w:color w:val="auto"/>
                <w:highlight w:val="none"/>
              </w:rPr>
              <w:t>项目在仓库设置相应的报警措施，并按照相关规定设置消防逃生系统，配备消防器材及备用应急电源。一旦发生意外，可立即采取应急措施，并通过安全通道疏散人群。平时注意加强对单位职工的安全教育，由医院管理人员定期组织进行安全用电、安全用气和相关消防知识教育，增强医院职工的安全意识和处理突发事件的能力。</w:t>
            </w:r>
          </w:p>
          <w:p>
            <w:pPr>
              <w:spacing w:line="360" w:lineRule="auto"/>
              <w:ind w:firstLine="420"/>
              <w:rPr>
                <w:color w:val="auto"/>
                <w:highlight w:val="none"/>
              </w:rPr>
            </w:pPr>
            <w:r>
              <w:rPr>
                <w:color w:val="auto"/>
                <w:highlight w:val="none"/>
              </w:rPr>
              <w:t>（</w:t>
            </w:r>
            <w:r>
              <w:rPr>
                <w:rFonts w:hint="eastAsia"/>
                <w:color w:val="auto"/>
                <w:highlight w:val="none"/>
              </w:rPr>
              <w:t>2</w:t>
            </w:r>
            <w:r>
              <w:rPr>
                <w:color w:val="auto"/>
                <w:highlight w:val="none"/>
              </w:rPr>
              <w:t>）防止泄漏事故的风险防范措施</w:t>
            </w:r>
          </w:p>
          <w:p>
            <w:pPr>
              <w:spacing w:line="360" w:lineRule="auto"/>
              <w:ind w:firstLine="420"/>
              <w:rPr>
                <w:color w:val="auto"/>
                <w:highlight w:val="none"/>
              </w:rPr>
            </w:pPr>
            <w:r>
              <w:rPr>
                <w:rFonts w:hint="eastAsia"/>
                <w:color w:val="auto"/>
                <w:highlight w:val="none"/>
              </w:rPr>
              <w:t xml:space="preserve">本项目涉及的危险化学试剂主要为84消毒液、75%酒精，进货后存放在仓库中，根据需要发放到各科室使用。在贮存和使用危险化学品的过程中，应做到以下几点： </w:t>
            </w:r>
          </w:p>
          <w:p>
            <w:pPr>
              <w:spacing w:line="360" w:lineRule="auto"/>
              <w:ind w:firstLine="420" w:firstLineChars="200"/>
              <w:rPr>
                <w:color w:val="auto"/>
                <w:kern w:val="0"/>
                <w:highlight w:val="none"/>
              </w:rPr>
            </w:pPr>
            <w:r>
              <w:rPr>
                <w:rFonts w:hint="eastAsia" w:ascii="宋体" w:hAnsi="宋体" w:cs="宋体"/>
                <w:color w:val="auto"/>
                <w:kern w:val="0"/>
                <w:highlight w:val="none"/>
              </w:rPr>
              <w:t>①</w:t>
            </w:r>
            <w:r>
              <w:rPr>
                <w:color w:val="auto"/>
                <w:kern w:val="0"/>
                <w:highlight w:val="none"/>
              </w:rPr>
              <w:t>贮存仓库必须配备有专业知识的技术人员，库房及场所应设专人管理，管理人员必须配备可靠的个人安全防护用品；</w:t>
            </w:r>
          </w:p>
          <w:p>
            <w:pPr>
              <w:spacing w:line="360" w:lineRule="auto"/>
              <w:ind w:firstLine="420" w:firstLineChars="200"/>
              <w:rPr>
                <w:color w:val="auto"/>
                <w:kern w:val="0"/>
                <w:highlight w:val="none"/>
              </w:rPr>
            </w:pPr>
            <w:r>
              <w:rPr>
                <w:rFonts w:hint="eastAsia" w:ascii="宋体" w:hAnsi="宋体" w:cs="宋体"/>
                <w:color w:val="auto"/>
                <w:kern w:val="0"/>
                <w:highlight w:val="none"/>
              </w:rPr>
              <w:t>②</w:t>
            </w:r>
            <w:r>
              <w:rPr>
                <w:color w:val="auto"/>
                <w:kern w:val="0"/>
                <w:highlight w:val="none"/>
              </w:rPr>
              <w:t>原料入库时，应严格检验物品质量、数量、包装情况、有无泄漏。入库后应采取适当的养护措施，在贮存期内，定期检查，发现其品质变化、包装破损、渗漏、稳定剂短缺等，应及时处理；</w:t>
            </w:r>
          </w:p>
          <w:p>
            <w:pPr>
              <w:spacing w:line="360" w:lineRule="auto"/>
              <w:ind w:firstLine="420" w:firstLineChars="200"/>
              <w:rPr>
                <w:color w:val="auto"/>
                <w:kern w:val="0"/>
                <w:highlight w:val="none"/>
              </w:rPr>
            </w:pPr>
            <w:r>
              <w:rPr>
                <w:rFonts w:hint="eastAsia" w:ascii="宋体" w:hAnsi="宋体" w:cs="宋体"/>
                <w:color w:val="auto"/>
                <w:kern w:val="0"/>
                <w:highlight w:val="none"/>
              </w:rPr>
              <w:t>③</w:t>
            </w:r>
            <w:r>
              <w:rPr>
                <w:color w:val="auto"/>
                <w:kern w:val="0"/>
                <w:highlight w:val="none"/>
              </w:rPr>
              <w:t>库房温度、湿度应严格控制、经常检查，发现变化及时调整。并配备相应灭火器；</w:t>
            </w:r>
          </w:p>
          <w:p>
            <w:pPr>
              <w:spacing w:line="360" w:lineRule="auto"/>
              <w:ind w:firstLine="420" w:firstLineChars="200"/>
              <w:rPr>
                <w:color w:val="auto"/>
                <w:kern w:val="0"/>
                <w:highlight w:val="none"/>
              </w:rPr>
            </w:pPr>
            <w:r>
              <w:rPr>
                <w:rFonts w:hint="eastAsia" w:ascii="宋体" w:hAnsi="宋体" w:cs="宋体"/>
                <w:color w:val="auto"/>
                <w:kern w:val="0"/>
                <w:highlight w:val="none"/>
              </w:rPr>
              <w:t>④</w:t>
            </w:r>
            <w:r>
              <w:rPr>
                <w:color w:val="auto"/>
                <w:kern w:val="0"/>
                <w:highlight w:val="none"/>
              </w:rPr>
              <w:t>装卸和使用</w:t>
            </w:r>
            <w:r>
              <w:rPr>
                <w:rFonts w:hint="eastAsia"/>
                <w:color w:val="auto"/>
                <w:kern w:val="0"/>
                <w:highlight w:val="none"/>
              </w:rPr>
              <w:t>风险物质</w:t>
            </w:r>
            <w:r>
              <w:rPr>
                <w:color w:val="auto"/>
                <w:kern w:val="0"/>
                <w:highlight w:val="none"/>
              </w:rPr>
              <w:t>时，操作人员应根据危险性，穿戴相应的防护用品；</w:t>
            </w:r>
          </w:p>
          <w:p>
            <w:pPr>
              <w:spacing w:line="360" w:lineRule="auto"/>
              <w:ind w:firstLine="420" w:firstLineChars="200"/>
              <w:rPr>
                <w:color w:val="auto"/>
                <w:kern w:val="0"/>
                <w:highlight w:val="none"/>
              </w:rPr>
            </w:pPr>
            <w:r>
              <w:rPr>
                <w:rFonts w:hint="eastAsia" w:ascii="宋体" w:hAnsi="宋体" w:cs="宋体"/>
                <w:color w:val="auto"/>
                <w:kern w:val="0"/>
                <w:highlight w:val="none"/>
              </w:rPr>
              <w:t>⑤</w:t>
            </w:r>
            <w:r>
              <w:rPr>
                <w:color w:val="auto"/>
                <w:kern w:val="0"/>
                <w:highlight w:val="none"/>
              </w:rPr>
              <w:t>使用</w:t>
            </w:r>
            <w:r>
              <w:rPr>
                <w:rFonts w:hint="eastAsia"/>
                <w:color w:val="auto"/>
                <w:kern w:val="0"/>
                <w:highlight w:val="none"/>
              </w:rPr>
              <w:t>风险物质</w:t>
            </w:r>
            <w:r>
              <w:rPr>
                <w:color w:val="auto"/>
                <w:kern w:val="0"/>
                <w:highlight w:val="none"/>
              </w:rPr>
              <w:t>的过程中，泄漏或渗漏的包装容器应迅速移至安全区域；</w:t>
            </w:r>
          </w:p>
          <w:p>
            <w:pPr>
              <w:spacing w:line="360" w:lineRule="auto"/>
              <w:ind w:firstLine="420"/>
              <w:rPr>
                <w:color w:val="auto"/>
                <w:highlight w:val="none"/>
              </w:rPr>
            </w:pPr>
            <w:r>
              <w:rPr>
                <w:rFonts w:hint="eastAsia" w:ascii="宋体" w:hAnsi="宋体" w:cs="宋体"/>
                <w:color w:val="auto"/>
                <w:kern w:val="0"/>
                <w:highlight w:val="none"/>
              </w:rPr>
              <w:t>⑥</w:t>
            </w:r>
            <w:r>
              <w:rPr>
                <w:color w:val="auto"/>
                <w:kern w:val="0"/>
                <w:highlight w:val="none"/>
              </w:rPr>
              <w:t>应制定应急处理措施，应对意外突发事件。</w:t>
            </w:r>
          </w:p>
          <w:p>
            <w:pPr>
              <w:spacing w:line="360" w:lineRule="auto"/>
              <w:ind w:firstLine="420"/>
              <w:rPr>
                <w:color w:val="auto"/>
                <w:highlight w:val="none"/>
              </w:rPr>
            </w:pPr>
            <w:r>
              <w:rPr>
                <w:color w:val="auto"/>
                <w:highlight w:val="none"/>
              </w:rPr>
              <w:t>采取有效的防渗、防腐措施，避免渗漏污染土壤和水环境；加强对贮存场所的日常检查，及时发现、及时处理，防止跑、冒、滴、漏现象发生；完善管理体制，将风险管理纳入日常管理之中；提高职工风险意识，加强职工安全教育；制定完善可行的事故应急预案，并定期对预案进行演练。</w:t>
            </w:r>
          </w:p>
          <w:p>
            <w:pPr>
              <w:numPr>
                <w:ilvl w:val="0"/>
                <w:numId w:val="5"/>
              </w:numPr>
              <w:spacing w:line="360" w:lineRule="auto"/>
              <w:ind w:firstLine="420"/>
              <w:rPr>
                <w:color w:val="auto"/>
                <w:highlight w:val="none"/>
              </w:rPr>
            </w:pPr>
            <w:r>
              <w:rPr>
                <w:rFonts w:hint="eastAsia"/>
                <w:color w:val="auto"/>
                <w:highlight w:val="none"/>
              </w:rPr>
              <w:t>医疗废物泄露处置措施</w:t>
            </w:r>
          </w:p>
          <w:p>
            <w:pPr>
              <w:spacing w:line="360" w:lineRule="auto"/>
              <w:ind w:firstLine="420" w:firstLineChars="200"/>
              <w:rPr>
                <w:color w:val="auto"/>
                <w:kern w:val="0"/>
                <w:highlight w:val="none"/>
                <w:lang w:val="zh-CN"/>
              </w:rPr>
            </w:pPr>
            <w:r>
              <w:rPr>
                <w:color w:val="auto"/>
                <w:kern w:val="0"/>
                <w:highlight w:val="none"/>
                <w:lang w:val="zh-CN"/>
              </w:rPr>
              <w:t>该项目</w:t>
            </w:r>
            <w:r>
              <w:rPr>
                <w:rFonts w:hint="eastAsia"/>
                <w:color w:val="auto"/>
                <w:kern w:val="0"/>
                <w:highlight w:val="none"/>
                <w:lang w:val="zh-CN"/>
              </w:rPr>
              <w:t>设置危废暂存间用于</w:t>
            </w:r>
            <w:r>
              <w:rPr>
                <w:color w:val="auto"/>
                <w:kern w:val="0"/>
                <w:highlight w:val="none"/>
                <w:lang w:val="zh-CN"/>
              </w:rPr>
              <w:t>暂时贮存医疗废物，</w:t>
            </w:r>
            <w:r>
              <w:rPr>
                <w:rFonts w:hint="eastAsia"/>
                <w:color w:val="auto"/>
                <w:kern w:val="0"/>
                <w:highlight w:val="none"/>
                <w:lang w:val="zh-CN"/>
              </w:rPr>
              <w:t>杜绝</w:t>
            </w:r>
            <w:r>
              <w:rPr>
                <w:color w:val="auto"/>
                <w:kern w:val="0"/>
                <w:highlight w:val="none"/>
                <w:lang w:val="zh-CN"/>
              </w:rPr>
              <w:t>露天存放</w:t>
            </w:r>
            <w:r>
              <w:rPr>
                <w:rFonts w:hint="eastAsia"/>
                <w:color w:val="auto"/>
                <w:kern w:val="0"/>
                <w:highlight w:val="none"/>
                <w:lang w:val="zh-CN"/>
              </w:rPr>
              <w:t>医疗废物行为</w:t>
            </w:r>
            <w:r>
              <w:rPr>
                <w:color w:val="auto"/>
                <w:kern w:val="0"/>
                <w:highlight w:val="none"/>
                <w:lang w:val="zh-CN"/>
              </w:rPr>
              <w:t>；医疗废物暂时贮存的时间不得超过</w:t>
            </w:r>
            <w:r>
              <w:rPr>
                <w:rFonts w:hint="eastAsia"/>
                <w:color w:val="auto"/>
                <w:kern w:val="0"/>
                <w:highlight w:val="none"/>
                <w:lang w:val="zh-CN"/>
              </w:rPr>
              <w:t>暂存时间要求</w:t>
            </w:r>
            <w:r>
              <w:rPr>
                <w:color w:val="auto"/>
                <w:kern w:val="0"/>
                <w:highlight w:val="none"/>
                <w:lang w:val="zh-CN"/>
              </w:rPr>
              <w:t>，及时、有效地处理。因为在医疗废物储存过程中，会有恶臭产生。医院医疗废物暂存间内将医疗废物转交出去后，对暂存间内地面进行清洁和消毒处理，清洁消毒产生的废水排入院区污水处理站处理。</w:t>
            </w:r>
          </w:p>
          <w:p>
            <w:pPr>
              <w:spacing w:line="360" w:lineRule="auto"/>
              <w:ind w:firstLine="420"/>
              <w:rPr>
                <w:color w:val="auto"/>
                <w:highlight w:val="none"/>
              </w:rPr>
            </w:pPr>
            <w:r>
              <w:rPr>
                <w:color w:val="auto"/>
                <w:highlight w:val="none"/>
              </w:rPr>
              <w:t>（</w:t>
            </w:r>
            <w:r>
              <w:rPr>
                <w:rFonts w:hint="eastAsia"/>
                <w:color w:val="auto"/>
                <w:highlight w:val="none"/>
              </w:rPr>
              <w:t>4</w:t>
            </w:r>
            <w:r>
              <w:rPr>
                <w:color w:val="auto"/>
                <w:highlight w:val="none"/>
              </w:rPr>
              <w:t>）泄漏应急处置措施</w:t>
            </w:r>
          </w:p>
          <w:p>
            <w:pPr>
              <w:spacing w:line="360" w:lineRule="auto"/>
              <w:ind w:firstLine="420"/>
              <w:rPr>
                <w:color w:val="auto"/>
                <w:highlight w:val="none"/>
              </w:rPr>
            </w:pPr>
            <w:r>
              <w:rPr>
                <w:color w:val="auto"/>
                <w:highlight w:val="none"/>
              </w:rPr>
              <w:t>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p>
            <w:pPr>
              <w:spacing w:line="360" w:lineRule="auto"/>
              <w:ind w:firstLine="420"/>
              <w:rPr>
                <w:color w:val="auto"/>
                <w:highlight w:val="none"/>
              </w:rPr>
            </w:pPr>
            <w:r>
              <w:rPr>
                <w:color w:val="auto"/>
                <w:highlight w:val="none"/>
              </w:rPr>
              <w:t>5、环境风险结论</w:t>
            </w:r>
          </w:p>
          <w:p>
            <w:pPr>
              <w:spacing w:line="360" w:lineRule="auto"/>
              <w:ind w:firstLine="420"/>
              <w:rPr>
                <w:color w:val="auto"/>
                <w:highlight w:val="none"/>
              </w:rPr>
            </w:pPr>
            <w:r>
              <w:rPr>
                <w:color w:val="auto"/>
                <w:highlight w:val="none"/>
              </w:rPr>
              <w:t>项目在设计中应充分考虑各种危险因素和可能造成的危害，并采取相应的预防措施，在建设单位严格落实环评提出的各项防范措施和应急预案后，其环境风险可防可控。</w:t>
            </w:r>
          </w:p>
          <w:p>
            <w:pPr>
              <w:spacing w:line="360" w:lineRule="auto"/>
              <w:ind w:firstLine="422" w:firstLineChars="200"/>
              <w:rPr>
                <w:b/>
                <w:color w:val="auto"/>
                <w:highlight w:val="none"/>
              </w:rPr>
            </w:pPr>
            <w:r>
              <w:rPr>
                <w:rFonts w:hint="eastAsia"/>
                <w:b/>
                <w:color w:val="auto"/>
                <w:highlight w:val="none"/>
              </w:rPr>
              <w:t>九</w:t>
            </w:r>
            <w:r>
              <w:rPr>
                <w:b/>
                <w:color w:val="auto"/>
                <w:highlight w:val="none"/>
              </w:rPr>
              <w:t>、电磁辐射</w:t>
            </w:r>
          </w:p>
          <w:p>
            <w:pPr>
              <w:spacing w:line="360" w:lineRule="auto"/>
              <w:ind w:firstLine="420"/>
              <w:rPr>
                <w:color w:val="auto"/>
                <w:highlight w:val="none"/>
              </w:rPr>
            </w:pPr>
            <w:r>
              <w:rPr>
                <w:color w:val="auto"/>
                <w:highlight w:val="none"/>
              </w:rPr>
              <w:t>本项目涉及的辐射设备，需要由建设单位另行委托有资质的单位进行环境影响评价，本项目不再单独对电磁辐射进行评价</w:t>
            </w:r>
          </w:p>
          <w:p>
            <w:pPr>
              <w:spacing w:line="360" w:lineRule="auto"/>
              <w:ind w:firstLine="420"/>
              <w:rPr>
                <w:color w:val="auto"/>
                <w:highlight w:val="none"/>
              </w:rPr>
            </w:pPr>
          </w:p>
          <w:p>
            <w:pPr>
              <w:spacing w:line="360" w:lineRule="auto"/>
              <w:rPr>
                <w:bCs/>
                <w:color w:val="auto"/>
                <w:spacing w:val="-10"/>
                <w:szCs w:val="21"/>
                <w:highlight w:val="none"/>
              </w:rPr>
            </w:pPr>
          </w:p>
        </w:tc>
      </w:tr>
    </w:tbl>
    <w:p>
      <w:pPr>
        <w:pStyle w:val="22"/>
        <w:jc w:val="center"/>
        <w:outlineLvl w:val="0"/>
        <w:rPr>
          <w:rFonts w:ascii="Times New Roman" w:hAnsi="Times New Roman" w:eastAsia="黑体"/>
          <w:snapToGrid w:val="0"/>
          <w:color w:val="auto"/>
          <w:sz w:val="30"/>
          <w:szCs w:val="30"/>
          <w:highlight w:val="none"/>
        </w:rPr>
        <w:sectPr>
          <w:pgSz w:w="11906" w:h="16838"/>
          <w:pgMar w:top="1701" w:right="1531" w:bottom="1701" w:left="1531" w:header="851" w:footer="851" w:gutter="0"/>
          <w:pgNumType w:fmt="numberInDash"/>
          <w:cols w:space="720" w:num="1"/>
          <w:docGrid w:linePitch="312" w:charSpace="0"/>
        </w:sectPr>
      </w:pPr>
    </w:p>
    <w:p>
      <w:pPr>
        <w:pStyle w:val="22"/>
        <w:jc w:val="center"/>
        <w:outlineLvl w:val="0"/>
        <w:rPr>
          <w:rFonts w:ascii="Times New Roman" w:hAnsi="Times New Roman" w:eastAsia="黑体"/>
          <w:snapToGrid w:val="0"/>
          <w:color w:val="auto"/>
          <w:sz w:val="30"/>
          <w:szCs w:val="30"/>
          <w:highlight w:val="none"/>
        </w:rPr>
      </w:pPr>
      <w:r>
        <w:rPr>
          <w:rFonts w:ascii="Times New Roman" w:hAnsi="Times New Roman" w:eastAsia="黑体"/>
          <w:snapToGrid w:val="0"/>
          <w:color w:val="auto"/>
          <w:sz w:val="30"/>
          <w:szCs w:val="30"/>
          <w:highlight w:val="none"/>
        </w:rPr>
        <w:t>五、</w:t>
      </w:r>
      <w:bookmarkStart w:id="10" w:name="_Hlk54167917"/>
      <w:r>
        <w:rPr>
          <w:rFonts w:ascii="Times New Roman" w:hAnsi="Times New Roman" w:eastAsia="黑体"/>
          <w:snapToGrid w:val="0"/>
          <w:color w:val="auto"/>
          <w:sz w:val="30"/>
          <w:szCs w:val="30"/>
          <w:highlight w:val="none"/>
        </w:rPr>
        <w:t>环境保护措施监督检查清单</w:t>
      </w:r>
      <w:bookmarkEnd w:id="10"/>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988"/>
        <w:gridCol w:w="1194"/>
        <w:gridCol w:w="2021"/>
        <w:gridCol w:w="33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7" w:type="dxa"/>
            <w:tcBorders>
              <w:tl2br w:val="single" w:color="auto" w:sz="4" w:space="0"/>
            </w:tcBorders>
          </w:tcPr>
          <w:p>
            <w:pPr>
              <w:adjustRightInd w:val="0"/>
              <w:snapToGrid w:val="0"/>
              <w:ind w:firstLine="840"/>
              <w:rPr>
                <w:color w:val="auto"/>
                <w:szCs w:val="21"/>
                <w:highlight w:val="none"/>
              </w:rPr>
            </w:pPr>
            <w:r>
              <w:rPr>
                <w:color w:val="auto"/>
                <w:szCs w:val="21"/>
                <w:highlight w:val="none"/>
              </w:rPr>
              <w:t>内容</w:t>
            </w:r>
          </w:p>
          <w:p>
            <w:pPr>
              <w:adjustRightInd w:val="0"/>
              <w:snapToGrid w:val="0"/>
              <w:rPr>
                <w:color w:val="auto"/>
                <w:szCs w:val="21"/>
                <w:highlight w:val="none"/>
              </w:rPr>
            </w:pPr>
            <w:r>
              <w:rPr>
                <w:color w:val="auto"/>
                <w:szCs w:val="21"/>
                <w:highlight w:val="none"/>
              </w:rPr>
              <w:t>要素</w:t>
            </w:r>
          </w:p>
        </w:tc>
        <w:tc>
          <w:tcPr>
            <w:tcW w:w="988" w:type="dxa"/>
            <w:vAlign w:val="center"/>
          </w:tcPr>
          <w:p>
            <w:pPr>
              <w:adjustRightInd w:val="0"/>
              <w:snapToGrid w:val="0"/>
              <w:jc w:val="center"/>
              <w:rPr>
                <w:color w:val="auto"/>
                <w:szCs w:val="21"/>
                <w:highlight w:val="none"/>
              </w:rPr>
            </w:pPr>
            <w:r>
              <w:rPr>
                <w:color w:val="auto"/>
                <w:szCs w:val="21"/>
                <w:highlight w:val="none"/>
              </w:rPr>
              <w:t>排放口</w:t>
            </w:r>
          </w:p>
        </w:tc>
        <w:tc>
          <w:tcPr>
            <w:tcW w:w="1194" w:type="dxa"/>
            <w:vAlign w:val="center"/>
          </w:tcPr>
          <w:p>
            <w:pPr>
              <w:adjustRightInd w:val="0"/>
              <w:snapToGrid w:val="0"/>
              <w:jc w:val="center"/>
              <w:rPr>
                <w:color w:val="auto"/>
                <w:szCs w:val="21"/>
                <w:highlight w:val="none"/>
              </w:rPr>
            </w:pPr>
            <w:r>
              <w:rPr>
                <w:color w:val="auto"/>
                <w:szCs w:val="21"/>
                <w:highlight w:val="none"/>
              </w:rPr>
              <w:t>污染物项目</w:t>
            </w:r>
          </w:p>
        </w:tc>
        <w:tc>
          <w:tcPr>
            <w:tcW w:w="2021" w:type="dxa"/>
            <w:vAlign w:val="center"/>
          </w:tcPr>
          <w:p>
            <w:pPr>
              <w:adjustRightInd w:val="0"/>
              <w:snapToGrid w:val="0"/>
              <w:jc w:val="center"/>
              <w:rPr>
                <w:color w:val="auto"/>
                <w:szCs w:val="21"/>
                <w:highlight w:val="none"/>
              </w:rPr>
            </w:pPr>
            <w:r>
              <w:rPr>
                <w:color w:val="auto"/>
                <w:szCs w:val="21"/>
                <w:highlight w:val="none"/>
              </w:rPr>
              <w:t>环境保护措施</w:t>
            </w:r>
          </w:p>
        </w:tc>
        <w:tc>
          <w:tcPr>
            <w:tcW w:w="3330" w:type="dxa"/>
            <w:vAlign w:val="center"/>
          </w:tcPr>
          <w:p>
            <w:pPr>
              <w:adjustRightInd w:val="0"/>
              <w:snapToGrid w:val="0"/>
              <w:jc w:val="center"/>
              <w:rPr>
                <w:color w:val="auto"/>
                <w:szCs w:val="21"/>
                <w:highlight w:val="none"/>
              </w:rPr>
            </w:pPr>
            <w:r>
              <w:rPr>
                <w:color w:val="auto"/>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restart"/>
            <w:vAlign w:val="center"/>
          </w:tcPr>
          <w:p>
            <w:pPr>
              <w:adjustRightInd w:val="0"/>
              <w:snapToGrid w:val="0"/>
              <w:jc w:val="center"/>
              <w:rPr>
                <w:color w:val="auto"/>
                <w:szCs w:val="21"/>
                <w:highlight w:val="none"/>
              </w:rPr>
            </w:pPr>
            <w:r>
              <w:rPr>
                <w:color w:val="auto"/>
                <w:szCs w:val="21"/>
                <w:highlight w:val="none"/>
              </w:rPr>
              <w:t>大气环境</w:t>
            </w:r>
          </w:p>
        </w:tc>
        <w:tc>
          <w:tcPr>
            <w:tcW w:w="988" w:type="dxa"/>
            <w:vMerge w:val="restart"/>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DA001</w:t>
            </w:r>
          </w:p>
        </w:tc>
        <w:tc>
          <w:tcPr>
            <w:tcW w:w="1194" w:type="dxa"/>
            <w:vAlign w:val="center"/>
          </w:tcPr>
          <w:p>
            <w:pPr>
              <w:adjustRightInd w:val="0"/>
              <w:snapToGrid w:val="0"/>
              <w:jc w:val="center"/>
              <w:rPr>
                <w:color w:val="auto"/>
                <w:szCs w:val="21"/>
                <w:highlight w:val="none"/>
              </w:rPr>
            </w:pPr>
            <w:r>
              <w:rPr>
                <w:color w:val="auto"/>
                <w:szCs w:val="21"/>
                <w:highlight w:val="none"/>
              </w:rPr>
              <w:t>NH</w:t>
            </w:r>
            <w:r>
              <w:rPr>
                <w:color w:val="auto"/>
                <w:szCs w:val="21"/>
                <w:highlight w:val="none"/>
                <w:vertAlign w:val="subscript"/>
              </w:rPr>
              <w:t>3</w:t>
            </w:r>
          </w:p>
        </w:tc>
        <w:tc>
          <w:tcPr>
            <w:tcW w:w="2021" w:type="dxa"/>
            <w:vMerge w:val="restart"/>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管线收集后通过生物除臭装置处理后通过15mDA001有组织排放</w:t>
            </w:r>
          </w:p>
        </w:tc>
        <w:tc>
          <w:tcPr>
            <w:tcW w:w="3330" w:type="dxa"/>
            <w:vMerge w:val="restart"/>
            <w:vAlign w:val="center"/>
          </w:tcPr>
          <w:p>
            <w:pPr>
              <w:adjustRightInd w:val="0"/>
              <w:snapToGrid w:val="0"/>
              <w:jc w:val="center"/>
              <w:rPr>
                <w:rFonts w:hint="eastAsia" w:eastAsia="宋体"/>
                <w:color w:val="auto"/>
                <w:szCs w:val="21"/>
                <w:highlight w:val="none"/>
                <w:lang w:eastAsia="zh-CN"/>
              </w:rPr>
            </w:pPr>
            <w:r>
              <w:rPr>
                <w:color w:val="auto"/>
                <w:szCs w:val="21"/>
                <w:highlight w:val="none"/>
              </w:rPr>
              <w:t>《恶臭污染物排放标准》（GB14554-93）</w:t>
            </w:r>
            <w:r>
              <w:rPr>
                <w:rFonts w:hint="eastAsia"/>
                <w:color w:val="auto"/>
                <w:szCs w:val="21"/>
                <w:highlight w:val="none"/>
                <w:lang w:val="en-US" w:eastAsia="zh-CN"/>
              </w:rPr>
              <w:t>中表2</w:t>
            </w:r>
            <w:r>
              <w:rPr>
                <w:color w:val="auto"/>
                <w:szCs w:val="21"/>
                <w:highlight w:val="none"/>
              </w:rPr>
              <w:t>（氨</w:t>
            </w:r>
            <w:r>
              <w:rPr>
                <w:rFonts w:hint="eastAsia"/>
                <w:color w:val="auto"/>
                <w:szCs w:val="21"/>
                <w:highlight w:val="none"/>
                <w:lang w:val="en-US" w:eastAsia="zh-CN"/>
              </w:rPr>
              <w:t>4.9kg/h</w:t>
            </w:r>
            <w:r>
              <w:rPr>
                <w:color w:val="auto"/>
                <w:szCs w:val="21"/>
                <w:highlight w:val="none"/>
              </w:rPr>
              <w:t>、硫化氢</w:t>
            </w:r>
            <w:r>
              <w:rPr>
                <w:rFonts w:hint="eastAsia"/>
                <w:color w:val="auto"/>
                <w:szCs w:val="21"/>
                <w:highlight w:val="none"/>
                <w:lang w:val="en-US" w:eastAsia="zh-CN"/>
              </w:rPr>
              <w:t>0.33kg/h</w:t>
            </w:r>
            <w:r>
              <w:rPr>
                <w:color w:val="auto"/>
                <w:szCs w:val="21"/>
                <w:highlight w:val="none"/>
              </w:rPr>
              <w:t>，臭气浓度</w:t>
            </w:r>
            <w:r>
              <w:rPr>
                <w:rFonts w:hint="eastAsia"/>
                <w:color w:val="auto"/>
                <w:szCs w:val="21"/>
                <w:highlight w:val="none"/>
                <w:lang w:val="en-US" w:eastAsia="zh-CN"/>
              </w:rPr>
              <w:t>2000</w:t>
            </w:r>
            <w:r>
              <w:rPr>
                <w:color w:val="auto"/>
                <w:szCs w:val="21"/>
                <w:highlight w:val="none"/>
              </w:rPr>
              <w:t>无量纲）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adjustRightInd w:val="0"/>
              <w:snapToGrid w:val="0"/>
              <w:jc w:val="center"/>
              <w:rPr>
                <w:color w:val="auto"/>
                <w:szCs w:val="21"/>
                <w:highlight w:val="none"/>
              </w:rPr>
            </w:pPr>
          </w:p>
        </w:tc>
        <w:tc>
          <w:tcPr>
            <w:tcW w:w="988" w:type="dxa"/>
            <w:vMerge w:val="continue"/>
            <w:vAlign w:val="center"/>
          </w:tcPr>
          <w:p>
            <w:pPr>
              <w:jc w:val="center"/>
              <w:rPr>
                <w:color w:val="auto"/>
                <w:szCs w:val="21"/>
                <w:highlight w:val="none"/>
              </w:rPr>
            </w:pPr>
          </w:p>
        </w:tc>
        <w:tc>
          <w:tcPr>
            <w:tcW w:w="1194" w:type="dxa"/>
            <w:vAlign w:val="center"/>
          </w:tcPr>
          <w:p>
            <w:pPr>
              <w:adjustRightInd w:val="0"/>
              <w:snapToGrid w:val="0"/>
              <w:jc w:val="center"/>
              <w:rPr>
                <w:color w:val="auto"/>
                <w:szCs w:val="21"/>
                <w:highlight w:val="none"/>
              </w:rPr>
            </w:pPr>
            <w:r>
              <w:rPr>
                <w:color w:val="auto"/>
                <w:szCs w:val="21"/>
                <w:highlight w:val="none"/>
              </w:rPr>
              <w:t>H</w:t>
            </w:r>
            <w:r>
              <w:rPr>
                <w:color w:val="auto"/>
                <w:szCs w:val="21"/>
                <w:highlight w:val="none"/>
                <w:vertAlign w:val="subscript"/>
              </w:rPr>
              <w:t>2</w:t>
            </w:r>
            <w:r>
              <w:rPr>
                <w:color w:val="auto"/>
                <w:szCs w:val="21"/>
                <w:highlight w:val="none"/>
              </w:rPr>
              <w:t>S</w:t>
            </w:r>
          </w:p>
        </w:tc>
        <w:tc>
          <w:tcPr>
            <w:tcW w:w="2021" w:type="dxa"/>
            <w:vMerge w:val="continue"/>
            <w:vAlign w:val="center"/>
          </w:tcPr>
          <w:p>
            <w:pPr>
              <w:adjustRightInd w:val="0"/>
              <w:snapToGrid w:val="0"/>
              <w:jc w:val="center"/>
              <w:rPr>
                <w:color w:val="auto"/>
                <w:szCs w:val="21"/>
                <w:highlight w:val="none"/>
              </w:rPr>
            </w:pPr>
          </w:p>
        </w:tc>
        <w:tc>
          <w:tcPr>
            <w:tcW w:w="3330" w:type="dxa"/>
            <w:vMerge w:val="continue"/>
            <w:vAlign w:val="center"/>
          </w:tcPr>
          <w:p>
            <w:pPr>
              <w:adjustRightInd w:val="0"/>
              <w:snapToGrid w:val="0"/>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adjustRightInd w:val="0"/>
              <w:snapToGrid w:val="0"/>
              <w:jc w:val="center"/>
              <w:rPr>
                <w:color w:val="auto"/>
                <w:szCs w:val="21"/>
                <w:highlight w:val="none"/>
              </w:rPr>
            </w:pPr>
          </w:p>
        </w:tc>
        <w:tc>
          <w:tcPr>
            <w:tcW w:w="988" w:type="dxa"/>
            <w:vMerge w:val="continue"/>
            <w:vAlign w:val="center"/>
          </w:tcPr>
          <w:p>
            <w:pPr>
              <w:jc w:val="center"/>
              <w:rPr>
                <w:color w:val="auto"/>
                <w:szCs w:val="21"/>
                <w:highlight w:val="none"/>
              </w:rPr>
            </w:pPr>
          </w:p>
        </w:tc>
        <w:tc>
          <w:tcPr>
            <w:tcW w:w="1194" w:type="dxa"/>
            <w:vAlign w:val="center"/>
          </w:tcPr>
          <w:p>
            <w:pPr>
              <w:adjustRightInd w:val="0"/>
              <w:snapToGrid w:val="0"/>
              <w:jc w:val="center"/>
              <w:rPr>
                <w:color w:val="auto"/>
                <w:szCs w:val="21"/>
                <w:highlight w:val="none"/>
              </w:rPr>
            </w:pPr>
            <w:r>
              <w:rPr>
                <w:color w:val="auto"/>
                <w:szCs w:val="21"/>
                <w:highlight w:val="none"/>
              </w:rPr>
              <w:t>臭气浓度</w:t>
            </w:r>
          </w:p>
        </w:tc>
        <w:tc>
          <w:tcPr>
            <w:tcW w:w="2021" w:type="dxa"/>
            <w:vMerge w:val="continue"/>
            <w:vAlign w:val="center"/>
          </w:tcPr>
          <w:p>
            <w:pPr>
              <w:adjustRightInd w:val="0"/>
              <w:snapToGrid w:val="0"/>
              <w:jc w:val="center"/>
              <w:rPr>
                <w:color w:val="auto"/>
                <w:szCs w:val="21"/>
                <w:highlight w:val="none"/>
              </w:rPr>
            </w:pPr>
          </w:p>
        </w:tc>
        <w:tc>
          <w:tcPr>
            <w:tcW w:w="3330" w:type="dxa"/>
            <w:vMerge w:val="continue"/>
            <w:vAlign w:val="center"/>
          </w:tcPr>
          <w:p>
            <w:pPr>
              <w:adjustRightInd w:val="0"/>
              <w:snapToGrid w:val="0"/>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adjustRightInd w:val="0"/>
              <w:snapToGrid w:val="0"/>
              <w:jc w:val="center"/>
              <w:rPr>
                <w:color w:val="auto"/>
                <w:szCs w:val="21"/>
                <w:highlight w:val="none"/>
              </w:rPr>
            </w:pPr>
          </w:p>
        </w:tc>
        <w:tc>
          <w:tcPr>
            <w:tcW w:w="988" w:type="dxa"/>
            <w:vAlign w:val="center"/>
          </w:tcPr>
          <w:p>
            <w:pPr>
              <w:jc w:val="both"/>
              <w:rPr>
                <w:rFonts w:hint="default" w:eastAsia="宋体"/>
                <w:color w:val="auto"/>
                <w:szCs w:val="21"/>
                <w:highlight w:val="none"/>
                <w:lang w:val="en-US" w:eastAsia="zh-CN"/>
              </w:rPr>
            </w:pPr>
            <w:r>
              <w:rPr>
                <w:rFonts w:hint="eastAsia"/>
                <w:color w:val="auto"/>
                <w:szCs w:val="21"/>
                <w:highlight w:val="none"/>
                <w:lang w:val="en-US" w:eastAsia="zh-CN"/>
              </w:rPr>
              <w:t>DA002</w:t>
            </w:r>
          </w:p>
        </w:tc>
        <w:tc>
          <w:tcPr>
            <w:tcW w:w="1194" w:type="dxa"/>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油烟</w:t>
            </w:r>
          </w:p>
        </w:tc>
        <w:tc>
          <w:tcPr>
            <w:tcW w:w="2021" w:type="dxa"/>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管道收集后通过油烟净化器处理后通过食堂顶部1.5m（15.9m）的排气筒有组织排放</w:t>
            </w:r>
          </w:p>
        </w:tc>
        <w:tc>
          <w:tcPr>
            <w:tcW w:w="3330" w:type="dxa"/>
            <w:vAlign w:val="center"/>
          </w:tcPr>
          <w:p>
            <w:pPr>
              <w:adjustRightInd w:val="0"/>
              <w:snapToGrid w:val="0"/>
              <w:jc w:val="center"/>
              <w:rPr>
                <w:rFonts w:hint="eastAsia" w:eastAsia="宋体"/>
                <w:color w:val="auto"/>
                <w:szCs w:val="21"/>
                <w:highlight w:val="none"/>
                <w:lang w:eastAsia="zh-CN"/>
              </w:rPr>
            </w:pPr>
            <w:r>
              <w:rPr>
                <w:color w:val="auto"/>
                <w:highlight w:val="none"/>
              </w:rPr>
              <w:t>《山东省饮食油烟排放标准》（DB37/597-2006）表</w:t>
            </w:r>
            <w:r>
              <w:rPr>
                <w:rFonts w:hint="eastAsia"/>
                <w:color w:val="auto"/>
                <w:highlight w:val="none"/>
              </w:rPr>
              <w:t>2中</w:t>
            </w:r>
            <w:r>
              <w:rPr>
                <w:rFonts w:hint="eastAsia"/>
                <w:color w:val="auto"/>
                <w:highlight w:val="none"/>
                <w:lang w:eastAsia="zh-CN"/>
              </w:rPr>
              <w:t>大型</w:t>
            </w:r>
            <w:r>
              <w:rPr>
                <w:color w:val="auto"/>
                <w:highlight w:val="none"/>
              </w:rPr>
              <w:t>标准要求。</w:t>
            </w:r>
            <w:r>
              <w:rPr>
                <w:rFonts w:hint="eastAsia"/>
                <w:color w:val="auto"/>
                <w:highlight w:val="none"/>
                <w:lang w:eastAsia="zh-CN"/>
              </w:rPr>
              <w:t>（</w:t>
            </w:r>
            <w:r>
              <w:rPr>
                <w:rFonts w:hint="eastAsia"/>
                <w:color w:val="auto"/>
                <w:highlight w:val="none"/>
                <w:lang w:val="en-US" w:eastAsia="zh-CN"/>
              </w:rPr>
              <w:t>油烟1</w:t>
            </w:r>
            <w:r>
              <w:rPr>
                <w:color w:val="auto"/>
                <w:szCs w:val="21"/>
                <w:highlight w:val="none"/>
              </w:rPr>
              <w:t>mg/m</w:t>
            </w:r>
            <w:r>
              <w:rPr>
                <w:color w:val="auto"/>
                <w:szCs w:val="21"/>
                <w:highlight w:val="none"/>
                <w:vertAlign w:val="superscript"/>
              </w:rPr>
              <w:t>3</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adjustRightInd w:val="0"/>
              <w:snapToGrid w:val="0"/>
              <w:jc w:val="center"/>
              <w:rPr>
                <w:color w:val="auto"/>
                <w:szCs w:val="21"/>
                <w:highlight w:val="none"/>
              </w:rPr>
            </w:pPr>
          </w:p>
        </w:tc>
        <w:tc>
          <w:tcPr>
            <w:tcW w:w="988" w:type="dxa"/>
            <w:vMerge w:val="restart"/>
            <w:vAlign w:val="center"/>
          </w:tcPr>
          <w:p>
            <w:pPr>
              <w:jc w:val="center"/>
              <w:rPr>
                <w:bCs/>
                <w:color w:val="auto"/>
                <w:szCs w:val="21"/>
                <w:highlight w:val="none"/>
              </w:rPr>
            </w:pPr>
            <w:r>
              <w:rPr>
                <w:color w:val="auto"/>
                <w:szCs w:val="21"/>
                <w:highlight w:val="none"/>
              </w:rPr>
              <w:t>污水站周界</w:t>
            </w:r>
          </w:p>
        </w:tc>
        <w:tc>
          <w:tcPr>
            <w:tcW w:w="1194" w:type="dxa"/>
            <w:vAlign w:val="center"/>
          </w:tcPr>
          <w:p>
            <w:pPr>
              <w:adjustRightInd w:val="0"/>
              <w:snapToGrid w:val="0"/>
              <w:jc w:val="center"/>
              <w:rPr>
                <w:color w:val="auto"/>
                <w:szCs w:val="21"/>
                <w:highlight w:val="none"/>
              </w:rPr>
            </w:pPr>
            <w:r>
              <w:rPr>
                <w:color w:val="auto"/>
                <w:szCs w:val="21"/>
                <w:highlight w:val="none"/>
              </w:rPr>
              <w:t>NH</w:t>
            </w:r>
            <w:r>
              <w:rPr>
                <w:color w:val="auto"/>
                <w:szCs w:val="21"/>
                <w:highlight w:val="none"/>
                <w:vertAlign w:val="subscript"/>
              </w:rPr>
              <w:t>3</w:t>
            </w:r>
          </w:p>
        </w:tc>
        <w:tc>
          <w:tcPr>
            <w:tcW w:w="2021" w:type="dxa"/>
            <w:vMerge w:val="restart"/>
            <w:vAlign w:val="center"/>
          </w:tcPr>
          <w:p>
            <w:pPr>
              <w:adjustRightInd w:val="0"/>
              <w:snapToGrid w:val="0"/>
              <w:jc w:val="center"/>
              <w:rPr>
                <w:color w:val="auto"/>
                <w:szCs w:val="21"/>
                <w:highlight w:val="none"/>
              </w:rPr>
            </w:pPr>
            <w:r>
              <w:rPr>
                <w:color w:val="auto"/>
                <w:szCs w:val="21"/>
                <w:highlight w:val="none"/>
              </w:rPr>
              <w:t>采用地埋式污水站，加盖密闭</w:t>
            </w:r>
          </w:p>
        </w:tc>
        <w:tc>
          <w:tcPr>
            <w:tcW w:w="3330" w:type="dxa"/>
            <w:vMerge w:val="restart"/>
            <w:vAlign w:val="center"/>
          </w:tcPr>
          <w:p>
            <w:pPr>
              <w:adjustRightInd w:val="0"/>
              <w:snapToGrid w:val="0"/>
              <w:jc w:val="center"/>
              <w:rPr>
                <w:color w:val="auto"/>
                <w:szCs w:val="21"/>
                <w:highlight w:val="none"/>
              </w:rPr>
            </w:pPr>
            <w:r>
              <w:rPr>
                <w:color w:val="auto"/>
                <w:szCs w:val="21"/>
                <w:highlight w:val="none"/>
              </w:rPr>
              <w:t>《山东省医疗机构污染物排放控制标准》（DB37/596-2020）中表2（氨0.2mg/m</w:t>
            </w:r>
            <w:r>
              <w:rPr>
                <w:color w:val="auto"/>
                <w:szCs w:val="21"/>
                <w:highlight w:val="none"/>
                <w:vertAlign w:val="superscript"/>
              </w:rPr>
              <w:t>3</w:t>
            </w:r>
            <w:r>
              <w:rPr>
                <w:color w:val="auto"/>
                <w:szCs w:val="21"/>
                <w:highlight w:val="none"/>
              </w:rPr>
              <w:t>、硫化氢0.02mg/m</w:t>
            </w:r>
            <w:r>
              <w:rPr>
                <w:color w:val="auto"/>
                <w:szCs w:val="21"/>
                <w:highlight w:val="none"/>
                <w:vertAlign w:val="superscript"/>
              </w:rPr>
              <w:t>3</w:t>
            </w:r>
            <w:r>
              <w:rPr>
                <w:color w:val="auto"/>
                <w:szCs w:val="21"/>
                <w:highlight w:val="none"/>
              </w:rPr>
              <w:t>，臭气浓度10无量纲）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adjustRightInd w:val="0"/>
              <w:snapToGrid w:val="0"/>
              <w:jc w:val="center"/>
              <w:rPr>
                <w:color w:val="auto"/>
                <w:szCs w:val="21"/>
                <w:highlight w:val="none"/>
              </w:rPr>
            </w:pPr>
          </w:p>
        </w:tc>
        <w:tc>
          <w:tcPr>
            <w:tcW w:w="988" w:type="dxa"/>
            <w:vMerge w:val="continue"/>
            <w:vAlign w:val="center"/>
          </w:tcPr>
          <w:p>
            <w:pPr>
              <w:jc w:val="center"/>
              <w:rPr>
                <w:bCs/>
                <w:color w:val="auto"/>
                <w:szCs w:val="21"/>
                <w:highlight w:val="none"/>
              </w:rPr>
            </w:pPr>
          </w:p>
        </w:tc>
        <w:tc>
          <w:tcPr>
            <w:tcW w:w="1194" w:type="dxa"/>
            <w:vAlign w:val="center"/>
          </w:tcPr>
          <w:p>
            <w:pPr>
              <w:adjustRightInd w:val="0"/>
              <w:snapToGrid w:val="0"/>
              <w:jc w:val="center"/>
              <w:rPr>
                <w:color w:val="auto"/>
                <w:szCs w:val="21"/>
                <w:highlight w:val="none"/>
              </w:rPr>
            </w:pPr>
            <w:r>
              <w:rPr>
                <w:color w:val="auto"/>
                <w:szCs w:val="21"/>
                <w:highlight w:val="none"/>
              </w:rPr>
              <w:t>H</w:t>
            </w:r>
            <w:r>
              <w:rPr>
                <w:color w:val="auto"/>
                <w:szCs w:val="21"/>
                <w:highlight w:val="none"/>
                <w:vertAlign w:val="subscript"/>
              </w:rPr>
              <w:t>2</w:t>
            </w:r>
            <w:r>
              <w:rPr>
                <w:color w:val="auto"/>
                <w:szCs w:val="21"/>
                <w:highlight w:val="none"/>
              </w:rPr>
              <w:t>S</w:t>
            </w:r>
          </w:p>
        </w:tc>
        <w:tc>
          <w:tcPr>
            <w:tcW w:w="2021" w:type="dxa"/>
            <w:vMerge w:val="continue"/>
            <w:vAlign w:val="center"/>
          </w:tcPr>
          <w:p>
            <w:pPr>
              <w:adjustRightInd w:val="0"/>
              <w:snapToGrid w:val="0"/>
              <w:jc w:val="center"/>
              <w:rPr>
                <w:color w:val="auto"/>
                <w:szCs w:val="21"/>
                <w:highlight w:val="none"/>
              </w:rPr>
            </w:pPr>
          </w:p>
        </w:tc>
        <w:tc>
          <w:tcPr>
            <w:tcW w:w="3330" w:type="dxa"/>
            <w:vMerge w:val="continue"/>
            <w:vAlign w:val="center"/>
          </w:tcPr>
          <w:p>
            <w:pPr>
              <w:adjustRightInd w:val="0"/>
              <w:snapToGrid w:val="0"/>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adjustRightInd w:val="0"/>
              <w:snapToGrid w:val="0"/>
              <w:jc w:val="center"/>
              <w:rPr>
                <w:color w:val="auto"/>
                <w:szCs w:val="21"/>
                <w:highlight w:val="none"/>
              </w:rPr>
            </w:pPr>
          </w:p>
        </w:tc>
        <w:tc>
          <w:tcPr>
            <w:tcW w:w="988" w:type="dxa"/>
            <w:vMerge w:val="continue"/>
            <w:vAlign w:val="center"/>
          </w:tcPr>
          <w:p>
            <w:pPr>
              <w:jc w:val="center"/>
              <w:rPr>
                <w:bCs/>
                <w:color w:val="auto"/>
                <w:szCs w:val="21"/>
                <w:highlight w:val="none"/>
              </w:rPr>
            </w:pPr>
          </w:p>
        </w:tc>
        <w:tc>
          <w:tcPr>
            <w:tcW w:w="1194" w:type="dxa"/>
            <w:vAlign w:val="center"/>
          </w:tcPr>
          <w:p>
            <w:pPr>
              <w:adjustRightInd w:val="0"/>
              <w:snapToGrid w:val="0"/>
              <w:jc w:val="center"/>
              <w:rPr>
                <w:color w:val="auto"/>
                <w:szCs w:val="21"/>
                <w:highlight w:val="none"/>
              </w:rPr>
            </w:pPr>
            <w:r>
              <w:rPr>
                <w:color w:val="auto"/>
                <w:szCs w:val="21"/>
                <w:highlight w:val="none"/>
              </w:rPr>
              <w:t>臭气浓度</w:t>
            </w:r>
          </w:p>
        </w:tc>
        <w:tc>
          <w:tcPr>
            <w:tcW w:w="2021" w:type="dxa"/>
            <w:vMerge w:val="continue"/>
            <w:vAlign w:val="center"/>
          </w:tcPr>
          <w:p>
            <w:pPr>
              <w:adjustRightInd w:val="0"/>
              <w:snapToGrid w:val="0"/>
              <w:jc w:val="center"/>
              <w:rPr>
                <w:color w:val="auto"/>
                <w:szCs w:val="21"/>
                <w:highlight w:val="none"/>
              </w:rPr>
            </w:pPr>
          </w:p>
        </w:tc>
        <w:tc>
          <w:tcPr>
            <w:tcW w:w="3330" w:type="dxa"/>
            <w:vMerge w:val="continue"/>
            <w:vAlign w:val="center"/>
          </w:tcPr>
          <w:p>
            <w:pPr>
              <w:adjustRightInd w:val="0"/>
              <w:snapToGrid w:val="0"/>
              <w:jc w:val="center"/>
              <w:rPr>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7" w:type="dxa"/>
            <w:vAlign w:val="center"/>
          </w:tcPr>
          <w:p>
            <w:pPr>
              <w:adjustRightInd w:val="0"/>
              <w:snapToGrid w:val="0"/>
              <w:jc w:val="center"/>
              <w:rPr>
                <w:color w:val="auto"/>
                <w:szCs w:val="21"/>
                <w:highlight w:val="none"/>
              </w:rPr>
            </w:pPr>
            <w:r>
              <w:rPr>
                <w:color w:val="auto"/>
                <w:szCs w:val="21"/>
                <w:highlight w:val="none"/>
              </w:rPr>
              <w:t>地表水环境</w:t>
            </w:r>
          </w:p>
        </w:tc>
        <w:tc>
          <w:tcPr>
            <w:tcW w:w="988" w:type="dxa"/>
            <w:vAlign w:val="center"/>
          </w:tcPr>
          <w:p>
            <w:pPr>
              <w:adjustRightInd w:val="0"/>
              <w:snapToGrid w:val="0"/>
              <w:jc w:val="center"/>
              <w:rPr>
                <w:color w:val="auto"/>
                <w:szCs w:val="21"/>
                <w:highlight w:val="none"/>
              </w:rPr>
            </w:pPr>
            <w:r>
              <w:rPr>
                <w:color w:val="auto"/>
                <w:szCs w:val="21"/>
                <w:highlight w:val="none"/>
              </w:rPr>
              <w:t>DW001</w:t>
            </w:r>
          </w:p>
        </w:tc>
        <w:tc>
          <w:tcPr>
            <w:tcW w:w="1194" w:type="dxa"/>
            <w:vAlign w:val="center"/>
          </w:tcPr>
          <w:p>
            <w:pPr>
              <w:adjustRightInd w:val="0"/>
              <w:snapToGrid w:val="0"/>
              <w:jc w:val="center"/>
              <w:rPr>
                <w:color w:val="auto"/>
                <w:szCs w:val="21"/>
                <w:highlight w:val="none"/>
              </w:rPr>
            </w:pPr>
            <w:r>
              <w:rPr>
                <w:color w:val="auto"/>
                <w:szCs w:val="21"/>
                <w:highlight w:val="none"/>
              </w:rPr>
              <w:t>CODcr、BOD</w:t>
            </w:r>
            <w:r>
              <w:rPr>
                <w:color w:val="auto"/>
                <w:szCs w:val="21"/>
                <w:highlight w:val="none"/>
                <w:vertAlign w:val="subscript"/>
              </w:rPr>
              <w:t>5</w:t>
            </w:r>
            <w:r>
              <w:rPr>
                <w:color w:val="auto"/>
                <w:szCs w:val="21"/>
                <w:highlight w:val="none"/>
              </w:rPr>
              <w:t xml:space="preserve"> 、氨氮、SS</w:t>
            </w:r>
            <w:r>
              <w:rPr>
                <w:rFonts w:hint="eastAsia"/>
                <w:color w:val="auto"/>
                <w:szCs w:val="21"/>
                <w:highlight w:val="none"/>
              </w:rPr>
              <w:t>、粪</w:t>
            </w:r>
            <w:r>
              <w:rPr>
                <w:color w:val="auto"/>
                <w:szCs w:val="21"/>
                <w:highlight w:val="none"/>
              </w:rPr>
              <w:t>大肠菌群</w:t>
            </w:r>
            <w:r>
              <w:rPr>
                <w:rFonts w:hint="eastAsia"/>
                <w:color w:val="auto"/>
                <w:szCs w:val="21"/>
                <w:highlight w:val="none"/>
              </w:rPr>
              <w:t>、氟化物等</w:t>
            </w:r>
          </w:p>
        </w:tc>
        <w:tc>
          <w:tcPr>
            <w:tcW w:w="2021" w:type="dxa"/>
            <w:vAlign w:val="center"/>
          </w:tcPr>
          <w:p>
            <w:pPr>
              <w:adjustRightInd w:val="0"/>
              <w:snapToGrid w:val="0"/>
              <w:jc w:val="center"/>
              <w:rPr>
                <w:color w:val="auto"/>
                <w:szCs w:val="21"/>
                <w:highlight w:val="none"/>
              </w:rPr>
            </w:pPr>
            <w:r>
              <w:rPr>
                <w:color w:val="auto"/>
                <w:kern w:val="24"/>
                <w:szCs w:val="21"/>
                <w:highlight w:val="none"/>
              </w:rPr>
              <w:t>经</w:t>
            </w:r>
            <w:r>
              <w:rPr>
                <w:rFonts w:hint="eastAsia"/>
                <w:color w:val="auto"/>
                <w:kern w:val="24"/>
                <w:szCs w:val="21"/>
                <w:highlight w:val="none"/>
                <w:lang w:val="en-US" w:eastAsia="zh-CN"/>
              </w:rPr>
              <w:t>院</w:t>
            </w:r>
            <w:r>
              <w:rPr>
                <w:color w:val="auto"/>
                <w:kern w:val="24"/>
                <w:szCs w:val="21"/>
                <w:highlight w:val="none"/>
              </w:rPr>
              <w:t>内污水处理站（</w:t>
            </w:r>
            <w:r>
              <w:rPr>
                <w:rFonts w:hint="eastAsia"/>
                <w:color w:val="auto"/>
                <w:kern w:val="24"/>
                <w:szCs w:val="21"/>
                <w:highlight w:val="none"/>
                <w:lang w:eastAsia="zh-CN"/>
              </w:rPr>
              <w:t>格栅+调节池+缺氧池+好氧池+二沉池+絮凝池+消毒池</w:t>
            </w:r>
            <w:r>
              <w:rPr>
                <w:color w:val="auto"/>
                <w:kern w:val="24"/>
                <w:szCs w:val="21"/>
                <w:highlight w:val="none"/>
              </w:rPr>
              <w:t>）处理后排入光大水务（淄博）有限公司水质净化</w:t>
            </w:r>
            <w:r>
              <w:rPr>
                <w:rFonts w:hint="eastAsia"/>
                <w:color w:val="auto"/>
                <w:kern w:val="24"/>
                <w:szCs w:val="21"/>
                <w:highlight w:val="none"/>
                <w:lang w:eastAsia="zh-CN"/>
              </w:rPr>
              <w:t>一分厂</w:t>
            </w:r>
            <w:r>
              <w:rPr>
                <w:color w:val="auto"/>
                <w:kern w:val="24"/>
                <w:szCs w:val="21"/>
                <w:highlight w:val="none"/>
              </w:rPr>
              <w:t>深度处理</w:t>
            </w:r>
          </w:p>
        </w:tc>
        <w:tc>
          <w:tcPr>
            <w:tcW w:w="3330" w:type="dxa"/>
            <w:vAlign w:val="center"/>
          </w:tcPr>
          <w:p>
            <w:pPr>
              <w:adjustRightInd w:val="0"/>
              <w:snapToGrid w:val="0"/>
              <w:jc w:val="center"/>
              <w:rPr>
                <w:rFonts w:hint="default" w:eastAsia="宋体"/>
                <w:color w:val="auto"/>
                <w:szCs w:val="21"/>
                <w:highlight w:val="none"/>
                <w:lang w:val="en-US" w:eastAsia="zh-CN"/>
              </w:rPr>
            </w:pPr>
            <w:r>
              <w:rPr>
                <w:color w:val="auto"/>
                <w:szCs w:val="21"/>
                <w:highlight w:val="none"/>
              </w:rPr>
              <w:t>《山东省医疗机构污染物排放控制标准》（DB37/596-2020）二级标准</w:t>
            </w:r>
            <w:r>
              <w:rPr>
                <w:rFonts w:hint="eastAsia"/>
                <w:color w:val="auto"/>
                <w:szCs w:val="21"/>
                <w:highlight w:val="none"/>
                <w:lang w:val="en-US" w:eastAsia="zh-CN"/>
              </w:rPr>
              <w:t>及《污水排入城镇下水道水质标准》（GB/T31962-2015）表1中B等级标准要求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7" w:type="dxa"/>
            <w:vAlign w:val="center"/>
          </w:tcPr>
          <w:p>
            <w:pPr>
              <w:adjustRightInd w:val="0"/>
              <w:snapToGrid w:val="0"/>
              <w:jc w:val="center"/>
              <w:rPr>
                <w:color w:val="auto"/>
                <w:szCs w:val="21"/>
                <w:highlight w:val="none"/>
              </w:rPr>
            </w:pPr>
            <w:r>
              <w:rPr>
                <w:color w:val="auto"/>
                <w:szCs w:val="21"/>
                <w:highlight w:val="none"/>
              </w:rPr>
              <w:t>声环境</w:t>
            </w:r>
          </w:p>
        </w:tc>
        <w:tc>
          <w:tcPr>
            <w:tcW w:w="988" w:type="dxa"/>
            <w:vAlign w:val="center"/>
          </w:tcPr>
          <w:p>
            <w:pPr>
              <w:adjustRightInd w:val="0"/>
              <w:snapToGrid w:val="0"/>
              <w:jc w:val="center"/>
              <w:rPr>
                <w:color w:val="auto"/>
                <w:szCs w:val="21"/>
                <w:highlight w:val="none"/>
              </w:rPr>
            </w:pPr>
            <w:r>
              <w:rPr>
                <w:color w:val="auto"/>
                <w:szCs w:val="21"/>
                <w:highlight w:val="none"/>
              </w:rPr>
              <w:t>厂界</w:t>
            </w:r>
          </w:p>
        </w:tc>
        <w:tc>
          <w:tcPr>
            <w:tcW w:w="1194" w:type="dxa"/>
            <w:vAlign w:val="center"/>
          </w:tcPr>
          <w:p>
            <w:pPr>
              <w:adjustRightInd w:val="0"/>
              <w:snapToGrid w:val="0"/>
              <w:jc w:val="center"/>
              <w:rPr>
                <w:color w:val="auto"/>
                <w:szCs w:val="21"/>
                <w:highlight w:val="none"/>
              </w:rPr>
            </w:pPr>
            <w:r>
              <w:rPr>
                <w:color w:val="auto"/>
                <w:szCs w:val="21"/>
                <w:highlight w:val="none"/>
              </w:rPr>
              <w:t>噪声</w:t>
            </w:r>
          </w:p>
        </w:tc>
        <w:tc>
          <w:tcPr>
            <w:tcW w:w="2021" w:type="dxa"/>
            <w:vAlign w:val="center"/>
          </w:tcPr>
          <w:p>
            <w:pPr>
              <w:adjustRightInd w:val="0"/>
              <w:snapToGrid w:val="0"/>
              <w:jc w:val="center"/>
              <w:rPr>
                <w:color w:val="auto"/>
                <w:szCs w:val="21"/>
                <w:highlight w:val="none"/>
              </w:rPr>
            </w:pPr>
            <w:r>
              <w:rPr>
                <w:color w:val="auto"/>
                <w:szCs w:val="21"/>
                <w:highlight w:val="none"/>
              </w:rPr>
              <w:t>采用低噪声设备，采取隔振、减振措施</w:t>
            </w:r>
          </w:p>
        </w:tc>
        <w:tc>
          <w:tcPr>
            <w:tcW w:w="3330" w:type="dxa"/>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西厂界</w:t>
            </w:r>
            <w:r>
              <w:rPr>
                <w:color w:val="auto"/>
                <w:szCs w:val="21"/>
                <w:highlight w:val="none"/>
              </w:rPr>
              <w:t>《工业企业厂界环境噪声排放标准》（GB 2348-2008）中</w:t>
            </w:r>
            <w:r>
              <w:rPr>
                <w:rFonts w:hint="eastAsia"/>
                <w:color w:val="auto"/>
                <w:szCs w:val="21"/>
                <w:highlight w:val="none"/>
                <w:lang w:val="en-US" w:eastAsia="zh-CN"/>
              </w:rPr>
              <w:t>4</w:t>
            </w:r>
            <w:r>
              <w:rPr>
                <w:color w:val="auto"/>
                <w:szCs w:val="21"/>
                <w:highlight w:val="none"/>
              </w:rPr>
              <w:t>类标准（昼间≤</w:t>
            </w:r>
            <w:r>
              <w:rPr>
                <w:rFonts w:hint="eastAsia"/>
                <w:color w:val="auto"/>
                <w:szCs w:val="21"/>
                <w:highlight w:val="none"/>
                <w:lang w:val="en-US" w:eastAsia="zh-CN"/>
              </w:rPr>
              <w:t>70</w:t>
            </w:r>
            <w:r>
              <w:rPr>
                <w:color w:val="auto"/>
                <w:szCs w:val="21"/>
                <w:highlight w:val="none"/>
              </w:rPr>
              <w:t>dB（A）、夜间≤</w:t>
            </w:r>
            <w:r>
              <w:rPr>
                <w:rFonts w:hint="eastAsia"/>
                <w:color w:val="auto"/>
                <w:szCs w:val="21"/>
                <w:highlight w:val="none"/>
                <w:lang w:val="en-US" w:eastAsia="zh-CN"/>
              </w:rPr>
              <w:t>55</w:t>
            </w:r>
            <w:r>
              <w:rPr>
                <w:color w:val="auto"/>
                <w:szCs w:val="21"/>
                <w:highlight w:val="none"/>
              </w:rPr>
              <w:t>dB（A））</w:t>
            </w:r>
            <w:r>
              <w:rPr>
                <w:rFonts w:hint="eastAsia"/>
                <w:color w:val="auto"/>
                <w:szCs w:val="21"/>
                <w:highlight w:val="none"/>
                <w:lang w:eastAsia="zh-CN"/>
              </w:rPr>
              <w:t>，</w:t>
            </w:r>
            <w:r>
              <w:rPr>
                <w:rFonts w:hint="eastAsia"/>
                <w:color w:val="auto"/>
                <w:szCs w:val="21"/>
                <w:highlight w:val="none"/>
                <w:lang w:val="en-US" w:eastAsia="zh-CN"/>
              </w:rPr>
              <w:t>其他厂界</w:t>
            </w:r>
            <w:r>
              <w:rPr>
                <w:color w:val="auto"/>
                <w:szCs w:val="21"/>
                <w:highlight w:val="none"/>
              </w:rPr>
              <w:t>《工业企业厂界环境噪声排放标准》（GB 2348-2008）中1类标准（昼间≤55dB（A）、夜间≤45dB（A））</w:t>
            </w:r>
            <w:r>
              <w:rPr>
                <w:rFonts w:hint="eastAsia"/>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27" w:type="dxa"/>
            <w:vAlign w:val="center"/>
          </w:tcPr>
          <w:p>
            <w:pPr>
              <w:adjustRightInd w:val="0"/>
              <w:snapToGrid w:val="0"/>
              <w:jc w:val="center"/>
              <w:rPr>
                <w:color w:val="auto"/>
                <w:szCs w:val="21"/>
                <w:highlight w:val="none"/>
              </w:rPr>
            </w:pPr>
            <w:r>
              <w:rPr>
                <w:color w:val="auto"/>
                <w:szCs w:val="21"/>
                <w:highlight w:val="none"/>
              </w:rPr>
              <w:t>电磁辐射</w:t>
            </w:r>
          </w:p>
        </w:tc>
        <w:tc>
          <w:tcPr>
            <w:tcW w:w="988" w:type="dxa"/>
            <w:vAlign w:val="center"/>
          </w:tcPr>
          <w:p>
            <w:pPr>
              <w:adjustRightInd w:val="0"/>
              <w:snapToGrid w:val="0"/>
              <w:jc w:val="center"/>
              <w:rPr>
                <w:color w:val="auto"/>
                <w:szCs w:val="21"/>
                <w:highlight w:val="none"/>
              </w:rPr>
            </w:pPr>
            <w:r>
              <w:rPr>
                <w:color w:val="auto"/>
                <w:szCs w:val="21"/>
                <w:highlight w:val="none"/>
              </w:rPr>
              <w:t>/</w:t>
            </w:r>
          </w:p>
        </w:tc>
        <w:tc>
          <w:tcPr>
            <w:tcW w:w="1194" w:type="dxa"/>
            <w:vAlign w:val="center"/>
          </w:tcPr>
          <w:p>
            <w:pPr>
              <w:adjustRightInd w:val="0"/>
              <w:snapToGrid w:val="0"/>
              <w:jc w:val="center"/>
              <w:rPr>
                <w:color w:val="auto"/>
                <w:szCs w:val="21"/>
                <w:highlight w:val="none"/>
              </w:rPr>
            </w:pPr>
            <w:r>
              <w:rPr>
                <w:color w:val="auto"/>
                <w:szCs w:val="21"/>
                <w:highlight w:val="none"/>
              </w:rPr>
              <w:t>/</w:t>
            </w:r>
          </w:p>
        </w:tc>
        <w:tc>
          <w:tcPr>
            <w:tcW w:w="2021" w:type="dxa"/>
            <w:vAlign w:val="center"/>
          </w:tcPr>
          <w:p>
            <w:pPr>
              <w:adjustRightInd w:val="0"/>
              <w:snapToGrid w:val="0"/>
              <w:jc w:val="center"/>
              <w:rPr>
                <w:color w:val="auto"/>
                <w:szCs w:val="21"/>
                <w:highlight w:val="none"/>
              </w:rPr>
            </w:pPr>
            <w:r>
              <w:rPr>
                <w:color w:val="auto"/>
                <w:szCs w:val="21"/>
                <w:highlight w:val="none"/>
              </w:rPr>
              <w:t>/</w:t>
            </w:r>
          </w:p>
        </w:tc>
        <w:tc>
          <w:tcPr>
            <w:tcW w:w="3330" w:type="dxa"/>
            <w:vAlign w:val="center"/>
          </w:tcPr>
          <w:p>
            <w:pPr>
              <w:adjustRightInd w:val="0"/>
              <w:snapToGrid w:val="0"/>
              <w:jc w:val="center"/>
              <w:rPr>
                <w:color w:val="auto"/>
                <w:szCs w:val="21"/>
                <w:highlight w:val="none"/>
              </w:rPr>
            </w:pPr>
            <w:r>
              <w:rPr>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527" w:type="dxa"/>
            <w:vAlign w:val="center"/>
          </w:tcPr>
          <w:p>
            <w:pPr>
              <w:adjustRightInd w:val="0"/>
              <w:snapToGrid w:val="0"/>
              <w:jc w:val="center"/>
              <w:rPr>
                <w:color w:val="auto"/>
                <w:szCs w:val="21"/>
                <w:highlight w:val="none"/>
              </w:rPr>
            </w:pPr>
            <w:r>
              <w:rPr>
                <w:color w:val="auto"/>
                <w:szCs w:val="21"/>
                <w:highlight w:val="none"/>
              </w:rPr>
              <w:t>固体废物</w:t>
            </w:r>
          </w:p>
        </w:tc>
        <w:tc>
          <w:tcPr>
            <w:tcW w:w="7533" w:type="dxa"/>
            <w:gridSpan w:val="4"/>
            <w:vAlign w:val="center"/>
          </w:tcPr>
          <w:p>
            <w:pPr>
              <w:adjustRightInd w:val="0"/>
              <w:snapToGrid w:val="0"/>
              <w:jc w:val="left"/>
              <w:rPr>
                <w:color w:val="auto"/>
                <w:szCs w:val="21"/>
                <w:highlight w:val="none"/>
              </w:rPr>
            </w:pPr>
            <w:r>
              <w:rPr>
                <w:color w:val="auto"/>
                <w:szCs w:val="21"/>
                <w:highlight w:val="none"/>
              </w:rPr>
              <w:t>项目产生的医疗废物收集至危废暂存间暂存，委托有资质单位处理；</w:t>
            </w:r>
          </w:p>
          <w:p>
            <w:pPr>
              <w:adjustRightInd w:val="0"/>
              <w:snapToGrid w:val="0"/>
              <w:jc w:val="left"/>
              <w:rPr>
                <w:color w:val="auto"/>
                <w:szCs w:val="21"/>
                <w:highlight w:val="none"/>
              </w:rPr>
            </w:pPr>
            <w:r>
              <w:rPr>
                <w:color w:val="auto"/>
                <w:szCs w:val="21"/>
                <w:highlight w:val="none"/>
              </w:rPr>
              <w:t>污水处理站污泥及栅渣在危废暂存间暂存，委托有资质单位处理；</w:t>
            </w:r>
          </w:p>
          <w:p>
            <w:pPr>
              <w:adjustRightInd w:val="0"/>
              <w:snapToGrid w:val="0"/>
              <w:jc w:val="left"/>
              <w:rPr>
                <w:color w:val="auto"/>
                <w:szCs w:val="21"/>
                <w:highlight w:val="none"/>
              </w:rPr>
            </w:pPr>
            <w:r>
              <w:rPr>
                <w:color w:val="auto"/>
                <w:szCs w:val="21"/>
                <w:highlight w:val="none"/>
              </w:rPr>
              <w:t>一般生活垃圾统一由环卫部门清运处理；</w:t>
            </w:r>
          </w:p>
          <w:p>
            <w:pPr>
              <w:adjustRightInd w:val="0"/>
              <w:snapToGrid w:val="0"/>
              <w:jc w:val="left"/>
              <w:rPr>
                <w:rFonts w:hint="eastAsia"/>
                <w:color w:val="auto"/>
                <w:szCs w:val="21"/>
                <w:highlight w:val="none"/>
                <w:lang w:eastAsia="zh-CN"/>
              </w:rPr>
            </w:pPr>
            <w:r>
              <w:rPr>
                <w:color w:val="auto"/>
                <w:szCs w:val="21"/>
                <w:highlight w:val="none"/>
              </w:rPr>
              <w:t>废包装物收集后外售处理</w:t>
            </w:r>
            <w:r>
              <w:rPr>
                <w:rFonts w:hint="eastAsia"/>
                <w:color w:val="auto"/>
                <w:szCs w:val="21"/>
                <w:highlight w:val="none"/>
                <w:lang w:eastAsia="zh-CN"/>
              </w:rPr>
              <w:t>；</w:t>
            </w:r>
          </w:p>
          <w:p>
            <w:pPr>
              <w:adjustRightInd w:val="0"/>
              <w:snapToGrid w:val="0"/>
              <w:jc w:val="left"/>
              <w:rPr>
                <w:color w:val="auto"/>
                <w:szCs w:val="21"/>
                <w:highlight w:val="none"/>
              </w:rPr>
            </w:pPr>
            <w:r>
              <w:rPr>
                <w:rFonts w:hint="eastAsia"/>
                <w:color w:val="auto"/>
                <w:szCs w:val="21"/>
                <w:highlight w:val="none"/>
                <w:lang w:val="en-US" w:eastAsia="zh-CN"/>
              </w:rPr>
              <w:t>废离子交换树脂有厂家回收</w:t>
            </w:r>
            <w:r>
              <w:rPr>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7" w:type="dxa"/>
            <w:vAlign w:val="center"/>
          </w:tcPr>
          <w:p>
            <w:pPr>
              <w:adjustRightInd w:val="0"/>
              <w:snapToGrid w:val="0"/>
              <w:jc w:val="center"/>
              <w:rPr>
                <w:color w:val="auto"/>
                <w:szCs w:val="21"/>
                <w:highlight w:val="none"/>
              </w:rPr>
            </w:pPr>
            <w:r>
              <w:rPr>
                <w:color w:val="auto"/>
                <w:szCs w:val="21"/>
                <w:highlight w:val="none"/>
              </w:rPr>
              <w:t>土壤及地下水</w:t>
            </w:r>
          </w:p>
          <w:p>
            <w:pPr>
              <w:adjustRightInd w:val="0"/>
              <w:snapToGrid w:val="0"/>
              <w:jc w:val="center"/>
              <w:rPr>
                <w:color w:val="auto"/>
                <w:szCs w:val="21"/>
                <w:highlight w:val="none"/>
              </w:rPr>
            </w:pPr>
            <w:r>
              <w:rPr>
                <w:color w:val="auto"/>
                <w:szCs w:val="21"/>
                <w:highlight w:val="none"/>
              </w:rPr>
              <w:t>污染防治措施</w:t>
            </w:r>
          </w:p>
        </w:tc>
        <w:tc>
          <w:tcPr>
            <w:tcW w:w="7533" w:type="dxa"/>
            <w:gridSpan w:val="4"/>
            <w:vAlign w:val="center"/>
          </w:tcPr>
          <w:p>
            <w:pPr>
              <w:adjustRightInd w:val="0"/>
              <w:snapToGrid w:val="0"/>
              <w:jc w:val="center"/>
              <w:rPr>
                <w:color w:val="auto"/>
                <w:szCs w:val="21"/>
                <w:highlight w:val="none"/>
              </w:rPr>
            </w:pPr>
            <w:r>
              <w:rPr>
                <w:color w:val="auto"/>
                <w:highlight w:val="none"/>
              </w:rPr>
              <w:t>严格按照防渗分区要求，对各构筑物采取了相应的防渗措施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27" w:type="dxa"/>
            <w:vAlign w:val="center"/>
          </w:tcPr>
          <w:p>
            <w:pPr>
              <w:adjustRightInd w:val="0"/>
              <w:snapToGrid w:val="0"/>
              <w:jc w:val="center"/>
              <w:rPr>
                <w:color w:val="auto"/>
                <w:szCs w:val="21"/>
                <w:highlight w:val="none"/>
              </w:rPr>
            </w:pPr>
            <w:r>
              <w:rPr>
                <w:color w:val="auto"/>
                <w:szCs w:val="21"/>
                <w:highlight w:val="none"/>
              </w:rPr>
              <w:t>生态保护措施</w:t>
            </w:r>
          </w:p>
        </w:tc>
        <w:tc>
          <w:tcPr>
            <w:tcW w:w="7533" w:type="dxa"/>
            <w:gridSpan w:val="4"/>
            <w:vAlign w:val="center"/>
          </w:tcPr>
          <w:p>
            <w:pPr>
              <w:adjustRightInd w:val="0"/>
              <w:snapToGrid w:val="0"/>
              <w:jc w:val="center"/>
              <w:rPr>
                <w:color w:val="auto"/>
                <w:szCs w:val="21"/>
                <w:highlight w:val="none"/>
              </w:rPr>
            </w:pPr>
            <w:r>
              <w:rPr>
                <w:color w:val="auto"/>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27" w:type="dxa"/>
            <w:vAlign w:val="center"/>
          </w:tcPr>
          <w:p>
            <w:pPr>
              <w:adjustRightInd w:val="0"/>
              <w:snapToGrid w:val="0"/>
              <w:jc w:val="center"/>
              <w:rPr>
                <w:color w:val="auto"/>
                <w:szCs w:val="21"/>
                <w:highlight w:val="none"/>
              </w:rPr>
            </w:pPr>
            <w:r>
              <w:rPr>
                <w:color w:val="auto"/>
                <w:szCs w:val="21"/>
                <w:highlight w:val="none"/>
              </w:rPr>
              <w:t>环境风险</w:t>
            </w:r>
          </w:p>
          <w:p>
            <w:pPr>
              <w:adjustRightInd w:val="0"/>
              <w:snapToGrid w:val="0"/>
              <w:jc w:val="center"/>
              <w:rPr>
                <w:color w:val="auto"/>
                <w:spacing w:val="-8"/>
                <w:szCs w:val="21"/>
                <w:highlight w:val="none"/>
              </w:rPr>
            </w:pPr>
            <w:r>
              <w:rPr>
                <w:color w:val="auto"/>
                <w:szCs w:val="21"/>
                <w:highlight w:val="none"/>
              </w:rPr>
              <w:t>防范措施</w:t>
            </w:r>
          </w:p>
        </w:tc>
        <w:tc>
          <w:tcPr>
            <w:tcW w:w="7533" w:type="dxa"/>
            <w:gridSpan w:val="4"/>
            <w:vAlign w:val="center"/>
          </w:tcPr>
          <w:p>
            <w:pPr>
              <w:adjustRightInd w:val="0"/>
              <w:snapToGrid w:val="0"/>
              <w:jc w:val="left"/>
              <w:rPr>
                <w:color w:val="auto"/>
                <w:szCs w:val="21"/>
                <w:highlight w:val="none"/>
              </w:rPr>
            </w:pPr>
            <w:r>
              <w:rPr>
                <w:color w:val="auto"/>
                <w:szCs w:val="21"/>
                <w:highlight w:val="none"/>
              </w:rPr>
              <w:t>（1）防止火灾事故的风险防范措施</w:t>
            </w:r>
          </w:p>
          <w:p>
            <w:pPr>
              <w:adjustRightInd w:val="0"/>
              <w:snapToGrid w:val="0"/>
              <w:jc w:val="left"/>
              <w:rPr>
                <w:color w:val="auto"/>
                <w:szCs w:val="21"/>
                <w:highlight w:val="none"/>
              </w:rPr>
            </w:pPr>
            <w:r>
              <w:rPr>
                <w:color w:val="auto"/>
                <w:szCs w:val="21"/>
                <w:highlight w:val="none"/>
              </w:rPr>
              <w:t>仓库内禁止吸烟、禁止明火，加强对仓库的管理和安全知识教育，增强防范意识，防止火灾发生；加强对用电设备管理，电线线路及设备线路定期进行检查，严禁乱拉乱接电源电器，严防电器线路引起火灾。</w:t>
            </w:r>
          </w:p>
          <w:p>
            <w:pPr>
              <w:adjustRightInd w:val="0"/>
              <w:snapToGrid w:val="0"/>
              <w:jc w:val="left"/>
              <w:rPr>
                <w:color w:val="auto"/>
                <w:szCs w:val="21"/>
                <w:highlight w:val="none"/>
              </w:rPr>
            </w:pPr>
            <w:r>
              <w:rPr>
                <w:color w:val="auto"/>
                <w:szCs w:val="21"/>
                <w:highlight w:val="none"/>
              </w:rPr>
              <w:t>（2）防止泄漏事故的风险防范措施</w:t>
            </w:r>
          </w:p>
          <w:p>
            <w:pPr>
              <w:adjustRightInd w:val="0"/>
              <w:snapToGrid w:val="0"/>
              <w:jc w:val="left"/>
              <w:rPr>
                <w:color w:val="auto"/>
                <w:szCs w:val="21"/>
                <w:highlight w:val="none"/>
              </w:rPr>
            </w:pPr>
            <w:r>
              <w:rPr>
                <w:color w:val="auto"/>
                <w:szCs w:val="21"/>
                <w:highlight w:val="none"/>
              </w:rPr>
              <w:t>采取有效的防渗、防腐措施，避免渗漏污染土壤和水环境；加强对贮存场所的日常检查，及时发现、及时处理，防止跑、冒、滴、漏现象发生；完善管理体制，将风险管理纳入日常管理之中；提高职工风险意识，加强职工安全教育；制定完善可行的事故应急预案，并定期对预案进行演练。</w:t>
            </w:r>
          </w:p>
          <w:p>
            <w:pPr>
              <w:adjustRightInd w:val="0"/>
              <w:snapToGrid w:val="0"/>
              <w:jc w:val="left"/>
              <w:rPr>
                <w:color w:val="auto"/>
                <w:szCs w:val="21"/>
                <w:highlight w:val="none"/>
              </w:rPr>
            </w:pPr>
            <w:r>
              <w:rPr>
                <w:color w:val="auto"/>
                <w:szCs w:val="21"/>
                <w:highlight w:val="none"/>
              </w:rPr>
              <w:t>（3）泄漏应急处置措施</w:t>
            </w:r>
          </w:p>
          <w:p>
            <w:pPr>
              <w:adjustRightInd w:val="0"/>
              <w:snapToGrid w:val="0"/>
              <w:jc w:val="left"/>
              <w:rPr>
                <w:color w:val="auto"/>
                <w:szCs w:val="21"/>
                <w:highlight w:val="none"/>
              </w:rPr>
            </w:pPr>
            <w:r>
              <w:rPr>
                <w:color w:val="auto"/>
                <w:szCs w:val="21"/>
                <w:highlight w:val="none"/>
              </w:rPr>
              <w:t>迅速撤离泄漏污染区人员至安全区，并进行隔离，严格限制出入。建议应急处理人员戴自给正压式呼吸器，穿防酸碱工作服。不要直接接触泄漏物。尽可能切断泄漏源。小量泄漏：用砂土、蛭石或其它惰性材料吸收。大量泄漏：构筑围堤或挖坑收容。用泡沫覆盖，降低蒸气灾害。用泵转移至槽车或专用收集器内，回收或运至废物处理场所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27" w:type="dxa"/>
            <w:vAlign w:val="center"/>
          </w:tcPr>
          <w:p>
            <w:pPr>
              <w:adjustRightInd w:val="0"/>
              <w:snapToGrid w:val="0"/>
              <w:jc w:val="center"/>
              <w:rPr>
                <w:color w:val="auto"/>
                <w:spacing w:val="-8"/>
                <w:szCs w:val="21"/>
                <w:highlight w:val="none"/>
              </w:rPr>
            </w:pPr>
            <w:r>
              <w:rPr>
                <w:color w:val="auto"/>
                <w:spacing w:val="-8"/>
                <w:szCs w:val="21"/>
                <w:highlight w:val="none"/>
              </w:rPr>
              <w:t>其他环境</w:t>
            </w:r>
          </w:p>
          <w:p>
            <w:pPr>
              <w:adjustRightInd w:val="0"/>
              <w:snapToGrid w:val="0"/>
              <w:jc w:val="center"/>
              <w:rPr>
                <w:color w:val="auto"/>
                <w:spacing w:val="-8"/>
                <w:szCs w:val="21"/>
                <w:highlight w:val="none"/>
              </w:rPr>
            </w:pPr>
            <w:r>
              <w:rPr>
                <w:color w:val="auto"/>
                <w:spacing w:val="-8"/>
                <w:szCs w:val="21"/>
                <w:highlight w:val="none"/>
              </w:rPr>
              <w:t>管理要求</w:t>
            </w:r>
          </w:p>
        </w:tc>
        <w:tc>
          <w:tcPr>
            <w:tcW w:w="7533" w:type="dxa"/>
            <w:gridSpan w:val="4"/>
            <w:vAlign w:val="center"/>
          </w:tcPr>
          <w:p>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排污许可制度</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根据生态环境部部令第7号《排污许可管理办法（试行）（2019年修订）》国令第736号《排污许可管理条例》的有关规定，对纳入固定污染源排污许可分类管理名录的企业事业单位和其他生产经营者（以下简称排污单位）应当按照规定申请并取得排污许可证，未纳入固定污染源排污许可分类管理名录的排污单位，暂不需申请排污许可证。本项目为“</w:t>
            </w:r>
            <w:r>
              <w:rPr>
                <w:rFonts w:hint="eastAsia" w:ascii="Times New Roman" w:hAnsi="Times New Roman" w:eastAsia="宋体" w:cs="Times New Roman"/>
                <w:color w:val="auto"/>
                <w:szCs w:val="21"/>
                <w:highlight w:val="none"/>
                <w:lang w:val="en-US" w:eastAsia="zh-CN"/>
              </w:rPr>
              <w:t>医院建设项目</w:t>
            </w:r>
            <w:r>
              <w:rPr>
                <w:rFonts w:hint="default" w:ascii="Times New Roman" w:hAnsi="Times New Roman" w:eastAsia="宋体" w:cs="Times New Roman"/>
                <w:color w:val="auto"/>
                <w:szCs w:val="21"/>
                <w:highlight w:val="none"/>
                <w:lang w:val="en-US" w:eastAsia="zh-CN"/>
              </w:rPr>
              <w:t>”，根据《固定污染源排污许可分类管理名录（2019年版）》（生态环境部令第11号），该项目属于“</w:t>
            </w:r>
            <w:r>
              <w:rPr>
                <w:rFonts w:hint="eastAsia" w:ascii="Times New Roman" w:hAnsi="Times New Roman" w:eastAsia="宋体" w:cs="Times New Roman"/>
                <w:color w:val="auto"/>
                <w:szCs w:val="21"/>
                <w:highlight w:val="none"/>
                <w:lang w:val="en-US" w:eastAsia="zh-CN"/>
              </w:rPr>
              <w:t>简化管理</w:t>
            </w:r>
            <w:r>
              <w:rPr>
                <w:rFonts w:hint="default" w:ascii="Times New Roman" w:hAnsi="Times New Roman" w:eastAsia="宋体" w:cs="Times New Roman"/>
                <w:color w:val="auto"/>
                <w:szCs w:val="21"/>
                <w:highlight w:val="none"/>
                <w:lang w:val="en-US" w:eastAsia="zh-CN"/>
              </w:rPr>
              <w:t>”类别，项目建成后，建设单位需按要求</w:t>
            </w:r>
            <w:r>
              <w:rPr>
                <w:rFonts w:hint="eastAsia" w:ascii="Times New Roman" w:hAnsi="Times New Roman" w:eastAsia="宋体" w:cs="Times New Roman"/>
                <w:color w:val="auto"/>
                <w:szCs w:val="21"/>
                <w:highlight w:val="none"/>
                <w:lang w:val="en-US" w:eastAsia="zh-CN"/>
              </w:rPr>
              <w:t>办理</w:t>
            </w:r>
            <w:r>
              <w:rPr>
                <w:rFonts w:hint="default" w:ascii="Times New Roman" w:hAnsi="Times New Roman" w:eastAsia="宋体" w:cs="Times New Roman"/>
                <w:color w:val="auto"/>
                <w:szCs w:val="21"/>
                <w:highlight w:val="none"/>
                <w:lang w:val="en-US" w:eastAsia="zh-CN"/>
              </w:rPr>
              <w:t>排污许可证。</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、排污口规范化要求</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按照《排污口</w:t>
            </w:r>
            <w:r>
              <w:rPr>
                <w:rFonts w:hint="eastAsia" w:cs="Times New Roman"/>
                <w:color w:val="auto"/>
                <w:szCs w:val="21"/>
                <w:highlight w:val="none"/>
                <w:lang w:val="en-US" w:eastAsia="zh-CN"/>
              </w:rPr>
              <w:t>规范化</w:t>
            </w:r>
            <w:r>
              <w:rPr>
                <w:rFonts w:hint="eastAsia" w:ascii="Times New Roman" w:hAnsi="Times New Roman" w:eastAsia="宋体" w:cs="Times New Roman"/>
                <w:color w:val="auto"/>
                <w:szCs w:val="21"/>
                <w:highlight w:val="none"/>
                <w:lang w:val="en-US" w:eastAsia="zh-CN"/>
              </w:rPr>
              <w:t>整治技术要求（试行）》要求，建设单位需对本项目新建排放口进行规范化建设：</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lang w:val="en-US" w:eastAsia="zh-CN"/>
              </w:rPr>
              <w:t>）废气排放口</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①排气筒应设置便于采样、监测的采样口，并在污染物处理设施的进、出口分别设置采样口；</w:t>
            </w:r>
            <w:bookmarkStart w:id="11" w:name="_GoBack"/>
            <w:bookmarkEnd w:id="11"/>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②采样孔、点数目和位置应按规定设置；</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③废气排放口的环境保护图形标志应设在排气筒附近地面醒目处；</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④本项目涉气产污设施和治污设施工况用电监控系统，需根据属地生态环境主管部门要求进行安装。</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2</w:t>
            </w:r>
            <w:r>
              <w:rPr>
                <w:rFonts w:hint="eastAsia" w:ascii="Times New Roman" w:hAnsi="Times New Roman" w:eastAsia="宋体" w:cs="Times New Roman"/>
                <w:color w:val="auto"/>
                <w:szCs w:val="21"/>
                <w:highlight w:val="none"/>
                <w:lang w:val="en-US" w:eastAsia="zh-CN"/>
              </w:rPr>
              <w:t>）固定噪声源</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按《工业企业厂界噪声测量方法》（</w:t>
            </w:r>
            <w:r>
              <w:rPr>
                <w:rFonts w:hint="default" w:ascii="Times New Roman" w:hAnsi="Times New Roman" w:eastAsia="宋体" w:cs="Times New Roman"/>
                <w:color w:val="auto"/>
                <w:szCs w:val="21"/>
                <w:highlight w:val="none"/>
                <w:lang w:val="en-US" w:eastAsia="zh-CN"/>
              </w:rPr>
              <w:t>GB12349</w:t>
            </w:r>
            <w:r>
              <w:rPr>
                <w:rFonts w:hint="eastAsia" w:ascii="Times New Roman" w:hAnsi="Times New Roman" w:eastAsia="宋体" w:cs="Times New Roman"/>
                <w:color w:val="auto"/>
                <w:szCs w:val="21"/>
                <w:highlight w:val="none"/>
                <w:lang w:val="en-US" w:eastAsia="zh-CN"/>
              </w:rPr>
              <w:t>-1990）的规定，设置环噪声监测点，并在该处附近醒目处设置环境保护图形标志牌。</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3</w:t>
            </w:r>
            <w:r>
              <w:rPr>
                <w:rFonts w:hint="eastAsia" w:ascii="Times New Roman" w:hAnsi="Times New Roman" w:eastAsia="宋体" w:cs="Times New Roman"/>
                <w:color w:val="auto"/>
                <w:szCs w:val="21"/>
                <w:highlight w:val="none"/>
                <w:lang w:val="en-US" w:eastAsia="zh-CN"/>
              </w:rPr>
              <w:t>）污染物排放口</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源</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和固体废物贮存、处置场，必须实行规范化整治，按照国家标准《环境保护图形标志》</w:t>
            </w:r>
            <w:r>
              <w:rPr>
                <w:rFonts w:hint="default" w:ascii="Times New Roman" w:hAnsi="Times New Roman" w:eastAsia="宋体" w:cs="Times New Roman"/>
                <w:color w:val="auto"/>
                <w:szCs w:val="21"/>
                <w:highlight w:val="none"/>
                <w:lang w:val="en-US" w:eastAsia="zh-CN"/>
              </w:rPr>
              <w:t>(GB15562.1-1995</w:t>
            </w:r>
            <w:r>
              <w:rPr>
                <w:rFonts w:hint="eastAsia" w:ascii="Times New Roman" w:hAnsi="Times New Roman" w:eastAsia="宋体" w:cs="Times New Roman"/>
                <w:color w:val="auto"/>
                <w:szCs w:val="21"/>
                <w:highlight w:val="none"/>
                <w:lang w:val="en-US" w:eastAsia="zh-CN"/>
              </w:rPr>
              <w:t>和</w:t>
            </w:r>
            <w:r>
              <w:rPr>
                <w:rFonts w:hint="default" w:ascii="Times New Roman" w:hAnsi="Times New Roman" w:eastAsia="宋体" w:cs="Times New Roman"/>
                <w:color w:val="auto"/>
                <w:szCs w:val="21"/>
                <w:highlight w:val="none"/>
                <w:lang w:val="en-US" w:eastAsia="zh-CN"/>
              </w:rPr>
              <w:t>GB45562.2-1995)</w:t>
            </w:r>
            <w:r>
              <w:rPr>
                <w:rFonts w:hint="eastAsia" w:ascii="Times New Roman" w:hAnsi="Times New Roman" w:eastAsia="宋体" w:cs="Times New Roman"/>
                <w:color w:val="auto"/>
                <w:szCs w:val="21"/>
                <w:highlight w:val="none"/>
                <w:lang w:val="en-US" w:eastAsia="zh-CN"/>
              </w:rPr>
              <w:t>的规定，设置与之相适应的环境保护图形标志牌。</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lang w:val="en-US" w:eastAsia="zh-CN"/>
              </w:rPr>
              <w:t>）排放口规范化应进行验收，与建设项目竣工环境保护验收同时进行。</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lang w:val="en-US" w:eastAsia="zh-CN"/>
              </w:rPr>
              <w:t>、竣工验收</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根据《建设项目环境保护管理条例》（国务院第</w:t>
            </w:r>
            <w:r>
              <w:rPr>
                <w:rFonts w:hint="default" w:ascii="Times New Roman" w:hAnsi="Times New Roman" w:eastAsia="宋体" w:cs="Times New Roman"/>
                <w:color w:val="auto"/>
                <w:szCs w:val="21"/>
                <w:highlight w:val="none"/>
                <w:lang w:val="en-US" w:eastAsia="zh-CN"/>
              </w:rPr>
              <w:t>682</w:t>
            </w:r>
            <w:r>
              <w:rPr>
                <w:rFonts w:hint="eastAsia" w:ascii="Times New Roman" w:hAnsi="Times New Roman" w:eastAsia="宋体" w:cs="Times New Roman"/>
                <w:color w:val="auto"/>
                <w:szCs w:val="21"/>
                <w:highlight w:val="none"/>
                <w:lang w:val="en-US" w:eastAsia="zh-CN"/>
              </w:rPr>
              <w:t>号令）要求：建设项目需要配套建设的环境保护设施，必须与主体工程同时设计、同时施工、同时投产使用。建设单位应当按照国务院环境保护行政主管部门规定的标准和程序，对配套建设的环境保护设施进行验收，编制验收报告。</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项目竣工后，建设单位应依据《建设项目竣工环境保护验收暂行办法》（国环规环评[2017]4号）、《建设项目环境保护管理条例（2017年修订）》（中华人民共和国国务院令第682号）、《建设项目竣工环境保护验收技术指南污染影响类》（生态环境部公告2018年第9号），对配套建设的环境保护设施进行验收，编制验收报告，具体要求如下：</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（1）建设项目竣工后，建设单位应当如实查验、监测、记载建设项目环境保护设施的建设和调试情况，编制验收监测（调查）报告。</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验收监测（调查）报告编制完成后，建设单位应当根据验收监测（调查）报告结论，逐一检查是否存在验收不合格的情形，提出验收意见。存在问题的，建设单位应当进行整改，整改完成后方可提出验收意见。</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为提高验收的有效性，在提出验收意见的过程中，建设单位可以组织成立验收工作组，采取现场检查、资料查阅、召开验收会议等方式，协助开展验收工作。验收工作组可以由设计单位、施工单位、环境影响报告书（表）编制机构、验收监测（调查）报告编制机构等单位代表以及专业技术专家等组成，代表范围和人数自定。</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（4）除需要取得排污许可证的水和大气污染防治设施外，其他环境保护设施的验收期限一般不超过3个月；需要对该类环境保护设施进行调试或者整改的，验收期限可以适当延期，但最长不超过12个月。</w:t>
            </w:r>
          </w:p>
          <w:p>
            <w:pPr>
              <w:adjustRightInd w:val="0"/>
              <w:snapToGrid w:val="0"/>
              <w:jc w:val="left"/>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除按照国家需要保密的情形外，建设单位应当通过其网站或其他便于公众知晓的方式，向社会公开下列信息：①建设项目配套建设的环境保护设施竣工后，公开竣工日期；②对建设项目配套建设的环境保护设施进行调试前，公开调试的起止日期；③验收报告编制完成后5个工作日内，公开验收报告，公示的期限不得少于20个工作日。</w:t>
            </w:r>
          </w:p>
          <w:p>
            <w:pPr>
              <w:adjustRightInd w:val="0"/>
              <w:snapToGrid w:val="0"/>
              <w:jc w:val="left"/>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（6）验收报告公示期满后5个工作日内，建设单位应当登录全国建设项目竣工环境保护验收信息平台，填报建设项目基本信息、环境保护设施验收情况等相关信息，生态环境主管部门对上述信息予以公开。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表5-</w:t>
            </w:r>
            <w:r>
              <w:rPr>
                <w:rFonts w:hint="eastAsia" w:ascii="Times New Roman" w:hAnsi="Times New Roman" w:eastAsia="宋体" w:cs="Times New Roman"/>
                <w:b/>
                <w:bCs/>
                <w:color w:val="auto"/>
                <w:kern w:val="0"/>
                <w:sz w:val="21"/>
                <w:szCs w:val="21"/>
                <w:highlight w:val="none"/>
                <w:lang w:val="en-US" w:eastAsia="zh-CN" w:bidi="ar"/>
              </w:rPr>
              <w:t>2</w:t>
            </w:r>
            <w:r>
              <w:rPr>
                <w:rFonts w:hint="default" w:ascii="Times New Roman" w:hAnsi="Times New Roman" w:eastAsia="宋体" w:cs="Times New Roman"/>
                <w:b/>
                <w:bCs/>
                <w:color w:val="auto"/>
                <w:kern w:val="0"/>
                <w:sz w:val="21"/>
                <w:szCs w:val="21"/>
                <w:highlight w:val="none"/>
                <w:lang w:val="en-US" w:eastAsia="zh-CN" w:bidi="ar"/>
              </w:rPr>
              <w:t xml:space="preserve">  项目“三同时”验收一览表</w:t>
            </w:r>
          </w:p>
          <w:tbl>
            <w:tblPr>
              <w:tblStyle w:val="2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903"/>
              <w:gridCol w:w="1269"/>
              <w:gridCol w:w="1283"/>
              <w:gridCol w:w="1467"/>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color w:val="auto"/>
                      <w:sz w:val="18"/>
                      <w:szCs w:val="18"/>
                      <w:highlight w:val="none"/>
                      <w:vertAlign w:val="baseline"/>
                      <w:lang w:eastAsia="zh-CN"/>
                    </w:rPr>
                  </w:pPr>
                  <w:r>
                    <w:rPr>
                      <w:rFonts w:hint="eastAsia" w:ascii="Times New Roman" w:hAnsi="Times New Roman" w:eastAsia="宋体" w:cs="Times New Roman"/>
                      <w:b/>
                      <w:bCs/>
                      <w:color w:val="auto"/>
                      <w:sz w:val="18"/>
                      <w:szCs w:val="18"/>
                      <w:highlight w:val="none"/>
                      <w:vertAlign w:val="baseline"/>
                      <w:lang w:eastAsia="zh-CN"/>
                    </w:rPr>
                    <w:t>类别</w:t>
                  </w:r>
                </w:p>
              </w:tc>
              <w:tc>
                <w:tcPr>
                  <w:tcW w:w="618"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color w:val="auto"/>
                      <w:sz w:val="18"/>
                      <w:szCs w:val="18"/>
                      <w:highlight w:val="none"/>
                      <w:vertAlign w:val="baseline"/>
                      <w:lang w:eastAsia="zh-CN"/>
                    </w:rPr>
                  </w:pPr>
                  <w:r>
                    <w:rPr>
                      <w:rFonts w:hint="eastAsia" w:ascii="Times New Roman" w:hAnsi="Times New Roman" w:eastAsia="宋体" w:cs="Times New Roman"/>
                      <w:b/>
                      <w:bCs/>
                      <w:color w:val="auto"/>
                      <w:sz w:val="18"/>
                      <w:szCs w:val="18"/>
                      <w:highlight w:val="none"/>
                      <w:vertAlign w:val="baseline"/>
                      <w:lang w:eastAsia="zh-CN"/>
                    </w:rPr>
                    <w:t>产污环节</w:t>
                  </w:r>
                </w:p>
              </w:tc>
              <w:tc>
                <w:tcPr>
                  <w:tcW w:w="868"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color w:val="auto"/>
                      <w:sz w:val="18"/>
                      <w:szCs w:val="18"/>
                      <w:highlight w:val="none"/>
                      <w:vertAlign w:val="baseline"/>
                      <w:lang w:eastAsia="zh-CN"/>
                    </w:rPr>
                  </w:pPr>
                  <w:r>
                    <w:rPr>
                      <w:rFonts w:hint="eastAsia" w:ascii="Times New Roman" w:hAnsi="Times New Roman" w:eastAsia="宋体" w:cs="Times New Roman"/>
                      <w:b/>
                      <w:bCs/>
                      <w:color w:val="auto"/>
                      <w:sz w:val="18"/>
                      <w:szCs w:val="18"/>
                      <w:highlight w:val="none"/>
                      <w:vertAlign w:val="baseline"/>
                      <w:lang w:eastAsia="zh-CN"/>
                    </w:rPr>
                    <w:t>污染因子</w:t>
                  </w:r>
                </w:p>
              </w:tc>
              <w:tc>
                <w:tcPr>
                  <w:tcW w:w="878"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color w:val="auto"/>
                      <w:sz w:val="18"/>
                      <w:szCs w:val="18"/>
                      <w:highlight w:val="none"/>
                      <w:vertAlign w:val="baseline"/>
                      <w:lang w:eastAsia="zh-CN"/>
                    </w:rPr>
                  </w:pPr>
                  <w:r>
                    <w:rPr>
                      <w:rFonts w:hint="eastAsia" w:ascii="Times New Roman" w:hAnsi="Times New Roman" w:eastAsia="宋体" w:cs="Times New Roman"/>
                      <w:b/>
                      <w:bCs/>
                      <w:color w:val="auto"/>
                      <w:sz w:val="18"/>
                      <w:szCs w:val="18"/>
                      <w:highlight w:val="none"/>
                      <w:vertAlign w:val="baseline"/>
                      <w:lang w:eastAsia="zh-CN"/>
                    </w:rPr>
                    <w:t>环保措施</w:t>
                  </w:r>
                </w:p>
              </w:tc>
              <w:tc>
                <w:tcPr>
                  <w:tcW w:w="1004"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color w:val="auto"/>
                      <w:sz w:val="18"/>
                      <w:szCs w:val="18"/>
                      <w:highlight w:val="none"/>
                      <w:vertAlign w:val="baseline"/>
                      <w:lang w:eastAsia="zh-CN"/>
                    </w:rPr>
                  </w:pPr>
                  <w:r>
                    <w:rPr>
                      <w:rFonts w:hint="eastAsia" w:ascii="Times New Roman" w:hAnsi="Times New Roman" w:eastAsia="宋体" w:cs="Times New Roman"/>
                      <w:b/>
                      <w:bCs/>
                      <w:color w:val="auto"/>
                      <w:sz w:val="18"/>
                      <w:szCs w:val="18"/>
                      <w:highlight w:val="none"/>
                      <w:vertAlign w:val="baseline"/>
                      <w:lang w:eastAsia="zh-CN"/>
                    </w:rPr>
                    <w:t>验收指标</w:t>
                  </w:r>
                </w:p>
              </w:tc>
              <w:tc>
                <w:tcPr>
                  <w:tcW w:w="1334"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color w:val="auto"/>
                      <w:sz w:val="18"/>
                      <w:szCs w:val="18"/>
                      <w:highlight w:val="none"/>
                      <w:vertAlign w:val="baseline"/>
                      <w:lang w:eastAsia="zh-CN"/>
                    </w:rPr>
                  </w:pPr>
                  <w:r>
                    <w:rPr>
                      <w:rFonts w:hint="eastAsia" w:ascii="Times New Roman" w:hAnsi="Times New Roman" w:eastAsia="宋体" w:cs="Times New Roman"/>
                      <w:b/>
                      <w:bCs/>
                      <w:color w:val="auto"/>
                      <w:sz w:val="18"/>
                      <w:szCs w:val="18"/>
                      <w:highlight w:val="none"/>
                      <w:vertAlign w:val="baseline"/>
                      <w:lang w:eastAsia="zh-CN"/>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废气</w:t>
                  </w:r>
                </w:p>
              </w:tc>
              <w:tc>
                <w:tcPr>
                  <w:tcW w:w="618"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食堂油烟</w:t>
                  </w:r>
                </w:p>
              </w:tc>
              <w:tc>
                <w:tcPr>
                  <w:tcW w:w="868"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油烟</w:t>
                  </w:r>
                </w:p>
              </w:tc>
              <w:tc>
                <w:tcPr>
                  <w:tcW w:w="878"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rPr>
                  </w:pPr>
                  <w:r>
                    <w:rPr>
                      <w:rFonts w:hint="eastAsia" w:ascii="Times New Roman" w:hAnsi="Times New Roman" w:eastAsia="宋体" w:cs="Times New Roman"/>
                      <w:color w:val="auto"/>
                      <w:sz w:val="18"/>
                      <w:szCs w:val="18"/>
                      <w:highlight w:val="none"/>
                      <w:lang w:val="en-US" w:eastAsia="zh-CN"/>
                    </w:rPr>
                    <w:t>油烟净化器+油烟专用通道</w:t>
                  </w:r>
                </w:p>
              </w:tc>
              <w:tc>
                <w:tcPr>
                  <w:tcW w:w="1004"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1.2mg/m</w:t>
                  </w:r>
                  <w:r>
                    <w:rPr>
                      <w:rFonts w:hint="eastAsia" w:ascii="Times New Roman" w:hAnsi="Times New Roman" w:eastAsia="宋体" w:cs="Times New Roman"/>
                      <w:color w:val="auto"/>
                      <w:sz w:val="18"/>
                      <w:szCs w:val="18"/>
                      <w:highlight w:val="none"/>
                      <w:vertAlign w:val="superscript"/>
                      <w:lang w:val="en-US" w:eastAsia="zh-CN"/>
                    </w:rPr>
                    <w:t>3</w:t>
                  </w:r>
                </w:p>
              </w:tc>
              <w:tc>
                <w:tcPr>
                  <w:tcW w:w="1334"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rPr>
                  </w:pPr>
                  <w:r>
                    <w:rPr>
                      <w:rFonts w:hint="default" w:ascii="Times New Roman" w:hAnsi="Times New Roman" w:eastAsia="宋体" w:cs="Times New Roman"/>
                      <w:color w:val="auto"/>
                      <w:sz w:val="18"/>
                      <w:szCs w:val="18"/>
                      <w:highlight w:val="none"/>
                      <w:vertAlign w:val="baseline"/>
                    </w:rPr>
                    <w:t>《山东省饮食油烟排放标准》(DB37/597-2006)</w:t>
                  </w:r>
                  <w:r>
                    <w:rPr>
                      <w:rFonts w:hint="eastAsia" w:ascii="Times New Roman" w:hAnsi="Times New Roman" w:eastAsia="宋体" w:cs="Times New Roman"/>
                      <w:color w:val="auto"/>
                      <w:sz w:val="18"/>
                      <w:szCs w:val="18"/>
                      <w:highlight w:val="none"/>
                      <w:vertAlign w:val="baseline"/>
                      <w:lang w:val="en-US" w:eastAsia="zh-CN"/>
                    </w:rPr>
                    <w:t>大</w:t>
                  </w:r>
                  <w:r>
                    <w:rPr>
                      <w:rFonts w:hint="default" w:ascii="Times New Roman" w:hAnsi="Times New Roman" w:eastAsia="宋体" w:cs="Times New Roman"/>
                      <w:color w:val="auto"/>
                      <w:sz w:val="18"/>
                      <w:szCs w:val="18"/>
                      <w:highlight w:val="none"/>
                      <w:vertAlign w:val="baseline"/>
                    </w:rPr>
                    <w:t>型规模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val="en-US" w:eastAsia="zh-CN"/>
                    </w:rPr>
                  </w:pPr>
                </w:p>
              </w:tc>
              <w:tc>
                <w:tcPr>
                  <w:tcW w:w="618"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排气筒DA001</w:t>
                  </w:r>
                </w:p>
              </w:tc>
              <w:tc>
                <w:tcPr>
                  <w:tcW w:w="868"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vertAlign w:val="baseline"/>
                      <w:lang w:val="en-US" w:eastAsia="zh-CN"/>
                    </w:rPr>
                    <w:t>臭气浓度</w:t>
                  </w:r>
                </w:p>
              </w:tc>
              <w:tc>
                <w:tcPr>
                  <w:tcW w:w="878"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引风机+生物除臭装置+15m高排气筒</w:t>
                  </w:r>
                </w:p>
              </w:tc>
              <w:tc>
                <w:tcPr>
                  <w:tcW w:w="1004"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2000（无量纲）</w:t>
                  </w:r>
                </w:p>
              </w:tc>
              <w:tc>
                <w:tcPr>
                  <w:tcW w:w="1334"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rPr>
                  </w:pPr>
                  <w:r>
                    <w:rPr>
                      <w:rFonts w:hint="default" w:ascii="Times New Roman" w:hAnsi="Times New Roman" w:eastAsia="宋体" w:cs="Times New Roman"/>
                      <w:color w:val="auto"/>
                      <w:sz w:val="18"/>
                      <w:szCs w:val="18"/>
                      <w:highlight w:val="none"/>
                      <w:vertAlign w:val="baseline"/>
                    </w:rPr>
                    <w:t>《恶臭污染物排放标准》（GB14554-93）表2标准要求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val="en-US" w:eastAsia="zh-CN"/>
                    </w:rPr>
                  </w:pPr>
                </w:p>
              </w:tc>
              <w:tc>
                <w:tcPr>
                  <w:tcW w:w="618"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lang w:val="en-US" w:eastAsia="zh-CN"/>
                    </w:rPr>
                  </w:pPr>
                </w:p>
              </w:tc>
              <w:tc>
                <w:tcPr>
                  <w:tcW w:w="868"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vertAlign w:val="baseline"/>
                      <w:lang w:val="en-US" w:eastAsia="zh-CN"/>
                    </w:rPr>
                    <w:t>硫化氢</w:t>
                  </w:r>
                </w:p>
              </w:tc>
              <w:tc>
                <w:tcPr>
                  <w:tcW w:w="878"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lang w:val="en-US" w:eastAsia="zh-CN"/>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lang w:val="en-US" w:eastAsia="zh-CN"/>
                    </w:rPr>
                    <w:t>0.33kg/h</w:t>
                  </w:r>
                </w:p>
              </w:tc>
              <w:tc>
                <w:tcPr>
                  <w:tcW w:w="1334"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val="en-US" w:eastAsia="zh-CN"/>
                    </w:rPr>
                  </w:pPr>
                </w:p>
              </w:tc>
              <w:tc>
                <w:tcPr>
                  <w:tcW w:w="618"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lang w:val="en-US" w:eastAsia="zh-CN"/>
                    </w:rPr>
                  </w:pPr>
                </w:p>
              </w:tc>
              <w:tc>
                <w:tcPr>
                  <w:tcW w:w="868"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vertAlign w:val="baseline"/>
                      <w:lang w:val="en-US" w:eastAsia="zh-CN"/>
                    </w:rPr>
                    <w:t>氨气</w:t>
                  </w:r>
                </w:p>
              </w:tc>
              <w:tc>
                <w:tcPr>
                  <w:tcW w:w="878"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lang w:val="en-US" w:eastAsia="zh-CN"/>
                    </w:rPr>
                  </w:pPr>
                </w:p>
              </w:tc>
              <w:tc>
                <w:tcPr>
                  <w:tcW w:w="100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b w:val="0"/>
                      <w:bCs/>
                      <w:color w:val="auto"/>
                      <w:sz w:val="18"/>
                      <w:szCs w:val="18"/>
                      <w:highlight w:val="none"/>
                      <w:lang w:val="en-US" w:eastAsia="zh-CN"/>
                    </w:rPr>
                    <w:t>4.9kg/h</w:t>
                  </w:r>
                </w:p>
              </w:tc>
              <w:tc>
                <w:tcPr>
                  <w:tcW w:w="1334"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lang w:val="en-US" w:eastAsia="zh-CN"/>
                    </w:rPr>
                    <w:t>污水处理站</w:t>
                  </w:r>
                </w:p>
              </w:tc>
              <w:tc>
                <w:tcPr>
                  <w:tcW w:w="868"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臭气浓度</w:t>
                  </w:r>
                </w:p>
              </w:tc>
              <w:tc>
                <w:tcPr>
                  <w:tcW w:w="878"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rPr>
                  </w:pPr>
                  <w:r>
                    <w:rPr>
                      <w:rFonts w:hint="default" w:ascii="Times New Roman" w:hAnsi="Times New Roman" w:eastAsia="宋体" w:cs="Times New Roman"/>
                      <w:color w:val="auto"/>
                      <w:sz w:val="18"/>
                      <w:szCs w:val="18"/>
                      <w:highlight w:val="none"/>
                      <w:vertAlign w:val="baseline"/>
                    </w:rPr>
                    <w:t>采用地埋式污水站，加盖密闭</w:t>
                  </w:r>
                </w:p>
              </w:tc>
              <w:tc>
                <w:tcPr>
                  <w:tcW w:w="1004"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10（无量纲）</w:t>
                  </w:r>
                </w:p>
              </w:tc>
              <w:tc>
                <w:tcPr>
                  <w:tcW w:w="1334" w:type="pct"/>
                  <w:vMerge w:val="restar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rPr>
                  </w:pPr>
                  <w:r>
                    <w:rPr>
                      <w:rFonts w:hint="default" w:ascii="Times New Roman" w:hAnsi="Times New Roman" w:eastAsia="宋体" w:cs="Times New Roman"/>
                      <w:color w:val="auto"/>
                      <w:sz w:val="18"/>
                      <w:szCs w:val="18"/>
                      <w:highlight w:val="none"/>
                      <w:vertAlign w:val="baseline"/>
                    </w:rPr>
                    <w:t>《山东省医疗机构污染物排放控制标准》(DB37/596—2020)表2污水处理站周边大气污染物最高允许浓度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color w:val="auto"/>
                      <w:sz w:val="18"/>
                      <w:szCs w:val="18"/>
                      <w:highlight w:val="none"/>
                    </w:rPr>
                  </w:pPr>
                </w:p>
              </w:tc>
              <w:tc>
                <w:tcPr>
                  <w:tcW w:w="618"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color w:val="auto"/>
                      <w:sz w:val="18"/>
                      <w:szCs w:val="18"/>
                      <w:highlight w:val="none"/>
                    </w:rPr>
                  </w:pPr>
                </w:p>
              </w:tc>
              <w:tc>
                <w:tcPr>
                  <w:tcW w:w="868"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硫化氢</w:t>
                  </w:r>
                </w:p>
              </w:tc>
              <w:tc>
                <w:tcPr>
                  <w:tcW w:w="878"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vertAlign w:val="baseline"/>
                      <w:lang w:val="en-US" w:eastAsia="zh-CN"/>
                    </w:rPr>
                  </w:pPr>
                </w:p>
              </w:tc>
              <w:tc>
                <w:tcPr>
                  <w:tcW w:w="1004"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0.03</w:t>
                  </w:r>
                </w:p>
              </w:tc>
              <w:tc>
                <w:tcPr>
                  <w:tcW w:w="1334"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5"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vertAlign w:val="baseline"/>
                      <w:lang w:val="en-US" w:eastAsia="zh-CN"/>
                    </w:rPr>
                  </w:pPr>
                </w:p>
              </w:tc>
              <w:tc>
                <w:tcPr>
                  <w:tcW w:w="618"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vertAlign w:val="baseline"/>
                      <w:lang w:val="en-US" w:eastAsia="zh-CN"/>
                    </w:rPr>
                  </w:pPr>
                </w:p>
              </w:tc>
              <w:tc>
                <w:tcPr>
                  <w:tcW w:w="868"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氨气</w:t>
                  </w:r>
                </w:p>
              </w:tc>
              <w:tc>
                <w:tcPr>
                  <w:tcW w:w="878"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vertAlign w:val="baseline"/>
                      <w:lang w:val="en-US" w:eastAsia="zh-CN"/>
                    </w:rPr>
                  </w:pPr>
                </w:p>
              </w:tc>
              <w:tc>
                <w:tcPr>
                  <w:tcW w:w="1004"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1.0</w:t>
                  </w:r>
                </w:p>
              </w:tc>
              <w:tc>
                <w:tcPr>
                  <w:tcW w:w="1334" w:type="pct"/>
                  <w:vMerge w:val="continue"/>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rPr>
                  </w:pPr>
                </w:p>
              </w:tc>
              <w:tc>
                <w:tcPr>
                  <w:tcW w:w="618"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停车场</w:t>
                  </w:r>
                </w:p>
              </w:tc>
              <w:tc>
                <w:tcPr>
                  <w:tcW w:w="868" w:type="pct"/>
                  <w:noWrap w:val="0"/>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汽车尾气</w:t>
                  </w:r>
                </w:p>
              </w:tc>
              <w:tc>
                <w:tcPr>
                  <w:tcW w:w="1883" w:type="pct"/>
                  <w:gridSpan w:val="2"/>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减少怠速行驶</w:t>
                  </w:r>
                </w:p>
              </w:tc>
              <w:tc>
                <w:tcPr>
                  <w:tcW w:w="13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废水</w:t>
                  </w:r>
                </w:p>
              </w:tc>
              <w:tc>
                <w:tcPr>
                  <w:tcW w:w="618"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eastAsia="宋体" w:cs="Times New Roman"/>
                      <w:color w:val="auto"/>
                      <w:sz w:val="18"/>
                      <w:szCs w:val="18"/>
                      <w:highlight w:val="none"/>
                      <w:vertAlign w:val="baseline"/>
                      <w:lang w:val="en-US" w:eastAsia="zh-CN"/>
                    </w:rPr>
                    <w:t>综合废水</w:t>
                  </w: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粪大肠菌群数</w:t>
                  </w:r>
                </w:p>
              </w:tc>
              <w:tc>
                <w:tcPr>
                  <w:tcW w:w="8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r>
                    <w:rPr>
                      <w:rFonts w:hint="eastAsia" w:cs="宋体"/>
                      <w:color w:val="auto"/>
                      <w:sz w:val="18"/>
                      <w:szCs w:val="18"/>
                      <w:highlight w:val="none"/>
                      <w:lang w:eastAsia="zh-CN"/>
                    </w:rPr>
                    <w:t>经</w:t>
                  </w:r>
                  <w:r>
                    <w:rPr>
                      <w:rFonts w:hint="eastAsia" w:cs="宋体"/>
                      <w:color w:val="auto"/>
                      <w:sz w:val="18"/>
                      <w:szCs w:val="18"/>
                      <w:highlight w:val="none"/>
                      <w:lang w:val="en-US" w:eastAsia="zh-CN"/>
                    </w:rPr>
                    <w:t>院</w:t>
                  </w:r>
                  <w:r>
                    <w:rPr>
                      <w:rFonts w:hint="eastAsia" w:cs="宋体"/>
                      <w:color w:val="auto"/>
                      <w:sz w:val="18"/>
                      <w:szCs w:val="18"/>
                      <w:highlight w:val="none"/>
                      <w:lang w:eastAsia="zh-CN"/>
                    </w:rPr>
                    <w:t>内污水处理站（格栅+调节池+缺氧池+好氧池+二沉池+絮凝池+消毒池）处理后排入光大水务（淄博）有限公司水质净化一分厂深度处理</w:t>
                  </w: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500</w:t>
                  </w:r>
                  <w:r>
                    <w:rPr>
                      <w:rFonts w:hint="default" w:ascii="Times New Roman" w:hAnsi="Times New Roman" w:eastAsia="宋体" w:cs="Times New Roman"/>
                      <w:color w:val="auto"/>
                      <w:sz w:val="18"/>
                      <w:szCs w:val="18"/>
                      <w:highlight w:val="none"/>
                    </w:rPr>
                    <w:t>MPN/L</w:t>
                  </w:r>
                </w:p>
              </w:tc>
              <w:tc>
                <w:tcPr>
                  <w:tcW w:w="133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lang w:val="en-US" w:eastAsia="zh-CN"/>
                    </w:rPr>
                  </w:pPr>
                  <w:r>
                    <w:rPr>
                      <w:rFonts w:hint="default" w:ascii="Times New Roman" w:hAnsi="Times New Roman" w:eastAsia="宋体" w:cs="Times New Roman"/>
                      <w:color w:val="auto"/>
                      <w:sz w:val="18"/>
                      <w:szCs w:val="18"/>
                      <w:highlight w:val="none"/>
                      <w:vertAlign w:val="baseline"/>
                      <w:lang w:val="en-US" w:eastAsia="zh-CN"/>
                    </w:rPr>
                    <w:t>《山东省医疗机构污染物排放控制标准》(DB37/596—2020)表1中二级标准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pH</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6~9</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COD</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120mg/L</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BOD</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30mg/L</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氨氮</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25mg/L</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SS</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60mg/L</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动植物油</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15mg/L</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石油类</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10mg/L</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阴离子表面活性剂</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10mg/L</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挥发酚</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0.5mg/L</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总余氯</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8mg/L</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总磷（以P计）</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5mg/L</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氟化物（以F</w:t>
                  </w:r>
                  <w:r>
                    <w:rPr>
                      <w:rFonts w:hint="eastAsia" w:ascii="Times New Roman" w:hAnsi="Times New Roman" w:eastAsia="宋体" w:cs="Times New Roman"/>
                      <w:color w:val="auto"/>
                      <w:sz w:val="18"/>
                      <w:szCs w:val="18"/>
                      <w:highlight w:val="none"/>
                      <w:vertAlign w:val="superscript"/>
                      <w:lang w:val="en-US" w:eastAsia="zh-CN"/>
                    </w:rPr>
                    <w:t>-</w:t>
                  </w:r>
                  <w:r>
                    <w:rPr>
                      <w:rFonts w:hint="eastAsia" w:ascii="Times New Roman" w:hAnsi="Times New Roman" w:eastAsia="宋体" w:cs="Times New Roman"/>
                      <w:color w:val="auto"/>
                      <w:sz w:val="18"/>
                      <w:szCs w:val="18"/>
                      <w:highlight w:val="none"/>
                      <w:lang w:val="en-US" w:eastAsia="zh-CN"/>
                    </w:rPr>
                    <w:t>计）</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20mg/L</w:t>
                  </w:r>
                </w:p>
              </w:tc>
              <w:tc>
                <w:tcPr>
                  <w:tcW w:w="13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868"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溶解性总固体</w:t>
                  </w:r>
                </w:p>
              </w:tc>
              <w:tc>
                <w:tcPr>
                  <w:tcW w:w="87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sz w:val="18"/>
                      <w:szCs w:val="18"/>
                      <w:highlight w:val="none"/>
                      <w:lang w:eastAsia="zh-CN"/>
                    </w:rPr>
                  </w:pPr>
                </w:p>
              </w:tc>
              <w:tc>
                <w:tcPr>
                  <w:tcW w:w="1004" w:type="pct"/>
                  <w:noWrap w:val="0"/>
                  <w:vAlign w:val="center"/>
                </w:tcPr>
                <w:p>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eastAsia="宋体" w:cs="Times New Roman"/>
                      <w:color w:val="auto"/>
                      <w:sz w:val="18"/>
                      <w:szCs w:val="18"/>
                      <w:highlight w:val="none"/>
                      <w:lang w:val="en-US" w:eastAsia="zh-CN"/>
                    </w:rPr>
                  </w:pPr>
                  <w:r>
                    <w:rPr>
                      <w:rFonts w:hint="eastAsia" w:cs="Times New Roman"/>
                      <w:color w:val="auto"/>
                      <w:sz w:val="18"/>
                      <w:szCs w:val="18"/>
                      <w:highlight w:val="none"/>
                      <w:lang w:val="en-US" w:eastAsia="zh-CN"/>
                    </w:rPr>
                    <w:t>2000</w:t>
                  </w:r>
                  <w:r>
                    <w:rPr>
                      <w:rFonts w:hint="eastAsia" w:ascii="Times New Roman" w:hAnsi="Times New Roman" w:eastAsia="宋体" w:cs="Times New Roman"/>
                      <w:color w:val="auto"/>
                      <w:sz w:val="18"/>
                      <w:szCs w:val="18"/>
                      <w:highlight w:val="none"/>
                      <w:lang w:val="en-US" w:eastAsia="zh-CN"/>
                    </w:rPr>
                    <w:t>mg/L</w:t>
                  </w:r>
                </w:p>
              </w:tc>
              <w:tc>
                <w:tcPr>
                  <w:tcW w:w="13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18"/>
                      <w:szCs w:val="18"/>
                      <w:highlight w:val="none"/>
                      <w:vertAlign w:val="baseline"/>
                    </w:rPr>
                  </w:pPr>
                  <w:r>
                    <w:rPr>
                      <w:rFonts w:hint="eastAsia" w:ascii="Times New Roman" w:hAnsi="Times New Roman"/>
                      <w:color w:val="auto"/>
                      <w:sz w:val="18"/>
                      <w:szCs w:val="18"/>
                      <w:highlight w:val="none"/>
                      <w:lang w:val="en-US" w:eastAsia="zh-CN"/>
                    </w:rPr>
                    <w:t>《污水排入城镇下水道水质标准》（GB/T31962-2015）表1中B等级标准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r>
                    <w:rPr>
                      <w:rFonts w:hint="eastAsia" w:ascii="Times New Roman" w:hAnsi="Times New Roman" w:eastAsia="宋体" w:cs="Times New Roman"/>
                      <w:color w:val="auto"/>
                      <w:sz w:val="18"/>
                      <w:szCs w:val="18"/>
                      <w:highlight w:val="none"/>
                      <w:vertAlign w:val="baseline"/>
                      <w:lang w:eastAsia="zh-CN"/>
                    </w:rPr>
                    <w:t>噪声</w:t>
                  </w:r>
                </w:p>
              </w:tc>
              <w:tc>
                <w:tcPr>
                  <w:tcW w:w="618"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r>
                    <w:rPr>
                      <w:rFonts w:hint="eastAsia" w:ascii="Times New Roman" w:hAnsi="Times New Roman" w:eastAsia="宋体" w:cs="Times New Roman"/>
                      <w:color w:val="auto"/>
                      <w:sz w:val="18"/>
                      <w:szCs w:val="18"/>
                      <w:highlight w:val="none"/>
                      <w:vertAlign w:val="baseline"/>
                      <w:lang w:val="en-US" w:eastAsia="zh-CN"/>
                    </w:rPr>
                    <w:t>厂界</w:t>
                  </w:r>
                </w:p>
              </w:tc>
              <w:tc>
                <w:tcPr>
                  <w:tcW w:w="868"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r>
                    <w:rPr>
                      <w:rFonts w:hint="eastAsia" w:ascii="Times New Roman" w:hAnsi="Times New Roman" w:eastAsia="宋体" w:cs="Times New Roman"/>
                      <w:color w:val="auto"/>
                      <w:sz w:val="18"/>
                      <w:szCs w:val="18"/>
                      <w:highlight w:val="none"/>
                      <w:vertAlign w:val="baseline"/>
                      <w:lang w:eastAsia="zh-CN"/>
                    </w:rPr>
                    <w:t>噪声</w:t>
                  </w:r>
                </w:p>
              </w:tc>
              <w:tc>
                <w:tcPr>
                  <w:tcW w:w="878"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r>
                    <w:rPr>
                      <w:rFonts w:hint="eastAsia" w:ascii="Times New Roman" w:hAnsi="Times New Roman" w:eastAsia="宋体" w:cs="Times New Roman"/>
                      <w:color w:val="auto"/>
                      <w:sz w:val="18"/>
                      <w:szCs w:val="18"/>
                      <w:highlight w:val="none"/>
                      <w:vertAlign w:val="baseline"/>
                      <w:lang w:eastAsia="zh-CN"/>
                    </w:rPr>
                    <w:t>采用低噪声设备，采取隔振、减振措施</w:t>
                  </w:r>
                </w:p>
              </w:tc>
              <w:tc>
                <w:tcPr>
                  <w:tcW w:w="1004"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rPr>
                  </w:pPr>
                  <w:r>
                    <w:rPr>
                      <w:rFonts w:hint="default" w:ascii="Times New Roman" w:hAnsi="Times New Roman" w:eastAsia="宋体" w:cs="Times New Roman"/>
                      <w:color w:val="auto"/>
                      <w:sz w:val="18"/>
                      <w:szCs w:val="18"/>
                      <w:highlight w:val="none"/>
                      <w:vertAlign w:val="baseline"/>
                      <w:lang w:val="en-US" w:eastAsia="zh-CN"/>
                    </w:rPr>
                    <w:t>西厂界</w:t>
                  </w:r>
                  <w:r>
                    <w:rPr>
                      <w:rFonts w:hint="eastAsia" w:ascii="Times New Roman" w:hAnsi="Times New Roman" w:eastAsia="宋体" w:cs="Times New Roman"/>
                      <w:color w:val="auto"/>
                      <w:sz w:val="18"/>
                      <w:szCs w:val="18"/>
                      <w:highlight w:val="none"/>
                      <w:vertAlign w:val="baseline"/>
                      <w:lang w:val="en-US" w:eastAsia="zh-CN"/>
                    </w:rPr>
                    <w:t>：</w:t>
                  </w:r>
                  <w:r>
                    <w:rPr>
                      <w:rFonts w:hint="default" w:ascii="Times New Roman" w:hAnsi="Times New Roman" w:eastAsia="宋体" w:cs="Times New Roman"/>
                      <w:color w:val="auto"/>
                      <w:sz w:val="18"/>
                      <w:szCs w:val="18"/>
                      <w:highlight w:val="none"/>
                      <w:vertAlign w:val="baseline"/>
                    </w:rPr>
                    <w:t>昼间≤</w:t>
                  </w:r>
                  <w:r>
                    <w:rPr>
                      <w:rFonts w:hint="default" w:ascii="Times New Roman" w:hAnsi="Times New Roman" w:eastAsia="宋体" w:cs="Times New Roman"/>
                      <w:color w:val="auto"/>
                      <w:sz w:val="18"/>
                      <w:szCs w:val="18"/>
                      <w:highlight w:val="none"/>
                      <w:vertAlign w:val="baseline"/>
                      <w:lang w:val="en-US" w:eastAsia="zh-CN"/>
                    </w:rPr>
                    <w:t>70</w:t>
                  </w:r>
                  <w:r>
                    <w:rPr>
                      <w:rFonts w:hint="default" w:ascii="Times New Roman" w:hAnsi="Times New Roman" w:eastAsia="宋体" w:cs="Times New Roman"/>
                      <w:color w:val="auto"/>
                      <w:sz w:val="18"/>
                      <w:szCs w:val="18"/>
                      <w:highlight w:val="none"/>
                      <w:vertAlign w:val="baseline"/>
                    </w:rPr>
                    <w:t>dB（A）、夜间≤</w:t>
                  </w:r>
                  <w:r>
                    <w:rPr>
                      <w:rFonts w:hint="default" w:ascii="Times New Roman" w:hAnsi="Times New Roman" w:eastAsia="宋体" w:cs="Times New Roman"/>
                      <w:color w:val="auto"/>
                      <w:sz w:val="18"/>
                      <w:szCs w:val="18"/>
                      <w:highlight w:val="none"/>
                      <w:vertAlign w:val="baseline"/>
                      <w:lang w:val="en-US" w:eastAsia="zh-CN"/>
                    </w:rPr>
                    <w:t>55</w:t>
                  </w:r>
                  <w:r>
                    <w:rPr>
                      <w:rFonts w:hint="default" w:ascii="Times New Roman" w:hAnsi="Times New Roman" w:eastAsia="宋体" w:cs="Times New Roman"/>
                      <w:color w:val="auto"/>
                      <w:sz w:val="18"/>
                      <w:szCs w:val="18"/>
                      <w:highlight w:val="none"/>
                      <w:vertAlign w:val="baseline"/>
                    </w:rPr>
                    <w:t>dB（A）</w:t>
                  </w:r>
                  <w:r>
                    <w:rPr>
                      <w:rFonts w:hint="eastAsia" w:ascii="Times New Roman" w:hAnsi="Times New Roman" w:eastAsia="宋体" w:cs="Times New Roman"/>
                      <w:color w:val="auto"/>
                      <w:sz w:val="18"/>
                      <w:szCs w:val="18"/>
                      <w:highlight w:val="none"/>
                      <w:vertAlign w:val="baseline"/>
                      <w:lang w:eastAsia="zh-CN"/>
                    </w:rPr>
                    <w:t>；</w:t>
                  </w:r>
                  <w:r>
                    <w:rPr>
                      <w:rFonts w:hint="default" w:ascii="Times New Roman" w:hAnsi="Times New Roman" w:eastAsia="宋体" w:cs="Times New Roman"/>
                      <w:color w:val="auto"/>
                      <w:sz w:val="18"/>
                      <w:szCs w:val="18"/>
                      <w:highlight w:val="none"/>
                      <w:vertAlign w:val="baseline"/>
                      <w:lang w:val="en-US" w:eastAsia="zh-CN"/>
                    </w:rPr>
                    <w:t>其他厂界</w:t>
                  </w:r>
                  <w:r>
                    <w:rPr>
                      <w:rFonts w:hint="eastAsia" w:ascii="Times New Roman" w:hAnsi="Times New Roman" w:eastAsia="宋体" w:cs="Times New Roman"/>
                      <w:color w:val="auto"/>
                      <w:sz w:val="18"/>
                      <w:szCs w:val="18"/>
                      <w:highlight w:val="none"/>
                      <w:vertAlign w:val="baseline"/>
                      <w:lang w:val="en-US" w:eastAsia="zh-CN"/>
                    </w:rPr>
                    <w:t>：</w:t>
                  </w:r>
                  <w:r>
                    <w:rPr>
                      <w:rFonts w:hint="default" w:ascii="Times New Roman" w:hAnsi="Times New Roman" w:eastAsia="宋体" w:cs="Times New Roman"/>
                      <w:color w:val="auto"/>
                      <w:sz w:val="18"/>
                      <w:szCs w:val="18"/>
                      <w:highlight w:val="none"/>
                      <w:vertAlign w:val="baseline"/>
                    </w:rPr>
                    <w:t>昼间≤55dB（A）、夜间≤45dB（A）</w:t>
                  </w:r>
                </w:p>
              </w:tc>
              <w:tc>
                <w:tcPr>
                  <w:tcW w:w="1334" w:type="pc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rPr>
                  </w:pPr>
                  <w:r>
                    <w:rPr>
                      <w:rFonts w:hint="default" w:ascii="Times New Roman" w:hAnsi="Times New Roman" w:eastAsia="宋体" w:cs="Times New Roman"/>
                      <w:color w:val="auto"/>
                      <w:sz w:val="18"/>
                      <w:szCs w:val="18"/>
                      <w:highlight w:val="none"/>
                      <w:vertAlign w:val="baseline"/>
                      <w:lang w:val="en-US" w:eastAsia="zh-CN"/>
                    </w:rPr>
                    <w:t>西厂界</w:t>
                  </w:r>
                  <w:r>
                    <w:rPr>
                      <w:rFonts w:hint="default" w:ascii="Times New Roman" w:hAnsi="Times New Roman" w:eastAsia="宋体" w:cs="Times New Roman"/>
                      <w:color w:val="auto"/>
                      <w:sz w:val="18"/>
                      <w:szCs w:val="18"/>
                      <w:highlight w:val="none"/>
                      <w:vertAlign w:val="baseline"/>
                    </w:rPr>
                    <w:t>《工业企业厂界环境噪声排放标准》（GB 2348-2008）中</w:t>
                  </w:r>
                  <w:r>
                    <w:rPr>
                      <w:rFonts w:hint="default" w:ascii="Times New Roman" w:hAnsi="Times New Roman" w:eastAsia="宋体" w:cs="Times New Roman"/>
                      <w:color w:val="auto"/>
                      <w:sz w:val="18"/>
                      <w:szCs w:val="18"/>
                      <w:highlight w:val="none"/>
                      <w:vertAlign w:val="baseline"/>
                      <w:lang w:val="en-US" w:eastAsia="zh-CN"/>
                    </w:rPr>
                    <w:t>4</w:t>
                  </w:r>
                  <w:r>
                    <w:rPr>
                      <w:rFonts w:hint="default" w:ascii="Times New Roman" w:hAnsi="Times New Roman" w:eastAsia="宋体" w:cs="Times New Roman"/>
                      <w:color w:val="auto"/>
                      <w:sz w:val="18"/>
                      <w:szCs w:val="18"/>
                      <w:highlight w:val="none"/>
                      <w:vertAlign w:val="baseline"/>
                    </w:rPr>
                    <w:t>类标准（昼间≤</w:t>
                  </w:r>
                  <w:r>
                    <w:rPr>
                      <w:rFonts w:hint="default" w:ascii="Times New Roman" w:hAnsi="Times New Roman" w:eastAsia="宋体" w:cs="Times New Roman"/>
                      <w:color w:val="auto"/>
                      <w:sz w:val="18"/>
                      <w:szCs w:val="18"/>
                      <w:highlight w:val="none"/>
                      <w:vertAlign w:val="baseline"/>
                      <w:lang w:val="en-US" w:eastAsia="zh-CN"/>
                    </w:rPr>
                    <w:t>70</w:t>
                  </w:r>
                  <w:r>
                    <w:rPr>
                      <w:rFonts w:hint="default" w:ascii="Times New Roman" w:hAnsi="Times New Roman" w:eastAsia="宋体" w:cs="Times New Roman"/>
                      <w:color w:val="auto"/>
                      <w:sz w:val="18"/>
                      <w:szCs w:val="18"/>
                      <w:highlight w:val="none"/>
                      <w:vertAlign w:val="baseline"/>
                    </w:rPr>
                    <w:t>dB（A）、夜间≤</w:t>
                  </w:r>
                  <w:r>
                    <w:rPr>
                      <w:rFonts w:hint="default" w:ascii="Times New Roman" w:hAnsi="Times New Roman" w:eastAsia="宋体" w:cs="Times New Roman"/>
                      <w:color w:val="auto"/>
                      <w:sz w:val="18"/>
                      <w:szCs w:val="18"/>
                      <w:highlight w:val="none"/>
                      <w:vertAlign w:val="baseline"/>
                      <w:lang w:val="en-US" w:eastAsia="zh-CN"/>
                    </w:rPr>
                    <w:t>55</w:t>
                  </w:r>
                  <w:r>
                    <w:rPr>
                      <w:rFonts w:hint="default" w:ascii="Times New Roman" w:hAnsi="Times New Roman" w:eastAsia="宋体" w:cs="Times New Roman"/>
                      <w:color w:val="auto"/>
                      <w:sz w:val="18"/>
                      <w:szCs w:val="18"/>
                      <w:highlight w:val="none"/>
                      <w:vertAlign w:val="baseline"/>
                    </w:rPr>
                    <w:t>dB（A））</w:t>
                  </w:r>
                  <w:r>
                    <w:rPr>
                      <w:rFonts w:hint="default" w:ascii="Times New Roman" w:hAnsi="Times New Roman" w:eastAsia="宋体" w:cs="Times New Roman"/>
                      <w:color w:val="auto"/>
                      <w:sz w:val="18"/>
                      <w:szCs w:val="18"/>
                      <w:highlight w:val="none"/>
                      <w:vertAlign w:val="baseline"/>
                      <w:lang w:eastAsia="zh-CN"/>
                    </w:rPr>
                    <w:t>，</w:t>
                  </w:r>
                  <w:r>
                    <w:rPr>
                      <w:rFonts w:hint="default" w:ascii="Times New Roman" w:hAnsi="Times New Roman" w:eastAsia="宋体" w:cs="Times New Roman"/>
                      <w:color w:val="auto"/>
                      <w:sz w:val="18"/>
                      <w:szCs w:val="18"/>
                      <w:highlight w:val="none"/>
                      <w:vertAlign w:val="baseline"/>
                      <w:lang w:val="en-US" w:eastAsia="zh-CN"/>
                    </w:rPr>
                    <w:t>其他厂界</w:t>
                  </w:r>
                  <w:r>
                    <w:rPr>
                      <w:rFonts w:hint="default" w:ascii="Times New Roman" w:hAnsi="Times New Roman" w:eastAsia="宋体" w:cs="Times New Roman"/>
                      <w:color w:val="auto"/>
                      <w:sz w:val="18"/>
                      <w:szCs w:val="18"/>
                      <w:highlight w:val="none"/>
                      <w:vertAlign w:val="baseline"/>
                    </w:rPr>
                    <w:t>《工业企业厂界环境噪声排放标准》（GB 2348-2008）中1类标准（昼间≤55dB（A）、夜间≤45dB（A））</w:t>
                  </w:r>
                  <w:r>
                    <w:rPr>
                      <w:rFonts w:hint="default" w:ascii="Times New Roman" w:hAnsi="Times New Roman" w:eastAsia="宋体" w:cs="Times New Roman"/>
                      <w:color w:val="auto"/>
                      <w:sz w:val="18"/>
                      <w:szCs w:val="18"/>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r>
                    <w:rPr>
                      <w:rFonts w:hint="eastAsia" w:ascii="Times New Roman" w:hAnsi="Times New Roman" w:eastAsia="宋体" w:cs="Times New Roman"/>
                      <w:color w:val="auto"/>
                      <w:sz w:val="18"/>
                      <w:szCs w:val="18"/>
                      <w:highlight w:val="none"/>
                      <w:vertAlign w:val="baseline"/>
                      <w:lang w:eastAsia="zh-CN"/>
                    </w:rPr>
                    <w:t>固废</w:t>
                  </w:r>
                </w:p>
              </w:tc>
              <w:tc>
                <w:tcPr>
                  <w:tcW w:w="618" w:type="pct"/>
                  <w:noWrap w:val="0"/>
                  <w:vAlign w:val="center"/>
                </w:tcPr>
                <w:p>
                  <w:pPr>
                    <w:jc w:val="center"/>
                    <w:rPr>
                      <w:rFonts w:hint="default" w:ascii="Times New Roman" w:hAnsi="Times New Roman" w:eastAsia="宋体" w:cs="Times New Roman"/>
                      <w:color w:val="auto"/>
                      <w:sz w:val="18"/>
                      <w:szCs w:val="18"/>
                      <w:highlight w:val="none"/>
                      <w:vertAlign w:val="baseline"/>
                      <w:lang w:val="en-US" w:eastAsia="zh-CN"/>
                    </w:rPr>
                  </w:pPr>
                  <w:r>
                    <w:rPr>
                      <w:color w:val="auto"/>
                      <w:sz w:val="18"/>
                      <w:szCs w:val="18"/>
                      <w:highlight w:val="none"/>
                    </w:rPr>
                    <w:t>医疗过程</w:t>
                  </w:r>
                </w:p>
              </w:tc>
              <w:tc>
                <w:tcPr>
                  <w:tcW w:w="868" w:type="pct"/>
                  <w:noWrap w:val="0"/>
                  <w:vAlign w:val="center"/>
                </w:tcPr>
                <w:p>
                  <w:pPr>
                    <w:jc w:val="center"/>
                    <w:rPr>
                      <w:rFonts w:hint="eastAsia" w:ascii="Times New Roman" w:hAnsi="Times New Roman" w:eastAsia="宋体" w:cs="Times New Roman"/>
                      <w:color w:val="auto"/>
                      <w:sz w:val="18"/>
                      <w:szCs w:val="18"/>
                      <w:highlight w:val="none"/>
                      <w:vertAlign w:val="baseline"/>
                      <w:lang w:eastAsia="zh-CN"/>
                    </w:rPr>
                  </w:pPr>
                  <w:r>
                    <w:rPr>
                      <w:color w:val="auto"/>
                      <w:sz w:val="18"/>
                      <w:szCs w:val="18"/>
                      <w:highlight w:val="none"/>
                    </w:rPr>
                    <w:t>医疗废物</w:t>
                  </w:r>
                </w:p>
              </w:tc>
              <w:tc>
                <w:tcPr>
                  <w:tcW w:w="878" w:type="pct"/>
                  <w:noWrap w:val="0"/>
                  <w:vAlign w:val="center"/>
                </w:tcPr>
                <w:p>
                  <w:pPr>
                    <w:jc w:val="center"/>
                    <w:rPr>
                      <w:rFonts w:hint="default" w:ascii="Times New Roman" w:hAnsi="Times New Roman" w:eastAsia="宋体" w:cs="Times New Roman"/>
                      <w:color w:val="auto"/>
                      <w:sz w:val="18"/>
                      <w:szCs w:val="18"/>
                      <w:highlight w:val="none"/>
                      <w:vertAlign w:val="baseline"/>
                      <w:lang w:val="en-US" w:eastAsia="zh-CN"/>
                    </w:rPr>
                  </w:pPr>
                  <w:r>
                    <w:rPr>
                      <w:color w:val="auto"/>
                      <w:sz w:val="18"/>
                      <w:szCs w:val="18"/>
                      <w:highlight w:val="none"/>
                    </w:rPr>
                    <w:t>委托有资质单位处置</w:t>
                  </w:r>
                </w:p>
              </w:tc>
              <w:tc>
                <w:tcPr>
                  <w:tcW w:w="2339" w:type="pct"/>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r>
                    <w:rPr>
                      <w:rFonts w:hint="eastAsia" w:ascii="Times New Roman" w:hAnsi="Times New Roman" w:eastAsia="宋体" w:cs="Times New Roman"/>
                      <w:color w:val="auto"/>
                      <w:sz w:val="18"/>
                      <w:szCs w:val="18"/>
                      <w:highlight w:val="none"/>
                      <w:vertAlign w:val="baseline"/>
                      <w:lang w:eastAsia="zh-CN"/>
                    </w:rPr>
                    <w:t>一般固废执行</w:t>
                  </w:r>
                  <w:r>
                    <w:rPr>
                      <w:rFonts w:hint="default" w:ascii="Times New Roman" w:hAnsi="Times New Roman" w:cs="Times New Roman"/>
                      <w:color w:val="auto"/>
                      <w:sz w:val="18"/>
                      <w:szCs w:val="18"/>
                      <w:highlight w:val="none"/>
                    </w:rPr>
                    <w:t>《一般工业固体废物贮存</w:t>
                  </w:r>
                  <w:r>
                    <w:rPr>
                      <w:rFonts w:hint="default" w:ascii="Times New Roman" w:hAnsi="Times New Roman" w:cs="Times New Roman"/>
                      <w:color w:val="auto"/>
                      <w:sz w:val="18"/>
                      <w:szCs w:val="18"/>
                      <w:highlight w:val="none"/>
                      <w:lang w:val="en-US" w:eastAsia="zh-CN"/>
                    </w:rPr>
                    <w:t>和填埋</w:t>
                  </w:r>
                  <w:r>
                    <w:rPr>
                      <w:rFonts w:hint="default" w:ascii="Times New Roman" w:hAnsi="Times New Roman" w:cs="Times New Roman"/>
                      <w:color w:val="auto"/>
                      <w:sz w:val="18"/>
                      <w:szCs w:val="18"/>
                      <w:highlight w:val="none"/>
                    </w:rPr>
                    <w:t>污染控制标准》（GB18599-2020）</w:t>
                  </w:r>
                  <w:r>
                    <w:rPr>
                      <w:rFonts w:hint="eastAsia" w:ascii="Times New Roman" w:hAnsi="Times New Roman" w:eastAsia="宋体" w:cs="Times New Roman"/>
                      <w:color w:val="auto"/>
                      <w:sz w:val="18"/>
                      <w:szCs w:val="18"/>
                      <w:highlight w:val="none"/>
                      <w:vertAlign w:val="baseline"/>
                      <w:lang w:eastAsia="zh-CN"/>
                    </w:rPr>
                    <w:t>；危险废物贮存执行《危险废物贮存污染控制标准》（GB18597-2001）及其修改单中的规定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noWrap w:val="0"/>
                  <w:vAlign w:val="center"/>
                </w:tcPr>
                <w:p>
                  <w:pPr>
                    <w:jc w:val="center"/>
                    <w:rPr>
                      <w:rFonts w:hint="eastAsia" w:ascii="Times New Roman" w:hAnsi="Times New Roman" w:eastAsia="宋体" w:cs="Times New Roman"/>
                      <w:color w:val="auto"/>
                      <w:sz w:val="18"/>
                      <w:szCs w:val="18"/>
                      <w:highlight w:val="none"/>
                      <w:vertAlign w:val="baseline"/>
                      <w:lang w:eastAsia="zh-CN"/>
                    </w:rPr>
                  </w:pPr>
                  <w:r>
                    <w:rPr>
                      <w:color w:val="auto"/>
                      <w:sz w:val="18"/>
                      <w:szCs w:val="18"/>
                      <w:highlight w:val="none"/>
                    </w:rPr>
                    <w:t>污水处理</w:t>
                  </w:r>
                </w:p>
              </w:tc>
              <w:tc>
                <w:tcPr>
                  <w:tcW w:w="868" w:type="pct"/>
                  <w:noWrap w:val="0"/>
                  <w:vAlign w:val="center"/>
                </w:tcPr>
                <w:p>
                  <w:pPr>
                    <w:jc w:val="center"/>
                    <w:rPr>
                      <w:rFonts w:hint="default" w:ascii="Times New Roman" w:hAnsi="Times New Roman" w:eastAsia="宋体" w:cs="Times New Roman"/>
                      <w:color w:val="auto"/>
                      <w:sz w:val="18"/>
                      <w:szCs w:val="18"/>
                      <w:highlight w:val="none"/>
                      <w:vertAlign w:val="baseline"/>
                      <w:lang w:val="en-US" w:eastAsia="zh-CN"/>
                    </w:rPr>
                  </w:pPr>
                  <w:r>
                    <w:rPr>
                      <w:color w:val="auto"/>
                      <w:sz w:val="18"/>
                      <w:szCs w:val="18"/>
                      <w:highlight w:val="none"/>
                    </w:rPr>
                    <w:t>污水处理站污泥</w:t>
                  </w:r>
                </w:p>
              </w:tc>
              <w:tc>
                <w:tcPr>
                  <w:tcW w:w="878" w:type="pct"/>
                  <w:noWrap w:val="0"/>
                  <w:vAlign w:val="center"/>
                </w:tcPr>
                <w:p>
                  <w:pPr>
                    <w:jc w:val="center"/>
                    <w:rPr>
                      <w:rFonts w:hint="eastAsia" w:ascii="Times New Roman" w:hAnsi="Times New Roman" w:eastAsia="宋体" w:cs="Times New Roman"/>
                      <w:color w:val="auto"/>
                      <w:sz w:val="18"/>
                      <w:szCs w:val="18"/>
                      <w:highlight w:val="none"/>
                      <w:vertAlign w:val="baseline"/>
                      <w:lang w:eastAsia="zh-CN"/>
                    </w:rPr>
                  </w:pPr>
                  <w:r>
                    <w:rPr>
                      <w:color w:val="auto"/>
                      <w:sz w:val="18"/>
                      <w:szCs w:val="18"/>
                      <w:highlight w:val="none"/>
                    </w:rPr>
                    <w:t>委托有资质单位处置</w:t>
                  </w:r>
                </w:p>
              </w:tc>
              <w:tc>
                <w:tcPr>
                  <w:tcW w:w="2339"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noWrap w:val="0"/>
                  <w:vAlign w:val="center"/>
                </w:tcPr>
                <w:p>
                  <w:pPr>
                    <w:jc w:val="center"/>
                    <w:rPr>
                      <w:rFonts w:hint="default" w:ascii="Times New Roman" w:hAnsi="Times New Roman" w:eastAsia="宋体" w:cs="Times New Roman"/>
                      <w:b w:val="0"/>
                      <w:bCs w:val="0"/>
                      <w:color w:val="auto"/>
                      <w:sz w:val="18"/>
                      <w:szCs w:val="18"/>
                      <w:highlight w:val="none"/>
                      <w:lang w:val="en-US" w:eastAsia="zh-CN"/>
                    </w:rPr>
                  </w:pPr>
                  <w:r>
                    <w:rPr>
                      <w:color w:val="auto"/>
                      <w:sz w:val="18"/>
                      <w:szCs w:val="18"/>
                      <w:highlight w:val="none"/>
                    </w:rPr>
                    <w:t>污水处理</w:t>
                  </w:r>
                </w:p>
              </w:tc>
              <w:tc>
                <w:tcPr>
                  <w:tcW w:w="868" w:type="pct"/>
                  <w:noWrap w:val="0"/>
                  <w:vAlign w:val="center"/>
                </w:tcPr>
                <w:p>
                  <w:pPr>
                    <w:jc w:val="center"/>
                    <w:rPr>
                      <w:rFonts w:hint="default" w:ascii="Times New Roman" w:hAnsi="Times New Roman" w:eastAsia="宋体" w:cs="Times New Roman"/>
                      <w:b w:val="0"/>
                      <w:bCs w:val="0"/>
                      <w:color w:val="auto"/>
                      <w:sz w:val="18"/>
                      <w:szCs w:val="18"/>
                      <w:highlight w:val="none"/>
                      <w:lang w:val="en-US" w:eastAsia="zh-CN"/>
                    </w:rPr>
                  </w:pPr>
                  <w:r>
                    <w:rPr>
                      <w:color w:val="auto"/>
                      <w:sz w:val="18"/>
                      <w:szCs w:val="18"/>
                      <w:highlight w:val="none"/>
                    </w:rPr>
                    <w:t>栅渣</w:t>
                  </w:r>
                </w:p>
              </w:tc>
              <w:tc>
                <w:tcPr>
                  <w:tcW w:w="878" w:type="pct"/>
                  <w:noWrap w:val="0"/>
                  <w:vAlign w:val="center"/>
                </w:tcPr>
                <w:p>
                  <w:pPr>
                    <w:jc w:val="center"/>
                    <w:rPr>
                      <w:rFonts w:hint="default" w:ascii="Times New Roman" w:hAnsi="Times New Roman" w:eastAsia="宋体" w:cs="Times New Roman"/>
                      <w:color w:val="auto"/>
                      <w:sz w:val="18"/>
                      <w:szCs w:val="18"/>
                      <w:highlight w:val="none"/>
                      <w:vertAlign w:val="baseline"/>
                      <w:lang w:val="en-US" w:eastAsia="zh-CN"/>
                    </w:rPr>
                  </w:pPr>
                  <w:r>
                    <w:rPr>
                      <w:color w:val="auto"/>
                      <w:sz w:val="18"/>
                      <w:szCs w:val="18"/>
                      <w:highlight w:val="none"/>
                    </w:rPr>
                    <w:t>委托有资质单位处置</w:t>
                  </w:r>
                </w:p>
              </w:tc>
              <w:tc>
                <w:tcPr>
                  <w:tcW w:w="2339"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noWrap w:val="0"/>
                  <w:vAlign w:val="center"/>
                </w:tcPr>
                <w:p>
                  <w:pPr>
                    <w:jc w:val="center"/>
                    <w:rPr>
                      <w:rFonts w:hint="eastAsia" w:ascii="Times New Roman" w:hAnsi="Times New Roman" w:eastAsia="宋体" w:cs="Times New Roman"/>
                      <w:color w:val="auto"/>
                      <w:sz w:val="18"/>
                      <w:szCs w:val="18"/>
                      <w:highlight w:val="none"/>
                      <w:vertAlign w:val="baseline"/>
                      <w:lang w:eastAsia="zh-CN"/>
                    </w:rPr>
                  </w:pPr>
                  <w:r>
                    <w:rPr>
                      <w:color w:val="auto"/>
                      <w:sz w:val="18"/>
                      <w:szCs w:val="18"/>
                      <w:highlight w:val="none"/>
                    </w:rPr>
                    <w:t>医疗过程</w:t>
                  </w:r>
                </w:p>
              </w:tc>
              <w:tc>
                <w:tcPr>
                  <w:tcW w:w="868" w:type="pct"/>
                  <w:noWrap w:val="0"/>
                  <w:vAlign w:val="center"/>
                </w:tcPr>
                <w:p>
                  <w:pPr>
                    <w:jc w:val="center"/>
                    <w:rPr>
                      <w:rFonts w:hint="eastAsia" w:ascii="Times New Roman" w:hAnsi="Times New Roman" w:eastAsia="宋体" w:cs="Times New Roman"/>
                      <w:color w:val="auto"/>
                      <w:sz w:val="18"/>
                      <w:szCs w:val="18"/>
                      <w:highlight w:val="none"/>
                      <w:vertAlign w:val="baseline"/>
                      <w:lang w:eastAsia="zh-CN"/>
                    </w:rPr>
                  </w:pPr>
                  <w:r>
                    <w:rPr>
                      <w:color w:val="auto"/>
                      <w:sz w:val="18"/>
                      <w:szCs w:val="18"/>
                      <w:highlight w:val="none"/>
                    </w:rPr>
                    <w:t>废包装物</w:t>
                  </w:r>
                </w:p>
              </w:tc>
              <w:tc>
                <w:tcPr>
                  <w:tcW w:w="878" w:type="pct"/>
                  <w:noWrap w:val="0"/>
                  <w:vAlign w:val="center"/>
                </w:tcPr>
                <w:p>
                  <w:pPr>
                    <w:jc w:val="center"/>
                    <w:rPr>
                      <w:rFonts w:hint="eastAsia" w:ascii="Times New Roman" w:hAnsi="Times New Roman" w:eastAsia="宋体" w:cs="Times New Roman"/>
                      <w:color w:val="auto"/>
                      <w:sz w:val="18"/>
                      <w:szCs w:val="18"/>
                      <w:highlight w:val="none"/>
                      <w:vertAlign w:val="baseline"/>
                      <w:lang w:eastAsia="zh-CN"/>
                    </w:rPr>
                  </w:pPr>
                  <w:r>
                    <w:rPr>
                      <w:color w:val="auto"/>
                      <w:sz w:val="18"/>
                      <w:szCs w:val="18"/>
                      <w:highlight w:val="none"/>
                    </w:rPr>
                    <w:t>外售</w:t>
                  </w:r>
                </w:p>
              </w:tc>
              <w:tc>
                <w:tcPr>
                  <w:tcW w:w="2339"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color w:val="auto"/>
                      <w:sz w:val="18"/>
                      <w:szCs w:val="18"/>
                      <w:highlight w:val="none"/>
                      <w:vertAlign w:val="baseline"/>
                      <w:lang w:eastAsia="zh-CN"/>
                    </w:rPr>
                  </w:pPr>
                </w:p>
              </w:tc>
              <w:tc>
                <w:tcPr>
                  <w:tcW w:w="618" w:type="pct"/>
                  <w:noWrap w:val="0"/>
                  <w:vAlign w:val="center"/>
                </w:tcPr>
                <w:p>
                  <w:pPr>
                    <w:jc w:val="center"/>
                    <w:rPr>
                      <w:rFonts w:hint="default" w:ascii="Times New Roman" w:hAnsi="Times New Roman" w:eastAsia="宋体" w:cs="Times New Roman"/>
                      <w:b w:val="0"/>
                      <w:bCs w:val="0"/>
                      <w:color w:val="auto"/>
                      <w:sz w:val="18"/>
                      <w:szCs w:val="18"/>
                      <w:highlight w:val="none"/>
                    </w:rPr>
                  </w:pPr>
                  <w:r>
                    <w:rPr>
                      <w:color w:val="auto"/>
                      <w:sz w:val="18"/>
                      <w:szCs w:val="18"/>
                      <w:highlight w:val="none"/>
                    </w:rPr>
                    <w:t>人员生活</w:t>
                  </w:r>
                </w:p>
              </w:tc>
              <w:tc>
                <w:tcPr>
                  <w:tcW w:w="868" w:type="pct"/>
                  <w:noWrap w:val="0"/>
                  <w:vAlign w:val="center"/>
                </w:tcPr>
                <w:p>
                  <w:pPr>
                    <w:jc w:val="center"/>
                    <w:rPr>
                      <w:rFonts w:hint="default" w:ascii="Times New Roman" w:hAnsi="Times New Roman" w:eastAsia="宋体" w:cs="Times New Roman"/>
                      <w:b w:val="0"/>
                      <w:bCs w:val="0"/>
                      <w:color w:val="auto"/>
                      <w:sz w:val="18"/>
                      <w:szCs w:val="18"/>
                      <w:highlight w:val="none"/>
                    </w:rPr>
                  </w:pPr>
                  <w:r>
                    <w:rPr>
                      <w:color w:val="auto"/>
                      <w:sz w:val="18"/>
                      <w:szCs w:val="18"/>
                      <w:highlight w:val="none"/>
                    </w:rPr>
                    <w:t>生活垃圾</w:t>
                  </w:r>
                </w:p>
              </w:tc>
              <w:tc>
                <w:tcPr>
                  <w:tcW w:w="878" w:type="pct"/>
                  <w:noWrap w:val="0"/>
                  <w:vAlign w:val="center"/>
                </w:tcPr>
                <w:p>
                  <w:pPr>
                    <w:jc w:val="center"/>
                    <w:rPr>
                      <w:rFonts w:hint="default" w:ascii="Times New Roman" w:hAnsi="Times New Roman" w:eastAsia="宋体" w:cs="Times New Roman"/>
                      <w:b w:val="0"/>
                      <w:bCs w:val="0"/>
                      <w:color w:val="auto"/>
                      <w:sz w:val="18"/>
                      <w:szCs w:val="18"/>
                      <w:highlight w:val="none"/>
                    </w:rPr>
                  </w:pPr>
                  <w:r>
                    <w:rPr>
                      <w:color w:val="auto"/>
                      <w:sz w:val="18"/>
                      <w:szCs w:val="18"/>
                      <w:highlight w:val="none"/>
                    </w:rPr>
                    <w:t>环卫部门定期清运</w:t>
                  </w:r>
                </w:p>
              </w:tc>
              <w:tc>
                <w:tcPr>
                  <w:tcW w:w="2339"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18"/>
                      <w:szCs w:val="18"/>
                      <w:highlight w:val="none"/>
                      <w:vertAlign w:val="baseline"/>
                    </w:rPr>
                  </w:pPr>
                </w:p>
              </w:tc>
            </w:tr>
          </w:tbl>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adjustRightInd w:val="0"/>
              <w:snapToGrid w:val="0"/>
              <w:rPr>
                <w:color w:val="auto"/>
                <w:szCs w:val="21"/>
                <w:highlight w:val="none"/>
              </w:rPr>
            </w:pPr>
          </w:p>
        </w:tc>
      </w:tr>
    </w:tbl>
    <w:p>
      <w:pPr>
        <w:pStyle w:val="22"/>
        <w:jc w:val="center"/>
        <w:outlineLvl w:val="0"/>
        <w:rPr>
          <w:rFonts w:ascii="Times New Roman" w:hAnsi="Times New Roman" w:eastAsia="黑体"/>
          <w:snapToGrid w:val="0"/>
          <w:color w:val="auto"/>
          <w:sz w:val="30"/>
          <w:szCs w:val="30"/>
          <w:highlight w:val="none"/>
        </w:rPr>
      </w:pPr>
      <w:r>
        <w:rPr>
          <w:rFonts w:ascii="Times New Roman" w:hAnsi="Times New Roman"/>
          <w:snapToGrid w:val="0"/>
          <w:color w:val="auto"/>
          <w:highlight w:val="none"/>
        </w:rPr>
        <w:br w:type="page"/>
      </w:r>
      <w:r>
        <w:rPr>
          <w:rFonts w:ascii="Times New Roman" w:hAnsi="Times New Roman" w:eastAsia="黑体"/>
          <w:snapToGrid w:val="0"/>
          <w:color w:val="auto"/>
          <w:sz w:val="30"/>
          <w:szCs w:val="30"/>
          <w:highlight w:val="none"/>
        </w:rPr>
        <w:t>六、结论</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pStyle w:val="25"/>
              <w:keepNext w:val="0"/>
              <w:keepLines w:val="0"/>
              <w:pageBreakBefore w:val="0"/>
              <w:widowControl/>
              <w:kinsoku/>
              <w:wordWrap/>
              <w:overflowPunct/>
              <w:topLinePunct w:val="0"/>
              <w:autoSpaceDE/>
              <w:autoSpaceDN/>
              <w:bidi w:val="0"/>
              <w:adjustRightInd/>
              <w:snapToGrid w:val="0"/>
              <w:spacing w:before="0" w:after="0" w:line="360" w:lineRule="auto"/>
              <w:ind w:right="0"/>
              <w:textAlignment w:val="auto"/>
              <w:rPr>
                <w:color w:val="auto"/>
                <w:highlight w:val="none"/>
              </w:rPr>
            </w:pPr>
            <w:r>
              <w:rPr>
                <w:rFonts w:hint="eastAsia" w:ascii="Times New Roman" w:hAnsi="Times New Roman" w:eastAsia="宋体" w:cs="Times New Roman"/>
                <w:color w:val="auto"/>
                <w:kern w:val="2"/>
                <w:sz w:val="21"/>
                <w:szCs w:val="24"/>
                <w:highlight w:val="none"/>
                <w:lang w:val="en-US" w:eastAsia="zh-CN" w:bidi="ar-SA"/>
              </w:rPr>
              <w:t>项目建设地点位于淄博市张店区共青团路与原山大道交接处以东路北，其建设符合相关产业政策要求，符合城市总体规划要求，其建设和选址是合理的；针对各种可能对环境产生影响的环节，均采取了相应的防治措施，最大限度地降低废水、噪声、固废对环境可能造成的污染，在落实各项环保措施后，所排放的各种污染物能够达到国家相关标准要求，对环境影响较小。因此，从环保角度该项目建设是可行的。</w:t>
            </w:r>
          </w:p>
        </w:tc>
      </w:tr>
    </w:tbl>
    <w:p>
      <w:pPr>
        <w:rPr>
          <w:color w:val="auto"/>
          <w:highlight w:val="none"/>
        </w:rPr>
      </w:pPr>
    </w:p>
    <w:p>
      <w:pPr>
        <w:rPr>
          <w:color w:val="auto"/>
          <w:highlight w:val="none"/>
        </w:rPr>
        <w:sectPr>
          <w:pgSz w:w="11906" w:h="16838"/>
          <w:pgMar w:top="1701" w:right="1531" w:bottom="1701" w:left="1531" w:header="851" w:footer="851" w:gutter="0"/>
          <w:pgNumType w:fmt="numberInDash"/>
          <w:cols w:space="720" w:num="1"/>
          <w:docGrid w:linePitch="312" w:charSpace="0"/>
        </w:sectPr>
      </w:pPr>
    </w:p>
    <w:p>
      <w:pPr>
        <w:pStyle w:val="22"/>
        <w:adjustRightInd w:val="0"/>
        <w:snapToGrid w:val="0"/>
        <w:spacing w:before="0" w:beforeAutospacing="0" w:after="0" w:afterAutospacing="0"/>
        <w:outlineLvl w:val="0"/>
        <w:rPr>
          <w:rFonts w:ascii="Times New Roman" w:hAnsi="Times New Roman" w:eastAsia="黑体"/>
          <w:snapToGrid w:val="0"/>
          <w:color w:val="auto"/>
          <w:sz w:val="32"/>
          <w:szCs w:val="32"/>
          <w:highlight w:val="none"/>
        </w:rPr>
      </w:pPr>
      <w:r>
        <w:rPr>
          <w:rFonts w:ascii="Times New Roman" w:hAnsi="Times New Roman" w:eastAsia="黑体"/>
          <w:snapToGrid w:val="0"/>
          <w:color w:val="auto"/>
          <w:sz w:val="32"/>
          <w:szCs w:val="32"/>
          <w:highlight w:val="none"/>
        </w:rPr>
        <w:t>附表</w:t>
      </w:r>
    </w:p>
    <w:p>
      <w:pPr>
        <w:pStyle w:val="22"/>
        <w:adjustRightInd w:val="0"/>
        <w:snapToGrid w:val="0"/>
        <w:spacing w:before="0" w:beforeAutospacing="0" w:after="0" w:afterAutospacing="0" w:line="420" w:lineRule="exact"/>
        <w:jc w:val="center"/>
        <w:outlineLvl w:val="0"/>
        <w:rPr>
          <w:rFonts w:ascii="Times New Roman" w:hAnsi="Times New Roman" w:eastAsia="方正小标宋_GBK"/>
          <w:snapToGrid w:val="0"/>
          <w:color w:val="auto"/>
          <w:sz w:val="38"/>
          <w:szCs w:val="38"/>
          <w:highlight w:val="none"/>
        </w:rPr>
      </w:pPr>
      <w:r>
        <w:rPr>
          <w:rFonts w:ascii="Times New Roman" w:hAnsi="Times New Roman" w:eastAsia="方正小标宋_GBK"/>
          <w:snapToGrid w:val="0"/>
          <w:color w:val="auto"/>
          <w:sz w:val="38"/>
          <w:szCs w:val="38"/>
          <w:highlight w:val="none"/>
        </w:rPr>
        <w:t>建设项目污染物排放量汇总表</w:t>
      </w:r>
    </w:p>
    <w:tbl>
      <w:tblPr>
        <w:tblStyle w:val="27"/>
        <w:tblW w:w="1410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787"/>
        <w:gridCol w:w="1701"/>
        <w:gridCol w:w="1276"/>
        <w:gridCol w:w="1701"/>
        <w:gridCol w:w="1878"/>
        <w:gridCol w:w="1384"/>
        <w:gridCol w:w="168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tcBorders>
              <w:tl2br w:val="single" w:color="auto" w:sz="4" w:space="0"/>
            </w:tcBorders>
            <w:tcMar>
              <w:left w:w="28" w:type="dxa"/>
              <w:right w:w="28" w:type="dxa"/>
            </w:tcMar>
            <w:vAlign w:val="center"/>
          </w:tcPr>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 xml:space="preserve">      项目</w:t>
            </w:r>
          </w:p>
          <w:p>
            <w:pPr>
              <w:pStyle w:val="55"/>
              <w:spacing w:beforeLines="0" w:afterLines="0" w:line="300" w:lineRule="exact"/>
              <w:jc w:val="both"/>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分类</w:t>
            </w:r>
          </w:p>
        </w:tc>
        <w:tc>
          <w:tcPr>
            <w:tcW w:w="1787" w:type="dxa"/>
            <w:tcMar>
              <w:left w:w="28" w:type="dxa"/>
              <w:right w:w="28" w:type="dxa"/>
            </w:tcMar>
            <w:vAlign w:val="center"/>
          </w:tcPr>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污染物名称</w:t>
            </w:r>
          </w:p>
        </w:tc>
        <w:tc>
          <w:tcPr>
            <w:tcW w:w="1701" w:type="dxa"/>
            <w:tcMar>
              <w:left w:w="28" w:type="dxa"/>
              <w:right w:w="28" w:type="dxa"/>
            </w:tcMar>
            <w:vAlign w:val="center"/>
          </w:tcPr>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现有工程</w:t>
            </w:r>
          </w:p>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排放量（固体废物产生量）</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1 \* GB3 \* MERGEFORMAT </w:instrText>
            </w:r>
            <w:r>
              <w:rPr>
                <w:rFonts w:ascii="Times New Roman"/>
                <w:snapToGrid w:val="0"/>
                <w:color w:val="auto"/>
                <w:spacing w:val="-6"/>
                <w:kern w:val="21"/>
                <w:szCs w:val="21"/>
                <w:highlight w:val="none"/>
              </w:rPr>
              <w:fldChar w:fldCharType="separate"/>
            </w:r>
            <w:r>
              <w:rPr>
                <w:rFonts w:hint="eastAsia" w:hAnsi="宋体" w:cs="宋体"/>
                <w:color w:val="auto"/>
                <w:kern w:val="2"/>
                <w:szCs w:val="21"/>
                <w:highlight w:val="none"/>
              </w:rPr>
              <w:t>①</w:t>
            </w:r>
            <w:r>
              <w:rPr>
                <w:rFonts w:ascii="Times New Roman"/>
                <w:snapToGrid w:val="0"/>
                <w:color w:val="auto"/>
                <w:spacing w:val="-6"/>
                <w:kern w:val="21"/>
                <w:szCs w:val="21"/>
                <w:highlight w:val="none"/>
              </w:rPr>
              <w:fldChar w:fldCharType="end"/>
            </w:r>
          </w:p>
        </w:tc>
        <w:tc>
          <w:tcPr>
            <w:tcW w:w="1276" w:type="dxa"/>
            <w:tcMar>
              <w:left w:w="28" w:type="dxa"/>
              <w:right w:w="28" w:type="dxa"/>
            </w:tcMar>
            <w:vAlign w:val="center"/>
          </w:tcPr>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现有工程</w:t>
            </w:r>
          </w:p>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许可排放量</w:t>
            </w:r>
          </w:p>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2 \* GB3 \* MERGEFORMAT </w:instrText>
            </w:r>
            <w:r>
              <w:rPr>
                <w:rFonts w:ascii="Times New Roman"/>
                <w:snapToGrid w:val="0"/>
                <w:color w:val="auto"/>
                <w:spacing w:val="-6"/>
                <w:kern w:val="21"/>
                <w:szCs w:val="21"/>
                <w:highlight w:val="none"/>
              </w:rPr>
              <w:fldChar w:fldCharType="separate"/>
            </w:r>
            <w:r>
              <w:rPr>
                <w:rFonts w:hint="eastAsia" w:hAnsi="宋体" w:cs="宋体"/>
                <w:snapToGrid w:val="0"/>
                <w:color w:val="auto"/>
                <w:spacing w:val="-6"/>
                <w:kern w:val="21"/>
                <w:szCs w:val="21"/>
                <w:highlight w:val="none"/>
              </w:rPr>
              <w:t>②</w:t>
            </w:r>
            <w:r>
              <w:rPr>
                <w:rFonts w:ascii="Times New Roman"/>
                <w:snapToGrid w:val="0"/>
                <w:color w:val="auto"/>
                <w:spacing w:val="-6"/>
                <w:kern w:val="21"/>
                <w:szCs w:val="21"/>
                <w:highlight w:val="none"/>
              </w:rPr>
              <w:fldChar w:fldCharType="end"/>
            </w:r>
          </w:p>
        </w:tc>
        <w:tc>
          <w:tcPr>
            <w:tcW w:w="1701" w:type="dxa"/>
            <w:tcMar>
              <w:left w:w="28" w:type="dxa"/>
              <w:right w:w="28" w:type="dxa"/>
            </w:tcMar>
            <w:vAlign w:val="center"/>
          </w:tcPr>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在建工程</w:t>
            </w:r>
          </w:p>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排放量（固体废物产生量）</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3 \* GB3 \* MERGEFORMAT </w:instrText>
            </w:r>
            <w:r>
              <w:rPr>
                <w:rFonts w:ascii="Times New Roman"/>
                <w:snapToGrid w:val="0"/>
                <w:color w:val="auto"/>
                <w:spacing w:val="-6"/>
                <w:kern w:val="21"/>
                <w:szCs w:val="21"/>
                <w:highlight w:val="none"/>
              </w:rPr>
              <w:fldChar w:fldCharType="separate"/>
            </w:r>
            <w:r>
              <w:rPr>
                <w:rFonts w:hint="eastAsia" w:hAnsi="宋体" w:cs="宋体"/>
                <w:color w:val="auto"/>
                <w:kern w:val="2"/>
                <w:szCs w:val="21"/>
                <w:highlight w:val="none"/>
              </w:rPr>
              <w:t>③</w:t>
            </w:r>
            <w:r>
              <w:rPr>
                <w:rFonts w:ascii="Times New Roman"/>
                <w:snapToGrid w:val="0"/>
                <w:color w:val="auto"/>
                <w:spacing w:val="-6"/>
                <w:kern w:val="21"/>
                <w:szCs w:val="21"/>
                <w:highlight w:val="none"/>
              </w:rPr>
              <w:fldChar w:fldCharType="end"/>
            </w:r>
          </w:p>
        </w:tc>
        <w:tc>
          <w:tcPr>
            <w:tcW w:w="1878" w:type="dxa"/>
            <w:tcMar>
              <w:left w:w="28" w:type="dxa"/>
              <w:right w:w="28" w:type="dxa"/>
            </w:tcMar>
            <w:vAlign w:val="center"/>
          </w:tcPr>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本项目</w:t>
            </w:r>
          </w:p>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排放量（固体废物产生量）</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4 \* GB3 \* MERGEFORMAT </w:instrText>
            </w:r>
            <w:r>
              <w:rPr>
                <w:rFonts w:ascii="Times New Roman"/>
                <w:snapToGrid w:val="0"/>
                <w:color w:val="auto"/>
                <w:spacing w:val="-6"/>
                <w:kern w:val="21"/>
                <w:szCs w:val="21"/>
                <w:highlight w:val="none"/>
              </w:rPr>
              <w:fldChar w:fldCharType="separate"/>
            </w:r>
            <w:r>
              <w:rPr>
                <w:rFonts w:hint="eastAsia" w:hAnsi="宋体" w:cs="宋体"/>
                <w:color w:val="auto"/>
                <w:kern w:val="2"/>
                <w:szCs w:val="21"/>
                <w:highlight w:val="none"/>
              </w:rPr>
              <w:t>④</w:t>
            </w:r>
            <w:r>
              <w:rPr>
                <w:rFonts w:ascii="Times New Roman"/>
                <w:snapToGrid w:val="0"/>
                <w:color w:val="auto"/>
                <w:spacing w:val="-6"/>
                <w:kern w:val="21"/>
                <w:szCs w:val="21"/>
                <w:highlight w:val="none"/>
              </w:rPr>
              <w:fldChar w:fldCharType="end"/>
            </w:r>
          </w:p>
        </w:tc>
        <w:tc>
          <w:tcPr>
            <w:tcW w:w="1384" w:type="dxa"/>
            <w:tcMar>
              <w:left w:w="28" w:type="dxa"/>
              <w:right w:w="28" w:type="dxa"/>
            </w:tcMar>
            <w:vAlign w:val="center"/>
          </w:tcPr>
          <w:p>
            <w:pPr>
              <w:pStyle w:val="55"/>
              <w:spacing w:beforeLines="0" w:afterLines="0" w:line="300" w:lineRule="exact"/>
              <w:rPr>
                <w:rFonts w:ascii="Times New Roman"/>
                <w:snapToGrid w:val="0"/>
                <w:color w:val="auto"/>
                <w:spacing w:val="-16"/>
                <w:kern w:val="21"/>
                <w:szCs w:val="21"/>
                <w:highlight w:val="none"/>
              </w:rPr>
            </w:pPr>
            <w:r>
              <w:rPr>
                <w:rFonts w:ascii="Times New Roman"/>
                <w:snapToGrid w:val="0"/>
                <w:color w:val="auto"/>
                <w:spacing w:val="-16"/>
                <w:kern w:val="21"/>
                <w:szCs w:val="21"/>
                <w:highlight w:val="none"/>
              </w:rPr>
              <w:t>以新带老削减量</w:t>
            </w:r>
          </w:p>
          <w:p>
            <w:pPr>
              <w:pStyle w:val="55"/>
              <w:spacing w:beforeLines="0" w:afterLines="0" w:line="300" w:lineRule="exact"/>
              <w:rPr>
                <w:rFonts w:ascii="Times New Roman"/>
                <w:snapToGrid w:val="0"/>
                <w:color w:val="auto"/>
                <w:spacing w:val="-16"/>
                <w:kern w:val="21"/>
                <w:szCs w:val="21"/>
                <w:highlight w:val="none"/>
              </w:rPr>
            </w:pPr>
            <w:r>
              <w:rPr>
                <w:rFonts w:ascii="Times New Roman"/>
                <w:snapToGrid w:val="0"/>
                <w:color w:val="auto"/>
                <w:spacing w:val="-16"/>
                <w:kern w:val="21"/>
                <w:szCs w:val="21"/>
                <w:highlight w:val="none"/>
              </w:rPr>
              <w:t>（新建项目不填）</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5 \* GB3 \* MERGEFORMAT </w:instrText>
            </w:r>
            <w:r>
              <w:rPr>
                <w:rFonts w:ascii="Times New Roman"/>
                <w:snapToGrid w:val="0"/>
                <w:color w:val="auto"/>
                <w:spacing w:val="-16"/>
                <w:kern w:val="21"/>
                <w:szCs w:val="21"/>
                <w:highlight w:val="none"/>
              </w:rPr>
              <w:fldChar w:fldCharType="separate"/>
            </w:r>
            <w:r>
              <w:rPr>
                <w:rFonts w:hint="eastAsia" w:hAnsi="宋体" w:cs="宋体"/>
                <w:color w:val="auto"/>
                <w:kern w:val="2"/>
                <w:szCs w:val="21"/>
                <w:highlight w:val="none"/>
              </w:rPr>
              <w:t>⑤</w:t>
            </w:r>
            <w:r>
              <w:rPr>
                <w:rFonts w:ascii="Times New Roman"/>
                <w:snapToGrid w:val="0"/>
                <w:color w:val="auto"/>
                <w:spacing w:val="-16"/>
                <w:kern w:val="21"/>
                <w:szCs w:val="21"/>
                <w:highlight w:val="none"/>
              </w:rPr>
              <w:fldChar w:fldCharType="end"/>
            </w:r>
          </w:p>
        </w:tc>
        <w:tc>
          <w:tcPr>
            <w:tcW w:w="1683" w:type="dxa"/>
            <w:tcMar>
              <w:left w:w="28" w:type="dxa"/>
              <w:right w:w="28" w:type="dxa"/>
            </w:tcMar>
            <w:vAlign w:val="center"/>
          </w:tcPr>
          <w:p>
            <w:pPr>
              <w:pStyle w:val="55"/>
              <w:spacing w:beforeLines="0" w:afterLines="0" w:line="300" w:lineRule="exact"/>
              <w:rPr>
                <w:rFonts w:ascii="Times New Roman"/>
                <w:snapToGrid w:val="0"/>
                <w:color w:val="auto"/>
                <w:spacing w:val="-16"/>
                <w:kern w:val="21"/>
                <w:szCs w:val="21"/>
                <w:highlight w:val="none"/>
              </w:rPr>
            </w:pPr>
            <w:r>
              <w:rPr>
                <w:rFonts w:ascii="Times New Roman"/>
                <w:snapToGrid w:val="0"/>
                <w:color w:val="auto"/>
                <w:spacing w:val="-16"/>
                <w:kern w:val="21"/>
                <w:szCs w:val="21"/>
                <w:highlight w:val="none"/>
              </w:rPr>
              <w:t>本项目建成后</w:t>
            </w:r>
          </w:p>
          <w:p>
            <w:pPr>
              <w:pStyle w:val="55"/>
              <w:spacing w:beforeLines="0" w:afterLines="0" w:line="300" w:lineRule="exact"/>
              <w:rPr>
                <w:rFonts w:ascii="Times New Roman"/>
                <w:snapToGrid w:val="0"/>
                <w:color w:val="auto"/>
                <w:spacing w:val="-16"/>
                <w:kern w:val="21"/>
                <w:szCs w:val="21"/>
                <w:highlight w:val="none"/>
              </w:rPr>
            </w:pPr>
            <w:r>
              <w:rPr>
                <w:rFonts w:ascii="Times New Roman"/>
                <w:snapToGrid w:val="0"/>
                <w:color w:val="auto"/>
                <w:spacing w:val="-16"/>
                <w:kern w:val="21"/>
                <w:szCs w:val="21"/>
                <w:highlight w:val="none"/>
              </w:rPr>
              <w:t>全厂排放量（固体废物产生量）</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6 \* GB3 \* MERGEFORMAT </w:instrText>
            </w:r>
            <w:r>
              <w:rPr>
                <w:rFonts w:ascii="Times New Roman"/>
                <w:snapToGrid w:val="0"/>
                <w:color w:val="auto"/>
                <w:spacing w:val="-16"/>
                <w:kern w:val="21"/>
                <w:szCs w:val="21"/>
                <w:highlight w:val="none"/>
              </w:rPr>
              <w:fldChar w:fldCharType="separate"/>
            </w:r>
            <w:r>
              <w:rPr>
                <w:rFonts w:hint="eastAsia" w:hAnsi="宋体" w:cs="宋体"/>
                <w:color w:val="auto"/>
                <w:kern w:val="2"/>
                <w:szCs w:val="21"/>
                <w:highlight w:val="none"/>
              </w:rPr>
              <w:t>⑥</w:t>
            </w:r>
            <w:r>
              <w:rPr>
                <w:rFonts w:ascii="Times New Roman"/>
                <w:snapToGrid w:val="0"/>
                <w:color w:val="auto"/>
                <w:spacing w:val="-16"/>
                <w:kern w:val="21"/>
                <w:szCs w:val="21"/>
                <w:highlight w:val="none"/>
              </w:rPr>
              <w:fldChar w:fldCharType="end"/>
            </w:r>
          </w:p>
        </w:tc>
        <w:tc>
          <w:tcPr>
            <w:tcW w:w="1477" w:type="dxa"/>
            <w:tcMar>
              <w:left w:w="28" w:type="dxa"/>
              <w:right w:w="28" w:type="dxa"/>
            </w:tcMar>
            <w:vAlign w:val="center"/>
          </w:tcPr>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t>变化量</w:t>
            </w:r>
          </w:p>
          <w:p>
            <w:pPr>
              <w:pStyle w:val="55"/>
              <w:spacing w:beforeLines="0" w:afterLines="0" w:line="300" w:lineRule="exact"/>
              <w:rPr>
                <w:rFonts w:ascii="Times New Roman"/>
                <w:snapToGrid w:val="0"/>
                <w:color w:val="auto"/>
                <w:spacing w:val="-6"/>
                <w:kern w:val="21"/>
                <w:szCs w:val="21"/>
                <w:highlight w:val="none"/>
              </w:rPr>
            </w:pP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7 \* GB3 \* MERGEFORMAT </w:instrText>
            </w:r>
            <w:r>
              <w:rPr>
                <w:rFonts w:ascii="Times New Roman"/>
                <w:snapToGrid w:val="0"/>
                <w:color w:val="auto"/>
                <w:spacing w:val="-6"/>
                <w:kern w:val="21"/>
                <w:szCs w:val="21"/>
                <w:highlight w:val="none"/>
              </w:rPr>
              <w:fldChar w:fldCharType="separate"/>
            </w:r>
            <w:r>
              <w:rPr>
                <w:rFonts w:hint="eastAsia" w:hAnsi="宋体" w:cs="宋体"/>
                <w:color w:val="auto"/>
                <w:kern w:val="2"/>
                <w:szCs w:val="21"/>
                <w:highlight w:val="none"/>
              </w:rPr>
              <w:t>⑦</w:t>
            </w:r>
            <w:r>
              <w:rPr>
                <w:rFonts w:ascii="Times New Roman"/>
                <w:snapToGrid w:val="0"/>
                <w:color w:val="auto"/>
                <w:spacing w:val="-6"/>
                <w:kern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5"/>
              <w:spacing w:beforeLines="0" w:afterLines="0" w:line="300" w:lineRule="exact"/>
              <w:rPr>
                <w:rFonts w:ascii="Times New Roman"/>
                <w:snapToGrid w:val="0"/>
                <w:color w:val="auto"/>
                <w:kern w:val="21"/>
                <w:szCs w:val="21"/>
                <w:highlight w:val="none"/>
              </w:rPr>
            </w:pPr>
            <w:r>
              <w:rPr>
                <w:rFonts w:ascii="Times New Roman"/>
                <w:snapToGrid w:val="0"/>
                <w:color w:val="auto"/>
                <w:kern w:val="21"/>
                <w:szCs w:val="21"/>
                <w:highlight w:val="none"/>
              </w:rPr>
              <w:t>废气</w:t>
            </w:r>
          </w:p>
        </w:tc>
        <w:tc>
          <w:tcPr>
            <w:tcW w:w="1787" w:type="dxa"/>
            <w:vAlign w:val="center"/>
          </w:tcPr>
          <w:p>
            <w:pPr>
              <w:pStyle w:val="55"/>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NH</w:t>
            </w:r>
            <w:r>
              <w:rPr>
                <w:rFonts w:ascii="Times New Roman"/>
                <w:snapToGrid w:val="0"/>
                <w:color w:val="auto"/>
                <w:kern w:val="21"/>
                <w:szCs w:val="21"/>
                <w:highlight w:val="none"/>
                <w:vertAlign w:val="subscript"/>
              </w:rPr>
              <w:t>3</w:t>
            </w: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color w:val="auto"/>
                <w:szCs w:val="21"/>
                <w:highlight w:val="none"/>
              </w:rPr>
            </w:pPr>
            <w:r>
              <w:rPr>
                <w:rFonts w:hint="eastAsia"/>
                <w:color w:val="auto"/>
                <w:szCs w:val="21"/>
                <w:highlight w:val="none"/>
                <w:lang w:eastAsia="zh-CN"/>
              </w:rPr>
              <w:t>0.00</w:t>
            </w:r>
            <w:r>
              <w:rPr>
                <w:rFonts w:hint="eastAsia"/>
                <w:color w:val="auto"/>
                <w:szCs w:val="21"/>
                <w:highlight w:val="none"/>
                <w:lang w:val="en-US" w:eastAsia="zh-CN"/>
              </w:rPr>
              <w:t>45</w:t>
            </w:r>
            <w:r>
              <w:rPr>
                <w:color w:val="auto"/>
                <w:szCs w:val="21"/>
                <w:highlight w:val="none"/>
              </w:rPr>
              <w:t>t/a</w:t>
            </w:r>
          </w:p>
        </w:tc>
        <w:tc>
          <w:tcPr>
            <w:tcW w:w="1384" w:type="dxa"/>
            <w:vAlign w:val="center"/>
          </w:tcPr>
          <w:p>
            <w:pPr>
              <w:pStyle w:val="55"/>
              <w:spacing w:beforeLines="0" w:afterLines="0" w:line="300" w:lineRule="exact"/>
              <w:rPr>
                <w:rFonts w:ascii="Times New Roman"/>
                <w:color w:val="auto"/>
                <w:szCs w:val="21"/>
                <w:highlight w:val="none"/>
              </w:rPr>
            </w:pPr>
          </w:p>
        </w:tc>
        <w:tc>
          <w:tcPr>
            <w:tcW w:w="1683" w:type="dxa"/>
            <w:vAlign w:val="center"/>
          </w:tcPr>
          <w:p>
            <w:pPr>
              <w:jc w:val="center"/>
              <w:rPr>
                <w:color w:val="auto"/>
                <w:szCs w:val="21"/>
                <w:highlight w:val="none"/>
              </w:rPr>
            </w:pPr>
            <w:r>
              <w:rPr>
                <w:rFonts w:hint="eastAsia"/>
                <w:color w:val="auto"/>
                <w:szCs w:val="21"/>
                <w:highlight w:val="none"/>
                <w:lang w:eastAsia="zh-CN"/>
              </w:rPr>
              <w:t>0.00</w:t>
            </w:r>
            <w:r>
              <w:rPr>
                <w:rFonts w:hint="eastAsia"/>
                <w:color w:val="auto"/>
                <w:szCs w:val="21"/>
                <w:highlight w:val="none"/>
                <w:lang w:val="en-US" w:eastAsia="zh-CN"/>
              </w:rPr>
              <w:t>45</w:t>
            </w:r>
            <w:r>
              <w:rPr>
                <w:color w:val="auto"/>
                <w:szCs w:val="21"/>
                <w:highlight w:val="none"/>
              </w:rPr>
              <w:t>t/a</w:t>
            </w:r>
          </w:p>
        </w:tc>
        <w:tc>
          <w:tcPr>
            <w:tcW w:w="1477" w:type="dxa"/>
            <w:vAlign w:val="center"/>
          </w:tcPr>
          <w:p>
            <w:pPr>
              <w:jc w:val="center"/>
              <w:rPr>
                <w:color w:val="auto"/>
                <w:szCs w:val="21"/>
                <w:highlight w:val="none"/>
              </w:rPr>
            </w:pPr>
            <w:r>
              <w:rPr>
                <w:color w:val="auto"/>
                <w:szCs w:val="21"/>
                <w:highlight w:val="none"/>
              </w:rPr>
              <w:t>+</w:t>
            </w:r>
            <w:r>
              <w:rPr>
                <w:rFonts w:hint="eastAsia"/>
                <w:color w:val="auto"/>
                <w:szCs w:val="21"/>
                <w:highlight w:val="none"/>
                <w:lang w:eastAsia="zh-CN"/>
              </w:rPr>
              <w:t>0.00</w:t>
            </w:r>
            <w:r>
              <w:rPr>
                <w:rFonts w:hint="eastAsia"/>
                <w:color w:val="auto"/>
                <w:szCs w:val="21"/>
                <w:highlight w:val="none"/>
                <w:lang w:val="en-US" w:eastAsia="zh-CN"/>
              </w:rPr>
              <w:t>45</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pStyle w:val="55"/>
              <w:spacing w:beforeLines="0" w:afterLines="0" w:line="240" w:lineRule="auto"/>
              <w:rPr>
                <w:rFonts w:ascii="Times New Roman"/>
                <w:snapToGrid w:val="0"/>
                <w:color w:val="auto"/>
                <w:kern w:val="21"/>
                <w:szCs w:val="21"/>
                <w:highlight w:val="none"/>
              </w:rPr>
            </w:pPr>
            <w:r>
              <w:rPr>
                <w:rFonts w:ascii="Times New Roman"/>
                <w:snapToGrid w:val="0"/>
                <w:color w:val="auto"/>
                <w:kern w:val="21"/>
                <w:szCs w:val="21"/>
                <w:highlight w:val="none"/>
              </w:rPr>
              <w:t>H</w:t>
            </w:r>
            <w:r>
              <w:rPr>
                <w:rFonts w:ascii="Times New Roman"/>
                <w:snapToGrid w:val="0"/>
                <w:color w:val="auto"/>
                <w:kern w:val="21"/>
                <w:szCs w:val="21"/>
                <w:highlight w:val="none"/>
                <w:vertAlign w:val="subscript"/>
              </w:rPr>
              <w:t>2</w:t>
            </w:r>
            <w:r>
              <w:rPr>
                <w:rFonts w:ascii="Times New Roman"/>
                <w:snapToGrid w:val="0"/>
                <w:color w:val="auto"/>
                <w:kern w:val="21"/>
                <w:szCs w:val="21"/>
                <w:highlight w:val="none"/>
              </w:rPr>
              <w:t>S</w:t>
            </w:r>
          </w:p>
        </w:tc>
        <w:tc>
          <w:tcPr>
            <w:tcW w:w="1701" w:type="dxa"/>
            <w:vAlign w:val="center"/>
          </w:tcPr>
          <w:p>
            <w:pPr>
              <w:pStyle w:val="55"/>
              <w:spacing w:beforeLines="0" w:afterLines="0" w:line="300" w:lineRule="exact"/>
              <w:rPr>
                <w:rFonts w:ascii="Times New Roman"/>
                <w:color w:val="auto"/>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color w:val="auto"/>
                <w:szCs w:val="21"/>
                <w:highlight w:val="none"/>
              </w:rPr>
            </w:pPr>
          </w:p>
        </w:tc>
        <w:tc>
          <w:tcPr>
            <w:tcW w:w="1878" w:type="dxa"/>
            <w:vAlign w:val="center"/>
          </w:tcPr>
          <w:p>
            <w:pPr>
              <w:jc w:val="center"/>
              <w:rPr>
                <w:color w:val="auto"/>
                <w:szCs w:val="21"/>
                <w:highlight w:val="none"/>
              </w:rPr>
            </w:pPr>
            <w:r>
              <w:rPr>
                <w:rFonts w:hint="eastAsia"/>
                <w:color w:val="auto"/>
                <w:szCs w:val="21"/>
                <w:highlight w:val="none"/>
                <w:lang w:eastAsia="zh-CN"/>
              </w:rPr>
              <w:t>0.000017</w:t>
            </w:r>
            <w:r>
              <w:rPr>
                <w:color w:val="auto"/>
                <w:szCs w:val="21"/>
                <w:highlight w:val="none"/>
              </w:rPr>
              <w:t>t/a</w:t>
            </w:r>
          </w:p>
        </w:tc>
        <w:tc>
          <w:tcPr>
            <w:tcW w:w="1384" w:type="dxa"/>
            <w:vAlign w:val="center"/>
          </w:tcPr>
          <w:p>
            <w:pPr>
              <w:pStyle w:val="55"/>
              <w:spacing w:beforeLines="0" w:afterLines="0" w:line="300" w:lineRule="exact"/>
              <w:rPr>
                <w:rFonts w:ascii="Times New Roman"/>
                <w:color w:val="auto"/>
                <w:szCs w:val="21"/>
                <w:highlight w:val="none"/>
              </w:rPr>
            </w:pPr>
          </w:p>
        </w:tc>
        <w:tc>
          <w:tcPr>
            <w:tcW w:w="1683" w:type="dxa"/>
            <w:vAlign w:val="center"/>
          </w:tcPr>
          <w:p>
            <w:pPr>
              <w:jc w:val="center"/>
              <w:rPr>
                <w:color w:val="auto"/>
                <w:szCs w:val="21"/>
                <w:highlight w:val="none"/>
              </w:rPr>
            </w:pPr>
            <w:r>
              <w:rPr>
                <w:rFonts w:hint="eastAsia"/>
                <w:color w:val="auto"/>
                <w:szCs w:val="21"/>
                <w:highlight w:val="none"/>
                <w:lang w:eastAsia="zh-CN"/>
              </w:rPr>
              <w:t>0.000017</w:t>
            </w:r>
            <w:r>
              <w:rPr>
                <w:color w:val="auto"/>
                <w:szCs w:val="21"/>
                <w:highlight w:val="none"/>
              </w:rPr>
              <w:t>t/a</w:t>
            </w:r>
          </w:p>
        </w:tc>
        <w:tc>
          <w:tcPr>
            <w:tcW w:w="1477" w:type="dxa"/>
            <w:vAlign w:val="center"/>
          </w:tcPr>
          <w:p>
            <w:pPr>
              <w:jc w:val="center"/>
              <w:rPr>
                <w:color w:val="auto"/>
                <w:szCs w:val="21"/>
                <w:highlight w:val="none"/>
              </w:rPr>
            </w:pPr>
            <w:r>
              <w:rPr>
                <w:color w:val="auto"/>
                <w:szCs w:val="21"/>
                <w:highlight w:val="none"/>
              </w:rPr>
              <w:t>+</w:t>
            </w:r>
            <w:r>
              <w:rPr>
                <w:rFonts w:hint="eastAsia"/>
                <w:color w:val="auto"/>
                <w:szCs w:val="21"/>
                <w:highlight w:val="none"/>
                <w:lang w:eastAsia="zh-CN"/>
              </w:rPr>
              <w:t>0.000017</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5"/>
              <w:spacing w:beforeLines="0" w:afterLines="0" w:line="300" w:lineRule="exact"/>
              <w:rPr>
                <w:rFonts w:ascii="Times New Roman"/>
                <w:snapToGrid w:val="0"/>
                <w:color w:val="auto"/>
                <w:kern w:val="21"/>
                <w:szCs w:val="21"/>
                <w:highlight w:val="none"/>
              </w:rPr>
            </w:pPr>
            <w:r>
              <w:rPr>
                <w:rFonts w:ascii="Times New Roman"/>
                <w:snapToGrid w:val="0"/>
                <w:color w:val="auto"/>
                <w:kern w:val="21"/>
                <w:szCs w:val="21"/>
                <w:highlight w:val="none"/>
              </w:rPr>
              <w:t>废水</w:t>
            </w:r>
          </w:p>
        </w:tc>
        <w:tc>
          <w:tcPr>
            <w:tcW w:w="1787" w:type="dxa"/>
            <w:vAlign w:val="center"/>
          </w:tcPr>
          <w:p>
            <w:pPr>
              <w:jc w:val="center"/>
              <w:rPr>
                <w:color w:val="auto"/>
                <w:szCs w:val="21"/>
                <w:highlight w:val="none"/>
              </w:rPr>
            </w:pPr>
            <w:r>
              <w:rPr>
                <w:color w:val="auto"/>
                <w:szCs w:val="21"/>
                <w:highlight w:val="none"/>
              </w:rPr>
              <w:t>废水量</w:t>
            </w: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color w:val="auto"/>
                <w:szCs w:val="21"/>
                <w:highlight w:val="none"/>
              </w:rPr>
            </w:pPr>
            <w:r>
              <w:rPr>
                <w:rFonts w:hint="eastAsia"/>
                <w:color w:val="auto"/>
                <w:szCs w:val="21"/>
                <w:highlight w:val="none"/>
                <w:lang w:eastAsia="zh-CN"/>
              </w:rPr>
              <w:t>58292.36</w:t>
            </w:r>
            <w:r>
              <w:rPr>
                <w:color w:val="auto"/>
                <w:szCs w:val="21"/>
                <w:highlight w:val="none"/>
              </w:rPr>
              <w:t>m</w:t>
            </w:r>
            <w:r>
              <w:rPr>
                <w:color w:val="auto"/>
                <w:szCs w:val="21"/>
                <w:highlight w:val="none"/>
                <w:vertAlign w:val="superscript"/>
              </w:rPr>
              <w:t>3</w:t>
            </w:r>
            <w:r>
              <w:rPr>
                <w:color w:val="auto"/>
                <w:szCs w:val="21"/>
                <w:highlight w:val="none"/>
              </w:rPr>
              <w:t>/a</w:t>
            </w:r>
          </w:p>
        </w:tc>
        <w:tc>
          <w:tcPr>
            <w:tcW w:w="1384" w:type="dxa"/>
            <w:vAlign w:val="center"/>
          </w:tcPr>
          <w:p>
            <w:pPr>
              <w:pStyle w:val="55"/>
              <w:spacing w:beforeLines="0" w:afterLines="0" w:line="300" w:lineRule="exact"/>
              <w:rPr>
                <w:rFonts w:ascii="Times New Roman"/>
                <w:color w:val="auto"/>
                <w:szCs w:val="21"/>
                <w:highlight w:val="none"/>
              </w:rPr>
            </w:pPr>
          </w:p>
        </w:tc>
        <w:tc>
          <w:tcPr>
            <w:tcW w:w="1683" w:type="dxa"/>
            <w:vAlign w:val="center"/>
          </w:tcPr>
          <w:p>
            <w:pPr>
              <w:jc w:val="center"/>
              <w:rPr>
                <w:color w:val="auto"/>
                <w:szCs w:val="21"/>
                <w:highlight w:val="none"/>
              </w:rPr>
            </w:pPr>
            <w:r>
              <w:rPr>
                <w:rFonts w:hint="eastAsia"/>
                <w:color w:val="auto"/>
                <w:szCs w:val="21"/>
                <w:highlight w:val="none"/>
                <w:lang w:eastAsia="zh-CN"/>
              </w:rPr>
              <w:t>58292.36</w:t>
            </w:r>
            <w:r>
              <w:rPr>
                <w:color w:val="auto"/>
                <w:szCs w:val="21"/>
                <w:highlight w:val="none"/>
              </w:rPr>
              <w:t>m</w:t>
            </w:r>
            <w:r>
              <w:rPr>
                <w:color w:val="auto"/>
                <w:szCs w:val="21"/>
                <w:highlight w:val="none"/>
                <w:vertAlign w:val="superscript"/>
              </w:rPr>
              <w:t>3</w:t>
            </w:r>
            <w:r>
              <w:rPr>
                <w:color w:val="auto"/>
                <w:szCs w:val="21"/>
                <w:highlight w:val="none"/>
              </w:rPr>
              <w:t>/a</w:t>
            </w:r>
          </w:p>
        </w:tc>
        <w:tc>
          <w:tcPr>
            <w:tcW w:w="1477" w:type="dxa"/>
            <w:vAlign w:val="center"/>
          </w:tcPr>
          <w:p>
            <w:pPr>
              <w:jc w:val="center"/>
              <w:rPr>
                <w:color w:val="auto"/>
                <w:szCs w:val="21"/>
                <w:highlight w:val="none"/>
              </w:rPr>
            </w:pPr>
            <w:r>
              <w:rPr>
                <w:color w:val="auto"/>
                <w:szCs w:val="21"/>
                <w:highlight w:val="none"/>
              </w:rPr>
              <w:t>+</w:t>
            </w:r>
            <w:r>
              <w:rPr>
                <w:rFonts w:hint="eastAsia"/>
                <w:color w:val="auto"/>
                <w:szCs w:val="21"/>
                <w:highlight w:val="none"/>
                <w:lang w:eastAsia="zh-CN"/>
              </w:rPr>
              <w:t>58292.36</w:t>
            </w:r>
            <w:r>
              <w:rPr>
                <w:color w:val="auto"/>
                <w:szCs w:val="21"/>
                <w:highlight w:val="none"/>
              </w:rPr>
              <w:t>m</w:t>
            </w:r>
            <w:r>
              <w:rPr>
                <w:color w:val="auto"/>
                <w:szCs w:val="21"/>
                <w:highlight w:val="none"/>
                <w:vertAlign w:val="superscript"/>
              </w:rPr>
              <w:t>3</w:t>
            </w:r>
            <w:r>
              <w:rPr>
                <w:color w:val="auto"/>
                <w:szCs w:val="21"/>
                <w:highlight w:val="none"/>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color w:val="auto"/>
                <w:szCs w:val="21"/>
                <w:highlight w:val="none"/>
              </w:rPr>
            </w:pPr>
            <w:r>
              <w:rPr>
                <w:color w:val="auto"/>
                <w:szCs w:val="21"/>
                <w:highlight w:val="none"/>
              </w:rPr>
              <w:t>五日生化需氧量</w:t>
            </w: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1.57</w:t>
            </w:r>
            <w:r>
              <w:rPr>
                <w:color w:val="auto"/>
                <w:szCs w:val="21"/>
                <w:highlight w:val="none"/>
              </w:rPr>
              <w:t>t/a</w:t>
            </w:r>
          </w:p>
        </w:tc>
        <w:tc>
          <w:tcPr>
            <w:tcW w:w="1384" w:type="dxa"/>
            <w:vAlign w:val="center"/>
          </w:tcPr>
          <w:p>
            <w:pPr>
              <w:pStyle w:val="55"/>
              <w:spacing w:beforeLines="0" w:afterLines="0" w:line="300" w:lineRule="exact"/>
              <w:rPr>
                <w:rFonts w:ascii="Times New Roman"/>
                <w:color w:val="auto"/>
                <w:szCs w:val="21"/>
                <w:highlight w:val="none"/>
              </w:rPr>
            </w:pPr>
          </w:p>
        </w:tc>
        <w:tc>
          <w:tcPr>
            <w:tcW w:w="1683"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1.57</w:t>
            </w:r>
            <w:r>
              <w:rPr>
                <w:color w:val="auto"/>
                <w:szCs w:val="21"/>
                <w:highlight w:val="none"/>
              </w:rPr>
              <w:t>t/a</w:t>
            </w:r>
          </w:p>
        </w:tc>
        <w:tc>
          <w:tcPr>
            <w:tcW w:w="1477"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+1.57</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color w:val="auto"/>
                <w:szCs w:val="21"/>
                <w:highlight w:val="none"/>
              </w:rPr>
            </w:pPr>
            <w:r>
              <w:rPr>
                <w:color w:val="auto"/>
                <w:szCs w:val="21"/>
                <w:highlight w:val="none"/>
              </w:rPr>
              <w:t>化学需氧量</w:t>
            </w: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5.22</w:t>
            </w:r>
            <w:r>
              <w:rPr>
                <w:color w:val="auto"/>
                <w:szCs w:val="21"/>
                <w:highlight w:val="none"/>
              </w:rPr>
              <w:t>t/a</w:t>
            </w:r>
          </w:p>
        </w:tc>
        <w:tc>
          <w:tcPr>
            <w:tcW w:w="1384" w:type="dxa"/>
            <w:vAlign w:val="center"/>
          </w:tcPr>
          <w:p>
            <w:pPr>
              <w:pStyle w:val="55"/>
              <w:spacing w:beforeLines="0" w:afterLines="0" w:line="300" w:lineRule="exact"/>
              <w:rPr>
                <w:rFonts w:ascii="Times New Roman"/>
                <w:color w:val="auto"/>
                <w:szCs w:val="21"/>
                <w:highlight w:val="none"/>
              </w:rPr>
            </w:pPr>
          </w:p>
        </w:tc>
        <w:tc>
          <w:tcPr>
            <w:tcW w:w="1683"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5.22</w:t>
            </w:r>
            <w:r>
              <w:rPr>
                <w:color w:val="auto"/>
                <w:szCs w:val="21"/>
                <w:highlight w:val="none"/>
              </w:rPr>
              <w:t>t/a</w:t>
            </w:r>
          </w:p>
        </w:tc>
        <w:tc>
          <w:tcPr>
            <w:tcW w:w="1477"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+5.22</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color w:val="auto"/>
                <w:szCs w:val="21"/>
                <w:highlight w:val="none"/>
              </w:rPr>
            </w:pPr>
            <w:r>
              <w:rPr>
                <w:color w:val="auto"/>
                <w:szCs w:val="21"/>
                <w:highlight w:val="none"/>
              </w:rPr>
              <w:t>悬浮物</w:t>
            </w: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2.61</w:t>
            </w:r>
            <w:r>
              <w:rPr>
                <w:color w:val="auto"/>
                <w:szCs w:val="21"/>
                <w:highlight w:val="none"/>
              </w:rPr>
              <w:t>t/a</w:t>
            </w:r>
          </w:p>
        </w:tc>
        <w:tc>
          <w:tcPr>
            <w:tcW w:w="1384" w:type="dxa"/>
            <w:vAlign w:val="center"/>
          </w:tcPr>
          <w:p>
            <w:pPr>
              <w:pStyle w:val="55"/>
              <w:spacing w:beforeLines="0" w:afterLines="0" w:line="300" w:lineRule="exact"/>
              <w:rPr>
                <w:rFonts w:ascii="Times New Roman"/>
                <w:color w:val="auto"/>
                <w:szCs w:val="21"/>
                <w:highlight w:val="none"/>
              </w:rPr>
            </w:pPr>
          </w:p>
        </w:tc>
        <w:tc>
          <w:tcPr>
            <w:tcW w:w="1683"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2.61</w:t>
            </w:r>
            <w:r>
              <w:rPr>
                <w:color w:val="auto"/>
                <w:szCs w:val="21"/>
                <w:highlight w:val="none"/>
              </w:rPr>
              <w:t>t/a</w:t>
            </w:r>
          </w:p>
        </w:tc>
        <w:tc>
          <w:tcPr>
            <w:tcW w:w="1477"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+2.61</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color w:val="auto"/>
                <w:szCs w:val="21"/>
                <w:highlight w:val="none"/>
              </w:rPr>
            </w:pPr>
            <w:r>
              <w:rPr>
                <w:color w:val="auto"/>
                <w:szCs w:val="21"/>
                <w:highlight w:val="none"/>
              </w:rPr>
              <w:t>氨氮</w:t>
            </w: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0.91</w:t>
            </w:r>
            <w:r>
              <w:rPr>
                <w:color w:val="auto"/>
                <w:szCs w:val="21"/>
                <w:highlight w:val="none"/>
              </w:rPr>
              <w:t>t/a</w:t>
            </w:r>
          </w:p>
        </w:tc>
        <w:tc>
          <w:tcPr>
            <w:tcW w:w="1384" w:type="dxa"/>
            <w:vAlign w:val="center"/>
          </w:tcPr>
          <w:p>
            <w:pPr>
              <w:pStyle w:val="55"/>
              <w:spacing w:beforeLines="0" w:afterLines="0" w:line="300" w:lineRule="exact"/>
              <w:rPr>
                <w:rFonts w:ascii="Times New Roman"/>
                <w:color w:val="auto"/>
                <w:szCs w:val="21"/>
                <w:highlight w:val="none"/>
              </w:rPr>
            </w:pPr>
          </w:p>
        </w:tc>
        <w:tc>
          <w:tcPr>
            <w:tcW w:w="1683"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0.91</w:t>
            </w:r>
            <w:r>
              <w:rPr>
                <w:color w:val="auto"/>
                <w:szCs w:val="21"/>
                <w:highlight w:val="none"/>
              </w:rPr>
              <w:t>t/a</w:t>
            </w:r>
          </w:p>
        </w:tc>
        <w:tc>
          <w:tcPr>
            <w:tcW w:w="1477"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+0.91</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color w:val="auto"/>
                <w:szCs w:val="21"/>
                <w:highlight w:val="none"/>
              </w:rPr>
            </w:pPr>
            <w:r>
              <w:rPr>
                <w:color w:val="auto"/>
                <w:szCs w:val="21"/>
                <w:highlight w:val="none"/>
              </w:rPr>
              <w:t>氟化物</w:t>
            </w: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0.71</w:t>
            </w:r>
            <w:r>
              <w:rPr>
                <w:color w:val="auto"/>
                <w:szCs w:val="21"/>
                <w:highlight w:val="none"/>
              </w:rPr>
              <w:t>t/a</w:t>
            </w:r>
          </w:p>
        </w:tc>
        <w:tc>
          <w:tcPr>
            <w:tcW w:w="1384" w:type="dxa"/>
            <w:vAlign w:val="center"/>
          </w:tcPr>
          <w:p>
            <w:pPr>
              <w:pStyle w:val="55"/>
              <w:spacing w:beforeLines="0" w:afterLines="0" w:line="300" w:lineRule="exact"/>
              <w:rPr>
                <w:rFonts w:ascii="Times New Roman"/>
                <w:color w:val="auto"/>
                <w:szCs w:val="21"/>
                <w:highlight w:val="none"/>
              </w:rPr>
            </w:pPr>
          </w:p>
        </w:tc>
        <w:tc>
          <w:tcPr>
            <w:tcW w:w="1683"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0.71</w:t>
            </w:r>
            <w:r>
              <w:rPr>
                <w:color w:val="auto"/>
                <w:szCs w:val="21"/>
                <w:highlight w:val="none"/>
              </w:rPr>
              <w:t>t/a</w:t>
            </w:r>
          </w:p>
        </w:tc>
        <w:tc>
          <w:tcPr>
            <w:tcW w:w="1477"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+0.71</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动植物油</w:t>
            </w: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0.58</w:t>
            </w:r>
            <w:r>
              <w:rPr>
                <w:color w:val="auto"/>
                <w:szCs w:val="21"/>
                <w:highlight w:val="none"/>
              </w:rPr>
              <w:t>t/a</w:t>
            </w:r>
          </w:p>
        </w:tc>
        <w:tc>
          <w:tcPr>
            <w:tcW w:w="1384" w:type="dxa"/>
            <w:vAlign w:val="center"/>
          </w:tcPr>
          <w:p>
            <w:pPr>
              <w:pStyle w:val="55"/>
              <w:spacing w:beforeLines="0" w:afterLines="0" w:line="300" w:lineRule="exact"/>
              <w:rPr>
                <w:rFonts w:ascii="Times New Roman"/>
                <w:color w:val="auto"/>
                <w:szCs w:val="21"/>
                <w:highlight w:val="none"/>
              </w:rPr>
            </w:pPr>
          </w:p>
        </w:tc>
        <w:tc>
          <w:tcPr>
            <w:tcW w:w="1683" w:type="dxa"/>
            <w:vAlign w:val="center"/>
          </w:tcPr>
          <w:p>
            <w:pPr>
              <w:jc w:val="center"/>
              <w:rPr>
                <w:rFonts w:hint="default"/>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0.58</w:t>
            </w:r>
            <w:r>
              <w:rPr>
                <w:color w:val="auto"/>
                <w:szCs w:val="21"/>
                <w:highlight w:val="none"/>
              </w:rPr>
              <w:t>t/a</w:t>
            </w:r>
          </w:p>
        </w:tc>
        <w:tc>
          <w:tcPr>
            <w:tcW w:w="1477"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+0.58</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color w:val="auto"/>
                <w:szCs w:val="21"/>
                <w:highlight w:val="none"/>
              </w:rPr>
            </w:pPr>
            <w:r>
              <w:rPr>
                <w:color w:val="auto"/>
                <w:szCs w:val="21"/>
                <w:highlight w:val="none"/>
              </w:rPr>
              <w:t>粪大肠菌群数</w:t>
            </w: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2.33×10</w:t>
            </w:r>
            <w:r>
              <w:rPr>
                <w:rFonts w:hint="eastAsia" w:ascii="Times New Roman" w:hAnsi="Times New Roman" w:eastAsia="宋体" w:cs="Times New Roman"/>
                <w:color w:val="auto"/>
                <w:szCs w:val="21"/>
                <w:highlight w:val="none"/>
                <w:vertAlign w:val="superscript"/>
                <w:lang w:val="en-US" w:eastAsia="zh-CN"/>
              </w:rPr>
              <w:t>10</w:t>
            </w:r>
            <w:r>
              <w:rPr>
                <w:rFonts w:hint="eastAsia" w:ascii="Times New Roman" w:hAnsi="Times New Roman" w:eastAsia="宋体" w:cs="Times New Roman"/>
                <w:color w:val="auto"/>
                <w:szCs w:val="21"/>
                <w:highlight w:val="none"/>
                <w:lang w:val="en-US" w:eastAsia="zh-CN"/>
              </w:rPr>
              <w:t>MPN</w:t>
            </w:r>
          </w:p>
        </w:tc>
        <w:tc>
          <w:tcPr>
            <w:tcW w:w="1384" w:type="dxa"/>
            <w:vAlign w:val="center"/>
          </w:tcPr>
          <w:p>
            <w:pPr>
              <w:pStyle w:val="55"/>
              <w:spacing w:beforeLines="0" w:afterLines="0" w:line="300" w:lineRule="exact"/>
              <w:rPr>
                <w:rFonts w:ascii="Times New Roman"/>
                <w:color w:val="auto"/>
                <w:szCs w:val="21"/>
                <w:highlight w:val="none"/>
              </w:rPr>
            </w:pPr>
          </w:p>
        </w:tc>
        <w:tc>
          <w:tcPr>
            <w:tcW w:w="1683"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2.33×10</w:t>
            </w:r>
            <w:r>
              <w:rPr>
                <w:rFonts w:hint="eastAsia" w:ascii="Times New Roman" w:hAnsi="Times New Roman" w:eastAsia="宋体" w:cs="Times New Roman"/>
                <w:color w:val="auto"/>
                <w:szCs w:val="21"/>
                <w:highlight w:val="none"/>
                <w:vertAlign w:val="superscript"/>
                <w:lang w:val="en-US" w:eastAsia="zh-CN"/>
              </w:rPr>
              <w:t>10</w:t>
            </w:r>
            <w:r>
              <w:rPr>
                <w:rFonts w:hint="eastAsia" w:ascii="Times New Roman" w:hAnsi="Times New Roman" w:eastAsia="宋体" w:cs="Times New Roman"/>
                <w:color w:val="auto"/>
                <w:szCs w:val="21"/>
                <w:highlight w:val="none"/>
                <w:lang w:val="en-US" w:eastAsia="zh-CN"/>
              </w:rPr>
              <w:t>MPN</w:t>
            </w:r>
          </w:p>
        </w:tc>
        <w:tc>
          <w:tcPr>
            <w:tcW w:w="1477" w:type="dxa"/>
            <w:vAlign w:val="center"/>
          </w:tcPr>
          <w:p>
            <w:pPr>
              <w:jc w:val="center"/>
              <w:rPr>
                <w:color w:val="auto"/>
                <w:szCs w:val="21"/>
                <w:highlight w:val="none"/>
              </w:rPr>
            </w:pPr>
            <w:r>
              <w:rPr>
                <w:rFonts w:hint="eastAsia" w:ascii="Times New Roman" w:hAnsi="Times New Roman" w:eastAsia="宋体" w:cs="Times New Roman"/>
                <w:color w:val="auto"/>
                <w:szCs w:val="21"/>
                <w:highlight w:val="none"/>
                <w:lang w:val="en-US" w:eastAsia="zh-CN"/>
              </w:rPr>
              <w:t>+2.33×10</w:t>
            </w:r>
            <w:r>
              <w:rPr>
                <w:rFonts w:hint="eastAsia" w:ascii="Times New Roman" w:hAnsi="Times New Roman" w:eastAsia="宋体" w:cs="Times New Roman"/>
                <w:color w:val="auto"/>
                <w:szCs w:val="21"/>
                <w:highlight w:val="none"/>
                <w:vertAlign w:val="superscript"/>
                <w:lang w:val="en-US" w:eastAsia="zh-CN"/>
              </w:rPr>
              <w:t>10</w:t>
            </w:r>
            <w:r>
              <w:rPr>
                <w:rFonts w:hint="eastAsia" w:ascii="Times New Roman" w:hAnsi="Times New Roman" w:eastAsia="宋体" w:cs="Times New Roman"/>
                <w:color w:val="auto"/>
                <w:szCs w:val="21"/>
                <w:highlight w:val="none"/>
                <w:lang w:val="en-US" w:eastAsia="zh-CN"/>
              </w:rPr>
              <w:t>MPN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溶解性总固体</w:t>
            </w: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46.63</w:t>
            </w:r>
            <w:r>
              <w:rPr>
                <w:color w:val="auto"/>
                <w:szCs w:val="21"/>
                <w:highlight w:val="none"/>
              </w:rPr>
              <w:t>t/a</w:t>
            </w:r>
          </w:p>
        </w:tc>
        <w:tc>
          <w:tcPr>
            <w:tcW w:w="1384" w:type="dxa"/>
            <w:vAlign w:val="center"/>
          </w:tcPr>
          <w:p>
            <w:pPr>
              <w:pStyle w:val="55"/>
              <w:spacing w:beforeLines="0" w:afterLines="0" w:line="300" w:lineRule="exact"/>
              <w:rPr>
                <w:rFonts w:ascii="Times New Roman"/>
                <w:color w:val="auto"/>
                <w:szCs w:val="21"/>
                <w:highlight w:val="none"/>
              </w:rPr>
            </w:pPr>
          </w:p>
        </w:tc>
        <w:tc>
          <w:tcPr>
            <w:tcW w:w="1683"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46.63</w:t>
            </w:r>
            <w:r>
              <w:rPr>
                <w:color w:val="auto"/>
                <w:szCs w:val="21"/>
                <w:highlight w:val="none"/>
              </w:rPr>
              <w:t>t/a</w:t>
            </w:r>
          </w:p>
        </w:tc>
        <w:tc>
          <w:tcPr>
            <w:tcW w:w="1477" w:type="dxa"/>
            <w:vAlign w:val="center"/>
          </w:tcPr>
          <w:p>
            <w:pPr>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46.63</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5"/>
              <w:spacing w:beforeLines="0" w:afterLines="0" w:line="300" w:lineRule="exact"/>
              <w:rPr>
                <w:rFonts w:ascii="Times New Roman"/>
                <w:snapToGrid w:val="0"/>
                <w:color w:val="auto"/>
                <w:kern w:val="21"/>
                <w:szCs w:val="21"/>
                <w:highlight w:val="none"/>
              </w:rPr>
            </w:pPr>
            <w:r>
              <w:rPr>
                <w:rFonts w:ascii="Times New Roman"/>
                <w:snapToGrid w:val="0"/>
                <w:color w:val="auto"/>
                <w:kern w:val="21"/>
                <w:szCs w:val="21"/>
                <w:highlight w:val="none"/>
              </w:rPr>
              <w:t>一般工业</w:t>
            </w:r>
          </w:p>
          <w:p>
            <w:pPr>
              <w:pStyle w:val="55"/>
              <w:spacing w:beforeLines="0" w:afterLines="0" w:line="300" w:lineRule="exact"/>
              <w:rPr>
                <w:rFonts w:ascii="Times New Roman"/>
                <w:snapToGrid w:val="0"/>
                <w:color w:val="auto"/>
                <w:kern w:val="21"/>
                <w:szCs w:val="21"/>
                <w:highlight w:val="none"/>
              </w:rPr>
            </w:pPr>
            <w:r>
              <w:rPr>
                <w:rFonts w:ascii="Times New Roman"/>
                <w:snapToGrid w:val="0"/>
                <w:color w:val="auto"/>
                <w:kern w:val="21"/>
                <w:szCs w:val="21"/>
                <w:highlight w:val="none"/>
              </w:rPr>
              <w:t>固体废物</w:t>
            </w:r>
          </w:p>
        </w:tc>
        <w:tc>
          <w:tcPr>
            <w:tcW w:w="1787" w:type="dxa"/>
            <w:vAlign w:val="center"/>
          </w:tcPr>
          <w:p>
            <w:pPr>
              <w:jc w:val="center"/>
              <w:rPr>
                <w:color w:val="auto"/>
                <w:szCs w:val="21"/>
                <w:highlight w:val="none"/>
              </w:rPr>
            </w:pPr>
            <w:r>
              <w:rPr>
                <w:color w:val="auto"/>
                <w:szCs w:val="21"/>
                <w:highlight w:val="none"/>
              </w:rPr>
              <w:t>废包装物</w:t>
            </w:r>
          </w:p>
        </w:tc>
        <w:tc>
          <w:tcPr>
            <w:tcW w:w="1701" w:type="dxa"/>
            <w:vAlign w:val="center"/>
          </w:tcPr>
          <w:p>
            <w:pPr>
              <w:contextualSpacing/>
              <w:jc w:val="center"/>
              <w:rPr>
                <w:color w:val="auto"/>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color w:val="auto"/>
                <w:szCs w:val="21"/>
                <w:highlight w:val="none"/>
              </w:rPr>
            </w:pPr>
            <w:r>
              <w:rPr>
                <w:rFonts w:hint="eastAsia"/>
                <w:color w:val="auto"/>
                <w:szCs w:val="21"/>
                <w:highlight w:val="none"/>
                <w:lang w:val="en-US" w:eastAsia="zh-CN"/>
              </w:rPr>
              <w:t>0.3</w:t>
            </w:r>
            <w:r>
              <w:rPr>
                <w:color w:val="auto"/>
                <w:szCs w:val="21"/>
                <w:highlight w:val="none"/>
              </w:rPr>
              <w:t>t/a</w:t>
            </w:r>
          </w:p>
        </w:tc>
        <w:tc>
          <w:tcPr>
            <w:tcW w:w="1384" w:type="dxa"/>
            <w:vAlign w:val="center"/>
          </w:tcPr>
          <w:p>
            <w:pPr>
              <w:contextualSpacing/>
              <w:jc w:val="center"/>
              <w:rPr>
                <w:color w:val="auto"/>
                <w:szCs w:val="21"/>
                <w:highlight w:val="none"/>
              </w:rPr>
            </w:pPr>
          </w:p>
        </w:tc>
        <w:tc>
          <w:tcPr>
            <w:tcW w:w="1683" w:type="dxa"/>
            <w:vAlign w:val="center"/>
          </w:tcPr>
          <w:p>
            <w:pPr>
              <w:jc w:val="center"/>
              <w:rPr>
                <w:color w:val="auto"/>
                <w:szCs w:val="21"/>
                <w:highlight w:val="none"/>
              </w:rPr>
            </w:pPr>
            <w:r>
              <w:rPr>
                <w:rFonts w:hint="eastAsia"/>
                <w:color w:val="auto"/>
                <w:szCs w:val="21"/>
                <w:highlight w:val="none"/>
                <w:lang w:val="en-US" w:eastAsia="zh-CN"/>
              </w:rPr>
              <w:t>0.3</w:t>
            </w:r>
            <w:r>
              <w:rPr>
                <w:color w:val="auto"/>
                <w:szCs w:val="21"/>
                <w:highlight w:val="none"/>
              </w:rPr>
              <w:t>t/a</w:t>
            </w:r>
          </w:p>
        </w:tc>
        <w:tc>
          <w:tcPr>
            <w:tcW w:w="1477" w:type="dxa"/>
            <w:vAlign w:val="center"/>
          </w:tcPr>
          <w:p>
            <w:pPr>
              <w:jc w:val="center"/>
              <w:rPr>
                <w:color w:val="auto"/>
                <w:szCs w:val="21"/>
                <w:highlight w:val="none"/>
              </w:rPr>
            </w:pPr>
            <w:r>
              <w:rPr>
                <w:color w:val="auto"/>
                <w:szCs w:val="21"/>
                <w:highlight w:val="none"/>
              </w:rPr>
              <w:t>+</w:t>
            </w:r>
            <w:r>
              <w:rPr>
                <w:rFonts w:hint="eastAsia"/>
                <w:color w:val="auto"/>
                <w:szCs w:val="21"/>
                <w:highlight w:val="none"/>
                <w:lang w:val="en-US" w:eastAsia="zh-CN"/>
              </w:rPr>
              <w:t>0.3</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废离子交换树脂</w:t>
            </w:r>
          </w:p>
        </w:tc>
        <w:tc>
          <w:tcPr>
            <w:tcW w:w="1701" w:type="dxa"/>
            <w:vAlign w:val="center"/>
          </w:tcPr>
          <w:p>
            <w:pPr>
              <w:contextualSpacing/>
              <w:jc w:val="center"/>
              <w:rPr>
                <w:color w:val="auto"/>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rFonts w:hint="default"/>
                <w:color w:val="auto"/>
                <w:szCs w:val="21"/>
                <w:highlight w:val="none"/>
                <w:lang w:val="en-US" w:eastAsia="zh-CN"/>
              </w:rPr>
            </w:pPr>
            <w:r>
              <w:rPr>
                <w:rFonts w:hint="eastAsia"/>
                <w:color w:val="auto"/>
                <w:szCs w:val="21"/>
                <w:highlight w:val="none"/>
                <w:lang w:val="en-US" w:eastAsia="zh-CN"/>
              </w:rPr>
              <w:t>0.02</w:t>
            </w:r>
            <w:r>
              <w:rPr>
                <w:color w:val="auto"/>
                <w:szCs w:val="21"/>
                <w:highlight w:val="none"/>
              </w:rPr>
              <w:t>t/a</w:t>
            </w:r>
          </w:p>
        </w:tc>
        <w:tc>
          <w:tcPr>
            <w:tcW w:w="1384" w:type="dxa"/>
            <w:vAlign w:val="center"/>
          </w:tcPr>
          <w:p>
            <w:pPr>
              <w:contextualSpacing/>
              <w:jc w:val="center"/>
              <w:rPr>
                <w:color w:val="auto"/>
                <w:szCs w:val="21"/>
                <w:highlight w:val="none"/>
              </w:rPr>
            </w:pPr>
          </w:p>
        </w:tc>
        <w:tc>
          <w:tcPr>
            <w:tcW w:w="1683" w:type="dxa"/>
            <w:vAlign w:val="center"/>
          </w:tcPr>
          <w:p>
            <w:pPr>
              <w:jc w:val="center"/>
              <w:rPr>
                <w:rFonts w:hint="eastAsia"/>
                <w:color w:val="auto"/>
                <w:szCs w:val="21"/>
                <w:highlight w:val="none"/>
                <w:lang w:val="en-US" w:eastAsia="zh-CN"/>
              </w:rPr>
            </w:pPr>
            <w:r>
              <w:rPr>
                <w:rFonts w:hint="eastAsia"/>
                <w:color w:val="auto"/>
                <w:szCs w:val="21"/>
                <w:highlight w:val="none"/>
                <w:lang w:val="en-US" w:eastAsia="zh-CN"/>
              </w:rPr>
              <w:t>0.02</w:t>
            </w:r>
            <w:r>
              <w:rPr>
                <w:color w:val="auto"/>
                <w:szCs w:val="21"/>
                <w:highlight w:val="none"/>
              </w:rPr>
              <w:t>t/a</w:t>
            </w:r>
          </w:p>
        </w:tc>
        <w:tc>
          <w:tcPr>
            <w:tcW w:w="1477" w:type="dxa"/>
            <w:vAlign w:val="center"/>
          </w:tcPr>
          <w:p>
            <w:pPr>
              <w:jc w:val="center"/>
              <w:rPr>
                <w:color w:val="auto"/>
                <w:szCs w:val="21"/>
                <w:highlight w:val="none"/>
              </w:rPr>
            </w:pPr>
            <w:r>
              <w:rPr>
                <w:color w:val="auto"/>
                <w:szCs w:val="21"/>
                <w:highlight w:val="none"/>
              </w:rPr>
              <w:t>+</w:t>
            </w:r>
            <w:r>
              <w:rPr>
                <w:rFonts w:hint="eastAsia"/>
                <w:color w:val="auto"/>
                <w:szCs w:val="21"/>
                <w:highlight w:val="none"/>
                <w:lang w:val="en-US" w:eastAsia="zh-CN"/>
              </w:rPr>
              <w:t>0.02</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color w:val="auto"/>
                <w:szCs w:val="21"/>
                <w:highlight w:val="none"/>
              </w:rPr>
            </w:pPr>
            <w:r>
              <w:rPr>
                <w:color w:val="auto"/>
                <w:szCs w:val="21"/>
                <w:highlight w:val="none"/>
              </w:rPr>
              <w:t>生活垃圾</w:t>
            </w:r>
          </w:p>
        </w:tc>
        <w:tc>
          <w:tcPr>
            <w:tcW w:w="1701" w:type="dxa"/>
            <w:vAlign w:val="center"/>
          </w:tcPr>
          <w:p>
            <w:pPr>
              <w:contextualSpacing/>
              <w:jc w:val="center"/>
              <w:rPr>
                <w:color w:val="auto"/>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color w:val="auto"/>
                <w:szCs w:val="21"/>
                <w:highlight w:val="none"/>
              </w:rPr>
            </w:pPr>
            <w:r>
              <w:rPr>
                <w:color w:val="auto"/>
                <w:szCs w:val="21"/>
                <w:highlight w:val="none"/>
              </w:rPr>
              <w:t>52.377t/a</w:t>
            </w:r>
          </w:p>
        </w:tc>
        <w:tc>
          <w:tcPr>
            <w:tcW w:w="1384" w:type="dxa"/>
            <w:vAlign w:val="center"/>
          </w:tcPr>
          <w:p>
            <w:pPr>
              <w:contextualSpacing/>
              <w:jc w:val="center"/>
              <w:rPr>
                <w:color w:val="auto"/>
                <w:szCs w:val="21"/>
                <w:highlight w:val="none"/>
              </w:rPr>
            </w:pPr>
          </w:p>
        </w:tc>
        <w:tc>
          <w:tcPr>
            <w:tcW w:w="1683" w:type="dxa"/>
            <w:vAlign w:val="center"/>
          </w:tcPr>
          <w:p>
            <w:pPr>
              <w:jc w:val="center"/>
              <w:rPr>
                <w:color w:val="auto"/>
                <w:szCs w:val="21"/>
                <w:highlight w:val="none"/>
              </w:rPr>
            </w:pPr>
            <w:r>
              <w:rPr>
                <w:color w:val="auto"/>
                <w:szCs w:val="21"/>
                <w:highlight w:val="none"/>
              </w:rPr>
              <w:t>52.377t/a</w:t>
            </w:r>
          </w:p>
        </w:tc>
        <w:tc>
          <w:tcPr>
            <w:tcW w:w="1477" w:type="dxa"/>
            <w:vAlign w:val="center"/>
          </w:tcPr>
          <w:p>
            <w:pPr>
              <w:jc w:val="center"/>
              <w:rPr>
                <w:color w:val="auto"/>
                <w:szCs w:val="21"/>
                <w:highlight w:val="none"/>
              </w:rPr>
            </w:pPr>
            <w:r>
              <w:rPr>
                <w:color w:val="auto"/>
                <w:szCs w:val="21"/>
                <w:highlight w:val="none"/>
              </w:rPr>
              <w:t>+52.377t/a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restart"/>
            <w:vAlign w:val="center"/>
          </w:tcPr>
          <w:p>
            <w:pPr>
              <w:pStyle w:val="55"/>
              <w:spacing w:beforeLines="0" w:afterLines="0" w:line="300" w:lineRule="exact"/>
              <w:rPr>
                <w:rFonts w:ascii="Times New Roman"/>
                <w:snapToGrid w:val="0"/>
                <w:color w:val="auto"/>
                <w:kern w:val="21"/>
                <w:szCs w:val="21"/>
                <w:highlight w:val="none"/>
              </w:rPr>
            </w:pPr>
            <w:r>
              <w:rPr>
                <w:rFonts w:ascii="Times New Roman"/>
                <w:snapToGrid w:val="0"/>
                <w:color w:val="auto"/>
                <w:kern w:val="21"/>
                <w:szCs w:val="21"/>
                <w:highlight w:val="none"/>
              </w:rPr>
              <w:t>危险废物</w:t>
            </w:r>
          </w:p>
        </w:tc>
        <w:tc>
          <w:tcPr>
            <w:tcW w:w="1787" w:type="dxa"/>
            <w:vAlign w:val="center"/>
          </w:tcPr>
          <w:p>
            <w:pPr>
              <w:jc w:val="center"/>
              <w:rPr>
                <w:color w:val="auto"/>
                <w:szCs w:val="21"/>
                <w:highlight w:val="none"/>
              </w:rPr>
            </w:pPr>
            <w:r>
              <w:rPr>
                <w:color w:val="auto"/>
                <w:szCs w:val="21"/>
                <w:highlight w:val="none"/>
              </w:rPr>
              <w:t>医疗废物</w:t>
            </w:r>
          </w:p>
        </w:tc>
        <w:tc>
          <w:tcPr>
            <w:tcW w:w="1701" w:type="dxa"/>
            <w:vAlign w:val="center"/>
          </w:tcPr>
          <w:p>
            <w:pPr>
              <w:contextualSpacing/>
              <w:jc w:val="center"/>
              <w:rPr>
                <w:color w:val="auto"/>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color w:val="auto"/>
                <w:szCs w:val="21"/>
                <w:highlight w:val="none"/>
              </w:rPr>
            </w:pPr>
            <w:r>
              <w:rPr>
                <w:rFonts w:hint="eastAsia"/>
                <w:color w:val="auto"/>
                <w:szCs w:val="21"/>
                <w:highlight w:val="none"/>
                <w:lang w:eastAsia="zh-CN"/>
              </w:rPr>
              <w:t>76.83</w:t>
            </w:r>
            <w:r>
              <w:rPr>
                <w:color w:val="auto"/>
                <w:szCs w:val="21"/>
                <w:highlight w:val="none"/>
              </w:rPr>
              <w:t>t/a</w:t>
            </w:r>
          </w:p>
        </w:tc>
        <w:tc>
          <w:tcPr>
            <w:tcW w:w="1384" w:type="dxa"/>
            <w:vAlign w:val="center"/>
          </w:tcPr>
          <w:p>
            <w:pPr>
              <w:contextualSpacing/>
              <w:jc w:val="center"/>
              <w:rPr>
                <w:color w:val="auto"/>
                <w:szCs w:val="21"/>
                <w:highlight w:val="none"/>
              </w:rPr>
            </w:pPr>
          </w:p>
        </w:tc>
        <w:tc>
          <w:tcPr>
            <w:tcW w:w="1683" w:type="dxa"/>
            <w:vAlign w:val="center"/>
          </w:tcPr>
          <w:p>
            <w:pPr>
              <w:jc w:val="center"/>
              <w:rPr>
                <w:color w:val="auto"/>
                <w:szCs w:val="21"/>
                <w:highlight w:val="none"/>
              </w:rPr>
            </w:pPr>
            <w:r>
              <w:rPr>
                <w:rFonts w:hint="eastAsia"/>
                <w:color w:val="auto"/>
                <w:szCs w:val="21"/>
                <w:highlight w:val="none"/>
                <w:lang w:eastAsia="zh-CN"/>
              </w:rPr>
              <w:t>76.83</w:t>
            </w:r>
            <w:r>
              <w:rPr>
                <w:color w:val="auto"/>
                <w:szCs w:val="21"/>
                <w:highlight w:val="none"/>
              </w:rPr>
              <w:t>t/a</w:t>
            </w:r>
          </w:p>
        </w:tc>
        <w:tc>
          <w:tcPr>
            <w:tcW w:w="1477" w:type="dxa"/>
            <w:vAlign w:val="center"/>
          </w:tcPr>
          <w:p>
            <w:pPr>
              <w:jc w:val="center"/>
              <w:rPr>
                <w:color w:val="auto"/>
                <w:szCs w:val="21"/>
                <w:highlight w:val="none"/>
              </w:rPr>
            </w:pPr>
            <w:r>
              <w:rPr>
                <w:rFonts w:hint="eastAsia"/>
                <w:color w:val="auto"/>
                <w:szCs w:val="21"/>
                <w:highlight w:val="none"/>
                <w:lang w:eastAsia="zh-CN"/>
              </w:rPr>
              <w:t>76.83</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color w:val="auto"/>
                <w:szCs w:val="21"/>
                <w:highlight w:val="none"/>
              </w:rPr>
            </w:pPr>
            <w:r>
              <w:rPr>
                <w:color w:val="auto"/>
                <w:szCs w:val="21"/>
                <w:highlight w:val="none"/>
              </w:rPr>
              <w:t>污水处理站栅渣</w:t>
            </w:r>
          </w:p>
        </w:tc>
        <w:tc>
          <w:tcPr>
            <w:tcW w:w="1701" w:type="dxa"/>
            <w:vAlign w:val="center"/>
          </w:tcPr>
          <w:p>
            <w:pPr>
              <w:contextualSpacing/>
              <w:jc w:val="center"/>
              <w:rPr>
                <w:color w:val="auto"/>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color w:val="auto"/>
                <w:szCs w:val="21"/>
                <w:highlight w:val="none"/>
              </w:rPr>
            </w:pPr>
            <w:r>
              <w:rPr>
                <w:rFonts w:hint="eastAsia"/>
                <w:color w:val="auto"/>
                <w:szCs w:val="21"/>
                <w:highlight w:val="none"/>
                <w:lang w:eastAsia="zh-CN"/>
              </w:rPr>
              <w:t>4.5</w:t>
            </w:r>
            <w:r>
              <w:rPr>
                <w:color w:val="auto"/>
                <w:szCs w:val="21"/>
                <w:highlight w:val="none"/>
              </w:rPr>
              <w:t>t/a</w:t>
            </w:r>
          </w:p>
        </w:tc>
        <w:tc>
          <w:tcPr>
            <w:tcW w:w="1384" w:type="dxa"/>
            <w:vAlign w:val="center"/>
          </w:tcPr>
          <w:p>
            <w:pPr>
              <w:contextualSpacing/>
              <w:jc w:val="center"/>
              <w:rPr>
                <w:color w:val="auto"/>
                <w:szCs w:val="21"/>
                <w:highlight w:val="none"/>
              </w:rPr>
            </w:pPr>
          </w:p>
        </w:tc>
        <w:tc>
          <w:tcPr>
            <w:tcW w:w="1683" w:type="dxa"/>
            <w:vAlign w:val="center"/>
          </w:tcPr>
          <w:p>
            <w:pPr>
              <w:jc w:val="center"/>
              <w:rPr>
                <w:color w:val="auto"/>
                <w:szCs w:val="21"/>
                <w:highlight w:val="none"/>
              </w:rPr>
            </w:pPr>
            <w:r>
              <w:rPr>
                <w:rFonts w:hint="eastAsia"/>
                <w:color w:val="auto"/>
                <w:szCs w:val="21"/>
                <w:highlight w:val="none"/>
                <w:lang w:eastAsia="zh-CN"/>
              </w:rPr>
              <w:t>4.5</w:t>
            </w:r>
            <w:r>
              <w:rPr>
                <w:color w:val="auto"/>
                <w:szCs w:val="21"/>
                <w:highlight w:val="none"/>
              </w:rPr>
              <w:t>t/a</w:t>
            </w:r>
          </w:p>
        </w:tc>
        <w:tc>
          <w:tcPr>
            <w:tcW w:w="1477" w:type="dxa"/>
            <w:vAlign w:val="center"/>
          </w:tcPr>
          <w:p>
            <w:pPr>
              <w:jc w:val="center"/>
              <w:rPr>
                <w:color w:val="auto"/>
                <w:szCs w:val="21"/>
                <w:highlight w:val="none"/>
              </w:rPr>
            </w:pPr>
            <w:r>
              <w:rPr>
                <w:rFonts w:hint="eastAsia"/>
                <w:color w:val="auto"/>
                <w:szCs w:val="21"/>
                <w:highlight w:val="none"/>
                <w:lang w:eastAsia="zh-CN"/>
              </w:rPr>
              <w:t>4.5</w:t>
            </w:r>
            <w:r>
              <w:rPr>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8" w:type="dxa"/>
            <w:vMerge w:val="continue"/>
            <w:vAlign w:val="center"/>
          </w:tcPr>
          <w:p>
            <w:pPr>
              <w:pStyle w:val="55"/>
              <w:spacing w:beforeLines="0" w:afterLines="0" w:line="300" w:lineRule="exact"/>
              <w:rPr>
                <w:rFonts w:ascii="Times New Roman"/>
                <w:snapToGrid w:val="0"/>
                <w:color w:val="auto"/>
                <w:kern w:val="21"/>
                <w:szCs w:val="21"/>
                <w:highlight w:val="none"/>
              </w:rPr>
            </w:pPr>
          </w:p>
        </w:tc>
        <w:tc>
          <w:tcPr>
            <w:tcW w:w="1787" w:type="dxa"/>
            <w:vAlign w:val="center"/>
          </w:tcPr>
          <w:p>
            <w:pPr>
              <w:jc w:val="center"/>
              <w:rPr>
                <w:color w:val="auto"/>
                <w:szCs w:val="21"/>
                <w:highlight w:val="none"/>
              </w:rPr>
            </w:pPr>
            <w:r>
              <w:rPr>
                <w:color w:val="auto"/>
                <w:szCs w:val="21"/>
                <w:highlight w:val="none"/>
              </w:rPr>
              <w:t>污水处理站污泥</w:t>
            </w:r>
          </w:p>
        </w:tc>
        <w:tc>
          <w:tcPr>
            <w:tcW w:w="1701" w:type="dxa"/>
            <w:vAlign w:val="center"/>
          </w:tcPr>
          <w:p>
            <w:pPr>
              <w:contextualSpacing/>
              <w:jc w:val="center"/>
              <w:rPr>
                <w:color w:val="auto"/>
                <w:szCs w:val="21"/>
                <w:highlight w:val="none"/>
              </w:rPr>
            </w:pPr>
          </w:p>
        </w:tc>
        <w:tc>
          <w:tcPr>
            <w:tcW w:w="1276" w:type="dxa"/>
            <w:vAlign w:val="center"/>
          </w:tcPr>
          <w:p>
            <w:pPr>
              <w:pStyle w:val="55"/>
              <w:spacing w:beforeLines="0" w:afterLines="0" w:line="300" w:lineRule="exact"/>
              <w:rPr>
                <w:rFonts w:ascii="Times New Roman"/>
                <w:snapToGrid w:val="0"/>
                <w:color w:val="auto"/>
                <w:kern w:val="21"/>
                <w:szCs w:val="21"/>
                <w:highlight w:val="none"/>
              </w:rPr>
            </w:pPr>
          </w:p>
        </w:tc>
        <w:tc>
          <w:tcPr>
            <w:tcW w:w="1701" w:type="dxa"/>
            <w:vAlign w:val="center"/>
          </w:tcPr>
          <w:p>
            <w:pPr>
              <w:pStyle w:val="55"/>
              <w:spacing w:beforeLines="0" w:afterLines="0" w:line="300" w:lineRule="exact"/>
              <w:rPr>
                <w:rFonts w:ascii="Times New Roman"/>
                <w:snapToGrid w:val="0"/>
                <w:color w:val="auto"/>
                <w:kern w:val="21"/>
                <w:szCs w:val="21"/>
                <w:highlight w:val="none"/>
              </w:rPr>
            </w:pPr>
          </w:p>
        </w:tc>
        <w:tc>
          <w:tcPr>
            <w:tcW w:w="1878" w:type="dxa"/>
            <w:vAlign w:val="center"/>
          </w:tcPr>
          <w:p>
            <w:pPr>
              <w:jc w:val="center"/>
              <w:rPr>
                <w:color w:val="auto"/>
                <w:szCs w:val="21"/>
                <w:highlight w:val="none"/>
              </w:rPr>
            </w:pPr>
            <w:r>
              <w:rPr>
                <w:rFonts w:hint="eastAsia"/>
                <w:color w:val="auto"/>
                <w:szCs w:val="21"/>
                <w:highlight w:val="none"/>
                <w:lang w:eastAsia="zh-CN"/>
              </w:rPr>
              <w:t>106.27</w:t>
            </w:r>
            <w:r>
              <w:rPr>
                <w:color w:val="auto"/>
                <w:szCs w:val="21"/>
                <w:highlight w:val="none"/>
              </w:rPr>
              <w:t>t/a</w:t>
            </w:r>
          </w:p>
        </w:tc>
        <w:tc>
          <w:tcPr>
            <w:tcW w:w="1384" w:type="dxa"/>
            <w:vAlign w:val="center"/>
          </w:tcPr>
          <w:p>
            <w:pPr>
              <w:contextualSpacing/>
              <w:jc w:val="center"/>
              <w:rPr>
                <w:color w:val="auto"/>
                <w:szCs w:val="21"/>
                <w:highlight w:val="none"/>
              </w:rPr>
            </w:pPr>
          </w:p>
        </w:tc>
        <w:tc>
          <w:tcPr>
            <w:tcW w:w="1683" w:type="dxa"/>
            <w:vAlign w:val="center"/>
          </w:tcPr>
          <w:p>
            <w:pPr>
              <w:jc w:val="center"/>
              <w:rPr>
                <w:color w:val="auto"/>
                <w:szCs w:val="21"/>
                <w:highlight w:val="none"/>
              </w:rPr>
            </w:pPr>
            <w:r>
              <w:rPr>
                <w:rFonts w:hint="eastAsia"/>
                <w:color w:val="auto"/>
                <w:szCs w:val="21"/>
                <w:highlight w:val="none"/>
                <w:lang w:eastAsia="zh-CN"/>
              </w:rPr>
              <w:t>106.27</w:t>
            </w:r>
            <w:r>
              <w:rPr>
                <w:color w:val="auto"/>
                <w:szCs w:val="21"/>
                <w:highlight w:val="none"/>
              </w:rPr>
              <w:t>t/a</w:t>
            </w:r>
          </w:p>
        </w:tc>
        <w:tc>
          <w:tcPr>
            <w:tcW w:w="1477" w:type="dxa"/>
            <w:vAlign w:val="center"/>
          </w:tcPr>
          <w:p>
            <w:pPr>
              <w:jc w:val="center"/>
              <w:rPr>
                <w:color w:val="auto"/>
                <w:szCs w:val="21"/>
                <w:highlight w:val="none"/>
              </w:rPr>
            </w:pPr>
            <w:r>
              <w:rPr>
                <w:rFonts w:hint="eastAsia"/>
                <w:color w:val="auto"/>
                <w:szCs w:val="21"/>
                <w:highlight w:val="none"/>
                <w:lang w:eastAsia="zh-CN"/>
              </w:rPr>
              <w:t>106.27</w:t>
            </w:r>
            <w:r>
              <w:rPr>
                <w:color w:val="auto"/>
                <w:szCs w:val="21"/>
                <w:highlight w:val="none"/>
              </w:rPr>
              <w:t>t/a</w:t>
            </w:r>
          </w:p>
        </w:tc>
      </w:tr>
    </w:tbl>
    <w:p>
      <w:pPr>
        <w:pStyle w:val="55"/>
        <w:spacing w:beforeLines="0" w:afterLines="0" w:line="240" w:lineRule="auto"/>
        <w:jc w:val="left"/>
        <w:rPr>
          <w:rFonts w:ascii="Times New Roman" w:eastAsia="黑体"/>
          <w:color w:val="auto"/>
          <w:highlight w:val="none"/>
        </w:rPr>
      </w:pPr>
      <w:r>
        <w:rPr>
          <w:rFonts w:ascii="Times New Roman"/>
          <w:snapToGrid w:val="0"/>
          <w:color w:val="auto"/>
          <w:kern w:val="21"/>
          <w:szCs w:val="21"/>
          <w:highlight w:val="none"/>
        </w:rPr>
        <w:t>注：</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6 \* GB3 \* MERGEFORMAT </w:instrText>
      </w:r>
      <w:r>
        <w:rPr>
          <w:rFonts w:ascii="Times New Roman"/>
          <w:snapToGrid w:val="0"/>
          <w:color w:val="auto"/>
          <w:spacing w:val="-16"/>
          <w:kern w:val="21"/>
          <w:szCs w:val="21"/>
          <w:highlight w:val="none"/>
        </w:rPr>
        <w:fldChar w:fldCharType="separate"/>
      </w:r>
      <w:r>
        <w:rPr>
          <w:rFonts w:hint="eastAsia" w:hAnsi="宋体" w:cs="宋体"/>
          <w:color w:val="auto"/>
          <w:szCs w:val="21"/>
          <w:highlight w:val="none"/>
        </w:rPr>
        <w:t>⑥</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1 \* GB3 \* MERGEFORMAT </w:instrText>
      </w:r>
      <w:r>
        <w:rPr>
          <w:rFonts w:ascii="Times New Roman"/>
          <w:snapToGrid w:val="0"/>
          <w:color w:val="auto"/>
          <w:spacing w:val="-6"/>
          <w:kern w:val="21"/>
          <w:szCs w:val="21"/>
          <w:highlight w:val="none"/>
        </w:rPr>
        <w:fldChar w:fldCharType="separate"/>
      </w:r>
      <w:r>
        <w:rPr>
          <w:rFonts w:hint="eastAsia" w:hAnsi="宋体" w:cs="宋体"/>
          <w:color w:val="auto"/>
          <w:szCs w:val="21"/>
          <w:highlight w:val="none"/>
        </w:rPr>
        <w:t>①</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3 \* GB3 \* MERGEFORMAT </w:instrText>
      </w:r>
      <w:r>
        <w:rPr>
          <w:rFonts w:ascii="Times New Roman"/>
          <w:snapToGrid w:val="0"/>
          <w:color w:val="auto"/>
          <w:spacing w:val="-6"/>
          <w:kern w:val="21"/>
          <w:szCs w:val="21"/>
          <w:highlight w:val="none"/>
        </w:rPr>
        <w:fldChar w:fldCharType="separate"/>
      </w:r>
      <w:r>
        <w:rPr>
          <w:rFonts w:hint="eastAsia" w:hAnsi="宋体" w:cs="宋体"/>
          <w:color w:val="auto"/>
          <w:szCs w:val="21"/>
          <w:highlight w:val="none"/>
        </w:rPr>
        <w:t>③</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4 \* GB3 \* MERGEFORMAT </w:instrText>
      </w:r>
      <w:r>
        <w:rPr>
          <w:rFonts w:ascii="Times New Roman"/>
          <w:snapToGrid w:val="0"/>
          <w:color w:val="auto"/>
          <w:spacing w:val="-6"/>
          <w:kern w:val="21"/>
          <w:szCs w:val="21"/>
          <w:highlight w:val="none"/>
        </w:rPr>
        <w:fldChar w:fldCharType="separate"/>
      </w:r>
      <w:r>
        <w:rPr>
          <w:rFonts w:hint="eastAsia" w:hAnsi="宋体" w:cs="宋体"/>
          <w:color w:val="auto"/>
          <w:szCs w:val="21"/>
          <w:highlight w:val="none"/>
        </w:rPr>
        <w:t>④</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5 \* GB3 \* MERGEFORMAT </w:instrText>
      </w:r>
      <w:r>
        <w:rPr>
          <w:rFonts w:ascii="Times New Roman"/>
          <w:snapToGrid w:val="0"/>
          <w:color w:val="auto"/>
          <w:spacing w:val="-16"/>
          <w:kern w:val="21"/>
          <w:szCs w:val="21"/>
          <w:highlight w:val="none"/>
        </w:rPr>
        <w:fldChar w:fldCharType="separate"/>
      </w:r>
      <w:r>
        <w:rPr>
          <w:rFonts w:hint="eastAsia" w:hAnsi="宋体" w:cs="宋体"/>
          <w:color w:val="auto"/>
          <w:szCs w:val="21"/>
          <w:highlight w:val="none"/>
        </w:rPr>
        <w:t>⑤</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7 \* GB3 \* MERGEFORMAT </w:instrText>
      </w:r>
      <w:r>
        <w:rPr>
          <w:rFonts w:ascii="Times New Roman"/>
          <w:snapToGrid w:val="0"/>
          <w:color w:val="auto"/>
          <w:spacing w:val="-6"/>
          <w:kern w:val="21"/>
          <w:szCs w:val="21"/>
          <w:highlight w:val="none"/>
        </w:rPr>
        <w:fldChar w:fldCharType="separate"/>
      </w:r>
      <w:r>
        <w:rPr>
          <w:rFonts w:hint="eastAsia" w:hAnsi="宋体" w:cs="宋体"/>
          <w:color w:val="auto"/>
          <w:szCs w:val="21"/>
          <w:highlight w:val="none"/>
        </w:rPr>
        <w:t>⑦</w:t>
      </w:r>
      <w:r>
        <w:rPr>
          <w:rFonts w:ascii="Times New Roman"/>
          <w:snapToGrid w:val="0"/>
          <w:color w:val="auto"/>
          <w:spacing w:val="-6"/>
          <w:kern w:val="21"/>
          <w:szCs w:val="21"/>
          <w:highlight w:val="none"/>
        </w:rPr>
        <w:fldChar w:fldCharType="end"/>
      </w:r>
      <w:r>
        <w:rPr>
          <w:rFonts w:ascii="Times New Roman"/>
          <w:snapToGrid w:val="0"/>
          <w:color w:val="auto"/>
          <w:spacing w:val="-6"/>
          <w:kern w:val="21"/>
          <w:szCs w:val="21"/>
          <w:highlight w:val="none"/>
        </w:rPr>
        <w:t>=</w:t>
      </w:r>
      <w:r>
        <w:rPr>
          <w:rFonts w:ascii="Times New Roman"/>
          <w:snapToGrid w:val="0"/>
          <w:color w:val="auto"/>
          <w:spacing w:val="-16"/>
          <w:kern w:val="21"/>
          <w:szCs w:val="21"/>
          <w:highlight w:val="none"/>
        </w:rPr>
        <w:fldChar w:fldCharType="begin"/>
      </w:r>
      <w:r>
        <w:rPr>
          <w:rFonts w:ascii="Times New Roman"/>
          <w:snapToGrid w:val="0"/>
          <w:color w:val="auto"/>
          <w:spacing w:val="-16"/>
          <w:kern w:val="21"/>
          <w:szCs w:val="21"/>
          <w:highlight w:val="none"/>
        </w:rPr>
        <w:instrText xml:space="preserve"> = 6 \* GB3 \* MERGEFORMAT </w:instrText>
      </w:r>
      <w:r>
        <w:rPr>
          <w:rFonts w:ascii="Times New Roman"/>
          <w:snapToGrid w:val="0"/>
          <w:color w:val="auto"/>
          <w:spacing w:val="-16"/>
          <w:kern w:val="21"/>
          <w:szCs w:val="21"/>
          <w:highlight w:val="none"/>
        </w:rPr>
        <w:fldChar w:fldCharType="separate"/>
      </w:r>
      <w:r>
        <w:rPr>
          <w:rFonts w:hint="eastAsia" w:hAnsi="宋体" w:cs="宋体"/>
          <w:color w:val="auto"/>
          <w:szCs w:val="21"/>
          <w:highlight w:val="none"/>
        </w:rPr>
        <w:t>⑥</w:t>
      </w:r>
      <w:r>
        <w:rPr>
          <w:rFonts w:ascii="Times New Roman"/>
          <w:snapToGrid w:val="0"/>
          <w:color w:val="auto"/>
          <w:spacing w:val="-16"/>
          <w:kern w:val="21"/>
          <w:szCs w:val="21"/>
          <w:highlight w:val="none"/>
        </w:rPr>
        <w:fldChar w:fldCharType="end"/>
      </w:r>
      <w:r>
        <w:rPr>
          <w:rFonts w:ascii="Times New Roman"/>
          <w:snapToGrid w:val="0"/>
          <w:color w:val="auto"/>
          <w:spacing w:val="-16"/>
          <w:kern w:val="21"/>
          <w:szCs w:val="21"/>
          <w:highlight w:val="none"/>
        </w:rPr>
        <w:t>-</w:t>
      </w:r>
      <w:r>
        <w:rPr>
          <w:rFonts w:ascii="Times New Roman"/>
          <w:snapToGrid w:val="0"/>
          <w:color w:val="auto"/>
          <w:spacing w:val="-6"/>
          <w:kern w:val="21"/>
          <w:szCs w:val="21"/>
          <w:highlight w:val="none"/>
        </w:rPr>
        <w:fldChar w:fldCharType="begin"/>
      </w:r>
      <w:r>
        <w:rPr>
          <w:rFonts w:ascii="Times New Roman"/>
          <w:snapToGrid w:val="0"/>
          <w:color w:val="auto"/>
          <w:spacing w:val="-6"/>
          <w:kern w:val="21"/>
          <w:szCs w:val="21"/>
          <w:highlight w:val="none"/>
        </w:rPr>
        <w:instrText xml:space="preserve"> = 1 \* GB3 \* MERGEFORMAT </w:instrText>
      </w:r>
      <w:r>
        <w:rPr>
          <w:rFonts w:ascii="Times New Roman"/>
          <w:snapToGrid w:val="0"/>
          <w:color w:val="auto"/>
          <w:spacing w:val="-6"/>
          <w:kern w:val="21"/>
          <w:szCs w:val="21"/>
          <w:highlight w:val="none"/>
        </w:rPr>
        <w:fldChar w:fldCharType="separate"/>
      </w:r>
      <w:r>
        <w:rPr>
          <w:rFonts w:hint="eastAsia" w:hAnsi="宋体" w:cs="宋体"/>
          <w:color w:val="auto"/>
          <w:szCs w:val="21"/>
          <w:highlight w:val="none"/>
        </w:rPr>
        <w:t>①</w:t>
      </w:r>
      <w:r>
        <w:rPr>
          <w:rFonts w:ascii="Times New Roman"/>
          <w:snapToGrid w:val="0"/>
          <w:color w:val="auto"/>
          <w:spacing w:val="-6"/>
          <w:kern w:val="21"/>
          <w:szCs w:val="21"/>
          <w:highlight w:val="none"/>
        </w:rPr>
        <w:fldChar w:fldCharType="end"/>
      </w:r>
    </w:p>
    <w:sectPr>
      <w:footerReference r:id="rId5" w:type="default"/>
      <w:pgSz w:w="16838" w:h="11906" w:orient="landscape"/>
      <w:pgMar w:top="1531" w:right="1701" w:bottom="1531" w:left="1701" w:header="851" w:footer="851"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wps:txbx>
                    <wps:bodyPr wrap="none" lIns="0" tIns="0" rIns="0" bIns="0">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LEwwEAAJADAAAOAAAAAAAAAAEAIAAAAB4BAABkcnMvZTJvRG9jLnhtbFBL&#10;BQYAAAAABgAGAFkBAABTBQ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wps:txbx>
                    <wps:bodyPr wrap="none" lIns="0" tIns="0" rIns="0" bIns="0">
                      <a:spAutoFit/>
                    </wps:bodyPr>
                  </wps:wsp>
                </a:graphicData>
              </a:graphic>
            </wp:anchor>
          </w:drawing>
        </mc:Choice>
        <mc:Fallback>
          <w:pict>
            <v:shape id="文本框 205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9C5gsQBAACQAwAADgAAAAAAAAABACAAAAAeAQAAZHJzL2Uyb0RvYy54bWxQ&#10;SwUGAAAAAAYABgBZAQAAVAU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- 57 -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5CF12"/>
    <w:multiLevelType w:val="singleLevel"/>
    <w:tmpl w:val="9215CF1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1">
    <w:nsid w:val="D7C72478"/>
    <w:multiLevelType w:val="singleLevel"/>
    <w:tmpl w:val="D7C72478"/>
    <w:lvl w:ilvl="0" w:tentative="0">
      <w:start w:val="4"/>
      <w:numFmt w:val="chineseCounting"/>
      <w:suff w:val="nothing"/>
      <w:lvlText w:val="%1、"/>
      <w:lvlJc w:val="left"/>
      <w:rPr>
        <w:rFonts w:hint="eastAsia"/>
      </w:rPr>
    </w:lvl>
  </w:abstractNum>
  <w:abstractNum w:abstractNumId="2">
    <w:nsid w:val="EA8CB57B"/>
    <w:multiLevelType w:val="singleLevel"/>
    <w:tmpl w:val="EA8CB57B"/>
    <w:lvl w:ilvl="0" w:tentative="0">
      <w:start w:val="1"/>
      <w:numFmt w:val="decimal"/>
      <w:suff w:val="nothing"/>
      <w:lvlText w:val="%1、"/>
      <w:lvlJc w:val="left"/>
    </w:lvl>
  </w:abstractNum>
  <w:abstractNum w:abstractNumId="3">
    <w:nsid w:val="61E83F48"/>
    <w:multiLevelType w:val="singleLevel"/>
    <w:tmpl w:val="61E83F48"/>
    <w:lvl w:ilvl="0" w:tentative="0">
      <w:start w:val="3"/>
      <w:numFmt w:val="decimal"/>
      <w:suff w:val="nothing"/>
      <w:lvlText w:val="（%1）"/>
      <w:lvlJc w:val="left"/>
    </w:lvl>
  </w:abstractNum>
  <w:abstractNum w:abstractNumId="4">
    <w:nsid w:val="7702CF2C"/>
    <w:multiLevelType w:val="singleLevel"/>
    <w:tmpl w:val="7702CF2C"/>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ZGNmODY2OTM5MDljMTYxMzIwZmQ2Mjg4YTY2YjQifQ=="/>
  </w:docVars>
  <w:rsids>
    <w:rsidRoot w:val="00172A27"/>
    <w:rsid w:val="000036CB"/>
    <w:rsid w:val="000060B3"/>
    <w:rsid w:val="00025B40"/>
    <w:rsid w:val="000316A3"/>
    <w:rsid w:val="0004364B"/>
    <w:rsid w:val="00061B1F"/>
    <w:rsid w:val="000733C4"/>
    <w:rsid w:val="00074783"/>
    <w:rsid w:val="0008070B"/>
    <w:rsid w:val="000810AC"/>
    <w:rsid w:val="00081A02"/>
    <w:rsid w:val="00082231"/>
    <w:rsid w:val="00092D38"/>
    <w:rsid w:val="0009377B"/>
    <w:rsid w:val="000A20C9"/>
    <w:rsid w:val="000A741C"/>
    <w:rsid w:val="000B058F"/>
    <w:rsid w:val="000B4467"/>
    <w:rsid w:val="000B4DB9"/>
    <w:rsid w:val="000C09AC"/>
    <w:rsid w:val="000C7457"/>
    <w:rsid w:val="000C767F"/>
    <w:rsid w:val="000D4FD6"/>
    <w:rsid w:val="000D5A44"/>
    <w:rsid w:val="000E3ED2"/>
    <w:rsid w:val="00111F5D"/>
    <w:rsid w:val="001165C3"/>
    <w:rsid w:val="00120E5D"/>
    <w:rsid w:val="00131346"/>
    <w:rsid w:val="00131F42"/>
    <w:rsid w:val="001357F1"/>
    <w:rsid w:val="00140FA8"/>
    <w:rsid w:val="00142FEB"/>
    <w:rsid w:val="00143A2D"/>
    <w:rsid w:val="00145A41"/>
    <w:rsid w:val="00151675"/>
    <w:rsid w:val="00154983"/>
    <w:rsid w:val="00157435"/>
    <w:rsid w:val="00167717"/>
    <w:rsid w:val="0017168D"/>
    <w:rsid w:val="00172A27"/>
    <w:rsid w:val="0017504D"/>
    <w:rsid w:val="0017671A"/>
    <w:rsid w:val="00177422"/>
    <w:rsid w:val="00184590"/>
    <w:rsid w:val="001870D1"/>
    <w:rsid w:val="0018781E"/>
    <w:rsid w:val="0019262D"/>
    <w:rsid w:val="001930DD"/>
    <w:rsid w:val="00196349"/>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305B"/>
    <w:rsid w:val="00264557"/>
    <w:rsid w:val="00265063"/>
    <w:rsid w:val="002805AB"/>
    <w:rsid w:val="00284204"/>
    <w:rsid w:val="00291773"/>
    <w:rsid w:val="002A168C"/>
    <w:rsid w:val="002A3DC7"/>
    <w:rsid w:val="002A6D4D"/>
    <w:rsid w:val="002B408A"/>
    <w:rsid w:val="002B49E2"/>
    <w:rsid w:val="002B7B00"/>
    <w:rsid w:val="002B7C44"/>
    <w:rsid w:val="002C2B17"/>
    <w:rsid w:val="002D3DD0"/>
    <w:rsid w:val="002D63FA"/>
    <w:rsid w:val="002E1F3A"/>
    <w:rsid w:val="002E298A"/>
    <w:rsid w:val="002E4924"/>
    <w:rsid w:val="00301978"/>
    <w:rsid w:val="0030332C"/>
    <w:rsid w:val="003051C2"/>
    <w:rsid w:val="00307B70"/>
    <w:rsid w:val="0031061C"/>
    <w:rsid w:val="00312296"/>
    <w:rsid w:val="00314F0E"/>
    <w:rsid w:val="003215AB"/>
    <w:rsid w:val="00321D8E"/>
    <w:rsid w:val="00325928"/>
    <w:rsid w:val="00332863"/>
    <w:rsid w:val="003330DB"/>
    <w:rsid w:val="0033684D"/>
    <w:rsid w:val="00337B42"/>
    <w:rsid w:val="00341B42"/>
    <w:rsid w:val="00342DA4"/>
    <w:rsid w:val="0034348F"/>
    <w:rsid w:val="0034458B"/>
    <w:rsid w:val="00356653"/>
    <w:rsid w:val="0035743F"/>
    <w:rsid w:val="00357BE2"/>
    <w:rsid w:val="0036170C"/>
    <w:rsid w:val="00366E0F"/>
    <w:rsid w:val="00381A72"/>
    <w:rsid w:val="00384676"/>
    <w:rsid w:val="00390857"/>
    <w:rsid w:val="00396F5E"/>
    <w:rsid w:val="003A1B2F"/>
    <w:rsid w:val="003A4BF3"/>
    <w:rsid w:val="003B420D"/>
    <w:rsid w:val="003C1436"/>
    <w:rsid w:val="003C6C16"/>
    <w:rsid w:val="003D3E6B"/>
    <w:rsid w:val="003D794D"/>
    <w:rsid w:val="003E3058"/>
    <w:rsid w:val="003E76A9"/>
    <w:rsid w:val="003F0809"/>
    <w:rsid w:val="003F5316"/>
    <w:rsid w:val="003F6A8C"/>
    <w:rsid w:val="003F755C"/>
    <w:rsid w:val="00401A80"/>
    <w:rsid w:val="00406F01"/>
    <w:rsid w:val="0041236E"/>
    <w:rsid w:val="00416D50"/>
    <w:rsid w:val="00416FD5"/>
    <w:rsid w:val="00417772"/>
    <w:rsid w:val="00420E6A"/>
    <w:rsid w:val="00425A9E"/>
    <w:rsid w:val="00426D6B"/>
    <w:rsid w:val="00431E6C"/>
    <w:rsid w:val="00433CE7"/>
    <w:rsid w:val="00452738"/>
    <w:rsid w:val="00456091"/>
    <w:rsid w:val="00466321"/>
    <w:rsid w:val="00475240"/>
    <w:rsid w:val="00484B9B"/>
    <w:rsid w:val="004855F6"/>
    <w:rsid w:val="0048661E"/>
    <w:rsid w:val="00494670"/>
    <w:rsid w:val="004A06C1"/>
    <w:rsid w:val="004A1624"/>
    <w:rsid w:val="004A3823"/>
    <w:rsid w:val="004C0F72"/>
    <w:rsid w:val="004C4AC3"/>
    <w:rsid w:val="004E4E09"/>
    <w:rsid w:val="004E6946"/>
    <w:rsid w:val="004F1088"/>
    <w:rsid w:val="004F1AD8"/>
    <w:rsid w:val="004F2E2C"/>
    <w:rsid w:val="005039CB"/>
    <w:rsid w:val="0050558F"/>
    <w:rsid w:val="00506286"/>
    <w:rsid w:val="0050799C"/>
    <w:rsid w:val="00510813"/>
    <w:rsid w:val="00511990"/>
    <w:rsid w:val="00511DE0"/>
    <w:rsid w:val="00514870"/>
    <w:rsid w:val="00514B9B"/>
    <w:rsid w:val="00517169"/>
    <w:rsid w:val="00517F02"/>
    <w:rsid w:val="00524303"/>
    <w:rsid w:val="005258A2"/>
    <w:rsid w:val="005270F0"/>
    <w:rsid w:val="00535376"/>
    <w:rsid w:val="005401AE"/>
    <w:rsid w:val="00542E07"/>
    <w:rsid w:val="00545424"/>
    <w:rsid w:val="0054648C"/>
    <w:rsid w:val="00554A7B"/>
    <w:rsid w:val="0055572C"/>
    <w:rsid w:val="00555AD5"/>
    <w:rsid w:val="0056106A"/>
    <w:rsid w:val="005720AE"/>
    <w:rsid w:val="00585947"/>
    <w:rsid w:val="00594D77"/>
    <w:rsid w:val="005969E4"/>
    <w:rsid w:val="005A06B7"/>
    <w:rsid w:val="005A1759"/>
    <w:rsid w:val="005A68A7"/>
    <w:rsid w:val="005A7928"/>
    <w:rsid w:val="005B2704"/>
    <w:rsid w:val="005D36AB"/>
    <w:rsid w:val="005E6B89"/>
    <w:rsid w:val="00617CC3"/>
    <w:rsid w:val="006245B9"/>
    <w:rsid w:val="00635728"/>
    <w:rsid w:val="006377A6"/>
    <w:rsid w:val="00637A3D"/>
    <w:rsid w:val="006411EF"/>
    <w:rsid w:val="006430F5"/>
    <w:rsid w:val="006534CF"/>
    <w:rsid w:val="006623D0"/>
    <w:rsid w:val="00671349"/>
    <w:rsid w:val="006748B8"/>
    <w:rsid w:val="006775C3"/>
    <w:rsid w:val="0069290A"/>
    <w:rsid w:val="0069775A"/>
    <w:rsid w:val="00697813"/>
    <w:rsid w:val="006A00B6"/>
    <w:rsid w:val="006A3EE8"/>
    <w:rsid w:val="006A72BF"/>
    <w:rsid w:val="006B03F2"/>
    <w:rsid w:val="006B37DC"/>
    <w:rsid w:val="006B46F8"/>
    <w:rsid w:val="006B4F68"/>
    <w:rsid w:val="006C0592"/>
    <w:rsid w:val="006C272E"/>
    <w:rsid w:val="006C50B3"/>
    <w:rsid w:val="006C5479"/>
    <w:rsid w:val="006D13B5"/>
    <w:rsid w:val="006D685A"/>
    <w:rsid w:val="006E12FF"/>
    <w:rsid w:val="006E2E10"/>
    <w:rsid w:val="006E607E"/>
    <w:rsid w:val="006F72FB"/>
    <w:rsid w:val="00706C5D"/>
    <w:rsid w:val="00713FED"/>
    <w:rsid w:val="00717532"/>
    <w:rsid w:val="00725245"/>
    <w:rsid w:val="00732922"/>
    <w:rsid w:val="00735823"/>
    <w:rsid w:val="00747124"/>
    <w:rsid w:val="0075162E"/>
    <w:rsid w:val="00754034"/>
    <w:rsid w:val="00756357"/>
    <w:rsid w:val="00756556"/>
    <w:rsid w:val="007618C4"/>
    <w:rsid w:val="00767980"/>
    <w:rsid w:val="00770B19"/>
    <w:rsid w:val="00771F7F"/>
    <w:rsid w:val="0077463F"/>
    <w:rsid w:val="007836EA"/>
    <w:rsid w:val="00784CDA"/>
    <w:rsid w:val="007906C4"/>
    <w:rsid w:val="007940EA"/>
    <w:rsid w:val="007967E8"/>
    <w:rsid w:val="007A2170"/>
    <w:rsid w:val="007A22BF"/>
    <w:rsid w:val="007A3323"/>
    <w:rsid w:val="007B1D53"/>
    <w:rsid w:val="007B27B0"/>
    <w:rsid w:val="007B72B8"/>
    <w:rsid w:val="007B7A58"/>
    <w:rsid w:val="007C21B5"/>
    <w:rsid w:val="007E4BD2"/>
    <w:rsid w:val="007F045F"/>
    <w:rsid w:val="007F746C"/>
    <w:rsid w:val="00801393"/>
    <w:rsid w:val="00802F88"/>
    <w:rsid w:val="0081293E"/>
    <w:rsid w:val="00814220"/>
    <w:rsid w:val="00815465"/>
    <w:rsid w:val="00816779"/>
    <w:rsid w:val="00817E9A"/>
    <w:rsid w:val="00827C2B"/>
    <w:rsid w:val="008306BD"/>
    <w:rsid w:val="00831A80"/>
    <w:rsid w:val="00833743"/>
    <w:rsid w:val="008340A4"/>
    <w:rsid w:val="008426E2"/>
    <w:rsid w:val="008458E0"/>
    <w:rsid w:val="00855219"/>
    <w:rsid w:val="008670D4"/>
    <w:rsid w:val="00870C05"/>
    <w:rsid w:val="0087135F"/>
    <w:rsid w:val="00872D94"/>
    <w:rsid w:val="00880364"/>
    <w:rsid w:val="00880A7E"/>
    <w:rsid w:val="0088443C"/>
    <w:rsid w:val="00891592"/>
    <w:rsid w:val="00891E9E"/>
    <w:rsid w:val="00892E2D"/>
    <w:rsid w:val="008A2F68"/>
    <w:rsid w:val="008B4FA6"/>
    <w:rsid w:val="008B5282"/>
    <w:rsid w:val="008B7C17"/>
    <w:rsid w:val="008C2A34"/>
    <w:rsid w:val="008C2D01"/>
    <w:rsid w:val="008C40E6"/>
    <w:rsid w:val="008D0F7A"/>
    <w:rsid w:val="008D68E4"/>
    <w:rsid w:val="008E0506"/>
    <w:rsid w:val="008E0CFF"/>
    <w:rsid w:val="008E1546"/>
    <w:rsid w:val="008E5D6B"/>
    <w:rsid w:val="008E76F0"/>
    <w:rsid w:val="008F15FE"/>
    <w:rsid w:val="008F2D29"/>
    <w:rsid w:val="008F5187"/>
    <w:rsid w:val="008F60D8"/>
    <w:rsid w:val="00902727"/>
    <w:rsid w:val="0090312B"/>
    <w:rsid w:val="00912BD5"/>
    <w:rsid w:val="0091736D"/>
    <w:rsid w:val="0091747A"/>
    <w:rsid w:val="00925CF2"/>
    <w:rsid w:val="0093037A"/>
    <w:rsid w:val="0094154D"/>
    <w:rsid w:val="0095155F"/>
    <w:rsid w:val="00954429"/>
    <w:rsid w:val="0095451E"/>
    <w:rsid w:val="009563CE"/>
    <w:rsid w:val="00960191"/>
    <w:rsid w:val="0096702F"/>
    <w:rsid w:val="00976328"/>
    <w:rsid w:val="0097680D"/>
    <w:rsid w:val="00982438"/>
    <w:rsid w:val="0098404C"/>
    <w:rsid w:val="00985283"/>
    <w:rsid w:val="00993F77"/>
    <w:rsid w:val="00995992"/>
    <w:rsid w:val="009A03E5"/>
    <w:rsid w:val="009A0F3B"/>
    <w:rsid w:val="009A1BB4"/>
    <w:rsid w:val="009A2628"/>
    <w:rsid w:val="009A3200"/>
    <w:rsid w:val="009B0897"/>
    <w:rsid w:val="009B7BD9"/>
    <w:rsid w:val="009C6765"/>
    <w:rsid w:val="009C7DD5"/>
    <w:rsid w:val="009D6CA0"/>
    <w:rsid w:val="009E227D"/>
    <w:rsid w:val="009E5019"/>
    <w:rsid w:val="009E7313"/>
    <w:rsid w:val="009F5C29"/>
    <w:rsid w:val="00A04F1B"/>
    <w:rsid w:val="00A0501B"/>
    <w:rsid w:val="00A07668"/>
    <w:rsid w:val="00A14947"/>
    <w:rsid w:val="00A1565B"/>
    <w:rsid w:val="00A20AF9"/>
    <w:rsid w:val="00A27538"/>
    <w:rsid w:val="00A32A83"/>
    <w:rsid w:val="00A368DB"/>
    <w:rsid w:val="00A423AA"/>
    <w:rsid w:val="00A53EC6"/>
    <w:rsid w:val="00A54FBB"/>
    <w:rsid w:val="00A5596D"/>
    <w:rsid w:val="00A55C0F"/>
    <w:rsid w:val="00A7643A"/>
    <w:rsid w:val="00A80CC3"/>
    <w:rsid w:val="00A8713F"/>
    <w:rsid w:val="00A90BA1"/>
    <w:rsid w:val="00A96A8D"/>
    <w:rsid w:val="00A97A9A"/>
    <w:rsid w:val="00AA0671"/>
    <w:rsid w:val="00AA11B4"/>
    <w:rsid w:val="00AA2531"/>
    <w:rsid w:val="00AA37DF"/>
    <w:rsid w:val="00AB1E09"/>
    <w:rsid w:val="00AB5330"/>
    <w:rsid w:val="00AB7747"/>
    <w:rsid w:val="00AC14CE"/>
    <w:rsid w:val="00AC2A56"/>
    <w:rsid w:val="00AC4E0C"/>
    <w:rsid w:val="00AD055E"/>
    <w:rsid w:val="00AD47A7"/>
    <w:rsid w:val="00AD4D7C"/>
    <w:rsid w:val="00AF0CBF"/>
    <w:rsid w:val="00AF257F"/>
    <w:rsid w:val="00AF33CF"/>
    <w:rsid w:val="00AF4D50"/>
    <w:rsid w:val="00AF6179"/>
    <w:rsid w:val="00B00631"/>
    <w:rsid w:val="00B1295A"/>
    <w:rsid w:val="00B17CDE"/>
    <w:rsid w:val="00B20A45"/>
    <w:rsid w:val="00B22C5C"/>
    <w:rsid w:val="00B22FCC"/>
    <w:rsid w:val="00B24F30"/>
    <w:rsid w:val="00B31ABF"/>
    <w:rsid w:val="00B33BE3"/>
    <w:rsid w:val="00B3546B"/>
    <w:rsid w:val="00B469D8"/>
    <w:rsid w:val="00B53B5D"/>
    <w:rsid w:val="00B6055E"/>
    <w:rsid w:val="00B6317D"/>
    <w:rsid w:val="00B65C8E"/>
    <w:rsid w:val="00B7723F"/>
    <w:rsid w:val="00B80534"/>
    <w:rsid w:val="00B8433C"/>
    <w:rsid w:val="00B87491"/>
    <w:rsid w:val="00B948B3"/>
    <w:rsid w:val="00BA29E9"/>
    <w:rsid w:val="00BA7142"/>
    <w:rsid w:val="00BB237C"/>
    <w:rsid w:val="00BB41A3"/>
    <w:rsid w:val="00BC28DB"/>
    <w:rsid w:val="00BC29A5"/>
    <w:rsid w:val="00BC32DC"/>
    <w:rsid w:val="00BC35B6"/>
    <w:rsid w:val="00BD1B51"/>
    <w:rsid w:val="00BD4596"/>
    <w:rsid w:val="00BD7137"/>
    <w:rsid w:val="00BE1405"/>
    <w:rsid w:val="00BE304B"/>
    <w:rsid w:val="00BE312D"/>
    <w:rsid w:val="00BF1C20"/>
    <w:rsid w:val="00BF4108"/>
    <w:rsid w:val="00C10578"/>
    <w:rsid w:val="00C12D58"/>
    <w:rsid w:val="00C135BC"/>
    <w:rsid w:val="00C15C95"/>
    <w:rsid w:val="00C2596A"/>
    <w:rsid w:val="00C27537"/>
    <w:rsid w:val="00C328FE"/>
    <w:rsid w:val="00C33507"/>
    <w:rsid w:val="00C4409D"/>
    <w:rsid w:val="00C44E72"/>
    <w:rsid w:val="00C45A06"/>
    <w:rsid w:val="00C47E5B"/>
    <w:rsid w:val="00C52443"/>
    <w:rsid w:val="00C61E4B"/>
    <w:rsid w:val="00C64BFF"/>
    <w:rsid w:val="00C67AF9"/>
    <w:rsid w:val="00C704E9"/>
    <w:rsid w:val="00C763C9"/>
    <w:rsid w:val="00C80057"/>
    <w:rsid w:val="00C82232"/>
    <w:rsid w:val="00C82913"/>
    <w:rsid w:val="00C8775E"/>
    <w:rsid w:val="00C972B1"/>
    <w:rsid w:val="00CA2CCE"/>
    <w:rsid w:val="00CA43FD"/>
    <w:rsid w:val="00CA7EF8"/>
    <w:rsid w:val="00CC489B"/>
    <w:rsid w:val="00CD2BCD"/>
    <w:rsid w:val="00CD3A4C"/>
    <w:rsid w:val="00CD5206"/>
    <w:rsid w:val="00CE10E9"/>
    <w:rsid w:val="00CE2910"/>
    <w:rsid w:val="00CE4393"/>
    <w:rsid w:val="00CE5393"/>
    <w:rsid w:val="00CF36BE"/>
    <w:rsid w:val="00CF6000"/>
    <w:rsid w:val="00D003F3"/>
    <w:rsid w:val="00D0364F"/>
    <w:rsid w:val="00D06834"/>
    <w:rsid w:val="00D2393C"/>
    <w:rsid w:val="00D25701"/>
    <w:rsid w:val="00D308ED"/>
    <w:rsid w:val="00D36475"/>
    <w:rsid w:val="00D36D86"/>
    <w:rsid w:val="00D37384"/>
    <w:rsid w:val="00D428AA"/>
    <w:rsid w:val="00D50A34"/>
    <w:rsid w:val="00D53EFA"/>
    <w:rsid w:val="00D54F81"/>
    <w:rsid w:val="00D719B4"/>
    <w:rsid w:val="00D72945"/>
    <w:rsid w:val="00D94A7C"/>
    <w:rsid w:val="00D95896"/>
    <w:rsid w:val="00D97FB3"/>
    <w:rsid w:val="00DA3027"/>
    <w:rsid w:val="00DA63B3"/>
    <w:rsid w:val="00DB2983"/>
    <w:rsid w:val="00DC0F01"/>
    <w:rsid w:val="00DC1257"/>
    <w:rsid w:val="00DC3DC0"/>
    <w:rsid w:val="00DC5B2B"/>
    <w:rsid w:val="00DD17CD"/>
    <w:rsid w:val="00DD318D"/>
    <w:rsid w:val="00DF0BD6"/>
    <w:rsid w:val="00DF2E12"/>
    <w:rsid w:val="00DF514A"/>
    <w:rsid w:val="00DF6690"/>
    <w:rsid w:val="00DF6804"/>
    <w:rsid w:val="00E015BB"/>
    <w:rsid w:val="00E01FC7"/>
    <w:rsid w:val="00E02982"/>
    <w:rsid w:val="00E0358D"/>
    <w:rsid w:val="00E04323"/>
    <w:rsid w:val="00E070A2"/>
    <w:rsid w:val="00E120CB"/>
    <w:rsid w:val="00E14412"/>
    <w:rsid w:val="00E2656A"/>
    <w:rsid w:val="00E36A54"/>
    <w:rsid w:val="00E412D0"/>
    <w:rsid w:val="00E56322"/>
    <w:rsid w:val="00E60982"/>
    <w:rsid w:val="00E62C62"/>
    <w:rsid w:val="00E63456"/>
    <w:rsid w:val="00E654C1"/>
    <w:rsid w:val="00E65D97"/>
    <w:rsid w:val="00E71E84"/>
    <w:rsid w:val="00E72A5A"/>
    <w:rsid w:val="00E73354"/>
    <w:rsid w:val="00E82179"/>
    <w:rsid w:val="00E9242D"/>
    <w:rsid w:val="00EB5255"/>
    <w:rsid w:val="00EB5C47"/>
    <w:rsid w:val="00ED0639"/>
    <w:rsid w:val="00EE4FE7"/>
    <w:rsid w:val="00EF4755"/>
    <w:rsid w:val="00EF7135"/>
    <w:rsid w:val="00F027DB"/>
    <w:rsid w:val="00F03C99"/>
    <w:rsid w:val="00F14A7A"/>
    <w:rsid w:val="00F14AC7"/>
    <w:rsid w:val="00F16E01"/>
    <w:rsid w:val="00F22985"/>
    <w:rsid w:val="00F23DAF"/>
    <w:rsid w:val="00F3383E"/>
    <w:rsid w:val="00F465A7"/>
    <w:rsid w:val="00F50B7C"/>
    <w:rsid w:val="00F53709"/>
    <w:rsid w:val="00F550E6"/>
    <w:rsid w:val="00F74345"/>
    <w:rsid w:val="00F80A0A"/>
    <w:rsid w:val="00F82B19"/>
    <w:rsid w:val="00F9212D"/>
    <w:rsid w:val="00F965DA"/>
    <w:rsid w:val="00FA406A"/>
    <w:rsid w:val="00FB503A"/>
    <w:rsid w:val="00FB516C"/>
    <w:rsid w:val="00FD0236"/>
    <w:rsid w:val="00FD18F4"/>
    <w:rsid w:val="00FD54DB"/>
    <w:rsid w:val="00FD619F"/>
    <w:rsid w:val="00FD6811"/>
    <w:rsid w:val="00FE5557"/>
    <w:rsid w:val="00FF32B0"/>
    <w:rsid w:val="01290F7E"/>
    <w:rsid w:val="015D1E09"/>
    <w:rsid w:val="01656B88"/>
    <w:rsid w:val="018664DA"/>
    <w:rsid w:val="019E4418"/>
    <w:rsid w:val="01CE2FE4"/>
    <w:rsid w:val="01D822A7"/>
    <w:rsid w:val="01EA7438"/>
    <w:rsid w:val="01FD671F"/>
    <w:rsid w:val="020A12A5"/>
    <w:rsid w:val="022B6321"/>
    <w:rsid w:val="025249A8"/>
    <w:rsid w:val="02697903"/>
    <w:rsid w:val="026C771D"/>
    <w:rsid w:val="029E3017"/>
    <w:rsid w:val="02F96569"/>
    <w:rsid w:val="03355F3A"/>
    <w:rsid w:val="037E247E"/>
    <w:rsid w:val="038454C3"/>
    <w:rsid w:val="03C36EAD"/>
    <w:rsid w:val="03CE50AD"/>
    <w:rsid w:val="03EA7B21"/>
    <w:rsid w:val="041214FE"/>
    <w:rsid w:val="04143DC5"/>
    <w:rsid w:val="042F094C"/>
    <w:rsid w:val="04585B40"/>
    <w:rsid w:val="046055B8"/>
    <w:rsid w:val="046B5DE7"/>
    <w:rsid w:val="04A835F3"/>
    <w:rsid w:val="0507129F"/>
    <w:rsid w:val="05CF5907"/>
    <w:rsid w:val="05F63C8E"/>
    <w:rsid w:val="05F83EAE"/>
    <w:rsid w:val="063E7D85"/>
    <w:rsid w:val="06936394"/>
    <w:rsid w:val="06A03A56"/>
    <w:rsid w:val="06A24F8D"/>
    <w:rsid w:val="06F80873"/>
    <w:rsid w:val="072719FF"/>
    <w:rsid w:val="07293586"/>
    <w:rsid w:val="07295285"/>
    <w:rsid w:val="073D08E2"/>
    <w:rsid w:val="074F6510"/>
    <w:rsid w:val="07636392"/>
    <w:rsid w:val="076B35D2"/>
    <w:rsid w:val="07722329"/>
    <w:rsid w:val="07770C56"/>
    <w:rsid w:val="07815960"/>
    <w:rsid w:val="07AF0EC7"/>
    <w:rsid w:val="08092675"/>
    <w:rsid w:val="084C7E7D"/>
    <w:rsid w:val="08594493"/>
    <w:rsid w:val="0859657B"/>
    <w:rsid w:val="0885532C"/>
    <w:rsid w:val="08A60314"/>
    <w:rsid w:val="092217DD"/>
    <w:rsid w:val="092B6E6A"/>
    <w:rsid w:val="093725EB"/>
    <w:rsid w:val="093A7294"/>
    <w:rsid w:val="09B37909"/>
    <w:rsid w:val="0A20063A"/>
    <w:rsid w:val="0A263993"/>
    <w:rsid w:val="0A27751A"/>
    <w:rsid w:val="0A2D3AC2"/>
    <w:rsid w:val="0A823B24"/>
    <w:rsid w:val="0AA32278"/>
    <w:rsid w:val="0AA755DF"/>
    <w:rsid w:val="0AEC4D43"/>
    <w:rsid w:val="0B033577"/>
    <w:rsid w:val="0B120D44"/>
    <w:rsid w:val="0BAD2EB8"/>
    <w:rsid w:val="0BD27BF6"/>
    <w:rsid w:val="0BFD163B"/>
    <w:rsid w:val="0C0332D9"/>
    <w:rsid w:val="0C105458"/>
    <w:rsid w:val="0C2E2783"/>
    <w:rsid w:val="0C3B3C7D"/>
    <w:rsid w:val="0C5E3BA8"/>
    <w:rsid w:val="0CAB2EAE"/>
    <w:rsid w:val="0CE230AB"/>
    <w:rsid w:val="0CE36928"/>
    <w:rsid w:val="0CF06F2A"/>
    <w:rsid w:val="0D0E537E"/>
    <w:rsid w:val="0D174BD8"/>
    <w:rsid w:val="0D2B14E0"/>
    <w:rsid w:val="0D45771C"/>
    <w:rsid w:val="0D621C7D"/>
    <w:rsid w:val="0D652E9A"/>
    <w:rsid w:val="0D897973"/>
    <w:rsid w:val="0DAA743C"/>
    <w:rsid w:val="0DE77D6C"/>
    <w:rsid w:val="0E0607F7"/>
    <w:rsid w:val="0E3B14DD"/>
    <w:rsid w:val="0E73034D"/>
    <w:rsid w:val="0EBB187C"/>
    <w:rsid w:val="0EEF08C4"/>
    <w:rsid w:val="0F0B39F1"/>
    <w:rsid w:val="0F13775A"/>
    <w:rsid w:val="0F4B34F0"/>
    <w:rsid w:val="0F5F45FE"/>
    <w:rsid w:val="0F885C95"/>
    <w:rsid w:val="0F9A112B"/>
    <w:rsid w:val="0F9C394C"/>
    <w:rsid w:val="0FB76FCB"/>
    <w:rsid w:val="0FE71DDE"/>
    <w:rsid w:val="10450FFB"/>
    <w:rsid w:val="106C36E4"/>
    <w:rsid w:val="106D2F64"/>
    <w:rsid w:val="10B63710"/>
    <w:rsid w:val="10CA1DBC"/>
    <w:rsid w:val="10DE065B"/>
    <w:rsid w:val="10EA5025"/>
    <w:rsid w:val="10F10820"/>
    <w:rsid w:val="10FD52B1"/>
    <w:rsid w:val="111C2F7A"/>
    <w:rsid w:val="115350A3"/>
    <w:rsid w:val="11665CA1"/>
    <w:rsid w:val="116D0416"/>
    <w:rsid w:val="11710FEE"/>
    <w:rsid w:val="11755470"/>
    <w:rsid w:val="11BC74D9"/>
    <w:rsid w:val="11CE159C"/>
    <w:rsid w:val="11F55616"/>
    <w:rsid w:val="122E0195"/>
    <w:rsid w:val="127660B5"/>
    <w:rsid w:val="127F4068"/>
    <w:rsid w:val="129C0D70"/>
    <w:rsid w:val="129C4FF0"/>
    <w:rsid w:val="12E10386"/>
    <w:rsid w:val="133636E4"/>
    <w:rsid w:val="136465B7"/>
    <w:rsid w:val="13951726"/>
    <w:rsid w:val="13B064FD"/>
    <w:rsid w:val="13D64ECC"/>
    <w:rsid w:val="13DF04B9"/>
    <w:rsid w:val="13E61EE3"/>
    <w:rsid w:val="14150209"/>
    <w:rsid w:val="1422359F"/>
    <w:rsid w:val="14396509"/>
    <w:rsid w:val="145423E3"/>
    <w:rsid w:val="146A28FC"/>
    <w:rsid w:val="14C233EA"/>
    <w:rsid w:val="14D629D8"/>
    <w:rsid w:val="14DD2C3C"/>
    <w:rsid w:val="14F46C80"/>
    <w:rsid w:val="151271BB"/>
    <w:rsid w:val="153B0F6D"/>
    <w:rsid w:val="154F3BB0"/>
    <w:rsid w:val="156634B9"/>
    <w:rsid w:val="159C39B8"/>
    <w:rsid w:val="15AA6C75"/>
    <w:rsid w:val="15BC4B78"/>
    <w:rsid w:val="15BE2A8E"/>
    <w:rsid w:val="16087E1D"/>
    <w:rsid w:val="164C134E"/>
    <w:rsid w:val="166345B6"/>
    <w:rsid w:val="16C6527D"/>
    <w:rsid w:val="16ED2879"/>
    <w:rsid w:val="17035B80"/>
    <w:rsid w:val="17701D14"/>
    <w:rsid w:val="17735226"/>
    <w:rsid w:val="17900F32"/>
    <w:rsid w:val="17AD2C11"/>
    <w:rsid w:val="17C17892"/>
    <w:rsid w:val="18336D27"/>
    <w:rsid w:val="189F624C"/>
    <w:rsid w:val="18C17FDE"/>
    <w:rsid w:val="18C325E6"/>
    <w:rsid w:val="18CC6E3B"/>
    <w:rsid w:val="18DA26E0"/>
    <w:rsid w:val="194E6FD1"/>
    <w:rsid w:val="19541D0B"/>
    <w:rsid w:val="19A60D7D"/>
    <w:rsid w:val="19BF1527"/>
    <w:rsid w:val="19DC7892"/>
    <w:rsid w:val="1A0A511D"/>
    <w:rsid w:val="1A1C66C0"/>
    <w:rsid w:val="1A29294F"/>
    <w:rsid w:val="1A42393B"/>
    <w:rsid w:val="1A543233"/>
    <w:rsid w:val="1A682D40"/>
    <w:rsid w:val="1A845F10"/>
    <w:rsid w:val="1A872998"/>
    <w:rsid w:val="1A965DFF"/>
    <w:rsid w:val="1AAD45DE"/>
    <w:rsid w:val="1ADA26E1"/>
    <w:rsid w:val="1ADC4B37"/>
    <w:rsid w:val="1B046F80"/>
    <w:rsid w:val="1B150405"/>
    <w:rsid w:val="1B166EA2"/>
    <w:rsid w:val="1B3267B5"/>
    <w:rsid w:val="1B40161D"/>
    <w:rsid w:val="1B441859"/>
    <w:rsid w:val="1B4F50F1"/>
    <w:rsid w:val="1B6606B1"/>
    <w:rsid w:val="1B823239"/>
    <w:rsid w:val="1BDA459D"/>
    <w:rsid w:val="1BEC1374"/>
    <w:rsid w:val="1C0A708D"/>
    <w:rsid w:val="1C285A35"/>
    <w:rsid w:val="1C3834F1"/>
    <w:rsid w:val="1C5E7925"/>
    <w:rsid w:val="1C846B6A"/>
    <w:rsid w:val="1C9E37F6"/>
    <w:rsid w:val="1CBB2C11"/>
    <w:rsid w:val="1CFD070F"/>
    <w:rsid w:val="1D5F6196"/>
    <w:rsid w:val="1D6132A5"/>
    <w:rsid w:val="1D7D4F09"/>
    <w:rsid w:val="1D8E56D5"/>
    <w:rsid w:val="1DB527B9"/>
    <w:rsid w:val="1DC37793"/>
    <w:rsid w:val="1DCC6C4B"/>
    <w:rsid w:val="1DED4B16"/>
    <w:rsid w:val="1DF14138"/>
    <w:rsid w:val="1E2A210D"/>
    <w:rsid w:val="1E5E2873"/>
    <w:rsid w:val="1E613CE0"/>
    <w:rsid w:val="1E720A80"/>
    <w:rsid w:val="1E7A43DA"/>
    <w:rsid w:val="1EFA5DDC"/>
    <w:rsid w:val="1F000B0A"/>
    <w:rsid w:val="1F363C01"/>
    <w:rsid w:val="1F550228"/>
    <w:rsid w:val="1F573A2D"/>
    <w:rsid w:val="1F611413"/>
    <w:rsid w:val="1F61484E"/>
    <w:rsid w:val="1F967DEE"/>
    <w:rsid w:val="1FBE49B6"/>
    <w:rsid w:val="1FE7539E"/>
    <w:rsid w:val="1FF14863"/>
    <w:rsid w:val="201A706D"/>
    <w:rsid w:val="201E3793"/>
    <w:rsid w:val="20463694"/>
    <w:rsid w:val="20604C0D"/>
    <w:rsid w:val="20671BE0"/>
    <w:rsid w:val="20932D84"/>
    <w:rsid w:val="20963CB8"/>
    <w:rsid w:val="20A81A1B"/>
    <w:rsid w:val="20A860EC"/>
    <w:rsid w:val="20B07FB6"/>
    <w:rsid w:val="20B646FB"/>
    <w:rsid w:val="20D952EB"/>
    <w:rsid w:val="213B74B1"/>
    <w:rsid w:val="214211D4"/>
    <w:rsid w:val="215436FD"/>
    <w:rsid w:val="215A2310"/>
    <w:rsid w:val="219B0105"/>
    <w:rsid w:val="21DE318A"/>
    <w:rsid w:val="21E63FD7"/>
    <w:rsid w:val="21EF5B80"/>
    <w:rsid w:val="222F4B08"/>
    <w:rsid w:val="22437DA8"/>
    <w:rsid w:val="22576990"/>
    <w:rsid w:val="22B30090"/>
    <w:rsid w:val="22E50189"/>
    <w:rsid w:val="22F47480"/>
    <w:rsid w:val="2302598B"/>
    <w:rsid w:val="231D5302"/>
    <w:rsid w:val="232B142D"/>
    <w:rsid w:val="23371CBC"/>
    <w:rsid w:val="23553FBF"/>
    <w:rsid w:val="236E75C7"/>
    <w:rsid w:val="237B3491"/>
    <w:rsid w:val="23DE1C48"/>
    <w:rsid w:val="23E90EFA"/>
    <w:rsid w:val="23EA2FED"/>
    <w:rsid w:val="23F313D5"/>
    <w:rsid w:val="23F61C54"/>
    <w:rsid w:val="240210CD"/>
    <w:rsid w:val="24033868"/>
    <w:rsid w:val="241F3F60"/>
    <w:rsid w:val="24632072"/>
    <w:rsid w:val="249F705E"/>
    <w:rsid w:val="24BE6014"/>
    <w:rsid w:val="24BF09F7"/>
    <w:rsid w:val="24EA69AF"/>
    <w:rsid w:val="24F00A10"/>
    <w:rsid w:val="252D53FE"/>
    <w:rsid w:val="25561CB4"/>
    <w:rsid w:val="25907F0C"/>
    <w:rsid w:val="25AF0D85"/>
    <w:rsid w:val="25B45F6E"/>
    <w:rsid w:val="25EC2D81"/>
    <w:rsid w:val="266A20B2"/>
    <w:rsid w:val="266F404F"/>
    <w:rsid w:val="268E5E92"/>
    <w:rsid w:val="269B54C3"/>
    <w:rsid w:val="269C70BC"/>
    <w:rsid w:val="26AE619C"/>
    <w:rsid w:val="270E6273"/>
    <w:rsid w:val="272C4837"/>
    <w:rsid w:val="273B2362"/>
    <w:rsid w:val="27467172"/>
    <w:rsid w:val="275539CC"/>
    <w:rsid w:val="277057A2"/>
    <w:rsid w:val="277F694A"/>
    <w:rsid w:val="27862617"/>
    <w:rsid w:val="27965C8C"/>
    <w:rsid w:val="280A02DC"/>
    <w:rsid w:val="287E1E09"/>
    <w:rsid w:val="28A86689"/>
    <w:rsid w:val="28A8701E"/>
    <w:rsid w:val="28F82E94"/>
    <w:rsid w:val="29206EB8"/>
    <w:rsid w:val="294D7AA2"/>
    <w:rsid w:val="29595666"/>
    <w:rsid w:val="29617451"/>
    <w:rsid w:val="29874881"/>
    <w:rsid w:val="299F572F"/>
    <w:rsid w:val="29A51B93"/>
    <w:rsid w:val="29AE647F"/>
    <w:rsid w:val="29B56983"/>
    <w:rsid w:val="29E325E0"/>
    <w:rsid w:val="2A0C2D44"/>
    <w:rsid w:val="2A101CBA"/>
    <w:rsid w:val="2A452503"/>
    <w:rsid w:val="2A452EC3"/>
    <w:rsid w:val="2AC44033"/>
    <w:rsid w:val="2AE4328E"/>
    <w:rsid w:val="2B40369C"/>
    <w:rsid w:val="2B9E41EC"/>
    <w:rsid w:val="2BA936A8"/>
    <w:rsid w:val="2BAD367A"/>
    <w:rsid w:val="2BF13396"/>
    <w:rsid w:val="2C0C79B4"/>
    <w:rsid w:val="2C315A5A"/>
    <w:rsid w:val="2C4B1C25"/>
    <w:rsid w:val="2CD33E9C"/>
    <w:rsid w:val="2CE6265E"/>
    <w:rsid w:val="2D2259A3"/>
    <w:rsid w:val="2D33062F"/>
    <w:rsid w:val="2D566F04"/>
    <w:rsid w:val="2D6A4E8D"/>
    <w:rsid w:val="2D891ADF"/>
    <w:rsid w:val="2D9E56F5"/>
    <w:rsid w:val="2DE73AB7"/>
    <w:rsid w:val="2DFD3E84"/>
    <w:rsid w:val="2E446AB8"/>
    <w:rsid w:val="2E4C75EC"/>
    <w:rsid w:val="2E667F96"/>
    <w:rsid w:val="2E8226AB"/>
    <w:rsid w:val="2E871DEA"/>
    <w:rsid w:val="2EF20D4D"/>
    <w:rsid w:val="2F2C7FE9"/>
    <w:rsid w:val="2F3B2980"/>
    <w:rsid w:val="2F542F0F"/>
    <w:rsid w:val="2F9718AA"/>
    <w:rsid w:val="2FD065E6"/>
    <w:rsid w:val="2FD96870"/>
    <w:rsid w:val="300C36A8"/>
    <w:rsid w:val="3030781D"/>
    <w:rsid w:val="303E6F2D"/>
    <w:rsid w:val="30580BC9"/>
    <w:rsid w:val="30847B88"/>
    <w:rsid w:val="30947EA7"/>
    <w:rsid w:val="309E4F2A"/>
    <w:rsid w:val="30A62DF4"/>
    <w:rsid w:val="30BF0B8A"/>
    <w:rsid w:val="30C05956"/>
    <w:rsid w:val="311E2ED7"/>
    <w:rsid w:val="315619EE"/>
    <w:rsid w:val="315C449C"/>
    <w:rsid w:val="318C2537"/>
    <w:rsid w:val="31B82709"/>
    <w:rsid w:val="31D05482"/>
    <w:rsid w:val="31F063C0"/>
    <w:rsid w:val="31FE5135"/>
    <w:rsid w:val="32400B34"/>
    <w:rsid w:val="324D5B24"/>
    <w:rsid w:val="324E0124"/>
    <w:rsid w:val="32683B6D"/>
    <w:rsid w:val="327757DE"/>
    <w:rsid w:val="328A0BE4"/>
    <w:rsid w:val="328D7025"/>
    <w:rsid w:val="329E6876"/>
    <w:rsid w:val="32A73338"/>
    <w:rsid w:val="32C64193"/>
    <w:rsid w:val="32CD0C7B"/>
    <w:rsid w:val="32D702A4"/>
    <w:rsid w:val="333015F2"/>
    <w:rsid w:val="333601DF"/>
    <w:rsid w:val="334B6320"/>
    <w:rsid w:val="33D934D4"/>
    <w:rsid w:val="33E01652"/>
    <w:rsid w:val="33FE2F6A"/>
    <w:rsid w:val="340E07E5"/>
    <w:rsid w:val="34235BF7"/>
    <w:rsid w:val="34282776"/>
    <w:rsid w:val="34D2413B"/>
    <w:rsid w:val="34D301B6"/>
    <w:rsid w:val="34ED79D7"/>
    <w:rsid w:val="351C65D0"/>
    <w:rsid w:val="35325A4D"/>
    <w:rsid w:val="354E798C"/>
    <w:rsid w:val="358C5FA8"/>
    <w:rsid w:val="359347CB"/>
    <w:rsid w:val="35973C42"/>
    <w:rsid w:val="359B039F"/>
    <w:rsid w:val="359D4FDB"/>
    <w:rsid w:val="35C15DF1"/>
    <w:rsid w:val="36074A7F"/>
    <w:rsid w:val="368B72FD"/>
    <w:rsid w:val="36923549"/>
    <w:rsid w:val="36A40AFC"/>
    <w:rsid w:val="36B75FBF"/>
    <w:rsid w:val="36BD0C45"/>
    <w:rsid w:val="374B44DA"/>
    <w:rsid w:val="37DC3C8C"/>
    <w:rsid w:val="37E00298"/>
    <w:rsid w:val="37EA50F6"/>
    <w:rsid w:val="381130CA"/>
    <w:rsid w:val="3811610E"/>
    <w:rsid w:val="382553F9"/>
    <w:rsid w:val="38280673"/>
    <w:rsid w:val="388F346E"/>
    <w:rsid w:val="389745CB"/>
    <w:rsid w:val="38B302F9"/>
    <w:rsid w:val="38CB234C"/>
    <w:rsid w:val="38F12CD3"/>
    <w:rsid w:val="38F62B27"/>
    <w:rsid w:val="38F94775"/>
    <w:rsid w:val="3910153A"/>
    <w:rsid w:val="391E768B"/>
    <w:rsid w:val="392971ED"/>
    <w:rsid w:val="39325651"/>
    <w:rsid w:val="398D673F"/>
    <w:rsid w:val="3A217CBC"/>
    <w:rsid w:val="3A226C1D"/>
    <w:rsid w:val="3A2E43A7"/>
    <w:rsid w:val="3A872856"/>
    <w:rsid w:val="3A8E0942"/>
    <w:rsid w:val="3AA53479"/>
    <w:rsid w:val="3AC27ABC"/>
    <w:rsid w:val="3AEA78D6"/>
    <w:rsid w:val="3B025AB9"/>
    <w:rsid w:val="3B3763D1"/>
    <w:rsid w:val="3B5F512B"/>
    <w:rsid w:val="3BD04DEC"/>
    <w:rsid w:val="3BDC7924"/>
    <w:rsid w:val="3BEF6435"/>
    <w:rsid w:val="3BF45B1D"/>
    <w:rsid w:val="3C1858AB"/>
    <w:rsid w:val="3C2F6E1E"/>
    <w:rsid w:val="3C4F64BA"/>
    <w:rsid w:val="3C694347"/>
    <w:rsid w:val="3CC11406"/>
    <w:rsid w:val="3CDA245A"/>
    <w:rsid w:val="3CF32C08"/>
    <w:rsid w:val="3CFD55FF"/>
    <w:rsid w:val="3D1E06B7"/>
    <w:rsid w:val="3D2A62DB"/>
    <w:rsid w:val="3D4E017E"/>
    <w:rsid w:val="3D9F70B5"/>
    <w:rsid w:val="3DB3016A"/>
    <w:rsid w:val="3DD34312"/>
    <w:rsid w:val="3E247CA4"/>
    <w:rsid w:val="3E370987"/>
    <w:rsid w:val="3E594E26"/>
    <w:rsid w:val="3E796883"/>
    <w:rsid w:val="3EB81181"/>
    <w:rsid w:val="3EDA0523"/>
    <w:rsid w:val="3F23552C"/>
    <w:rsid w:val="3F5408C8"/>
    <w:rsid w:val="3FA069AE"/>
    <w:rsid w:val="3FCD339A"/>
    <w:rsid w:val="3FFE43A2"/>
    <w:rsid w:val="40404740"/>
    <w:rsid w:val="407A6407"/>
    <w:rsid w:val="40A61E84"/>
    <w:rsid w:val="40CF7777"/>
    <w:rsid w:val="41061B8E"/>
    <w:rsid w:val="41207967"/>
    <w:rsid w:val="416F2D31"/>
    <w:rsid w:val="418278E0"/>
    <w:rsid w:val="41CF0E0E"/>
    <w:rsid w:val="41D83D98"/>
    <w:rsid w:val="4200449D"/>
    <w:rsid w:val="42340121"/>
    <w:rsid w:val="423A3BCC"/>
    <w:rsid w:val="424E57D2"/>
    <w:rsid w:val="42A535CE"/>
    <w:rsid w:val="42A7380D"/>
    <w:rsid w:val="42AF6247"/>
    <w:rsid w:val="42B26C49"/>
    <w:rsid w:val="42FA6EB8"/>
    <w:rsid w:val="430F178C"/>
    <w:rsid w:val="4334348E"/>
    <w:rsid w:val="433A6FE6"/>
    <w:rsid w:val="43480868"/>
    <w:rsid w:val="43487FB5"/>
    <w:rsid w:val="4350713C"/>
    <w:rsid w:val="436653E0"/>
    <w:rsid w:val="43672D82"/>
    <w:rsid w:val="437E2835"/>
    <w:rsid w:val="43BC00B4"/>
    <w:rsid w:val="43C4431A"/>
    <w:rsid w:val="43C938A6"/>
    <w:rsid w:val="43DF7A72"/>
    <w:rsid w:val="4439524C"/>
    <w:rsid w:val="44936333"/>
    <w:rsid w:val="44B951CC"/>
    <w:rsid w:val="44CD14E0"/>
    <w:rsid w:val="44DD012B"/>
    <w:rsid w:val="44F20B0B"/>
    <w:rsid w:val="45184D5A"/>
    <w:rsid w:val="452E5F4C"/>
    <w:rsid w:val="454B4CB1"/>
    <w:rsid w:val="45612018"/>
    <w:rsid w:val="45616CAD"/>
    <w:rsid w:val="458946E9"/>
    <w:rsid w:val="45A44318"/>
    <w:rsid w:val="45A47C0E"/>
    <w:rsid w:val="45B32C09"/>
    <w:rsid w:val="45C4406F"/>
    <w:rsid w:val="45CB5D74"/>
    <w:rsid w:val="46302B6E"/>
    <w:rsid w:val="46577FD6"/>
    <w:rsid w:val="46857EEF"/>
    <w:rsid w:val="46B47115"/>
    <w:rsid w:val="46D955A7"/>
    <w:rsid w:val="47133957"/>
    <w:rsid w:val="47456B54"/>
    <w:rsid w:val="474659B7"/>
    <w:rsid w:val="474756A3"/>
    <w:rsid w:val="47A07E0C"/>
    <w:rsid w:val="47E72E82"/>
    <w:rsid w:val="48003C68"/>
    <w:rsid w:val="48635A3E"/>
    <w:rsid w:val="4870272E"/>
    <w:rsid w:val="487B5D13"/>
    <w:rsid w:val="487F52A5"/>
    <w:rsid w:val="48EB0BB8"/>
    <w:rsid w:val="49101AAD"/>
    <w:rsid w:val="493B1E3D"/>
    <w:rsid w:val="497D77BD"/>
    <w:rsid w:val="49AB79A2"/>
    <w:rsid w:val="49BA1F3A"/>
    <w:rsid w:val="49DC7715"/>
    <w:rsid w:val="4A023139"/>
    <w:rsid w:val="4A206DCD"/>
    <w:rsid w:val="4A215834"/>
    <w:rsid w:val="4A5D540A"/>
    <w:rsid w:val="4A6F1B08"/>
    <w:rsid w:val="4A7220E7"/>
    <w:rsid w:val="4A7B576F"/>
    <w:rsid w:val="4A9F0385"/>
    <w:rsid w:val="4AC06DB3"/>
    <w:rsid w:val="4AF561A9"/>
    <w:rsid w:val="4B1C6B6D"/>
    <w:rsid w:val="4B2E4F65"/>
    <w:rsid w:val="4B734074"/>
    <w:rsid w:val="4B9559AD"/>
    <w:rsid w:val="4B984F42"/>
    <w:rsid w:val="4BA568D8"/>
    <w:rsid w:val="4BC92061"/>
    <w:rsid w:val="4C4A0649"/>
    <w:rsid w:val="4C7E5ECA"/>
    <w:rsid w:val="4C876AA5"/>
    <w:rsid w:val="4CB51348"/>
    <w:rsid w:val="4D0E00FB"/>
    <w:rsid w:val="4D176606"/>
    <w:rsid w:val="4D230C3D"/>
    <w:rsid w:val="4D453906"/>
    <w:rsid w:val="4D8A529A"/>
    <w:rsid w:val="4DBD5715"/>
    <w:rsid w:val="4DD1328F"/>
    <w:rsid w:val="4DEB24EE"/>
    <w:rsid w:val="4DEC4FB0"/>
    <w:rsid w:val="4DEF09D9"/>
    <w:rsid w:val="4DF152AD"/>
    <w:rsid w:val="4E075D8A"/>
    <w:rsid w:val="4E2739C1"/>
    <w:rsid w:val="4E2B0C3A"/>
    <w:rsid w:val="4E360124"/>
    <w:rsid w:val="4E983EC9"/>
    <w:rsid w:val="4EB02AC0"/>
    <w:rsid w:val="4EB10B4F"/>
    <w:rsid w:val="4EC00FAD"/>
    <w:rsid w:val="4ED17C8D"/>
    <w:rsid w:val="4EE31BFA"/>
    <w:rsid w:val="4F014E47"/>
    <w:rsid w:val="4F32558A"/>
    <w:rsid w:val="4F330932"/>
    <w:rsid w:val="4F340186"/>
    <w:rsid w:val="4F47354A"/>
    <w:rsid w:val="4F5218F1"/>
    <w:rsid w:val="4F6A7CE3"/>
    <w:rsid w:val="4F9843DC"/>
    <w:rsid w:val="4F990AF8"/>
    <w:rsid w:val="4FC62A8C"/>
    <w:rsid w:val="4FD07816"/>
    <w:rsid w:val="4FD735A4"/>
    <w:rsid w:val="4FE20F0D"/>
    <w:rsid w:val="4FE51552"/>
    <w:rsid w:val="500B5D17"/>
    <w:rsid w:val="502138B9"/>
    <w:rsid w:val="502F7854"/>
    <w:rsid w:val="50504C4B"/>
    <w:rsid w:val="50723076"/>
    <w:rsid w:val="5086247D"/>
    <w:rsid w:val="509C6E7C"/>
    <w:rsid w:val="50CB3E03"/>
    <w:rsid w:val="50D54061"/>
    <w:rsid w:val="50EF5C2A"/>
    <w:rsid w:val="50F85666"/>
    <w:rsid w:val="512F4230"/>
    <w:rsid w:val="5162104E"/>
    <w:rsid w:val="517209CC"/>
    <w:rsid w:val="51A130CE"/>
    <w:rsid w:val="51C65836"/>
    <w:rsid w:val="51EB7E7A"/>
    <w:rsid w:val="522D1AF3"/>
    <w:rsid w:val="52AD5149"/>
    <w:rsid w:val="53114ACB"/>
    <w:rsid w:val="532F6CF2"/>
    <w:rsid w:val="534A5AE1"/>
    <w:rsid w:val="53A039CC"/>
    <w:rsid w:val="53A1505A"/>
    <w:rsid w:val="53D52A56"/>
    <w:rsid w:val="53EB602E"/>
    <w:rsid w:val="5404412A"/>
    <w:rsid w:val="54063E08"/>
    <w:rsid w:val="54214BEF"/>
    <w:rsid w:val="543437E8"/>
    <w:rsid w:val="545E5741"/>
    <w:rsid w:val="549C36E8"/>
    <w:rsid w:val="54BF0EAD"/>
    <w:rsid w:val="54E64DB3"/>
    <w:rsid w:val="54F73313"/>
    <w:rsid w:val="54F80955"/>
    <w:rsid w:val="54F911D0"/>
    <w:rsid w:val="554C264E"/>
    <w:rsid w:val="555170A7"/>
    <w:rsid w:val="557D771D"/>
    <w:rsid w:val="5587536D"/>
    <w:rsid w:val="558E1A41"/>
    <w:rsid w:val="559B174B"/>
    <w:rsid w:val="55CE0CF4"/>
    <w:rsid w:val="568B1705"/>
    <w:rsid w:val="569F23E2"/>
    <w:rsid w:val="56B22A9C"/>
    <w:rsid w:val="56C158B2"/>
    <w:rsid w:val="56F87E66"/>
    <w:rsid w:val="57196ED6"/>
    <w:rsid w:val="573C39BF"/>
    <w:rsid w:val="57A23A97"/>
    <w:rsid w:val="57B72A76"/>
    <w:rsid w:val="57C3426C"/>
    <w:rsid w:val="57CE1F93"/>
    <w:rsid w:val="57D24AD2"/>
    <w:rsid w:val="57E319FE"/>
    <w:rsid w:val="57E44564"/>
    <w:rsid w:val="57F36EA1"/>
    <w:rsid w:val="57F8018C"/>
    <w:rsid w:val="581C648B"/>
    <w:rsid w:val="584E3590"/>
    <w:rsid w:val="58800AF1"/>
    <w:rsid w:val="588743D1"/>
    <w:rsid w:val="5887701A"/>
    <w:rsid w:val="58D76E97"/>
    <w:rsid w:val="594B4252"/>
    <w:rsid w:val="596803C6"/>
    <w:rsid w:val="596D5091"/>
    <w:rsid w:val="59C0439F"/>
    <w:rsid w:val="5A240671"/>
    <w:rsid w:val="5A2D1204"/>
    <w:rsid w:val="5A94597A"/>
    <w:rsid w:val="5ABE2233"/>
    <w:rsid w:val="5AE323C2"/>
    <w:rsid w:val="5B1F54B3"/>
    <w:rsid w:val="5B3860F7"/>
    <w:rsid w:val="5B6A15EF"/>
    <w:rsid w:val="5B714667"/>
    <w:rsid w:val="5B852077"/>
    <w:rsid w:val="5BA347AD"/>
    <w:rsid w:val="5BDF5D95"/>
    <w:rsid w:val="5BFE7528"/>
    <w:rsid w:val="5C3044AE"/>
    <w:rsid w:val="5C6C693E"/>
    <w:rsid w:val="5C84193D"/>
    <w:rsid w:val="5C8443D4"/>
    <w:rsid w:val="5D106BAF"/>
    <w:rsid w:val="5D383031"/>
    <w:rsid w:val="5D4277BD"/>
    <w:rsid w:val="5D7A6FA5"/>
    <w:rsid w:val="5D931A12"/>
    <w:rsid w:val="5D98667E"/>
    <w:rsid w:val="5DAF0B0D"/>
    <w:rsid w:val="5DC1088E"/>
    <w:rsid w:val="5DC6307A"/>
    <w:rsid w:val="5DCB262F"/>
    <w:rsid w:val="5E2467F1"/>
    <w:rsid w:val="5E811AF9"/>
    <w:rsid w:val="5E811E1C"/>
    <w:rsid w:val="5E816777"/>
    <w:rsid w:val="5ED412FF"/>
    <w:rsid w:val="5EEC2304"/>
    <w:rsid w:val="5F1A2B43"/>
    <w:rsid w:val="5F201ABB"/>
    <w:rsid w:val="5F215A24"/>
    <w:rsid w:val="5F422A8B"/>
    <w:rsid w:val="5F47535F"/>
    <w:rsid w:val="5F494EAE"/>
    <w:rsid w:val="5FB837BB"/>
    <w:rsid w:val="601245C1"/>
    <w:rsid w:val="605D008D"/>
    <w:rsid w:val="60C225B2"/>
    <w:rsid w:val="60CC405A"/>
    <w:rsid w:val="60F011FC"/>
    <w:rsid w:val="611E542A"/>
    <w:rsid w:val="612F7BF2"/>
    <w:rsid w:val="61462AEB"/>
    <w:rsid w:val="614A1305"/>
    <w:rsid w:val="61685B45"/>
    <w:rsid w:val="616D411F"/>
    <w:rsid w:val="61C85AB4"/>
    <w:rsid w:val="61D11ED1"/>
    <w:rsid w:val="61E215D8"/>
    <w:rsid w:val="62187003"/>
    <w:rsid w:val="621B3775"/>
    <w:rsid w:val="62364782"/>
    <w:rsid w:val="62481A39"/>
    <w:rsid w:val="62AE102E"/>
    <w:rsid w:val="62AE4300"/>
    <w:rsid w:val="62F279CD"/>
    <w:rsid w:val="63146C8D"/>
    <w:rsid w:val="63372CAF"/>
    <w:rsid w:val="63720D67"/>
    <w:rsid w:val="6394356A"/>
    <w:rsid w:val="63C61B2C"/>
    <w:rsid w:val="63D40BE9"/>
    <w:rsid w:val="63F6182E"/>
    <w:rsid w:val="64102431"/>
    <w:rsid w:val="6410327C"/>
    <w:rsid w:val="6429238E"/>
    <w:rsid w:val="648C3469"/>
    <w:rsid w:val="64A5243A"/>
    <w:rsid w:val="64BC5E38"/>
    <w:rsid w:val="64F531DE"/>
    <w:rsid w:val="65357F45"/>
    <w:rsid w:val="65373578"/>
    <w:rsid w:val="653906B6"/>
    <w:rsid w:val="655C6DCB"/>
    <w:rsid w:val="65635EC6"/>
    <w:rsid w:val="659C395F"/>
    <w:rsid w:val="65C95A03"/>
    <w:rsid w:val="65D007F4"/>
    <w:rsid w:val="65F56DA0"/>
    <w:rsid w:val="66081F99"/>
    <w:rsid w:val="66372FAA"/>
    <w:rsid w:val="66455CBF"/>
    <w:rsid w:val="665500A4"/>
    <w:rsid w:val="66AF36EC"/>
    <w:rsid w:val="66F63E53"/>
    <w:rsid w:val="671F124A"/>
    <w:rsid w:val="67221D9B"/>
    <w:rsid w:val="676D6BAE"/>
    <w:rsid w:val="677A33C6"/>
    <w:rsid w:val="6790607D"/>
    <w:rsid w:val="67C073AB"/>
    <w:rsid w:val="67D21F0A"/>
    <w:rsid w:val="681F6961"/>
    <w:rsid w:val="682802D1"/>
    <w:rsid w:val="6851581E"/>
    <w:rsid w:val="68610A2F"/>
    <w:rsid w:val="68727FDF"/>
    <w:rsid w:val="68805514"/>
    <w:rsid w:val="689651BC"/>
    <w:rsid w:val="689C43A5"/>
    <w:rsid w:val="68C65C46"/>
    <w:rsid w:val="690375EA"/>
    <w:rsid w:val="69316E2F"/>
    <w:rsid w:val="694E2071"/>
    <w:rsid w:val="696F6F1B"/>
    <w:rsid w:val="6972186F"/>
    <w:rsid w:val="69766163"/>
    <w:rsid w:val="697A3B33"/>
    <w:rsid w:val="69D44760"/>
    <w:rsid w:val="6A0512B2"/>
    <w:rsid w:val="6A1B2DAD"/>
    <w:rsid w:val="6A520EC7"/>
    <w:rsid w:val="6A5B0D7D"/>
    <w:rsid w:val="6A655D3D"/>
    <w:rsid w:val="6AE0734E"/>
    <w:rsid w:val="6AE0751F"/>
    <w:rsid w:val="6AF87E20"/>
    <w:rsid w:val="6AFC5FFE"/>
    <w:rsid w:val="6B151354"/>
    <w:rsid w:val="6B322639"/>
    <w:rsid w:val="6B711CB1"/>
    <w:rsid w:val="6B760928"/>
    <w:rsid w:val="6B7653FC"/>
    <w:rsid w:val="6B823FC7"/>
    <w:rsid w:val="6C097B97"/>
    <w:rsid w:val="6C4D1392"/>
    <w:rsid w:val="6C636C38"/>
    <w:rsid w:val="6CAA7764"/>
    <w:rsid w:val="6CB173DF"/>
    <w:rsid w:val="6CBA676E"/>
    <w:rsid w:val="6CE30024"/>
    <w:rsid w:val="6D093858"/>
    <w:rsid w:val="6D1C5C4D"/>
    <w:rsid w:val="6D5B2446"/>
    <w:rsid w:val="6D74301A"/>
    <w:rsid w:val="6D7F1544"/>
    <w:rsid w:val="6D8A021E"/>
    <w:rsid w:val="6D993939"/>
    <w:rsid w:val="6DB34098"/>
    <w:rsid w:val="6DB545B6"/>
    <w:rsid w:val="6DE02FB4"/>
    <w:rsid w:val="6E514CED"/>
    <w:rsid w:val="6E8A1534"/>
    <w:rsid w:val="6EB563D5"/>
    <w:rsid w:val="6EBC7832"/>
    <w:rsid w:val="6EC15AFF"/>
    <w:rsid w:val="6ED24386"/>
    <w:rsid w:val="6ED92677"/>
    <w:rsid w:val="6F225983"/>
    <w:rsid w:val="6F315A27"/>
    <w:rsid w:val="6F5D145B"/>
    <w:rsid w:val="6F620BCE"/>
    <w:rsid w:val="6F73273F"/>
    <w:rsid w:val="6FA009B8"/>
    <w:rsid w:val="6FCB7F58"/>
    <w:rsid w:val="6FFC5590"/>
    <w:rsid w:val="6FFD7FFC"/>
    <w:rsid w:val="6FFE7A96"/>
    <w:rsid w:val="70572CB8"/>
    <w:rsid w:val="706D1DD0"/>
    <w:rsid w:val="70856B87"/>
    <w:rsid w:val="709F4D37"/>
    <w:rsid w:val="70B41CCC"/>
    <w:rsid w:val="70BE3E09"/>
    <w:rsid w:val="70D527EE"/>
    <w:rsid w:val="7102160C"/>
    <w:rsid w:val="71130099"/>
    <w:rsid w:val="712A3B86"/>
    <w:rsid w:val="714A36F3"/>
    <w:rsid w:val="71583DF1"/>
    <w:rsid w:val="715B5300"/>
    <w:rsid w:val="716D0318"/>
    <w:rsid w:val="717B4801"/>
    <w:rsid w:val="7195021E"/>
    <w:rsid w:val="71D27F8A"/>
    <w:rsid w:val="71EA6D93"/>
    <w:rsid w:val="71F11EDF"/>
    <w:rsid w:val="72553024"/>
    <w:rsid w:val="72587011"/>
    <w:rsid w:val="729E31CF"/>
    <w:rsid w:val="72AB1AAF"/>
    <w:rsid w:val="72AC1A60"/>
    <w:rsid w:val="72B16C06"/>
    <w:rsid w:val="731212C5"/>
    <w:rsid w:val="73122968"/>
    <w:rsid w:val="731F5D5E"/>
    <w:rsid w:val="73424DBB"/>
    <w:rsid w:val="735766C3"/>
    <w:rsid w:val="73841312"/>
    <w:rsid w:val="73C51AD5"/>
    <w:rsid w:val="73D353A6"/>
    <w:rsid w:val="741E793C"/>
    <w:rsid w:val="742A3F61"/>
    <w:rsid w:val="74413BF2"/>
    <w:rsid w:val="745E3944"/>
    <w:rsid w:val="74BF08ED"/>
    <w:rsid w:val="74C864DF"/>
    <w:rsid w:val="74CE189C"/>
    <w:rsid w:val="74D10D87"/>
    <w:rsid w:val="74D55C18"/>
    <w:rsid w:val="74EB2425"/>
    <w:rsid w:val="751B08FA"/>
    <w:rsid w:val="754E3892"/>
    <w:rsid w:val="755D78AD"/>
    <w:rsid w:val="75C62A6D"/>
    <w:rsid w:val="75E27DE1"/>
    <w:rsid w:val="7635099D"/>
    <w:rsid w:val="76662E6C"/>
    <w:rsid w:val="76990B6A"/>
    <w:rsid w:val="76B17BAE"/>
    <w:rsid w:val="76C84B8E"/>
    <w:rsid w:val="76E93FEB"/>
    <w:rsid w:val="77762421"/>
    <w:rsid w:val="77B56B1F"/>
    <w:rsid w:val="77BB474E"/>
    <w:rsid w:val="780F09F4"/>
    <w:rsid w:val="78A90480"/>
    <w:rsid w:val="78BC0675"/>
    <w:rsid w:val="78BE266A"/>
    <w:rsid w:val="78BF077B"/>
    <w:rsid w:val="797F5158"/>
    <w:rsid w:val="79C97FD4"/>
    <w:rsid w:val="79ED7CD7"/>
    <w:rsid w:val="7A2640BD"/>
    <w:rsid w:val="7A364017"/>
    <w:rsid w:val="7A8265E1"/>
    <w:rsid w:val="7B3F1A2A"/>
    <w:rsid w:val="7B3F5290"/>
    <w:rsid w:val="7B56797D"/>
    <w:rsid w:val="7B686D42"/>
    <w:rsid w:val="7B7E5751"/>
    <w:rsid w:val="7B841746"/>
    <w:rsid w:val="7B8E7E1C"/>
    <w:rsid w:val="7BC772E5"/>
    <w:rsid w:val="7C6C5AC7"/>
    <w:rsid w:val="7C7A284C"/>
    <w:rsid w:val="7C9605A1"/>
    <w:rsid w:val="7CB20C0D"/>
    <w:rsid w:val="7CC6544B"/>
    <w:rsid w:val="7D0239FF"/>
    <w:rsid w:val="7D5E40CD"/>
    <w:rsid w:val="7DCD56F2"/>
    <w:rsid w:val="7E020D8B"/>
    <w:rsid w:val="7E1813F8"/>
    <w:rsid w:val="7E4D2E32"/>
    <w:rsid w:val="7E8B05B0"/>
    <w:rsid w:val="7E977DA5"/>
    <w:rsid w:val="7EA80552"/>
    <w:rsid w:val="7EB84A5A"/>
    <w:rsid w:val="7EC52F24"/>
    <w:rsid w:val="7F001CE7"/>
    <w:rsid w:val="7F5F396B"/>
    <w:rsid w:val="7F881C84"/>
    <w:rsid w:val="7F934C8F"/>
    <w:rsid w:val="7FE47E50"/>
    <w:rsid w:val="7FF6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iPriority="99"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iPriority="99"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qFormat/>
    <w:locked/>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6"/>
    <w:qFormat/>
    <w:locked/>
    <w:uiPriority w:val="0"/>
    <w:pPr>
      <w:keepNext/>
      <w:keepLines/>
      <w:spacing w:before="280" w:after="290" w:line="374" w:lineRule="auto"/>
      <w:outlineLvl w:val="3"/>
    </w:pPr>
    <w:rPr>
      <w:rFonts w:ascii="Arial" w:hAnsi="Arial" w:eastAsia="黑体"/>
      <w:b/>
      <w:sz w:val="28"/>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li_正文"/>
    <w:basedOn w:val="1"/>
    <w:qFormat/>
    <w:uiPriority w:val="0"/>
    <w:pPr>
      <w:tabs>
        <w:tab w:val="left" w:pos="2340"/>
        <w:tab w:val="left" w:pos="4320"/>
      </w:tabs>
      <w:ind w:firstLine="530" w:firstLineChars="200"/>
      <w:jc w:val="left"/>
    </w:pPr>
    <w:rPr>
      <w:rFonts w:ascii="Calibri" w:hAnsi="Calibri"/>
      <w:sz w:val="28"/>
      <w:szCs w:val="28"/>
    </w:rPr>
  </w:style>
  <w:style w:type="paragraph" w:styleId="6">
    <w:name w:val="Body Text"/>
    <w:basedOn w:val="1"/>
    <w:next w:val="7"/>
    <w:link w:val="37"/>
    <w:qFormat/>
    <w:uiPriority w:val="0"/>
    <w:pPr>
      <w:widowControl/>
      <w:snapToGrid w:val="0"/>
      <w:spacing w:before="60" w:after="160" w:line="259" w:lineRule="auto"/>
      <w:ind w:right="113"/>
    </w:pPr>
    <w:rPr>
      <w:kern w:val="0"/>
      <w:sz w:val="18"/>
      <w:szCs w:val="20"/>
    </w:rPr>
  </w:style>
  <w:style w:type="paragraph" w:styleId="7">
    <w:name w:val="List Bullet 5"/>
    <w:basedOn w:val="1"/>
    <w:qFormat/>
    <w:locked/>
    <w:uiPriority w:val="0"/>
    <w:pPr>
      <w:numPr>
        <w:ilvl w:val="0"/>
        <w:numId w:val="1"/>
      </w:numPr>
    </w:pPr>
  </w:style>
  <w:style w:type="paragraph" w:styleId="8">
    <w:name w:val="Normal Indent"/>
    <w:basedOn w:val="1"/>
    <w:next w:val="6"/>
    <w:qFormat/>
    <w:locked/>
    <w:uiPriority w:val="0"/>
    <w:pPr>
      <w:ind w:firstLine="420" w:firstLineChars="200"/>
    </w:pPr>
    <w:rPr>
      <w:sz w:val="24"/>
      <w:szCs w:val="20"/>
    </w:rPr>
  </w:style>
  <w:style w:type="paragraph" w:styleId="9">
    <w:name w:val="annotation text"/>
    <w:basedOn w:val="1"/>
    <w:link w:val="38"/>
    <w:semiHidden/>
    <w:qFormat/>
    <w:uiPriority w:val="0"/>
    <w:pPr>
      <w:jc w:val="left"/>
    </w:pPr>
    <w:rPr>
      <w:kern w:val="0"/>
      <w:sz w:val="24"/>
      <w:szCs w:val="20"/>
    </w:rPr>
  </w:style>
  <w:style w:type="paragraph" w:styleId="10">
    <w:name w:val="Body Text Indent"/>
    <w:basedOn w:val="1"/>
    <w:next w:val="11"/>
    <w:link w:val="39"/>
    <w:qFormat/>
    <w:uiPriority w:val="0"/>
    <w:pPr>
      <w:spacing w:after="120"/>
      <w:ind w:left="420" w:leftChars="200"/>
    </w:pPr>
    <w:rPr>
      <w:kern w:val="0"/>
      <w:sz w:val="24"/>
      <w:szCs w:val="20"/>
    </w:rPr>
  </w:style>
  <w:style w:type="paragraph" w:customStyle="1" w:styleId="11">
    <w:name w:val="样式 正文文本缩进 + 行距: 1.5 倍行距"/>
    <w:basedOn w:val="12"/>
    <w:next w:val="13"/>
    <w:qFormat/>
    <w:uiPriority w:val="0"/>
    <w:pPr>
      <w:spacing w:line="360" w:lineRule="auto"/>
      <w:ind w:left="90" w:leftChars="32" w:firstLine="560" w:firstLineChars="200"/>
    </w:pPr>
    <w:rPr>
      <w:rFonts w:cs="宋体"/>
    </w:rPr>
  </w:style>
  <w:style w:type="paragraph" w:customStyle="1" w:styleId="12">
    <w:name w:val="正文文本缩进1"/>
    <w:basedOn w:val="1"/>
    <w:next w:val="11"/>
    <w:qFormat/>
    <w:uiPriority w:val="0"/>
    <w:pPr>
      <w:spacing w:after="120"/>
      <w:ind w:left="420"/>
    </w:pPr>
    <w:rPr>
      <w:szCs w:val="21"/>
    </w:rPr>
  </w:style>
  <w:style w:type="paragraph" w:styleId="13">
    <w:name w:val="header"/>
    <w:basedOn w:val="1"/>
    <w:next w:val="14"/>
    <w:link w:val="43"/>
    <w:qFormat/>
    <w:uiPriority w:val="0"/>
    <w:pPr>
      <w:pBdr>
        <w:bottom w:val="single" w:color="auto" w:sz="6" w:space="1"/>
      </w:pBdr>
      <w:tabs>
        <w:tab w:val="center" w:pos="4153"/>
        <w:tab w:val="right" w:pos="8306"/>
      </w:tabs>
      <w:snapToGrid w:val="0"/>
      <w:jc w:val="center"/>
    </w:pPr>
    <w:rPr>
      <w:kern w:val="0"/>
      <w:sz w:val="18"/>
      <w:szCs w:val="20"/>
    </w:rPr>
  </w:style>
  <w:style w:type="paragraph" w:customStyle="1" w:styleId="14">
    <w:name w:val="样式5"/>
    <w:basedOn w:val="15"/>
    <w:next w:val="1"/>
    <w:qFormat/>
    <w:uiPriority w:val="0"/>
    <w:pPr>
      <w:snapToGrid w:val="0"/>
      <w:spacing w:line="360" w:lineRule="auto"/>
      <w:ind w:firstLine="510"/>
    </w:pPr>
    <w:rPr>
      <w:sz w:val="24"/>
    </w:rPr>
  </w:style>
  <w:style w:type="paragraph" w:customStyle="1" w:styleId="15">
    <w:name w:val="正文1"/>
    <w:basedOn w:val="1"/>
    <w:next w:val="1"/>
    <w:qFormat/>
    <w:uiPriority w:val="0"/>
    <w:pPr>
      <w:ind w:firstLine="200" w:firstLineChars="200"/>
    </w:pPr>
    <w:rPr>
      <w:rFonts w:hint="eastAsia" w:ascii="仿宋_GB2312" w:eastAsia="仿宋_GB2312"/>
      <w:szCs w:val="20"/>
    </w:rPr>
  </w:style>
  <w:style w:type="paragraph" w:styleId="16">
    <w:name w:val="Plain Text"/>
    <w:basedOn w:val="1"/>
    <w:qFormat/>
    <w:locked/>
    <w:uiPriority w:val="0"/>
    <w:rPr>
      <w:rFonts w:ascii="宋体" w:hAnsi="Courier New"/>
      <w:szCs w:val="20"/>
    </w:rPr>
  </w:style>
  <w:style w:type="paragraph" w:styleId="17">
    <w:name w:val="Date"/>
    <w:basedOn w:val="1"/>
    <w:next w:val="1"/>
    <w:link w:val="40"/>
    <w:qFormat/>
    <w:uiPriority w:val="0"/>
    <w:pPr>
      <w:ind w:left="100" w:leftChars="2500"/>
    </w:pPr>
    <w:rPr>
      <w:kern w:val="0"/>
      <w:sz w:val="24"/>
      <w:szCs w:val="20"/>
    </w:rPr>
  </w:style>
  <w:style w:type="paragraph" w:styleId="18">
    <w:name w:val="Body Text Indent 2"/>
    <w:basedOn w:val="1"/>
    <w:unhideWhenUsed/>
    <w:qFormat/>
    <w:locked/>
    <w:uiPriority w:val="99"/>
    <w:pPr>
      <w:spacing w:before="240" w:line="360" w:lineRule="auto"/>
      <w:ind w:firstLine="560" w:firstLineChars="200"/>
    </w:pPr>
    <w:rPr>
      <w:sz w:val="28"/>
    </w:rPr>
  </w:style>
  <w:style w:type="paragraph" w:styleId="19">
    <w:name w:val="Balloon Text"/>
    <w:basedOn w:val="1"/>
    <w:link w:val="41"/>
    <w:semiHidden/>
    <w:qFormat/>
    <w:uiPriority w:val="0"/>
    <w:rPr>
      <w:kern w:val="0"/>
      <w:sz w:val="18"/>
      <w:szCs w:val="20"/>
    </w:rPr>
  </w:style>
  <w:style w:type="paragraph" w:styleId="20">
    <w:name w:val="footer"/>
    <w:basedOn w:val="1"/>
    <w:link w:val="42"/>
    <w:qFormat/>
    <w:uiPriority w:val="99"/>
    <w:pPr>
      <w:tabs>
        <w:tab w:val="center" w:pos="4153"/>
        <w:tab w:val="right" w:pos="8306"/>
      </w:tabs>
      <w:snapToGrid w:val="0"/>
      <w:jc w:val="left"/>
    </w:pPr>
    <w:rPr>
      <w:kern w:val="0"/>
      <w:sz w:val="18"/>
      <w:szCs w:val="20"/>
    </w:rPr>
  </w:style>
  <w:style w:type="paragraph" w:styleId="21">
    <w:name w:val="Body Text Indent 3"/>
    <w:basedOn w:val="1"/>
    <w:qFormat/>
    <w:locked/>
    <w:uiPriority w:val="0"/>
    <w:pPr>
      <w:spacing w:after="120"/>
      <w:ind w:left="420" w:leftChars="200"/>
    </w:pPr>
    <w:rPr>
      <w:sz w:val="16"/>
      <w:szCs w:val="16"/>
    </w:rPr>
  </w:style>
  <w:style w:type="paragraph" w:styleId="22">
    <w:name w:val="Normal (Web)"/>
    <w:basedOn w:val="1"/>
    <w:link w:val="44"/>
    <w:qFormat/>
    <w:uiPriority w:val="0"/>
    <w:pPr>
      <w:widowControl/>
      <w:spacing w:before="100" w:beforeAutospacing="1" w:after="100" w:afterAutospacing="1"/>
      <w:jc w:val="left"/>
    </w:pPr>
    <w:rPr>
      <w:rFonts w:ascii="宋体" w:hAnsi="宋体"/>
      <w:kern w:val="0"/>
      <w:sz w:val="24"/>
      <w:szCs w:val="20"/>
    </w:rPr>
  </w:style>
  <w:style w:type="paragraph" w:styleId="23">
    <w:name w:val="Title"/>
    <w:basedOn w:val="1"/>
    <w:next w:val="1"/>
    <w:qFormat/>
    <w:locked/>
    <w:uiPriority w:val="0"/>
    <w:pPr>
      <w:spacing w:line="500" w:lineRule="exact"/>
      <w:jc w:val="center"/>
    </w:pPr>
    <w:rPr>
      <w:rFonts w:ascii="黑体" w:hAnsi="黑体" w:eastAsia="黑体"/>
      <w:bCs/>
      <w:sz w:val="24"/>
    </w:rPr>
  </w:style>
  <w:style w:type="paragraph" w:styleId="24">
    <w:name w:val="annotation subject"/>
    <w:basedOn w:val="9"/>
    <w:next w:val="9"/>
    <w:link w:val="45"/>
    <w:semiHidden/>
    <w:qFormat/>
    <w:uiPriority w:val="0"/>
    <w:rPr>
      <w:b/>
    </w:rPr>
  </w:style>
  <w:style w:type="paragraph" w:styleId="25">
    <w:name w:val="Body Text First Indent"/>
    <w:basedOn w:val="6"/>
    <w:next w:val="1"/>
    <w:unhideWhenUsed/>
    <w:qFormat/>
    <w:locked/>
    <w:uiPriority w:val="99"/>
    <w:pPr>
      <w:ind w:firstLine="420" w:firstLineChars="100"/>
    </w:pPr>
  </w:style>
  <w:style w:type="paragraph" w:styleId="26">
    <w:name w:val="Body Text First Indent 2"/>
    <w:basedOn w:val="10"/>
    <w:next w:val="1"/>
    <w:unhideWhenUsed/>
    <w:qFormat/>
    <w:locked/>
    <w:uiPriority w:val="99"/>
    <w:pPr>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locked/>
    <w:uiPriority w:val="0"/>
    <w:rPr>
      <w:b/>
    </w:rPr>
  </w:style>
  <w:style w:type="character" w:styleId="31">
    <w:name w:val="page number"/>
    <w:qFormat/>
    <w:locked/>
    <w:uiPriority w:val="0"/>
  </w:style>
  <w:style w:type="character" w:styleId="32">
    <w:name w:val="FollowedHyperlink"/>
    <w:qFormat/>
    <w:locked/>
    <w:uiPriority w:val="0"/>
    <w:rPr>
      <w:color w:val="800080"/>
      <w:u w:val="none"/>
    </w:rPr>
  </w:style>
  <w:style w:type="character" w:styleId="33">
    <w:name w:val="Emphasis"/>
    <w:qFormat/>
    <w:locked/>
    <w:uiPriority w:val="0"/>
  </w:style>
  <w:style w:type="character" w:styleId="34">
    <w:name w:val="Hyperlink"/>
    <w:qFormat/>
    <w:locked/>
    <w:uiPriority w:val="0"/>
    <w:rPr>
      <w:color w:val="0000FF"/>
      <w:u w:val="none"/>
    </w:rPr>
  </w:style>
  <w:style w:type="character" w:styleId="35">
    <w:name w:val="annotation reference"/>
    <w:semiHidden/>
    <w:qFormat/>
    <w:uiPriority w:val="0"/>
    <w:rPr>
      <w:sz w:val="21"/>
    </w:rPr>
  </w:style>
  <w:style w:type="paragraph" w:customStyle="1" w:styleId="36">
    <w:name w:val="Date1"/>
    <w:basedOn w:val="1"/>
    <w:next w:val="1"/>
    <w:qFormat/>
    <w:uiPriority w:val="0"/>
    <w:rPr>
      <w:szCs w:val="20"/>
    </w:rPr>
  </w:style>
  <w:style w:type="character" w:customStyle="1" w:styleId="37">
    <w:name w:val="正文文本 Char"/>
    <w:link w:val="6"/>
    <w:qFormat/>
    <w:locked/>
    <w:uiPriority w:val="0"/>
    <w:rPr>
      <w:sz w:val="18"/>
    </w:rPr>
  </w:style>
  <w:style w:type="character" w:customStyle="1" w:styleId="38">
    <w:name w:val="批注文字 Char"/>
    <w:link w:val="9"/>
    <w:qFormat/>
    <w:locked/>
    <w:uiPriority w:val="0"/>
    <w:rPr>
      <w:rFonts w:ascii="Times New Roman" w:hAnsi="Times New Roman" w:eastAsia="宋体"/>
      <w:sz w:val="24"/>
    </w:rPr>
  </w:style>
  <w:style w:type="character" w:customStyle="1" w:styleId="39">
    <w:name w:val="正文文本缩进 Char"/>
    <w:link w:val="10"/>
    <w:semiHidden/>
    <w:qFormat/>
    <w:locked/>
    <w:uiPriority w:val="0"/>
    <w:rPr>
      <w:rFonts w:ascii="Times New Roman" w:hAnsi="Times New Roman" w:eastAsia="宋体"/>
      <w:sz w:val="24"/>
    </w:rPr>
  </w:style>
  <w:style w:type="character" w:customStyle="1" w:styleId="40">
    <w:name w:val="日期 Char"/>
    <w:link w:val="17"/>
    <w:qFormat/>
    <w:locked/>
    <w:uiPriority w:val="0"/>
    <w:rPr>
      <w:rFonts w:ascii="Times New Roman" w:hAnsi="Times New Roman" w:eastAsia="宋体"/>
      <w:sz w:val="24"/>
    </w:rPr>
  </w:style>
  <w:style w:type="character" w:customStyle="1" w:styleId="41">
    <w:name w:val="批注框文本 Char"/>
    <w:link w:val="19"/>
    <w:semiHidden/>
    <w:qFormat/>
    <w:locked/>
    <w:uiPriority w:val="0"/>
    <w:rPr>
      <w:rFonts w:ascii="Times New Roman" w:hAnsi="Times New Roman" w:eastAsia="宋体"/>
      <w:sz w:val="18"/>
    </w:rPr>
  </w:style>
  <w:style w:type="character" w:customStyle="1" w:styleId="42">
    <w:name w:val="页脚 Char"/>
    <w:link w:val="20"/>
    <w:qFormat/>
    <w:locked/>
    <w:uiPriority w:val="99"/>
    <w:rPr>
      <w:sz w:val="18"/>
    </w:rPr>
  </w:style>
  <w:style w:type="character" w:customStyle="1" w:styleId="43">
    <w:name w:val="页眉 Char"/>
    <w:link w:val="13"/>
    <w:qFormat/>
    <w:locked/>
    <w:uiPriority w:val="0"/>
    <w:rPr>
      <w:sz w:val="18"/>
    </w:rPr>
  </w:style>
  <w:style w:type="character" w:customStyle="1" w:styleId="44">
    <w:name w:val="普通(网站) Char"/>
    <w:link w:val="22"/>
    <w:qFormat/>
    <w:locked/>
    <w:uiPriority w:val="0"/>
    <w:rPr>
      <w:rFonts w:ascii="宋体" w:hAnsi="宋体" w:eastAsia="宋体"/>
      <w:sz w:val="24"/>
    </w:rPr>
  </w:style>
  <w:style w:type="character" w:customStyle="1" w:styleId="45">
    <w:name w:val="批注主题 Char"/>
    <w:link w:val="24"/>
    <w:semiHidden/>
    <w:qFormat/>
    <w:locked/>
    <w:uiPriority w:val="0"/>
    <w:rPr>
      <w:rFonts w:ascii="Times New Roman" w:hAnsi="Times New Roman" w:eastAsia="宋体"/>
      <w:b/>
      <w:kern w:val="2"/>
      <w:sz w:val="24"/>
    </w:rPr>
  </w:style>
  <w:style w:type="character" w:customStyle="1" w:styleId="46">
    <w:name w:val="页脚 字符"/>
    <w:qFormat/>
    <w:uiPriority w:val="99"/>
  </w:style>
  <w:style w:type="character" w:customStyle="1" w:styleId="47">
    <w:name w:val="15"/>
    <w:qFormat/>
    <w:uiPriority w:val="0"/>
    <w:rPr>
      <w:rFonts w:hint="default" w:ascii="Times New Roman" w:hAnsi="Times New Roman" w:cs="Times New Roman"/>
    </w:rPr>
  </w:style>
  <w:style w:type="character" w:customStyle="1" w:styleId="48">
    <w:name w:val="znspantitle"/>
    <w:qFormat/>
    <w:uiPriority w:val="0"/>
    <w:rPr>
      <w:b/>
      <w:color w:val="333333"/>
    </w:rPr>
  </w:style>
  <w:style w:type="character" w:customStyle="1" w:styleId="49">
    <w:name w:val="bsharetext"/>
    <w:qFormat/>
    <w:uiPriority w:val="0"/>
  </w:style>
  <w:style w:type="character" w:customStyle="1" w:styleId="50">
    <w:name w:val="批注文字 字符1"/>
    <w:semiHidden/>
    <w:qFormat/>
    <w:uiPriority w:val="0"/>
    <w:rPr>
      <w:rFonts w:ascii="Times New Roman" w:hAnsi="Times New Roman" w:eastAsia="宋体"/>
      <w:sz w:val="24"/>
    </w:rPr>
  </w:style>
  <w:style w:type="character" w:customStyle="1" w:styleId="51">
    <w:name w:val="正文文本 字符1"/>
    <w:semiHidden/>
    <w:qFormat/>
    <w:uiPriority w:val="0"/>
    <w:rPr>
      <w:rFonts w:ascii="Times New Roman" w:hAnsi="Times New Roman" w:eastAsia="宋体"/>
      <w:sz w:val="24"/>
    </w:rPr>
  </w:style>
  <w:style w:type="character" w:customStyle="1" w:styleId="52">
    <w:name w:val="日期 字符"/>
    <w:semiHidden/>
    <w:qFormat/>
    <w:uiPriority w:val="0"/>
    <w:rPr>
      <w:rFonts w:ascii="Times New Roman" w:hAnsi="Times New Roman" w:eastAsia="宋体"/>
      <w:sz w:val="24"/>
    </w:rPr>
  </w:style>
  <w:style w:type="character" w:customStyle="1" w:styleId="53">
    <w:name w:val="disabled"/>
    <w:qFormat/>
    <w:uiPriority w:val="0"/>
    <w:rPr>
      <w:vanish/>
    </w:rPr>
  </w:style>
  <w:style w:type="character" w:customStyle="1" w:styleId="54">
    <w:name w:val="表格 Char"/>
    <w:link w:val="55"/>
    <w:qFormat/>
    <w:locked/>
    <w:uiPriority w:val="0"/>
    <w:rPr>
      <w:rFonts w:ascii="宋体"/>
      <w:sz w:val="21"/>
    </w:rPr>
  </w:style>
  <w:style w:type="paragraph" w:customStyle="1" w:styleId="55">
    <w:name w:val="表格"/>
    <w:basedOn w:val="1"/>
    <w:next w:val="1"/>
    <w:link w:val="54"/>
    <w:qFormat/>
    <w:uiPriority w:val="0"/>
    <w:pPr>
      <w:adjustRightInd w:val="0"/>
      <w:snapToGrid w:val="0"/>
      <w:spacing w:beforeLines="10" w:afterLines="10" w:line="259" w:lineRule="auto"/>
      <w:jc w:val="center"/>
    </w:pPr>
    <w:rPr>
      <w:rFonts w:ascii="宋体"/>
      <w:kern w:val="0"/>
      <w:szCs w:val="20"/>
    </w:rPr>
  </w:style>
  <w:style w:type="paragraph" w:customStyle="1" w:styleId="56">
    <w:name w:val="样式2"/>
    <w:basedOn w:val="1"/>
    <w:qFormat/>
    <w:uiPriority w:val="0"/>
    <w:pPr>
      <w:adjustRightInd w:val="0"/>
      <w:spacing w:line="410" w:lineRule="atLeast"/>
      <w:jc w:val="left"/>
      <w:textAlignment w:val="baseline"/>
    </w:pPr>
    <w:rPr>
      <w:kern w:val="0"/>
      <w:sz w:val="24"/>
      <w:szCs w:val="20"/>
    </w:rPr>
  </w:style>
  <w:style w:type="paragraph" w:customStyle="1" w:styleId="57">
    <w:name w:val="4444表格"/>
    <w:basedOn w:val="1"/>
    <w:qFormat/>
    <w:uiPriority w:val="0"/>
    <w:pPr>
      <w:spacing w:line="300" w:lineRule="exact"/>
      <w:jc w:val="center"/>
    </w:pPr>
    <w:rPr>
      <w:szCs w:val="21"/>
    </w:rPr>
  </w:style>
  <w:style w:type="paragraph" w:customStyle="1" w:styleId="58">
    <w:name w:val="正文+5"/>
    <w:basedOn w:val="59"/>
    <w:next w:val="59"/>
    <w:qFormat/>
    <w:uiPriority w:val="99"/>
    <w:rPr>
      <w:rFonts w:cs="Times New Roman"/>
      <w:color w:val="auto"/>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表格内容"/>
    <w:basedOn w:val="8"/>
    <w:next w:val="1"/>
    <w:qFormat/>
    <w:uiPriority w:val="0"/>
    <w:pPr>
      <w:adjustRightInd w:val="0"/>
      <w:jc w:val="center"/>
      <w:textAlignment w:val="baseline"/>
    </w:pPr>
    <w:rPr>
      <w:szCs w:val="21"/>
    </w:rPr>
  </w:style>
  <w:style w:type="paragraph" w:customStyle="1" w:styleId="61">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2">
    <w:name w:val="正文55555"/>
    <w:basedOn w:val="1"/>
    <w:qFormat/>
    <w:uiPriority w:val="0"/>
    <w:pPr>
      <w:widowControl/>
      <w:spacing w:line="360" w:lineRule="auto"/>
      <w:ind w:firstLine="200" w:firstLineChars="200"/>
      <w:jc w:val="left"/>
    </w:pPr>
    <w:rPr>
      <w:kern w:val="0"/>
      <w:sz w:val="24"/>
    </w:rPr>
  </w:style>
  <w:style w:type="paragraph" w:customStyle="1" w:styleId="6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Table Paragraph"/>
    <w:basedOn w:val="1"/>
    <w:qFormat/>
    <w:uiPriority w:val="1"/>
    <w:pPr>
      <w:widowControl/>
      <w:jc w:val="left"/>
    </w:pPr>
    <w:rPr>
      <w:rFonts w:ascii="Calibri" w:hAnsi="Calibri"/>
      <w:kern w:val="0"/>
      <w:sz w:val="22"/>
      <w:szCs w:val="22"/>
    </w:rPr>
  </w:style>
  <w:style w:type="paragraph" w:customStyle="1" w:styleId="65">
    <w:name w:val="样式 小四 行距: 1.5 倍行距 首行缩进:  2 字符"/>
    <w:basedOn w:val="1"/>
    <w:qFormat/>
    <w:uiPriority w:val="0"/>
    <w:pPr>
      <w:spacing w:line="360" w:lineRule="auto"/>
      <w:ind w:firstLine="480" w:firstLineChars="200"/>
    </w:pPr>
    <w:rPr>
      <w:sz w:val="24"/>
    </w:rPr>
  </w:style>
  <w:style w:type="paragraph" w:customStyle="1" w:styleId="66">
    <w:name w:val="报告书正文"/>
    <w:basedOn w:val="1"/>
    <w:qFormat/>
    <w:uiPriority w:val="0"/>
    <w:pPr>
      <w:adjustRightInd w:val="0"/>
      <w:snapToGrid w:val="0"/>
      <w:spacing w:line="360" w:lineRule="auto"/>
      <w:ind w:firstLine="425"/>
      <w:textAlignment w:val="baseline"/>
    </w:pPr>
    <w:rPr>
      <w:kern w:val="0"/>
      <w:sz w:val="24"/>
      <w:szCs w:val="20"/>
    </w:rPr>
  </w:style>
  <w:style w:type="paragraph" w:customStyle="1" w:styleId="67">
    <w:name w:val="表格文字"/>
    <w:basedOn w:val="8"/>
    <w:qFormat/>
    <w:uiPriority w:val="0"/>
    <w:pPr>
      <w:snapToGrid w:val="0"/>
      <w:ind w:firstLine="0" w:firstLineChars="0"/>
      <w:jc w:val="center"/>
    </w:pPr>
    <w:rPr>
      <w:sz w:val="21"/>
    </w:rPr>
  </w:style>
  <w:style w:type="paragraph" w:customStyle="1" w:styleId="68">
    <w:name w:val="列出段落1"/>
    <w:basedOn w:val="1"/>
    <w:next w:val="1"/>
    <w:qFormat/>
    <w:uiPriority w:val="34"/>
    <w:pPr>
      <w:ind w:firstLine="420" w:firstLineChars="200"/>
    </w:pPr>
  </w:style>
  <w:style w:type="character" w:customStyle="1" w:styleId="69">
    <w:name w:val="font41"/>
    <w:qFormat/>
    <w:uiPriority w:val="0"/>
    <w:rPr>
      <w:rFonts w:hint="eastAsia" w:ascii="Microsoft JhengHei" w:hAnsi="Microsoft JhengHei" w:eastAsia="Microsoft JhengHei" w:cs="Microsoft JhengHei"/>
      <w:b/>
      <w:color w:val="000000"/>
      <w:sz w:val="22"/>
      <w:szCs w:val="22"/>
      <w:u w:val="none"/>
    </w:rPr>
  </w:style>
  <w:style w:type="paragraph" w:customStyle="1" w:styleId="70">
    <w:name w:val="图表名"/>
    <w:basedOn w:val="1"/>
    <w:qFormat/>
    <w:uiPriority w:val="0"/>
    <w:pPr>
      <w:tabs>
        <w:tab w:val="left" w:pos="7020"/>
      </w:tabs>
      <w:adjustRightInd w:val="0"/>
      <w:jc w:val="center"/>
      <w:textAlignment w:val="baseline"/>
    </w:pPr>
    <w:rPr>
      <w:rFonts w:cs="黑体"/>
      <w:b/>
      <w:color w:val="000000"/>
      <w:kern w:val="0"/>
      <w:szCs w:val="21"/>
    </w:rPr>
  </w:style>
  <w:style w:type="paragraph" w:customStyle="1" w:styleId="71">
    <w:name w:val="Char Char Char"/>
    <w:basedOn w:val="1"/>
    <w:qFormat/>
    <w:uiPriority w:val="0"/>
    <w:rPr>
      <w:sz w:val="24"/>
    </w:rPr>
  </w:style>
  <w:style w:type="paragraph" w:customStyle="1" w:styleId="72">
    <w:name w:val="表格内文字"/>
    <w:basedOn w:val="1"/>
    <w:qFormat/>
    <w:uiPriority w:val="0"/>
    <w:pPr>
      <w:tabs>
        <w:tab w:val="left" w:pos="0"/>
      </w:tabs>
      <w:adjustRightInd w:val="0"/>
      <w:snapToGrid w:val="0"/>
      <w:jc w:val="center"/>
    </w:pPr>
    <w:rPr>
      <w:rFonts w:eastAsia="仿宋_GB2312"/>
      <w:sz w:val="24"/>
    </w:rPr>
  </w:style>
  <w:style w:type="paragraph" w:styleId="73">
    <w:name w:val="List Paragraph"/>
    <w:basedOn w:val="1"/>
    <w:qFormat/>
    <w:uiPriority w:val="34"/>
    <w:pPr>
      <w:ind w:firstLine="420"/>
    </w:pPr>
  </w:style>
  <w:style w:type="paragraph" w:customStyle="1" w:styleId="74">
    <w:name w:val="正文_17"/>
    <w:qFormat/>
    <w:uiPriority w:val="0"/>
    <w:pPr>
      <w:widowControl w:val="0"/>
      <w:jc w:val="both"/>
    </w:pPr>
    <w:rPr>
      <w:rFonts w:ascii="Calibri" w:hAnsi="Calibri" w:eastAsia="宋体" w:cs="Times New Roman"/>
      <w:kern w:val="2"/>
      <w:sz w:val="21"/>
      <w:lang w:val="en-US" w:eastAsia="zh-CN" w:bidi="ar-SA"/>
    </w:rPr>
  </w:style>
  <w:style w:type="paragraph" w:customStyle="1" w:styleId="75">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76">
    <w:name w:val="正文_16"/>
    <w:qFormat/>
    <w:uiPriority w:val="0"/>
    <w:pPr>
      <w:widowControl w:val="0"/>
      <w:jc w:val="both"/>
    </w:pPr>
    <w:rPr>
      <w:rFonts w:ascii="Calibri" w:hAnsi="Calibri" w:eastAsia="宋体" w:cs="Times New Roman"/>
      <w:kern w:val="2"/>
      <w:sz w:val="21"/>
      <w:lang w:val="en-US" w:eastAsia="zh-CN" w:bidi="ar-SA"/>
    </w:rPr>
  </w:style>
  <w:style w:type="paragraph" w:customStyle="1" w:styleId="77">
    <w:name w:val="正文_20"/>
    <w:qFormat/>
    <w:uiPriority w:val="0"/>
    <w:pPr>
      <w:widowControl w:val="0"/>
      <w:jc w:val="both"/>
    </w:pPr>
    <w:rPr>
      <w:rFonts w:ascii="Calibri" w:hAnsi="Calibri" w:eastAsia="宋体" w:cs="Times New Roman"/>
      <w:kern w:val="2"/>
      <w:sz w:val="21"/>
      <w:lang w:val="en-US" w:eastAsia="zh-CN" w:bidi="ar-SA"/>
    </w:rPr>
  </w:style>
  <w:style w:type="paragraph" w:customStyle="1" w:styleId="78">
    <w:name w:val="正文 首行缩进:  2 字符"/>
    <w:basedOn w:val="1"/>
    <w:qFormat/>
    <w:uiPriority w:val="0"/>
    <w:pPr>
      <w:adjustRightInd w:val="0"/>
      <w:snapToGrid w:val="0"/>
      <w:spacing w:line="500" w:lineRule="exact"/>
      <w:ind w:firstLine="200" w:firstLineChars="200"/>
      <w:jc w:val="left"/>
    </w:pPr>
    <w:rPr>
      <w:rFonts w:cs="宋体"/>
      <w:sz w:val="24"/>
      <w:szCs w:val="20"/>
    </w:rPr>
  </w:style>
  <w:style w:type="paragraph" w:customStyle="1" w:styleId="79">
    <w:name w:val="三级"/>
    <w:basedOn w:val="1"/>
    <w:qFormat/>
    <w:uiPriority w:val="0"/>
    <w:pPr>
      <w:adjustRightInd w:val="0"/>
      <w:snapToGrid w:val="0"/>
      <w:jc w:val="left"/>
      <w:outlineLvl w:val="2"/>
    </w:pPr>
    <w:rPr>
      <w:b/>
      <w:kern w:val="0"/>
    </w:rPr>
  </w:style>
  <w:style w:type="paragraph" w:customStyle="1" w:styleId="80">
    <w:name w:val="表内容"/>
    <w:basedOn w:val="1"/>
    <w:qFormat/>
    <w:uiPriority w:val="0"/>
    <w:pPr>
      <w:adjustRightInd w:val="0"/>
      <w:snapToGrid w:val="0"/>
      <w:jc w:val="center"/>
    </w:pPr>
    <w:rPr>
      <w:rFonts w:eastAsia="Arial"/>
      <w:snapToGrid w:val="0"/>
      <w:kern w:val="0"/>
      <w:szCs w:val="21"/>
    </w:rPr>
  </w:style>
  <w:style w:type="paragraph" w:customStyle="1" w:styleId="81">
    <w:name w:val="店子正文"/>
    <w:basedOn w:val="1"/>
    <w:qFormat/>
    <w:uiPriority w:val="0"/>
    <w:pPr>
      <w:spacing w:line="360" w:lineRule="auto"/>
      <w:ind w:firstLine="200" w:firstLineChars="200"/>
    </w:pPr>
    <w:rPr>
      <w:sz w:val="24"/>
    </w:rPr>
  </w:style>
  <w:style w:type="paragraph" w:customStyle="1" w:styleId="82">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4">
    <w:name w:val="JJJJJJJ正文"/>
    <w:basedOn w:val="1"/>
    <w:qFormat/>
    <w:uiPriority w:val="0"/>
    <w:pPr>
      <w:spacing w:line="360" w:lineRule="auto"/>
      <w:ind w:firstLine="200" w:firstLineChars="200"/>
    </w:pPr>
    <w:rPr>
      <w:kern w:val="0"/>
      <w:sz w:val="24"/>
    </w:rPr>
  </w:style>
  <w:style w:type="paragraph" w:customStyle="1" w:styleId="85">
    <w:name w:val="表内"/>
    <w:basedOn w:val="1"/>
    <w:link w:val="90"/>
    <w:qFormat/>
    <w:uiPriority w:val="0"/>
    <w:pPr>
      <w:jc w:val="center"/>
    </w:pPr>
  </w:style>
  <w:style w:type="paragraph" w:customStyle="1" w:styleId="86">
    <w:name w:val="文本正文"/>
    <w:basedOn w:val="1"/>
    <w:link w:val="87"/>
    <w:qFormat/>
    <w:uiPriority w:val="0"/>
    <w:pPr>
      <w:autoSpaceDE w:val="0"/>
      <w:autoSpaceDN w:val="0"/>
      <w:spacing w:line="360" w:lineRule="auto"/>
      <w:ind w:firstLine="200" w:firstLineChars="200"/>
    </w:pPr>
    <w:rPr>
      <w:rFonts w:cs="宋体"/>
      <w:kern w:val="0"/>
      <w:sz w:val="24"/>
      <w:szCs w:val="21"/>
    </w:rPr>
  </w:style>
  <w:style w:type="character" w:customStyle="1" w:styleId="87">
    <w:name w:val="文本正文 Char"/>
    <w:basedOn w:val="29"/>
    <w:link w:val="86"/>
    <w:qFormat/>
    <w:uiPriority w:val="0"/>
    <w:rPr>
      <w:rFonts w:cs="宋体"/>
      <w:sz w:val="24"/>
      <w:szCs w:val="21"/>
    </w:rPr>
  </w:style>
  <w:style w:type="paragraph" w:customStyle="1" w:styleId="88">
    <w:name w:val="表头"/>
    <w:basedOn w:val="1"/>
    <w:link w:val="89"/>
    <w:qFormat/>
    <w:uiPriority w:val="0"/>
    <w:pPr>
      <w:spacing w:line="360" w:lineRule="auto"/>
      <w:jc w:val="center"/>
    </w:pPr>
    <w:rPr>
      <w:rFonts w:ascii="黑体" w:hAnsi="黑体" w:eastAsia="黑体"/>
      <w:b/>
    </w:rPr>
  </w:style>
  <w:style w:type="character" w:customStyle="1" w:styleId="89">
    <w:name w:val="表头 Char"/>
    <w:basedOn w:val="29"/>
    <w:link w:val="88"/>
    <w:qFormat/>
    <w:uiPriority w:val="0"/>
    <w:rPr>
      <w:rFonts w:ascii="黑体" w:hAnsi="黑体" w:eastAsia="黑体"/>
      <w:b/>
      <w:kern w:val="2"/>
      <w:sz w:val="21"/>
      <w:szCs w:val="24"/>
    </w:rPr>
  </w:style>
  <w:style w:type="character" w:customStyle="1" w:styleId="90">
    <w:name w:val="表内 Char"/>
    <w:link w:val="85"/>
    <w:qFormat/>
    <w:uiPriority w:val="0"/>
    <w:rPr>
      <w:kern w:val="2"/>
      <w:sz w:val="21"/>
      <w:szCs w:val="24"/>
    </w:rPr>
  </w:style>
  <w:style w:type="character" w:customStyle="1" w:styleId="91">
    <w:name w:val="表头 Char Char"/>
    <w:qFormat/>
    <w:uiPriority w:val="0"/>
    <w:rPr>
      <w:rFonts w:ascii="黑体" w:hAnsi="黑体" w:eastAsia="黑体" w:cs="宋体"/>
      <w:b/>
      <w:kern w:val="2"/>
      <w:sz w:val="21"/>
    </w:rPr>
  </w:style>
  <w:style w:type="paragraph" w:customStyle="1" w:styleId="92">
    <w:name w:val="表 头"/>
    <w:basedOn w:val="1"/>
    <w:qFormat/>
    <w:uiPriority w:val="0"/>
    <w:pPr>
      <w:adjustRightInd w:val="0"/>
      <w:spacing w:before="50" w:beforeLines="50" w:after="50" w:afterLines="50"/>
      <w:jc w:val="center"/>
    </w:pPr>
    <w:rPr>
      <w:rFonts w:ascii="黑体" w:eastAsia="黑体"/>
      <w:kern w:val="0"/>
      <w:szCs w:val="21"/>
    </w:rPr>
  </w:style>
  <w:style w:type="paragraph" w:customStyle="1" w:styleId="93">
    <w:name w:val="Body text|1"/>
    <w:basedOn w:val="1"/>
    <w:qFormat/>
    <w:uiPriority w:val="0"/>
    <w:pPr>
      <w:widowControl w:val="0"/>
      <w:shd w:val="clear" w:color="auto" w:fill="auto"/>
      <w:spacing w:after="170" w:line="398" w:lineRule="auto"/>
      <w:ind w:firstLine="400"/>
    </w:pPr>
    <w:rPr>
      <w:rFonts w:ascii="宋体" w:hAnsi="宋体" w:eastAsia="宋体" w:cs="宋体"/>
      <w:u w:val="none"/>
      <w:shd w:val="clear" w:color="auto" w:fill="auto"/>
      <w:lang w:val="zh-TW" w:eastAsia="zh-TW" w:bidi="zh-TW"/>
    </w:rPr>
  </w:style>
  <w:style w:type="paragraph" w:customStyle="1" w:styleId="94">
    <w:name w:val="Other|1"/>
    <w:basedOn w:val="1"/>
    <w:qFormat/>
    <w:uiPriority w:val="0"/>
    <w:pPr>
      <w:widowControl w:val="0"/>
      <w:shd w:val="clear" w:color="auto" w:fill="auto"/>
      <w:spacing w:after="170" w:line="398" w:lineRule="auto"/>
      <w:ind w:firstLine="400"/>
    </w:pPr>
    <w:rPr>
      <w:rFonts w:ascii="宋体" w:hAnsi="宋体" w:eastAsia="宋体" w:cs="宋体"/>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"/>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4565B-0D45-48E1-919A-167A8B08D1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50994</Words>
  <Characters>59857</Characters>
  <Lines>380</Lines>
  <Paragraphs>107</Paragraphs>
  <TotalTime>30</TotalTime>
  <ScaleCrop>false</ScaleCrop>
  <LinksUpToDate>false</LinksUpToDate>
  <CharactersWithSpaces>60298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2022-10-28T11:57:00Z</dcterms:created>
  <dc:creator>lhj</dc:creator>
  <cp:lastModifiedBy>中国梦</cp:lastModifiedBy>
  <cp:lastPrinted>2022-11-07T06:00:00Z</cp:lastPrinted>
  <dcterms:modified xsi:type="dcterms:W3CDTF">2023-05-23T01:31:05Z</dcterms:modified>
  <dc:title>附件2</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675AEACC547140CA99D4F6ADF7604586_13</vt:lpwstr>
  </property>
</Properties>
</file>