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adjustRightInd w:val="0"/>
        <w:snapToGrid w:val="0"/>
        <w:jc w:val="center"/>
        <w:outlineLvl w:val="0"/>
        <w:rPr>
          <w:rFonts w:eastAsia="方正小标宋_GBK"/>
          <w:bCs/>
          <w:color w:val="000000" w:themeColor="text1"/>
          <w:sz w:val="72"/>
          <w:szCs w:val="72"/>
          <w14:textFill>
            <w14:solidFill>
              <w14:schemeClr w14:val="tx1"/>
            </w14:solidFill>
          </w14:textFill>
        </w:rPr>
      </w:pPr>
      <w:r>
        <w:rPr>
          <w:rFonts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eastAsia="楷体_GB2312"/>
          <w:bCs/>
          <w:color w:val="000000" w:themeColor="text1"/>
          <w:sz w:val="48"/>
          <w:szCs w:val="48"/>
          <w14:textFill>
            <w14:solidFill>
              <w14:schemeClr w14:val="tx1"/>
            </w14:solidFill>
          </w14:textFill>
        </w:rPr>
      </w:pPr>
      <w:r>
        <w:rPr>
          <w:rFonts w:eastAsia="楷体_GB2312"/>
          <w:bCs/>
          <w:color w:val="000000" w:themeColor="text1"/>
          <w:sz w:val="48"/>
          <w:szCs w:val="48"/>
          <w14:textFill>
            <w14:solidFill>
              <w14:schemeClr w14:val="tx1"/>
            </w14:solidFill>
          </w14:textFill>
        </w:rPr>
        <w:t>（污染影响类）</w:t>
      </w: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422" w:leftChars="201" w:firstLine="720" w:firstLineChars="20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项目名称：</w:t>
      </w: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淄博市张店区第二人民医院</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left="3054" w:leftChars="700"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（淄博口腔医院）项目</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left="2008" w:leftChars="202"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14:textFill>
            <w14:solidFill>
              <w14:schemeClr w14:val="tx1"/>
            </w14:solidFill>
          </w14:textFill>
        </w:rPr>
        <w:t xml:space="preserve">   </w:t>
      </w:r>
      <w:r>
        <w:rPr>
          <w:rFonts w:eastAsia="仿宋_GB2312"/>
          <w:color w:val="000000" w:themeColor="text1"/>
          <w:sz w:val="36"/>
          <w:szCs w:val="36"/>
          <w14:textFill>
            <w14:solidFill>
              <w14:schemeClr w14:val="tx1"/>
            </w14:solidFill>
          </w14:textFill>
        </w:rPr>
        <w:t>建设单位（盖章）：</w:t>
      </w:r>
      <w:r>
        <w:rPr>
          <w:rFonts w:eastAsia="仿宋_GB2312"/>
          <w:color w:val="000000" w:themeColor="text1"/>
          <w:sz w:val="36"/>
          <w:szCs w:val="36"/>
          <w:u w:val="single"/>
          <w14:textFill>
            <w14:solidFill>
              <w14:schemeClr w14:val="tx1"/>
            </w14:solidFill>
          </w14:textFill>
        </w:rPr>
        <w:t>淄博市张店区第二人民医院</w:t>
      </w:r>
    </w:p>
    <w:p>
      <w:pPr>
        <w:adjustRightInd w:val="0"/>
        <w:snapToGrid w:val="0"/>
        <w:spacing w:line="288" w:lineRule="auto"/>
        <w:ind w:left="3054" w:leftChars="700"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（淄博口腔医院）</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80" w:firstLineChars="30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编制日期：</w:t>
      </w:r>
      <w:r>
        <w:rPr>
          <w:rFonts w:eastAsia="仿宋_GB2312"/>
          <w:color w:val="000000" w:themeColor="text1"/>
          <w:sz w:val="36"/>
          <w:szCs w:val="36"/>
          <w:u w:val="single"/>
          <w14:textFill>
            <w14:solidFill>
              <w14:schemeClr w14:val="tx1"/>
            </w14:solidFill>
          </w14:textFill>
        </w:rPr>
        <w:t xml:space="preserve">           2022年10月   </w:t>
      </w: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bookmarkStart w:id="0" w:name="_Hlk57884087"/>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bookmarkEnd w:id="0"/>
    <w:p>
      <w:pPr>
        <w:adjustRightInd w:val="0"/>
        <w:snapToGrid w:val="0"/>
        <w:spacing w:line="288" w:lineRule="auto"/>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sectPr>
          <w:footerReference r:id="rId3" w:type="default"/>
          <w:pgSz w:w="11906" w:h="16838"/>
          <w:pgMar w:top="1701" w:right="1531" w:bottom="1701" w:left="1531" w:header="851" w:footer="1077" w:gutter="0"/>
          <w:pgNumType w:fmt="numberInDash" w:start="1"/>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0"/>
        <w:gridCol w:w="979"/>
        <w:gridCol w:w="2176"/>
        <w:gridCol w:w="2274"/>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建设项目名称</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淄博市张店区第二人民医院（淄博口腔医院）项目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项目代码</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建设单位联系人</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丁宁</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13853324425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淄博市张店区新村西路188号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地理坐标</w:t>
            </w:r>
          </w:p>
        </w:tc>
        <w:tc>
          <w:tcPr>
            <w:tcW w:w="7481"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118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37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14.516 </w:t>
            </w:r>
            <w:r>
              <w:rPr>
                <w:color w:val="000000" w:themeColor="text1"/>
                <w:szCs w:val="21"/>
                <w14:textFill>
                  <w14:solidFill>
                    <w14:schemeClr w14:val="tx1"/>
                  </w14:solidFill>
                </w14:textFill>
              </w:rPr>
              <w:t>秒，</w:t>
            </w:r>
            <w:r>
              <w:rPr>
                <w:color w:val="000000" w:themeColor="text1"/>
                <w:szCs w:val="21"/>
                <w:u w:val="single"/>
                <w14:textFill>
                  <w14:solidFill>
                    <w14:schemeClr w14:val="tx1"/>
                  </w14:solidFill>
                </w14:textFill>
              </w:rPr>
              <w:t xml:space="preserve"> 36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48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10.642 </w:t>
            </w:r>
            <w:r>
              <w:rPr>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国民经济</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Q8415专科医院</w:t>
            </w:r>
          </w:p>
        </w:tc>
        <w:tc>
          <w:tcPr>
            <w:tcW w:w="2274" w:type="dxa"/>
            <w:vAlign w:val="center"/>
          </w:tcPr>
          <w:p>
            <w:pPr>
              <w:adjustRightInd w:val="0"/>
              <w:snapToGrid w:val="0"/>
              <w:jc w:val="center"/>
              <w:rPr>
                <w:color w:val="000000" w:themeColor="text1"/>
                <w:szCs w:val="21"/>
                <w14:textFill>
                  <w14:solidFill>
                    <w14:schemeClr w14:val="tx1"/>
                  </w14:solidFill>
                </w14:textFill>
              </w:rPr>
            </w:pPr>
            <w:bookmarkStart w:id="1" w:name="_Hlk49843745"/>
            <w:r>
              <w:rPr>
                <w:color w:val="000000" w:themeColor="text1"/>
                <w:szCs w:val="21"/>
                <w14:textFill>
                  <w14:solidFill>
                    <w14:schemeClr w14:val="tx1"/>
                  </w14:solidFill>
                </w14:textFill>
              </w:rPr>
              <w:t>建设项目</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bookmarkEnd w:id="1"/>
          </w:p>
        </w:tc>
        <w:tc>
          <w:tcPr>
            <w:tcW w:w="3031" w:type="dxa"/>
            <w:tcMar>
              <w:top w:w="0" w:type="dxa"/>
              <w:left w:w="28" w:type="dxa"/>
              <w:bottom w:w="0" w:type="dxa"/>
              <w:right w:w="28"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四十九、卫生84</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108-841医院--其他（住院床位20张以下的除外）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建设性质</w:t>
            </w:r>
          </w:p>
        </w:tc>
        <w:tc>
          <w:tcPr>
            <w:tcW w:w="2176" w:type="dxa"/>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新建（迁建）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改建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扩建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技术改造</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申报情形</w:t>
            </w:r>
          </w:p>
        </w:tc>
        <w:tc>
          <w:tcPr>
            <w:tcW w:w="3031" w:type="dxa"/>
            <w:vAlign w:val="center"/>
          </w:tcPr>
          <w:p>
            <w:pPr>
              <w:jc w:val="left"/>
              <w:rPr>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首次申报项目             </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□不予批准后再次申报项目</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□超五年重新审核项目     </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项目审批部门</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项目审批文号</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总投资（万元）</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2769.06</w:t>
            </w:r>
          </w:p>
        </w:tc>
        <w:tc>
          <w:tcPr>
            <w:tcW w:w="2274"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环保投资（万元）</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环保投资占比（%）</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2274"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施工工期</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已投产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是否开工建设</w:t>
            </w:r>
          </w:p>
        </w:tc>
        <w:tc>
          <w:tcPr>
            <w:tcW w:w="2176" w:type="dxa"/>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否</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是：淄博市张店区第二人民医院（淄博口腔医院）</w:t>
            </w:r>
            <w:r>
              <w:rPr>
                <w:color w:val="000000" w:themeColor="text1"/>
                <w14:textFill>
                  <w14:solidFill>
                    <w14:schemeClr w14:val="tx1"/>
                  </w14:solidFill>
                </w14:textFill>
              </w:rPr>
              <w:t>已于1996年10月建成投运，本项目为补办环评</w:t>
            </w:r>
            <w:r>
              <w:rPr>
                <w:color w:val="000000" w:themeColor="text1"/>
                <w:szCs w:val="21"/>
                <w14:textFill>
                  <w14:solidFill>
                    <w14:schemeClr w14:val="tx1"/>
                  </w14:solidFill>
                </w14:textFill>
              </w:rPr>
              <w:t>。</w:t>
            </w:r>
          </w:p>
        </w:tc>
        <w:tc>
          <w:tcPr>
            <w:tcW w:w="2274" w:type="dxa"/>
            <w:tcMar>
              <w:top w:w="16" w:type="dxa"/>
              <w:left w:w="16" w:type="dxa"/>
              <w:right w:w="16" w:type="dxa"/>
            </w:tcMar>
            <w:vAlign w:val="center"/>
          </w:tcPr>
          <w:p>
            <w:pPr>
              <w:adjustRightInd w:val="0"/>
              <w:snapToGrid w:val="0"/>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pPr>
              <w:adjustRightInd w:val="0"/>
              <w:snapToGrid w:val="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专项评价设置情况</w:t>
            </w:r>
          </w:p>
        </w:tc>
        <w:tc>
          <w:tcPr>
            <w:tcW w:w="7481" w:type="dxa"/>
            <w:gridSpan w:val="3"/>
            <w:vAlign w:val="center"/>
          </w:tcPr>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067"/>
              <w:gridCol w:w="198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专项评价的类别</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设置原则</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本项目情况</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大气</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排放废气含有毒有害污染物、二噁英、苯并[a]芘、氰化物、氯气且厂界外500米范围内有环境空气保护目标的建设项目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本项目不涉及上述特征污染物</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地表水</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新增工业废水直排建设项目（槽罐车外送污水处理厂的除外）；新增废水直排的污水集中处理厂</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本项目不属于工业项目，且属于间接排放</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环境风险</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有毒有害和易燃易爆危险物质存储量超过临界量的建设项目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本项目危险物质储存量未超过临界量</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生态</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取水口下游500 米范围内有重要水生生物的自然产卵场、索饵场、越冬场和洄游通道的新增河道取水的污染类建设项目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不涉及</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海洋</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直接向海排放污染物的海洋工程建设项目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不涉及</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bl>
          <w:p>
            <w:pPr>
              <w:autoSpaceDE w:val="0"/>
              <w:autoSpaceDN w:val="0"/>
              <w:adjustRightInd w:val="0"/>
              <w:snapToGrid w:val="0"/>
              <w:jc w:val="center"/>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89" w:type="dxa"/>
            <w:gridSpan w:val="2"/>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规划情况</w:t>
            </w:r>
          </w:p>
        </w:tc>
        <w:tc>
          <w:tcPr>
            <w:tcW w:w="7481" w:type="dxa"/>
            <w:gridSpan w:val="3"/>
            <w:vAlign w:val="center"/>
          </w:tcPr>
          <w:p>
            <w:pPr>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gridSpan w:val="2"/>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规划环境影响评价情况</w:t>
            </w:r>
          </w:p>
        </w:tc>
        <w:tc>
          <w:tcPr>
            <w:tcW w:w="7481" w:type="dxa"/>
            <w:gridSpan w:val="3"/>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规划及规划环境影响评价符合性分析</w:t>
            </w:r>
          </w:p>
        </w:tc>
        <w:tc>
          <w:tcPr>
            <w:tcW w:w="7481" w:type="dxa"/>
            <w:gridSpan w:val="3"/>
            <w:vAlign w:val="center"/>
          </w:tcPr>
          <w:p>
            <w:pPr>
              <w:autoSpaceDE w:val="0"/>
              <w:autoSpaceDN w:val="0"/>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8" w:hRule="atLeast"/>
          <w:jc w:val="center"/>
        </w:trPr>
        <w:tc>
          <w:tcPr>
            <w:tcW w:w="410" w:type="dxa"/>
            <w:vAlign w:val="center"/>
          </w:tcPr>
          <w:p>
            <w:pPr>
              <w:autoSpaceDE w:val="0"/>
              <w:autoSpaceDN w:val="0"/>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其他符合性分析</w:t>
            </w:r>
          </w:p>
        </w:tc>
        <w:tc>
          <w:tcPr>
            <w:tcW w:w="8460" w:type="dxa"/>
            <w:gridSpan w:val="4"/>
            <w:vAlign w:val="center"/>
          </w:tcPr>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1、产业政策的符合性分析</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本项目属于专科医院，根据《产业结构调整指导目录（2021年修订）》，本项目属于“鼓励类”第三十七类“卫生健康”第5款“医疗卫生服务设施建设”，因此，本项目属于鼓励类项目，符合国家产业政策要求。</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2、相关规划符合性分析</w:t>
            </w:r>
          </w:p>
          <w:p>
            <w:pPr>
              <w:spacing w:line="360" w:lineRule="auto"/>
              <w:ind w:firstLine="420" w:firstLineChars="2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本项目位于淄博市张店区新村西路188号，属于</w:t>
            </w:r>
            <w:r>
              <w:rPr>
                <w:rFonts w:hint="eastAsia"/>
                <w:color w:val="000000" w:themeColor="text1"/>
                <w:szCs w:val="21"/>
                <w:lang w:val="zh-CN"/>
                <w14:textFill>
                  <w14:solidFill>
                    <w14:schemeClr w14:val="tx1"/>
                  </w14:solidFill>
                </w14:textFill>
              </w:rPr>
              <w:t>专科</w:t>
            </w:r>
            <w:r>
              <w:rPr>
                <w:color w:val="000000" w:themeColor="text1"/>
                <w:szCs w:val="21"/>
                <w:lang w:val="zh-CN"/>
                <w14:textFill>
                  <w14:solidFill>
                    <w14:schemeClr w14:val="tx1"/>
                  </w14:solidFill>
                </w14:textFill>
              </w:rPr>
              <w:t>医院，根据企业建设用地规划许可证</w:t>
            </w:r>
            <w:r>
              <w:rPr>
                <w:rFonts w:hint="eastAsia"/>
                <w:color w:val="000000" w:themeColor="text1"/>
                <w:szCs w:val="21"/>
                <w:lang w:val="zh-CN"/>
                <w14:textFill>
                  <w14:solidFill>
                    <w14:schemeClr w14:val="tx1"/>
                  </w14:solidFill>
                </w14:textFill>
              </w:rPr>
              <w:t>：（96）编号鲁-03-01第9号，本用地项目符合城市规划要求，准予办理征用划拨土地手续。</w:t>
            </w:r>
          </w:p>
          <w:p>
            <w:pPr>
              <w:spacing w:line="360" w:lineRule="auto"/>
              <w:ind w:firstLine="420" w:firstLineChars="200"/>
              <w:jc w:val="left"/>
              <w:rPr>
                <w:b/>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根据</w:t>
            </w:r>
            <w:r>
              <w:rPr>
                <w:color w:val="000000" w:themeColor="text1"/>
                <w:szCs w:val="21"/>
                <w:lang w:val="zh-CN"/>
                <w14:textFill>
                  <w14:solidFill>
                    <w14:schemeClr w14:val="tx1"/>
                  </w14:solidFill>
                </w14:textFill>
              </w:rPr>
              <w:t>《淄博市城市总体规划》（2011-2020）</w:t>
            </w:r>
            <w:r>
              <w:rPr>
                <w:rFonts w:hint="eastAsia"/>
                <w:color w:val="000000" w:themeColor="text1"/>
                <w:szCs w:val="21"/>
                <w:lang w:val="zh-CN"/>
                <w14:textFill>
                  <w14:solidFill>
                    <w14:schemeClr w14:val="tx1"/>
                  </w14:solidFill>
                </w14:textFill>
              </w:rPr>
              <w:t>，</w:t>
            </w:r>
            <w:r>
              <w:rPr>
                <w:color w:val="000000" w:themeColor="text1"/>
                <w:szCs w:val="21"/>
                <w:lang w:val="zh-CN"/>
                <w14:textFill>
                  <w14:solidFill>
                    <w14:schemeClr w14:val="tx1"/>
                  </w14:solidFill>
                </w14:textFill>
              </w:rPr>
              <w:t>本项目用地性质为医疗卫生用地</w:t>
            </w:r>
            <w:r>
              <w:rPr>
                <w:rFonts w:hint="eastAsia"/>
                <w:color w:val="000000" w:themeColor="text1"/>
                <w:szCs w:val="21"/>
                <w:lang w:val="zh-CN"/>
                <w14:textFill>
                  <w14:solidFill>
                    <w14:schemeClr w14:val="tx1"/>
                  </w14:solidFill>
                </w14:textFill>
              </w:rPr>
              <w:t>，</w:t>
            </w:r>
            <w:r>
              <w:rPr>
                <w:color w:val="000000" w:themeColor="text1"/>
                <w:szCs w:val="21"/>
                <w:lang w:val="zh-CN"/>
                <w14:textFill>
                  <w14:solidFill>
                    <w14:schemeClr w14:val="tx1"/>
                  </w14:solidFill>
                </w14:textFill>
              </w:rPr>
              <w:t>符合淄博市城市总体规划要求</w:t>
            </w:r>
            <w:r>
              <w:rPr>
                <w:rFonts w:hint="eastAsia"/>
                <w:color w:val="000000" w:themeColor="text1"/>
                <w:szCs w:val="21"/>
                <w:lang w:val="zh-CN"/>
                <w14:textFill>
                  <w14:solidFill>
                    <w14:schemeClr w14:val="tx1"/>
                  </w14:solidFill>
                </w14:textFill>
              </w:rPr>
              <w:t>，具体</w:t>
            </w:r>
            <w:r>
              <w:rPr>
                <w:color w:val="000000" w:themeColor="text1"/>
                <w:szCs w:val="21"/>
                <w:lang w:val="zh-CN"/>
                <w14:textFill>
                  <w14:solidFill>
                    <w14:schemeClr w14:val="tx1"/>
                  </w14:solidFill>
                </w14:textFill>
              </w:rPr>
              <w:t>详见附图</w:t>
            </w:r>
            <w:r>
              <w:rPr>
                <w:color w:val="000000" w:themeColor="text1"/>
                <w:szCs w:val="21"/>
                <w14:textFill>
                  <w14:solidFill>
                    <w14:schemeClr w14:val="tx1"/>
                  </w14:solidFill>
                </w14:textFill>
              </w:rPr>
              <w:t>4</w:t>
            </w:r>
            <w:r>
              <w:rPr>
                <w:rFonts w:hint="eastAsia"/>
                <w:color w:val="000000" w:themeColor="text1"/>
                <w:szCs w:val="21"/>
                <w:lang w:val="zh-CN"/>
                <w14:textFill>
                  <w14:solidFill>
                    <w14:schemeClr w14:val="tx1"/>
                  </w14:solidFill>
                </w14:textFill>
              </w:rPr>
              <w:t>；根据张店区土地利用总体规划（2006-2020年）可知，本项目用地性质为建设用地，符合张店区土地利用总体规划要求，具体详见附图5。</w:t>
            </w:r>
          </w:p>
          <w:p>
            <w:pPr>
              <w:spacing w:line="360" w:lineRule="auto"/>
              <w:ind w:firstLine="422" w:firstLineChars="200"/>
              <w:jc w:val="left"/>
              <w:rPr>
                <w:b/>
                <w:color w:val="000000" w:themeColor="text1"/>
                <w:szCs w:val="21"/>
                <w:lang w:val="zh-CN"/>
                <w14:textFill>
                  <w14:solidFill>
                    <w14:schemeClr w14:val="tx1"/>
                  </w14:solidFill>
                </w14:textFill>
              </w:rPr>
            </w:pPr>
            <w:r>
              <w:rPr>
                <w:b/>
                <w:color w:val="000000" w:themeColor="text1"/>
                <w:szCs w:val="21"/>
                <w14:textFill>
                  <w14:solidFill>
                    <w14:schemeClr w14:val="tx1"/>
                  </w14:solidFill>
                </w14:textFill>
              </w:rPr>
              <w:t>3</w:t>
            </w:r>
            <w:r>
              <w:rPr>
                <w:b/>
                <w:color w:val="000000" w:themeColor="text1"/>
                <w:szCs w:val="21"/>
                <w:lang w:val="zh-CN"/>
                <w14:textFill>
                  <w14:solidFill>
                    <w14:schemeClr w14:val="tx1"/>
                  </w14:solidFill>
                </w14:textFill>
              </w:rPr>
              <w:t>、项目选址合理性分析</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szCs w:val="21"/>
                <w:lang w:val="zh-CN"/>
                <w14:textFill>
                  <w14:solidFill>
                    <w14:schemeClr w14:val="tx1"/>
                  </w14:solidFill>
                </w14:textFill>
              </w:rPr>
              <w:t>（1）</w:t>
            </w:r>
            <w:r>
              <w:rPr>
                <w:color w:val="000000" w:themeColor="text1"/>
                <w:kern w:val="0"/>
                <w:szCs w:val="21"/>
                <w14:textFill>
                  <w14:solidFill>
                    <w14:schemeClr w14:val="tx1"/>
                  </w14:solidFill>
                </w14:textFill>
              </w:rPr>
              <w:t>本项目位于淄博市张店区新村西路188号，项目用地符合</w:t>
            </w:r>
            <w:r>
              <w:rPr>
                <w:rFonts w:hint="eastAsia"/>
                <w:color w:val="000000" w:themeColor="text1"/>
                <w:kern w:val="0"/>
                <w:szCs w:val="21"/>
                <w14:textFill>
                  <w14:solidFill>
                    <w14:schemeClr w14:val="tx1"/>
                  </w14:solidFill>
                </w14:textFill>
              </w:rPr>
              <w:t>符合淄博市城市总体规划要求，符合</w:t>
            </w:r>
            <w:r>
              <w:rPr>
                <w:color w:val="000000" w:themeColor="text1"/>
                <w:kern w:val="0"/>
                <w:szCs w:val="21"/>
                <w14:textFill>
                  <w14:solidFill>
                    <w14:schemeClr w14:val="tx1"/>
                  </w14:solidFill>
                </w14:textFill>
              </w:rPr>
              <w:t>张店区土地利用总体规划要求。</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（2）本项目用地已取得淄博市规划局出具的“建设用地规划许可证”（96）编号鲁-03-01第9号，根据规划许可证，用地面积4302m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，本用地项目符合城市规划要求，建设用地规划许可证详见附件。</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（3）本项目为医院，属于敏感目标，项目500m范围内不存在工业企业，周边均为居民生活区，不在工业企业防护距离范围内。</w:t>
            </w:r>
          </w:p>
          <w:p>
            <w:pPr>
              <w:autoSpaceDE w:val="0"/>
              <w:autoSpaceDN w:val="0"/>
              <w:adjustRightInd w:val="0"/>
              <w:snapToGrid w:val="0"/>
              <w:spacing w:line="360" w:lineRule="auto"/>
              <w:ind w:firstLine="422" w:firstLineChars="200"/>
              <w:jc w:val="left"/>
              <w:rPr>
                <w:b/>
                <w:color w:val="000000" w:themeColor="text1"/>
                <w14:textFill>
                  <w14:solidFill>
                    <w14:schemeClr w14:val="tx1"/>
                  </w14:solidFill>
                </w14:textFill>
              </w:rPr>
            </w:pPr>
            <w:r>
              <w:rPr>
                <w:b/>
                <w:color w:val="000000" w:themeColor="text1"/>
                <w14:textFill>
                  <w14:solidFill>
                    <w14:schemeClr w14:val="tx1"/>
                  </w14:solidFill>
                </w14:textFill>
              </w:rPr>
              <w:t>3、与“三线一单”符合性分析</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《关于实施“三线一单”生态环境分区管控的指导意见(试行)》(环环评(2021〕108 号)</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实施“三线一单”（生态保护红线、环境质量底线、资源利用上线和生态环境准入清单）生态环境分区管控制度，分析内容具体如下：</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（1）生态保护红线符合性判定</w:t>
            </w:r>
          </w:p>
          <w:p>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根据《山东省生态保护红线规划（2016-2020 年）》，规划将省级及以上自然保护区、风景名胜区、湿地公园、森林公园、地质公园以及世界文化自然遗产的全部区域纳入生态保护红线。</w:t>
            </w:r>
          </w:p>
          <w:p>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张店区生态保护红线区为四宝山以西生物多样性维护生态保护红线区，具体范围见表1-1</w:t>
            </w:r>
            <w:r>
              <w:rPr>
                <w:color w:val="000000" w:themeColor="text1"/>
                <w:kern w:val="0"/>
                <w:szCs w:val="21"/>
                <w:lang w:val="zh-CN"/>
                <w14:textFill>
                  <w14:solidFill>
                    <w14:schemeClr w14:val="tx1"/>
                  </w14:solidFill>
                </w14:textFill>
              </w:rPr>
              <w:t>。</w:t>
            </w:r>
          </w:p>
          <w:p>
            <w:pPr>
              <w:autoSpaceDE w:val="0"/>
              <w:autoSpaceDN w:val="0"/>
              <w:adjustRightInd w:val="0"/>
              <w:snapToGrid w:val="0"/>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w:t>
            </w:r>
            <w:r>
              <w:rPr>
                <w:b/>
                <w:bCs/>
                <w:color w:val="000000" w:themeColor="text1"/>
                <w:kern w:val="0"/>
                <w:szCs w:val="21"/>
                <w14:textFill>
                  <w14:solidFill>
                    <w14:schemeClr w14:val="tx1"/>
                  </w14:solidFill>
                </w14:textFill>
              </w:rPr>
              <w:t>1-1</w:t>
            </w:r>
            <w:r>
              <w:rPr>
                <w:b/>
                <w:bCs/>
                <w:color w:val="000000" w:themeColor="text1"/>
                <w:kern w:val="0"/>
                <w:szCs w:val="21"/>
                <w:lang w:val="zh-CN"/>
                <w14:textFill>
                  <w14:solidFill>
                    <w14:schemeClr w14:val="tx1"/>
                  </w14:solidFill>
                </w14:textFill>
              </w:rPr>
              <w:t xml:space="preserve">  生态保护红线区具体范围一览表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75"/>
              <w:gridCol w:w="851"/>
              <w:gridCol w:w="1276"/>
              <w:gridCol w:w="708"/>
              <w:gridCol w:w="993"/>
              <w:gridCol w:w="8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生态保护红线区名称</w:t>
                  </w:r>
                </w:p>
              </w:tc>
              <w:tc>
                <w:tcPr>
                  <w:tcW w:w="774"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代码</w:t>
                  </w:r>
                </w:p>
              </w:tc>
              <w:tc>
                <w:tcPr>
                  <w:tcW w:w="517"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所在行政区域</w:t>
                  </w:r>
                </w:p>
              </w:tc>
              <w:tc>
                <w:tcPr>
                  <w:tcW w:w="775"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边界描述</w:t>
                  </w:r>
                </w:p>
              </w:tc>
              <w:tc>
                <w:tcPr>
                  <w:tcW w:w="430"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面积(km</w:t>
                  </w:r>
                  <w:r>
                    <w:rPr>
                      <w:b/>
                      <w:bCs/>
                      <w:color w:val="000000" w:themeColor="text1"/>
                      <w:sz w:val="18"/>
                      <w:szCs w:val="18"/>
                      <w:vertAlign w:val="superscript"/>
                      <w14:textFill>
                        <w14:solidFill>
                          <w14:schemeClr w14:val="tx1"/>
                        </w14:solidFill>
                      </w14:textFill>
                    </w:rPr>
                    <w:t>2</w:t>
                  </w:r>
                  <w:r>
                    <w:rPr>
                      <w:b/>
                      <w:bCs/>
                      <w:color w:val="000000" w:themeColor="text1"/>
                      <w:sz w:val="18"/>
                      <w:szCs w:val="18"/>
                      <w14:textFill>
                        <w14:solidFill>
                          <w14:schemeClr w14:val="tx1"/>
                        </w14:solidFill>
                      </w14:textFill>
                    </w:rPr>
                    <w:t>)</w:t>
                  </w:r>
                </w:p>
              </w:tc>
              <w:tc>
                <w:tcPr>
                  <w:tcW w:w="603"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生态功能</w:t>
                  </w:r>
                </w:p>
              </w:tc>
              <w:tc>
                <w:tcPr>
                  <w:tcW w:w="516"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类型</w:t>
                  </w:r>
                </w:p>
              </w:tc>
              <w:tc>
                <w:tcPr>
                  <w:tcW w:w="403"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四宝山以西生物多样性维护生态保护红线区</w:t>
                  </w:r>
                </w:p>
              </w:tc>
              <w:tc>
                <w:tcPr>
                  <w:tcW w:w="774"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SD-03-B4-03</w:t>
                  </w:r>
                </w:p>
              </w:tc>
              <w:tc>
                <w:tcPr>
                  <w:tcW w:w="517"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张店区、高新区</w:t>
                  </w:r>
                </w:p>
              </w:tc>
              <w:tc>
                <w:tcPr>
                  <w:tcW w:w="775"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龙泉山庄西北、四宝山环山路以南、化工设备厂以东。</w:t>
                  </w:r>
                </w:p>
              </w:tc>
              <w:tc>
                <w:tcPr>
                  <w:tcW w:w="430"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1.21</w:t>
                  </w:r>
                </w:p>
              </w:tc>
              <w:tc>
                <w:tcPr>
                  <w:tcW w:w="603"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水源涵养、生物多样性维护</w:t>
                  </w:r>
                </w:p>
              </w:tc>
              <w:tc>
                <w:tcPr>
                  <w:tcW w:w="516"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森林、草地</w:t>
                  </w:r>
                </w:p>
              </w:tc>
              <w:tc>
                <w:tcPr>
                  <w:tcW w:w="403"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bl>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位于淄博市张店区新村西路188号，四宝山以西生物多样性维护生态保护红线区位于项目区东北侧8.32km处，项目所在区域无生态保护红线区，不涉及占用或穿越生态保护红线，本项目与生态保护红线区位置关系图见附图6。</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（2）环境质量底线符合性判定</w:t>
            </w:r>
          </w:p>
          <w:p>
            <w:pPr>
              <w:autoSpaceDE w:val="0"/>
              <w:autoSpaceDN w:val="0"/>
              <w:adjustRightInd w:val="0"/>
              <w:spacing w:line="360" w:lineRule="auto"/>
              <w:ind w:firstLine="420" w:firstLineChars="200"/>
              <w:rPr>
                <w:color w:val="000000" w:themeColor="text1"/>
                <w14:textFill>
                  <w14:solidFill>
                    <w14:schemeClr w14:val="tx1"/>
                  </w14:solidFill>
                </w14:textFill>
              </w:rPr>
            </w:pPr>
            <w:r>
              <w:rPr>
                <w:bCs/>
                <w:color w:val="000000" w:themeColor="text1"/>
                <w:szCs w:val="21"/>
                <w14:textFill>
                  <w14:solidFill>
                    <w14:schemeClr w14:val="tx1"/>
                  </w14:solidFill>
                </w14:textFill>
              </w:rPr>
              <w:t>环境质量底线是指国家和地方设置的大气、水和土壤环境质量目标，也是改善环境质量的基准线。根据</w:t>
            </w:r>
            <w:r>
              <w:rPr>
                <w:color w:val="000000" w:themeColor="text1"/>
                <w:szCs w:val="21"/>
                <w14:textFill>
                  <w14:solidFill>
                    <w14:schemeClr w14:val="tx1"/>
                  </w14:solidFill>
                </w14:textFill>
              </w:rPr>
              <w:t>《生态淄博建设工作简报》（2020年第2期）</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项目区域环境空气质量不能满足《环境空气质量标准》(GB3095-2012)二级标准要求</w:t>
            </w:r>
            <w:r>
              <w:rPr>
                <w:bCs/>
                <w:color w:val="000000" w:themeColor="text1"/>
                <w:szCs w:val="21"/>
                <w14:textFill>
                  <w14:solidFill>
                    <w14:schemeClr w14:val="tx1"/>
                  </w14:solidFill>
                </w14:textFill>
              </w:rPr>
              <w:t>；声环境质量满足</w:t>
            </w:r>
            <w:r>
              <w:rPr>
                <w:color w:val="000000" w:themeColor="text1"/>
                <w:szCs w:val="21"/>
                <w14:textFill>
                  <w14:solidFill>
                    <w14:schemeClr w14:val="tx1"/>
                  </w14:solidFill>
                </w14:textFill>
              </w:rPr>
              <w:t>《声环境质量标准》(GB3096-2008)中的1类区标准；</w:t>
            </w:r>
            <w:r>
              <w:rPr>
                <w:bCs/>
                <w:color w:val="000000" w:themeColor="text1"/>
                <w:szCs w:val="21"/>
                <w14:textFill>
                  <w14:solidFill>
                    <w14:schemeClr w14:val="tx1"/>
                  </w14:solidFill>
                </w14:textFill>
              </w:rPr>
              <w:t>地表水质量满足</w:t>
            </w:r>
            <w:r>
              <w:rPr>
                <w:color w:val="000000" w:themeColor="text1"/>
                <w:szCs w:val="21"/>
                <w14:textFill>
                  <w14:solidFill>
                    <w14:schemeClr w14:val="tx1"/>
                  </w14:solidFill>
                </w14:textFill>
              </w:rPr>
              <w:t>《地表水环境质量标准》（GB3838-2002）中</w:t>
            </w:r>
            <w:r>
              <w:rPr>
                <w:color w:val="000000" w:themeColor="text1"/>
                <w:szCs w:val="21"/>
                <w:lang w:eastAsia="ja-JP"/>
                <w14:textFill>
                  <w14:solidFill>
                    <w14:schemeClr w14:val="tx1"/>
                  </w14:solidFill>
                </w14:textFill>
              </w:rPr>
              <w:fldChar w:fldCharType="begin"/>
            </w:r>
            <w:r>
              <w:rPr>
                <w:color w:val="000000" w:themeColor="text1"/>
                <w:szCs w:val="21"/>
                <w14:textFill>
                  <w14:solidFill>
                    <w14:schemeClr w14:val="tx1"/>
                  </w14:solidFill>
                </w14:textFill>
              </w:rPr>
              <w:instrText xml:space="preserve"> = 4 \* ROMAN </w:instrText>
            </w:r>
            <w:r>
              <w:rPr>
                <w:color w:val="000000" w:themeColor="text1"/>
                <w:szCs w:val="21"/>
                <w:lang w:eastAsia="ja-JP"/>
                <w14:textFill>
                  <w14:solidFill>
                    <w14:schemeClr w14:val="tx1"/>
                  </w14:solidFill>
                </w14:textFill>
              </w:rPr>
              <w:fldChar w:fldCharType="separate"/>
            </w:r>
            <w:r>
              <w:rPr>
                <w:color w:val="000000" w:themeColor="text1"/>
                <w:szCs w:val="21"/>
                <w14:textFill>
                  <w14:solidFill>
                    <w14:schemeClr w14:val="tx1"/>
                  </w14:solidFill>
                </w14:textFill>
              </w:rPr>
              <w:t>IV</w:t>
            </w:r>
            <w:r>
              <w:rPr>
                <w:color w:val="000000" w:themeColor="text1"/>
                <w:szCs w:val="21"/>
                <w:lang w:eastAsia="ja-JP"/>
                <w14:textFill>
                  <w14:solidFill>
                    <w14:schemeClr w14:val="tx1"/>
                  </w14:solidFill>
                </w14:textFill>
              </w:rPr>
              <w:fldChar w:fldCharType="end"/>
            </w:r>
            <w:r>
              <w:rPr>
                <w:color w:val="000000" w:themeColor="text1"/>
                <w:szCs w:val="21"/>
                <w14:textFill>
                  <w14:solidFill>
                    <w14:schemeClr w14:val="tx1"/>
                  </w14:solidFill>
                </w14:textFill>
              </w:rPr>
              <w:t>类标准</w:t>
            </w:r>
            <w:r>
              <w:rPr>
                <w:bCs/>
                <w:color w:val="000000" w:themeColor="text1"/>
                <w:szCs w:val="21"/>
                <w14:textFill>
                  <w14:solidFill>
                    <w14:schemeClr w14:val="tx1"/>
                  </w14:solidFill>
                </w14:textFill>
              </w:rPr>
              <w:t>；地下水质量满足</w:t>
            </w:r>
            <w:r>
              <w:rPr>
                <w:color w:val="000000" w:themeColor="text1"/>
                <w:szCs w:val="21"/>
                <w14:textFill>
                  <w14:solidFill>
                    <w14:schemeClr w14:val="tx1"/>
                  </w14:solidFill>
                </w14:textFill>
              </w:rPr>
              <w:t>《地下水质量标准》（GB/T14848-2017）Ⅲ类标准。</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本项目运行过程中废气、废水、噪声经处理后满足相应标准，不会加重对环境质量的不利影响，同时，项目产生的固体废物均能妥善处置，对周围环境影响较小，项目建设符合环境质量底线要求。</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（3）资源利用上线符合性判定</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项目资源消耗较少，不需要蒸汽、天然气，产生的固体废物量不大，且得到有效妥善的处置，因此项目整体资源消耗不大，不会对当地的资源产生明显的影响，不会触及当地资源分配的上线，项目建设在资源利用上是合理的。</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（4）与生态环境准入清单符合性</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对照《淄博市人民政府 关于印发&lt;淄博市“三线一单”生态环境分区管控方案&gt;的通知》（淄政字[2021]49号）中淄博市环境管控单元图，本项目位于重点管控单元区域内。依据《淄博市生态环境委员会办公室 关于印发&lt;淄博市“三线一单”生态环境准入清单&gt;的通知》（淄环委办[2021]24号）中所述的“附件淄博市“三线一单”生态环境准入清单”要求，本项目符合性判定情况如下表。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表1-2  《淄博市“三线一单”生态环境准入清单》符合性分析</w:t>
            </w:r>
          </w:p>
          <w:tbl>
            <w:tblPr>
              <w:tblStyle w:val="24"/>
              <w:tblW w:w="822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3"/>
              <w:gridCol w:w="25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环境管控单元编码：ZH37030320006</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环境管控单元名称：马尚街道</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行政区划：山东省淄博市张店区</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管控单元分类：重点管控单元</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单元面积(km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579"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53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本项目情况</w:t>
                  </w:r>
                </w:p>
              </w:tc>
              <w:tc>
                <w:tcPr>
                  <w:tcW w:w="497"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一、空间布局约束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新建、扩建《产业结构调整指导目录》（现行）明确的淘汰类项目和引入《市场准入负面清单》（现行）禁止准入类事项；鼓励对列入《产业结构调整指导目录》的限制类、淘汰类工业项目进行淘汰和提升改造。</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本项目属于《产业结构调整指导目录（2021年修订）》中鼓励类项目、不属于《市场准入负面清单》（2020年版）中禁止准入类项目。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土壤污染防治行动计划》的要求管理：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本项目不属于化工类项目，不涉及农田占用。</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按《山东省水利厅关于公布我省地下水限采区和禁采区的通知》要求，执行超采区管控要求。</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本项目用水由张店区市政自来水管网供给，不取用地下水。</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从严控制新建、扩建排放大气污染物的工业项目；科学合理规划布局商业、居住并严格执行。</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本项目不属于排放大气污染物的工业项目。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污水处理设施不健全、未正常运行或污水管网未覆盖的地区，未配套污水处理设施的项目不得建设。</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二、污染物排放管控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严格控制“两高”项目，确需建设的需严格执行产能、煤耗、能耗、碳排放、污染物排放减量替代制度。</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本项目不属于“两高”项目。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落实主要污染物总量控制和排污许可制度。新（改、扩）建工业项目生产工艺应达到国内先进水平，主要污染物治理要达到国内同行业先进水平，实施主要污染物总量等量或倍量替代。</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本项目严格落实主要污染物总量控制和排污许可制度。</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废水应当按照分类收集、分质处理的要求进行预处理，达到行业排放标准或是综合排放标准后方可排放。</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禁止工业废水和生活污水未经处理直排环境；原则上除工业污水集中处理设施、城镇污水处理厂外不得新建入河排污口。</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进一步加强对建设工程施工、建筑物拆除、交通运输、道路保洁、物料运输与堆存、取土、养护绿化等活动的扬尘管理。</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本项目不涉及施工期及工业生产，院内定期进行保洁、绿化管理，可控制扬尘产生。</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加强餐饮服务业燃料烟气及油烟防治，鼓励餐饮业及居民生活能源使用天然气、液化石油气等洁净能源。餐饮行业按要求安装油烟高效净化设备并定期清洗和维护。</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本项目不设置食堂。</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紧邻居住、科教、医院等环境敏感点的工业用地，禁止新建环境风险潜势等级高建设项目。</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本项目属于专业医院，不属于工业项目，不属于环境风险潜势等级高建设项目。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企业应按照《企业事业单位突发环境事件应急预案备案管理办法（试行）》等要求，依法依规编制环境应急预案并定期开展演练。</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医院依法依规编制环境应急预案并定期开展演练。</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建立各企业危险废物的贮存、申报、经营许可、转移及处置管理制度，并负责对危废相应活动的全程监管和环境安全保障。</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医院严格按照要求进行危废管理。</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严格执行淄博市高污染燃料禁燃区划定范围及管控要求。</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本项目能源消耗用电，不使用高污染。</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未经许可不得开采地下水，执行浅层地下水限采区管理规定。</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本项目用水由张店区市政自来水管网供给，不取用地下水。</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提升土地集约化水平。</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本项目土地集约化水平较高。</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综上，本项目建设满足“三线一单”环境管理要求。</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淄博市环境管控单元位置图见附图7。</w:t>
            </w:r>
          </w:p>
          <w:p>
            <w:pPr>
              <w:autoSpaceDE w:val="0"/>
              <w:autoSpaceDN w:val="0"/>
              <w:adjustRightInd w:val="0"/>
              <w:snapToGrid w:val="0"/>
              <w:spacing w:line="360" w:lineRule="auto"/>
              <w:ind w:firstLine="422"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4、环保政策符合性分析</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（1）与“气十条”“水十条”“土十条”符合性分析</w:t>
            </w:r>
          </w:p>
          <w:p>
            <w:pPr>
              <w:autoSpaceDE w:val="0"/>
              <w:autoSpaceDN w:val="0"/>
              <w:adjustRightInd w:val="0"/>
              <w:snapToGrid w:val="0"/>
              <w:spacing w:line="360" w:lineRule="auto"/>
              <w:ind w:firstLine="420" w:firstLineChars="200"/>
              <w:jc w:val="left"/>
              <w:rPr>
                <w:b/>
                <w:color w:val="000000" w:themeColor="text1"/>
                <w14:textFill>
                  <w14:solidFill>
                    <w14:schemeClr w14:val="tx1"/>
                  </w14:solidFill>
                </w14:textFill>
              </w:rPr>
            </w:pPr>
            <w:r>
              <w:rPr>
                <w:color w:val="000000" w:themeColor="text1"/>
                <w14:textFill>
                  <w14:solidFill>
                    <w14:schemeClr w14:val="tx1"/>
                  </w14:solidFill>
                </w14:textFill>
              </w:rPr>
              <w:t>与“气十条”“水十条”“土十条”符合性分析情况见表1-3。</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表1-3  “气十条”“水十条”“土十条”符合性分析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85"/>
              <w:gridCol w:w="15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文件名称</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要求</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本项目情况</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《大气污染防治行动计划》(气十条)国发〔2013〕37号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加强工业企业大气污染综合治理。全面整治燃煤小锅炉。加快推进集中供热、“煤改气”、“煤改电”工程建设，到2017年，除必要保留的以外，地级及以上城市建成区基本淘汰每小时10蒸t及以下的</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煤锅炉，禁止新建每小时20蒸t以下的燃煤锅炉；其他地区原则上不再新建每小时10蒸t 以下的燃煤锅炉。</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本项目不涉及煤的使用</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本项目不属于高耗能、高污染行业</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加快淘汰落后产能。结合产业发展实际和环境质量状况，进一步提高环保、能耗、安全、质量等标准，分区域明确落后产能淘汰任务，倒逼产业转型升级。</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本项目不属于落后产能</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《水污染防治行动计划》(水十条)国发〔2015〕17号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取缔“十小”企业。全面排查装备水平低、环保</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施差的小型工业企业。2016 年底前，按照水污染防治法律法规要求，全部取缔不符合国家产业政策的小型造纸、制革、印染、染料、炼焦、炼硫、炼砷、炼油、电镀、农药等严重污染水环境的生产项目。</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本项目不属于“十小”企业，不在取缔范围内</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专项整治十大重点行业。制定造纸、焦化、氮肥、有色金属、印染、农副食品加工、原料药制造、制革、农药、电镀等行业专项治理方案，实施清洁化改造。新建、改建、扩建上述行业建设项目实行主要染物排放等量或减量置换。</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本项目不属于十大重点行业</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自备水井，一律予以关闭。开展华北地下水超采区综合治理，超采区内禁止工农业生产及服务业新增</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用地下水。京津冀区域实施土地整治、农业开发、扶贫等农业基础设施项目，不得以配套打井为条件。</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本项目所在地地质稳定，使用区域自来水</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本项目不属于左栏所列行业范围</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《土壤污染防治行动计划》</w:t>
                  </w:r>
                </w:p>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(土十条) 国发〔2016〕31</w:t>
                  </w:r>
                </w:p>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严厉打击非法排放有毒有害污染物、违法违规存放危化学品、非法处置危险废物、不正常使用污染治理设施、监测数据弄虚作假等环境违法行为。</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本项目医疗废物设置专门医疗废物贮存场所</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各地要将符合条件的优先保护类耕地划为永久基本农田，实行严格保护，确保其面积不减少、土壤环境质量不下降，除法律规定的重点建设项目选址确实无法避让外，其他任何建设不得占用。</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本项目用地属于建设用地</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强工业废物处理处置。全面整治尾矿、煤矸石、工业副产石膏、粉煤灰、赤泥、冶炼渣、电石渣、铬渣、砷渣以及脱硫、脱硝、除尘产生固体废物的堆存场所，完善防扬散、防流失、防渗漏等设施，制定整治方案并有序实施。</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项目固废得到妥善处理、零排放</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bl>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（2）与《山东省深入打好蓝天保卫战行动计划（2021-2025年）》符合性分析</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表1-4  与《山东省深入打好蓝天保卫战行动计划》（2021-2025年）符合性</w:t>
            </w:r>
          </w:p>
          <w:tbl>
            <w:tblPr>
              <w:tblStyle w:val="24"/>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9"/>
              <w:gridCol w:w="144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3690"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文件要求</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项目情况</w:t>
                  </w: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一、淘汰低效落后产能</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本项目不属于左栏所列重点行业。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二、压减煤炭消费量</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持续压减煤炭消费总量，“十四五”期间，全省煤炭消费总量下降10%，控制在3.5亿吨左右。</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本项目不使用煤炭。</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四、实施VOCs全过程污染防治</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实施低VOCs含量工业涂料、油墨、胶粘剂、清洗剂等原辅料使用替代。新、改、扩建工业涂装、包装印刷等含VOCs原辅材料使用的项目，原则上使用低（无）VOCs含量产品。</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五、强化工业源NOx深度治理</w:t>
                  </w:r>
                </w:p>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治理设施运行监管，燃煤机组、锅炉、钢铁企业污染排放稳定达到超低排放要求。2023年年底前，完成焦化、水泥行业超低排放改造。实施玻璃、陶瓷、铸造、铁合金、有色等行业污染深度治理，确保各类大气污染物稳定达标排放。重点涉气排放企业取消烟气旁路，确因安全生产等原因无法取消的，应安装有效监控装置纳入监管。引导重点企业在秋冬季安排停产检修、维修，减少污染物排放。</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本项目不涉及NOx排放。</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七、严格扬尘污染管控</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强施工扬尘精细化管控，建立并动态更新施工工地清单。全面推行绿色施工，将扬尘污染防治费用纳入工程造价，各类施工工地严格落实扬尘污染防治措施，其中建筑施工工地严格执行“六项措施”。规模以上建筑施工工地安装在线监测和视频监控设施，并接入当地监管平台。加强执法监管，对问题严重的依法依规实施联合惩戒。</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本项目不涉及施工期及工业生产，院内定期进行保洁、绿化管理，可控制扬尘产生。</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（3）与《山东省环境保护条例》(2018年修订）符合性分析</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表1-5  项目与《山东省环境保护条例》(2018年修订）符合性</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5"/>
              <w:gridCol w:w="269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山东省环境保护条例要求</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第十五条 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本项目为医院建设项目，不属于严重污染环境的建设项目。</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第四十三条 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本项目不属于重点行业，采取合理有效的环保措施后对环境影响较小。</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第四十四条 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本项目不属于工业项目。</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第四十六条 新建、改建、扩建建设项目，应当根据环境影响评价文件以及生态环境主管部门审批决定的要求建设环境保护设施、落实环境保护措施。环境保护设施应当与主体工程同时设计、同时施工、同时投产使用。</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本项目建成后严格按照环保要求落实环境保护措施。</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第四十五条 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tc>
              <w:tc>
                <w:tcPr>
                  <w:tcW w:w="2693" w:type="dxa"/>
                  <w:vAlign w:val="center"/>
                </w:tcPr>
                <w:p>
                  <w:pPr>
                    <w:autoSpaceDE w:val="0"/>
                    <w:autoSpaceDN w:val="0"/>
                    <w:jc w:val="center"/>
                    <w:rPr>
                      <w:color w:val="000000" w:themeColor="text1"/>
                      <w:sz w:val="18"/>
                      <w:szCs w:val="18"/>
                      <w14:textFill>
                        <w14:solidFill>
                          <w14:schemeClr w14:val="tx1"/>
                        </w14:solidFill>
                      </w14:textFill>
                    </w:rPr>
                  </w:pPr>
                  <w:r>
                    <w:rPr>
                      <w:color w:val="000000" w:themeColor="text1"/>
                      <w:kern w:val="0"/>
                      <w:sz w:val="18"/>
                      <w:szCs w:val="18"/>
                      <w:lang w:val="zh-CN" w:bidi="zh-CN"/>
                      <w14:textFill>
                        <w14:solidFill>
                          <w14:schemeClr w14:val="tx1"/>
                        </w14:solidFill>
                      </w14:textFill>
                    </w:rPr>
                    <w:t>本项目废气、废水、噪声经处理后满足相应标准。</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（4）与《淄博市新一轮“四减四增” 三年行动方案》（淄环委〔2022〕1号）的符合性</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表1-6  与《淄博市新一轮“四减四增” 三年行动方案》（2021-2025年）符合性</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80"/>
              <w:gridCol w:w="14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92"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文件要求</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项目情况</w:t>
                  </w: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一、深入调整产业结构</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1.淘汰低效落后产能。依据安全、环保、技术、能耗、效益标准，以钢铁、煤电、水泥、轮胎、煤炭、化工等行业为重点，分类组织实施转移、压减、整合、关停任务，加快淘汰低效落后产能。</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本项目不属于左栏所列低效落后产能。</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2.持续开展“散乱污”企业专项执法检查。进一步压实管理责任，按照“发现一起、处置一起”的原则，实行“散乱污”企业动态清零，确保“散乱污”企业不复发。</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本项目不属于散乱污企业。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3.各区县要重点围绕再生橡胶、废旧塑料再生、砖瓦、石灰、石膏等行业制定实施方案，对生产工艺装备进行筛查，按照有关法律法规程序要求，推动低效落后产能退出。</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本项目不属于左栏所列落后产能行业。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4.严控重点行业新增产能。重大项目建设，必须首先满足环境质量“只能更好，不能变坏”的底线，严格落实污染物排放“减量替代是原则，等量替代是例外”的总量控制刚性要求。</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本项目不属于重点行业；本项目污染物排放实行削减替代。</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二、深入调整能源结构</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 严控化石能源消费。严控能源消费总量，在满足全社会能源需求前提下，持续推进煤炭消费压减，增加清洁能源供给，加大清洁能源替代力度，进一步控制化石能源消费，逐步实现新增能源需求主要由清洁能源供给。</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本项目使用电能。</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 持续压减煤炭使用。持续淘汰落后燃煤机组，在确保电力、热力接续稳定供应的前提下，大力推进单机容量30万千瓦以下煤电机组关停整合，严格按照减容量“上大压小”政策规划建设清洁高效煤电机组。</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本项目不使用煤炭。</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（5）与《山东省医疗废物管理办法》符合性分析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表1-7  与《山东省医疗废物管理办法》符合性分析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39"/>
              <w:gridCol w:w="263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山东省医疗废物管理办法要求</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第六条 医疗卫生机构和医疗废物集中处置单位应当对医疗废物进行登记，登记内容应当包括医疗废物的来源、种类、重量或者数量、交接时间、处置方法、最终去向以及经办人签名等项目。登记资料双方均应各自至少保存五年。</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本项目严格落实危险废物申报登记和管理计划备案要求，建立医疗废物管理台账，并保存至少五年。</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第七条 医疗卫生机构应当按照规定对医疗废物和可回收物进行科学分类、规范收集。</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本项目对医疗废物和可回收物进行分类收集。</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第八条 医疗卫生机构应当严格落实危险废物申报登记和管理计划备案要求，建立医疗废物管理台账，依法向生态环境主管部门申报医疗废物的种类、产生量、产生时间、流向、贮存和处置等情况。</w:t>
                  </w:r>
                </w:p>
              </w:tc>
              <w:tc>
                <w:tcPr>
                  <w:tcW w:w="2410" w:type="dxa"/>
                  <w:vAlign w:val="center"/>
                </w:tcPr>
                <w:p>
                  <w:pPr>
                    <w:pStyle w:val="60"/>
                    <w:spacing w:line="242" w:lineRule="auto"/>
                    <w:ind w:left="111" w:right="-1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3"/>
                      <w:sz w:val="18"/>
                      <w:szCs w:val="18"/>
                      <w14:textFill>
                        <w14:solidFill>
                          <w14:schemeClr w14:val="tx1"/>
                        </w14:solidFill>
                      </w14:textFill>
                    </w:rPr>
                    <w:t>日常管理中严格落实危险废物申报登记和管理计划备案要求，建立医疗废物管理台账，依法向生态环境主管部门申报医疗废物的种类、产</w:t>
                  </w:r>
                  <w:r>
                    <w:rPr>
                      <w:rFonts w:ascii="Times New Roman" w:hAnsi="Times New Roman"/>
                      <w:color w:val="000000" w:themeColor="text1"/>
                      <w:spacing w:val="-8"/>
                      <w:sz w:val="18"/>
                      <w:szCs w:val="18"/>
                      <w14:textFill>
                        <w14:solidFill>
                          <w14:schemeClr w14:val="tx1"/>
                        </w14:solidFill>
                      </w14:textFill>
                    </w:rPr>
                    <w:t>生量、产生时间、流向、</w:t>
                  </w:r>
                  <w:r>
                    <w:rPr>
                      <w:rFonts w:ascii="Times New Roman" w:hAnsi="Times New Roman"/>
                      <w:color w:val="000000" w:themeColor="text1"/>
                      <w:sz w:val="18"/>
                      <w:szCs w:val="18"/>
                      <w14:textFill>
                        <w14:solidFill>
                          <w14:schemeClr w14:val="tx1"/>
                        </w14:solidFill>
                      </w14:textFill>
                    </w:rPr>
                    <w:t>贮存和处置等情况。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第九条  传染病疫情期间，根据防控需要，乡镇人民政府、街道办事处应当组织本辖区机关、社会团体、企业事业单位、居民委员会、村民委员会、商场超市、宾馆、酒店、住宅小区等，科学合理、规范足量设置专门收集防护用品废弃物的设施，并在收集设施上张贴明确标识，引导群众定点投放个人使用过的口罩、护目镜、手套、防护服等防护用品。</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传染病疫情期间，严格按照防控要求进行防控。</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第十一条  医疗卫生机构和医疗废物集中处置单位应当执行危险废物转移联单管理制度，采取有效措施防止医疗废物流失、泄漏、扩散。</w:t>
                  </w:r>
                </w:p>
              </w:tc>
              <w:tc>
                <w:tcPr>
                  <w:tcW w:w="2410" w:type="dxa"/>
                  <w:vAlign w:val="center"/>
                </w:tcPr>
                <w:p>
                  <w:pPr>
                    <w:pStyle w:val="60"/>
                    <w:spacing w:line="264" w:lineRule="exact"/>
                    <w:ind w:left="111"/>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2"/>
                      <w:sz w:val="18"/>
                      <w:szCs w:val="18"/>
                      <w14:textFill>
                        <w14:solidFill>
                          <w14:schemeClr w14:val="tx1"/>
                        </w14:solidFill>
                      </w14:textFill>
                    </w:rPr>
                    <w:t>项目运营后严格执行危</w:t>
                  </w:r>
                  <w:r>
                    <w:rPr>
                      <w:rFonts w:ascii="Times New Roman" w:hAnsi="Times New Roman"/>
                      <w:color w:val="000000" w:themeColor="text1"/>
                      <w:sz w:val="18"/>
                      <w:szCs w:val="18"/>
                      <w14:textFill>
                        <w14:solidFill>
                          <w14:schemeClr w14:val="tx1"/>
                        </w14:solidFill>
                      </w14:textFill>
                    </w:rPr>
                    <w:t>险废物转移联单管理制度，采取有效措施防止医疗废物流失和泄漏。</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第十四条  医疗卫生机构产生的污水达到国家和省规定的排放标准后，方可排入污水处理系统。医疗卫生机构污水处理过程中产生的污泥应当按照危险废物进行处置。</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本项目生活污水及医疗废水经项目配建污水处理站处理达标后排入市政污水管网。栅渣和污泥作为危险废物进行委托处置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第十六条  产生、收集、运送、贮存、处置医疗废物的单位，应当制定突发环境事件的防范措施和应急预案，并向所在地生态环境主管部门备案。</w:t>
                  </w:r>
                </w:p>
              </w:tc>
              <w:tc>
                <w:tcPr>
                  <w:tcW w:w="2410" w:type="dxa"/>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本项目制定有突发环境事件的防范措施，运营前根据当地生态环境部门要求，进行应急预案编制和备案。</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（6）与《关于印发医疗机构废弃物综合治理工作方案的通知》（国卫医发[2020]3号）符合性分析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表1-8  与国卫医发[2020]3号文符合性分析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国卫医发[2020]3号文要求</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一、做好医疗机构内部废弃物分类和管理</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加强源头管理。医疗机构废弃物分为医疗废物、生活垃圾和输液瓶（袋）。通过规范分类和清晰流程，各医疗机构内形成分类投放、分类收集、分类贮存、分类交接、分类转运的废弃物管理系统。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本项目严格落实药品、医用耗材和医疗废物的管理台账。</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continue"/>
                  <w:vAlign w:val="center"/>
                </w:tcPr>
                <w:p>
                  <w:pPr>
                    <w:pStyle w:val="84"/>
                    <w:rPr>
                      <w:color w:val="000000" w:themeColor="text1"/>
                      <w:sz w:val="18"/>
                      <w:szCs w:val="18"/>
                      <w14:textFill>
                        <w14:solidFill>
                          <w14:schemeClr w14:val="tx1"/>
                        </w14:solidFill>
                      </w14:textFill>
                    </w:rPr>
                  </w:pP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（二）夯实各方责任。医疗机构法定代表人是医疗机构废弃物分类和管理的第一责任人，产生废弃物的具体科室和操作人员是直接责任人。</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本项目制定医疗废物管理责任制，以法人代表作为第一责任人。</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二、做好医疗废物处置</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日常管理中严格落实危险废物申报登记和管理计划备案要求，建立医疗废物管理台账，依法向生态环境主管部门申报医疗废物的种类、产生量、产生时间、流向、贮存和处置等情况。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三、做好生活垃圾管理</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本项目生活垃圾独立收集、管理，委托环卫部门定期清运。</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2" w:firstLineChars="200"/>
              <w:rPr>
                <w:rFonts w:ascii="Times New Roman" w:cs="Times New Roman"/>
                <w:b/>
                <w:color w:val="000000" w:themeColor="text1"/>
                <w:kern w:val="2"/>
                <w:sz w:val="21"/>
                <w:szCs w:val="21"/>
                <w14:textFill>
                  <w14:solidFill>
                    <w14:schemeClr w14:val="tx1"/>
                  </w14:solidFill>
                </w14:textFill>
              </w:rPr>
            </w:pPr>
            <w:r>
              <w:rPr>
                <w:rFonts w:ascii="Times New Roman" w:cs="Times New Roman"/>
                <w:b/>
                <w:color w:val="000000" w:themeColor="text1"/>
                <w:kern w:val="2"/>
                <w:sz w:val="21"/>
                <w:szCs w:val="21"/>
                <w14:textFill>
                  <w14:solidFill>
                    <w14:schemeClr w14:val="tx1"/>
                  </w14:solidFill>
                </w14:textFill>
              </w:rPr>
              <w:t>（7）、与《</w:t>
            </w:r>
            <w:r>
              <w:rPr>
                <w:rFonts w:hint="eastAsia" w:ascii="Times New Roman" w:cs="Times New Roman"/>
                <w:b/>
                <w:color w:val="000000" w:themeColor="text1"/>
                <w:kern w:val="2"/>
                <w:sz w:val="21"/>
                <w:szCs w:val="21"/>
                <w14:textFill>
                  <w14:solidFill>
                    <w14:schemeClr w14:val="tx1"/>
                  </w14:solidFill>
                </w14:textFill>
              </w:rPr>
              <w:t>医疗废物集中处置技术规范（试行）</w:t>
            </w:r>
            <w:r>
              <w:rPr>
                <w:rFonts w:ascii="Times New Roman" w:cs="Times New Roman"/>
                <w:b/>
                <w:color w:val="000000" w:themeColor="text1"/>
                <w:kern w:val="2"/>
                <w:sz w:val="21"/>
                <w:szCs w:val="21"/>
                <w14:textFill>
                  <w14:solidFill>
                    <w14:schemeClr w14:val="tx1"/>
                  </w14:solidFill>
                </w14:textFill>
              </w:rPr>
              <w:t>》（</w:t>
            </w:r>
            <w:r>
              <w:rPr>
                <w:rFonts w:hint="eastAsia" w:ascii="Times New Roman" w:cs="Times New Roman"/>
                <w:b/>
                <w:color w:val="000000" w:themeColor="text1"/>
                <w:kern w:val="2"/>
                <w:sz w:val="21"/>
                <w:szCs w:val="21"/>
                <w14:textFill>
                  <w14:solidFill>
                    <w14:schemeClr w14:val="tx1"/>
                  </w14:solidFill>
                </w14:textFill>
              </w:rPr>
              <w:t>环发[2003]206号</w:t>
            </w:r>
            <w:r>
              <w:rPr>
                <w:rFonts w:ascii="Times New Roman" w:cs="Times New Roman"/>
                <w:b/>
                <w:color w:val="000000" w:themeColor="text1"/>
                <w:kern w:val="2"/>
                <w:sz w:val="21"/>
                <w:szCs w:val="21"/>
                <w14:textFill>
                  <w14:solidFill>
                    <w14:schemeClr w14:val="tx1"/>
                  </w14:solidFill>
                </w14:textFill>
              </w:rPr>
              <w:t>）符合性分析</w:t>
            </w:r>
          </w:p>
          <w:p>
            <w:pPr>
              <w:pStyle w:val="87"/>
              <w:ind w:firstLine="420" w:firstLineChars="200"/>
              <w:jc w:val="both"/>
              <w:rPr>
                <w:rFonts w:ascii="Times New Roman" w:hAnsi="Times New Roman" w:eastAsia="宋体"/>
                <w:b w:val="0"/>
                <w:color w:val="000000" w:themeColor="text1"/>
                <w:kern w:val="0"/>
                <w:szCs w:val="21"/>
                <w14:textFill>
                  <w14:solidFill>
                    <w14:schemeClr w14:val="tx1"/>
                  </w14:solidFill>
                </w14:textFill>
              </w:rPr>
            </w:pPr>
            <w:r>
              <w:rPr>
                <w:rFonts w:hint="eastAsia" w:ascii="Times New Roman" w:hAnsi="Times New Roman" w:eastAsia="宋体"/>
                <w:b w:val="0"/>
                <w:color w:val="000000" w:themeColor="text1"/>
                <w:kern w:val="0"/>
                <w:szCs w:val="21"/>
                <w14:textFill>
                  <w14:solidFill>
                    <w14:schemeClr w14:val="tx1"/>
                  </w14:solidFill>
                </w14:textFill>
              </w:rPr>
              <w:t>项目与《医疗废物集中处置技术规范（试行）》（环发[2003]206号）中“医疗废物的暂时贮存”环节符合性分析如下：</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表1-9  与</w:t>
            </w:r>
            <w:r>
              <w:rPr>
                <w:rFonts w:hint="eastAsia" w:ascii="Times New Roman" w:hAnsi="Times New Roman" w:eastAsia="宋体"/>
                <w:bCs/>
                <w:color w:val="000000" w:themeColor="text1"/>
                <w:kern w:val="0"/>
                <w:szCs w:val="21"/>
                <w:lang w:val="zh-CN"/>
                <w14:textFill>
                  <w14:solidFill>
                    <w14:schemeClr w14:val="tx1"/>
                  </w14:solidFill>
                </w14:textFill>
              </w:rPr>
              <w:t>环发[2003]206号</w:t>
            </w:r>
            <w:r>
              <w:rPr>
                <w:rFonts w:ascii="Times New Roman" w:hAnsi="Times New Roman" w:eastAsia="宋体"/>
                <w:bCs/>
                <w:color w:val="000000" w:themeColor="text1"/>
                <w:kern w:val="0"/>
                <w:szCs w:val="21"/>
                <w:lang w:val="zh-CN"/>
                <w14:textFill>
                  <w14:solidFill>
                    <w14:schemeClr w14:val="tx1"/>
                  </w14:solidFill>
                </w14:textFill>
              </w:rPr>
              <w:t>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15"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restart"/>
                  <w:vAlign w:val="center"/>
                </w:tcPr>
                <w:p>
                  <w:pPr>
                    <w:pStyle w:val="8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医疗废物的暂时贮存</w:t>
                  </w: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 库房</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具有住院病床的医疗卫生机构应建立专门的医疗废物暂时贮存库房，并应满足下述要求：</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 必须与生活垃圾存放地分开，有防雨淋的装置，地基高度应确保设施内不受雨洪冲击或浸泡；</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 必须与医疗区、食品加工区和人员活动密集区隔开，方便医疗废物的装卸、装卸人员及运送车辆的出入；</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2.1.3 应有严密的封闭措施，设专人管理，避免非工作人员进出，以及防鼠、防蚊蝇、防蟑螂、防盗以及预防儿童接触等安全措施；</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2.1.4 地面和1.0米高的墙裙须进行防渗处理，地面有良好的排水性能，易于清洁和消毒，产生的废水应采用管道直接排入医疗卫生机构内的医疗废水消毒、处理系统，禁止将产生的废水直接排入外环境；</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2.1.5 库房外宜设有供水龙头，以供暂时贮存库房的清洗用；</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2.1.6 避免阳光直射库内，应有良好的照明设备和通风条件；</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2.1.7 库房内应张贴“禁止吸烟、饮食”的警示标识；</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2.1.8 应按GB15562.2和卫生、环保部门制定的专用医疗废物警示标识要求，在库房外的明显处同时设置危险废物和医疗废物的警示标识；</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w:t>
                  </w:r>
                  <w:r>
                    <w:rPr>
                      <w:rFonts w:hint="eastAsia"/>
                      <w:color w:val="000000" w:themeColor="text1"/>
                      <w:sz w:val="18"/>
                      <w:szCs w:val="18"/>
                      <w14:textFill>
                        <w14:solidFill>
                          <w14:schemeClr w14:val="tx1"/>
                        </w14:solidFill>
                      </w14:textFill>
                    </w:rPr>
                    <w:t>已</w:t>
                  </w:r>
                  <w:r>
                    <w:rPr>
                      <w:color w:val="000000" w:themeColor="text1"/>
                      <w:sz w:val="18"/>
                      <w:szCs w:val="18"/>
                      <w14:textFill>
                        <w14:solidFill>
                          <w14:schemeClr w14:val="tx1"/>
                        </w14:solidFill>
                      </w14:textFill>
                    </w:rPr>
                    <w:t>建设</w:t>
                  </w:r>
                  <w:r>
                    <w:rPr>
                      <w:rFonts w:hint="eastAsia"/>
                      <w:color w:val="000000" w:themeColor="text1"/>
                      <w:sz w:val="18"/>
                      <w:szCs w:val="18"/>
                      <w14:textFill>
                        <w14:solidFill>
                          <w14:schemeClr w14:val="tx1"/>
                        </w14:solidFill>
                      </w14:textFill>
                    </w:rPr>
                    <w:t>1座40m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危废间。且危废间建设按照技术规范要求进行建设，不会存放生活垃圾，有防雨淋装置，设施内不受雨洪冲击或浸泡；危废间位于园区东侧，与其他区域隔开；危废间严格密闭，专人管理；危废间进行重点防渗，并设置导流设施；有良好的照明设备和通风条件，按规定张贴警示标识。</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 卫生要求</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2.3.1 医疗废物暂时贮存库房每天应在废物清运之后消毒冲洗，冲洗液应排入医疗卫生机构内的医疗废水消毒、处理系统。</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医疗废物在每次清运后进行清洁消毒</w:t>
                  </w:r>
                  <w:r>
                    <w:rPr>
                      <w:rFonts w:hint="eastAsia"/>
                      <w:color w:val="000000" w:themeColor="text1"/>
                      <w:sz w:val="18"/>
                      <w:szCs w:val="18"/>
                      <w14:textFill>
                        <w14:solidFill>
                          <w14:schemeClr w14:val="tx1"/>
                        </w14:solidFill>
                      </w14:textFill>
                    </w:rPr>
                    <w:t>，清洁</w:t>
                  </w:r>
                  <w:r>
                    <w:rPr>
                      <w:color w:val="000000" w:themeColor="text1"/>
                      <w:sz w:val="18"/>
                      <w:szCs w:val="18"/>
                      <w14:textFill>
                        <w14:solidFill>
                          <w14:schemeClr w14:val="tx1"/>
                        </w14:solidFill>
                      </w14:textFill>
                    </w:rPr>
                    <w:t>消毒废水收集进入院区污水处理站处理</w:t>
                  </w:r>
                  <w:r>
                    <w:rPr>
                      <w:rFonts w:hint="eastAsia"/>
                      <w:color w:val="000000" w:themeColor="text1"/>
                      <w:sz w:val="18"/>
                      <w:szCs w:val="18"/>
                      <w14:textFill>
                        <w14:solidFill>
                          <w14:schemeClr w14:val="tx1"/>
                        </w14:solidFill>
                      </w14:textFill>
                    </w:rPr>
                    <w:t>。</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 暂时贮存时间</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2.4.1 应防止医疗废物在暂时贮存库房和专用暂时贮存柜（箱）中腐败散发恶臭，尽量做到日产日清。</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2.4.2 确实不能做到日产日清，且当地最高气温高于25℃时，应将医疗废物低温暂时贮存，暂时贮存温度应低于20℃，时间最长不超过48小时。</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项目医疗废物清运频次为</w:t>
                  </w:r>
                  <w:r>
                    <w:rPr>
                      <w:rFonts w:hint="eastAsia"/>
                      <w:color w:val="000000" w:themeColor="text1"/>
                      <w:sz w:val="18"/>
                      <w:szCs w:val="18"/>
                      <w14:textFill>
                        <w14:solidFill>
                          <w14:schemeClr w14:val="tx1"/>
                        </w14:solidFill>
                      </w14:textFill>
                    </w:rPr>
                    <w:t>2d/次，时间最长不超过48h。</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 管理制度</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2.5.1 医疗卫生机构应制定医疗废物暂时贮存管理的有关规章制度、工作程序及应急处理措施。</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医院已制定相关</w:t>
                  </w:r>
                  <w:r>
                    <w:rPr>
                      <w:rFonts w:hint="eastAsia"/>
                      <w:color w:val="000000" w:themeColor="text1"/>
                      <w:sz w:val="18"/>
                      <w:szCs w:val="18"/>
                      <w14:textFill>
                        <w14:solidFill>
                          <w14:schemeClr w14:val="tx1"/>
                        </w14:solidFill>
                      </w14:textFill>
                    </w:rPr>
                    <w:t>规章制度、工作程序及应急处理措施</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2" w:firstLineChars="200"/>
              <w:rPr>
                <w:rFonts w:ascii="Times New Roman" w:cs="Times New Roman"/>
                <w:b/>
                <w:color w:val="000000" w:themeColor="text1"/>
                <w:kern w:val="2"/>
                <w:sz w:val="21"/>
                <w:szCs w:val="21"/>
                <w14:textFill>
                  <w14:solidFill>
                    <w14:schemeClr w14:val="tx1"/>
                  </w14:solidFill>
                </w14:textFill>
              </w:rPr>
            </w:pPr>
            <w:r>
              <w:rPr>
                <w:rFonts w:ascii="Times New Roman" w:cs="Times New Roman"/>
                <w:b/>
                <w:color w:val="000000" w:themeColor="text1"/>
                <w:kern w:val="2"/>
                <w:sz w:val="21"/>
                <w:szCs w:val="21"/>
                <w14:textFill>
                  <w14:solidFill>
                    <w14:schemeClr w14:val="tx1"/>
                  </w14:solidFill>
                </w14:textFill>
              </w:rPr>
              <w:t>（8）、与《关于在医疗机构推进生活垃圾分类管理的通知》符合性分析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表1-10  与《关于在医疗机构推进生活垃圾分类管理的通知》符合性分析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明确分类类别</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本项目医疗废物与生活垃圾分别存放。</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明确分类投放要求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垃圾投放要求。医疗机构应当按照安全、便利、快捷的原则集中或定点设立容器对不同品种的有害垃圾收集、暂存，并在醒目位置设置有害垃圾标志。易腐垃圾投放要求。医疗机构应当在易腐垃圾主要产生区域设置专门容器单独投放易腐垃圾，原则上应采用密闭容器存放。可回收物投放要求。医疗机构应当根据可回收物的种类和产生量，设置专门容器和临时存储空间，定点投放和暂存，必要时可设专人分拣打包，做到标识明显。</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本项目产生的医疗废物存于危险废物暂存间，定期交于有资质单位进行处理。</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明确分类处置要求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有害垃圾处置要求。医疗机构应当与有资质的危险废物处置单位签订合同，根据有害垃圾的品种和产生数量合理确定或约定收运频率。</w:t>
                  </w:r>
                </w:p>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易腐垃圾处置要求。医疗机构可与易腐垃圾专业处置单位签订合同，每日产生的易腐垃圾由易腐垃圾专业处置单位上门收集并处理。有条件的医疗机构可采用生物转化有机肥等技术就地处置易腐垃圾。</w:t>
                  </w:r>
                </w:p>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回收物处置要求。医疗机构应当统一处置本单位产生的可回收物，与再生资源回收单位做好交接、登记和统计工作，实现可回收物的可追溯。再生资源回收单位向再生资源利用单位提供输液瓶（袋）类可回收物时，应当说明来源并做好交接登记，确保可追溯。再生资源利用单位利用这类可回收物时不得用于原用途，用于其他用途时不应危害人体健康。</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本项目对于不同的垃圾按照要求分别进行处置。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明确使用后输液瓶（袋）的分类管理要求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于未被患者血液、体液和排泄物等污染的输液瓶（袋），应当在其与输液管连接处去除输液管后单独集中回收、存放。去除后的输液管、针头等应当严格按照医疗废物处理，严禁混入未被污染的输液瓶（袋）及其他生活垃圾中。残留少量经稀释的普通药液的输液瓶（袋），可以按照未被污染的输液瓶（袋）处理。医疗机构应当科学、规范、节约用药，提高药物使用效率，减少浪费，降低药品消耗和环境承载压力。存在下列情形的输液瓶（袋），即使未被患者血液、体液和排泄物等污染，也不得纳入可回收生活垃圾管理。在传染病区使用，或者用于传染病患者、疑似传染病患者以及采取隔离措施的其他患者的输液瓶（袋），应当按照感染性医疗废物处理；输液涉及使用细胞毒性药物（如肿瘤化疗药物等）的输液瓶（袋），应当按照药物性医疗废物处理；输液涉及使用麻醉类药品、精神类药品、易制毒药品和放射性药品的输液瓶（袋），应当严格按照相关规定处理。</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本项目严格按照要求对输液瓶（袋）进行处置。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0" w:firstLineChars="20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kern w:val="2"/>
                <w:sz w:val="21"/>
                <w:szCs w:val="21"/>
                <w14:textFill>
                  <w14:solidFill>
                    <w14:schemeClr w14:val="tx1"/>
                  </w14:solidFill>
                </w14:textFill>
              </w:rPr>
              <w:t>综上所述，本项目符合国家及省、市相关环保要求。</w:t>
            </w:r>
          </w:p>
          <w:p>
            <w:pPr>
              <w:pStyle w:val="55"/>
              <w:spacing w:line="360" w:lineRule="auto"/>
              <w:ind w:firstLine="420" w:firstLineChars="200"/>
              <w:rPr>
                <w:rFonts w:ascii="Times New Roman" w:cs="Times New Roman"/>
                <w:color w:val="000000" w:themeColor="text1"/>
                <w:sz w:val="21"/>
                <w:szCs w:val="21"/>
                <w14:textFill>
                  <w14:solidFill>
                    <w14:schemeClr w14:val="tx1"/>
                  </w14:solidFill>
                </w14:textFill>
              </w:rPr>
            </w:pPr>
          </w:p>
          <w:p>
            <w:pPr>
              <w:jc w:val="left"/>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4" w:type="default"/>
          <w:pgSz w:w="11906" w:h="16838"/>
          <w:pgMar w:top="1701" w:right="1531" w:bottom="1701" w:left="1531" w:header="851" w:footer="1077" w:gutter="0"/>
          <w:pgNumType w:fmt="numberInDash" w:start="1"/>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二、建设项目工程分析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建设内容</w:t>
            </w:r>
          </w:p>
        </w:tc>
        <w:tc>
          <w:tcPr>
            <w:tcW w:w="4766" w:type="pct"/>
          </w:tcPr>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1、项目背景</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淄博市张店区第二人民医院（淄博口腔医院）项目始建于1955年，历经发展变迁，目前已成为淄博市口腔专科领先，内、外、妇、儿专业齐全的医院，有着近六十年的深厚底蕴，是“张店区牙病防治中心”、“张店区青少年口腔疾病预防保健中心”；泰山医学院、潍坊医学院本科教学医院；淄博市规模最大、设备最精、技术领先、专业分科最全的口腔专科医院，在鲁中地区享有较高声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学科设置齐全，专科特色突出。口腔学科设有口腔种植科、口腔正畸科、牙体牙髓病科、儿童口腔科、牙周病科、口腔粘膜科、口腔颌面外科、口腔修复科、口腔综合特诊科等专业品牌科室；其他专业设有综合内科、外科、中医科、针灸理疗科、预防保健科、检验科、特检科、放射科、查体科、药剂科等临床医技科室。医院开放床位55张，开放牙椅40把。同时配套建设医疗废水处理、医疗废物暂存等环保设施和辅助设施。医院X射线影响诊断已取得放射诊疗许可证（见附件）（张卫放证字（2017）第022号）。医院不开设传染病科，不设置动物及生物实验室、煎药室等。本项目涉及的辐射设备，需要单独进行辐射环评，不在本次环境影响评价范围内。</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“淄博市张店区第二人民医院（淄博口腔医院）项目”建成投产时间较早，项目建成于</w:t>
            </w:r>
            <w:r>
              <w:rPr>
                <w:rFonts w:hint="eastAsia"/>
                <w:color w:val="000000" w:themeColor="text1"/>
                <w:kern w:val="0"/>
                <w:szCs w:val="21"/>
                <w14:textFill>
                  <w14:solidFill>
                    <w14:schemeClr w14:val="tx1"/>
                  </w14:solidFill>
                </w14:textFill>
              </w:rPr>
              <w:t>1996年10月，</w:t>
            </w:r>
            <w:r>
              <w:rPr>
                <w:color w:val="000000" w:themeColor="text1"/>
                <w:kern w:val="0"/>
                <w:szCs w:val="21"/>
                <w14:textFill>
                  <w14:solidFill>
                    <w14:schemeClr w14:val="tx1"/>
                  </w14:solidFill>
                </w14:textFill>
              </w:rPr>
              <w:t>建设初期取得原淄博市张店区环境保护局出具的环保意见《关于对口腔病医院迁建的环保意见》（1996年7月18日）</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项目开工</w:t>
            </w:r>
            <w:r>
              <w:rPr>
                <w:rFonts w:hint="eastAsia"/>
                <w:color w:val="000000" w:themeColor="text1"/>
                <w:kern w:val="0"/>
                <w:szCs w:val="21"/>
                <w14:textFill>
                  <w14:solidFill>
                    <w14:schemeClr w14:val="tx1"/>
                  </w14:solidFill>
                </w14:textFill>
              </w:rPr>
              <w:t>建设时，《中华人民共和国环境影响评价法》（2003年9月1日起施行）》尚未实施，因此</w:t>
            </w:r>
            <w:r>
              <w:rPr>
                <w:color w:val="000000" w:themeColor="text1"/>
                <w:kern w:val="0"/>
                <w:szCs w:val="21"/>
                <w14:textFill>
                  <w14:solidFill>
                    <w14:schemeClr w14:val="tx1"/>
                  </w14:solidFill>
                </w14:textFill>
              </w:rPr>
              <w:t>未编制环评文件</w:t>
            </w:r>
            <w:r>
              <w:rPr>
                <w:rFonts w:hint="eastAsia"/>
                <w:color w:val="000000" w:themeColor="text1"/>
                <w:kern w:val="0"/>
                <w:szCs w:val="21"/>
                <w14:textFill>
                  <w14:solidFill>
                    <w14:schemeClr w14:val="tx1"/>
                  </w14:solidFill>
                </w14:textFill>
              </w:rPr>
              <w:t>。根据《山东省人民政府关于印发山东省清理整顿环保违规建设项目工作方案的通知》（鲁政字[2015]170号），文件支出“通过淘汰一批、规范一批、完善一批，落实违规项目单位环境责任，规范市场竞争秩序，倒逼传统行业转型升级，努力实现环境保护与经济社会发展共赢”，本项目建成时间较早，已投产正常运营，项目符合产业政策要求且达到环境管理要求，属于“完善类”项目，应开展现状环境影响评估，提出整改和调整要求，依法完善环保手续。因此建设单位特委托我单位</w:t>
            </w:r>
            <w:r>
              <w:rPr>
                <w:color w:val="000000" w:themeColor="text1"/>
                <w:kern w:val="0"/>
                <w:szCs w:val="21"/>
                <w14:textFill>
                  <w14:solidFill>
                    <w14:schemeClr w14:val="tx1"/>
                  </w14:solidFill>
                </w14:textFill>
              </w:rPr>
              <w:t>对</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淄博市张店区第二人民医院（淄博口腔医院）项目</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进行环境影响评价。</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2、项目概况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项目名称：淄博市张店区第二人民医院（淄博口腔医院）项目</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建设单位：淄博市张店区第二人民医院（淄博口腔医院）</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建设性质：新建</w:t>
            </w:r>
            <w:r>
              <w:rPr>
                <w:rFonts w:hint="eastAsia"/>
                <w:color w:val="000000" w:themeColor="text1"/>
                <w:kern w:val="0"/>
                <w:szCs w:val="21"/>
                <w14:textFill>
                  <w14:solidFill>
                    <w14:schemeClr w14:val="tx1"/>
                  </w14:solidFill>
                </w14:textFill>
              </w:rPr>
              <w:t>（迁建）--已建成，于1996年10月投入运营</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项目地点：淄博市张店区新村西路188号，院区四周现状南侧为新村西路，东侧沿街商业建筑，西侧为沿街商业建筑，北侧为天府清华园。</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项目所在地理位置详见附图1。</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3、建设内容</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本项目属于专科医院，院内主要构建筑物为1栋</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层病房综合楼、1栋2层国医堂；诊疗科目主要有口腔种植科、口腔正畸科、牙体牙髓病科、儿童口腔科、牙周病科、口腔粘膜科、口腔颌面外科、口腔修复科、口腔综合特诊科、综合内科、外科、中医科、针灸理疗科、预防保健科、检验科、特检科、放射科、查体科、药剂科等个科室，共设置床位55张，牙椅40把，门诊人数约300人次/天。项目不开设传染病科，不设置动物及生物实验室、煎药室等，项目组成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表2-1  项目组成一览表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08"/>
              <w:gridCol w:w="651"/>
              <w:gridCol w:w="582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pct"/>
                  <w:gridSpan w:val="3"/>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工程组成</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工程内容</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主体工程</w:t>
                  </w:r>
                </w:p>
              </w:tc>
              <w:tc>
                <w:tcPr>
                  <w:tcW w:w="302"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病房综合楼</w:t>
                  </w: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建筑面积约5345m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，6F，共病床55张，牙椅40把</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设置门诊室、诊室、药房、配药室、观察室、抢救室、放射科室、全身 CT室、值班室、输液大厅</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设置口腔特诊室、诊室、修复室、正畸室、抽血室、输血科、化验室、生化室、彩超室、心电室、牙体牙髓科、儿童口腔科</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设置手术室、诊室、清创室、种植中心、接待室、办公室；手术室主要进行口腔种植、口腔正畸、口腔修复等口腔类专科手术。</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设置病房，共43张病床</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设置病房（12张病床）、办公室、会议室、财务室</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阁楼</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设置会议室、图书室</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国医堂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建筑面积约300m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，2F；主要进行中医疗法宣传与诊疗。</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建筑面积约440m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，2F，用于存放医疗用品</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建筑面积约15 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，1F，用于医护人员日常衣物清洗</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配电室</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院区西北侧2层建筑的1层西侧，建筑面积约100m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 xml:space="preserve"> </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杂物仓库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院区西北侧2层建筑的2层，建筑面积约120m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，存放杂物</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公用工程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供水</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新鲜水由张店区市政自来水管网提供</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纯水外购</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供电</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由张店区供电电网供给</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供热</w:t>
                  </w:r>
                </w:p>
              </w:tc>
              <w:tc>
                <w:tcPr>
                  <w:tcW w:w="3460"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制热、制冷采用室内单体空调</w:t>
                  </w:r>
                </w:p>
              </w:tc>
              <w:tc>
                <w:tcPr>
                  <w:tcW w:w="510"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制冷</w:t>
                  </w:r>
                </w:p>
              </w:tc>
              <w:tc>
                <w:tcPr>
                  <w:tcW w:w="3460"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p>
              </w:tc>
              <w:tc>
                <w:tcPr>
                  <w:tcW w:w="510"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环保工程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项目医疗废水（门诊、病房、牙椅）、洗衣房废水、生活污水经污水处理站（设计处理能力：30m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/d</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；污水处理工艺：格栅+调节池+水解酸化池+接触氧化池+沉淀池+消毒池）处理达标后排入市政污水管网，经管网排入光大水务（淄博）有限公司三分厂 </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项目污水处理站为地下密闭设计，恶臭产生量较少，污水站恶臭气体无组织排放</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固体废物</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废包装材料（外包装）集中收集外售综合利用；</w:t>
                  </w:r>
                </w:p>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医疗废物、污水站栅渣及污泥委托有资质单位处置；</w:t>
                  </w:r>
                </w:p>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生活垃圾由环卫部门定期清运。</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一般固废间：院区西北侧2层建筑的1层东侧，建筑面积约20m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，用于一般固体废物贮存</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危废间：建筑面积约40 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，1F，用于危险废物贮存</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合理布置噪声源位置，噪声设备合理布置，采取基础减振、隔声等常见降噪措施</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4、规模</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本项目为专科医院，设置床位55张，牙椅40把，门诊人数约300人次/天。</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5、工作制度及劳动定员</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项目职工定员156人，三班工作，每班8小时，年工作日365天。</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6、原辅材料及能源消耗</w:t>
            </w:r>
          </w:p>
          <w:p>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项目所需主要原辅材料为治疗过程所需物品，</w:t>
            </w:r>
            <w:r>
              <w:rPr>
                <w:color w:val="000000" w:themeColor="text1"/>
                <w:kern w:val="0"/>
                <w:szCs w:val="21"/>
                <w14:textFill>
                  <w14:solidFill>
                    <w14:schemeClr w14:val="tx1"/>
                  </w14:solidFill>
                </w14:textFill>
              </w:rPr>
              <w:t>项目原料及能耗消耗量见下表。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表2-2  </w:t>
            </w:r>
            <w:bookmarkStart w:id="2" w:name="_Hlk3319122"/>
            <w:r>
              <w:rPr>
                <w:b/>
                <w:bCs/>
                <w:color w:val="000000" w:themeColor="text1"/>
                <w:kern w:val="0"/>
                <w:szCs w:val="21"/>
                <w14:textFill>
                  <w14:solidFill>
                    <w14:schemeClr w14:val="tx1"/>
                  </w14:solidFill>
                </w14:textFill>
              </w:rPr>
              <w:t>项目主要原辅材料及</w:t>
            </w:r>
            <w:bookmarkEnd w:id="2"/>
            <w:r>
              <w:rPr>
                <w:b/>
                <w:bCs/>
                <w:color w:val="000000" w:themeColor="text1"/>
                <w:kern w:val="0"/>
                <w:szCs w:val="21"/>
                <w14:textFill>
                  <w14:solidFill>
                    <w14:schemeClr w14:val="tx1"/>
                  </w14:solidFill>
                </w14:textFill>
              </w:rPr>
              <w:t>能源消耗一览表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245"/>
              <w:gridCol w:w="1283"/>
              <w:gridCol w:w="148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原材料名称</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物理状态</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年消耗量</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75%酒精</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5600瓶/500mL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生理盐水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7000袋</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84消毒液</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1100瓶/400mL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医用氧</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气体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80瓶/40L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一次性医疗器械</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30万支</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（包括注射器、采血器、口镜、口腔器械盒、无菌手术包、牙科注射针、吸引管、口腔印模托盘、洞巾、缝合包、麻醉导管、输液器、采血针、吸唾管、等）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医用外科口罩</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检查手套</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8万付</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医用帽</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抛光针</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3500个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无菌手术刀片</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1800片</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游离牵引钩</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种植体系统</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600盒</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网状牙托</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400付</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根管锉</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300盒</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牙科石膏</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250袋/1kg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吸收性明胶海绵</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正畸橡皮圈</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伢典龋齿微创袪腐凝胶</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200盒/0.3g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齿科藻酸盐印模材料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400桶/1kg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流动树脂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200支/2g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暂时填充材料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300盒/15g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骨填充材料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500盒/0.25g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玻璃离子水门汀(富士IX)</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100盒/15g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1335" w:type="pct"/>
                  <w:tcMar>
                    <w:top w:w="0" w:type="dxa"/>
                    <w:left w:w="57" w:type="dxa"/>
                    <w:bottom w:w="0" w:type="dxa"/>
                    <w:right w:w="57" w:type="dxa"/>
                  </w:tcMa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TPC口腔涂药棒</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100包/100支</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335" w:type="pct"/>
                  <w:tcMar>
                    <w:top w:w="0" w:type="dxa"/>
                    <w:left w:w="57" w:type="dxa"/>
                    <w:bottom w:w="0" w:type="dxa"/>
                    <w:right w:w="57" w:type="dxa"/>
                  </w:tcMa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无砷失活抑菌材料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100支/1g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根管充填修复材料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100支/0.5g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金属网底托槽</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100套</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光固化复合树脂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200盒/4g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50盒/4g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根管清洁糊剂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100支/5mL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DMG轻体</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100支/50mL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医用超声耦合剂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50瓶/250mL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牙齿抛光膏</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100桶/36g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硅橡胶印模材料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20盒/100mL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口腔治疗盘 </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61000个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膜片</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棉签</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纱布</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5000块</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除臭剂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0.05t</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消毒粉</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0.15t</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纯水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1460</w:t>
                  </w:r>
                  <w:r>
                    <w:rPr>
                      <w:color w:val="000000" w:themeColor="text1"/>
                      <w:sz w:val="18"/>
                      <w:szCs w:val="18"/>
                      <w14:textFill>
                        <w14:solidFill>
                          <w14:schemeClr w14:val="tx1"/>
                        </w14:solidFill>
                      </w14:textFill>
                    </w:rPr>
                    <w:t xml:space="preserve"> 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10万kWh/a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8261.75</w:t>
                  </w: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张店区市政自来水管网</w:t>
                  </w:r>
                </w:p>
              </w:tc>
            </w:tr>
          </w:tbl>
          <w:p>
            <w:pPr>
              <w:autoSpaceDE w:val="0"/>
              <w:autoSpaceDN w:val="0"/>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84消毒液：</w:t>
            </w:r>
            <w:r>
              <w:rPr>
                <w:color w:val="000000" w:themeColor="text1"/>
                <w:kern w:val="0"/>
                <w:szCs w:val="21"/>
                <w14:textFill>
                  <w14:solidFill>
                    <w14:schemeClr w14:val="tx1"/>
                  </w14:solidFill>
                </w14:textFill>
              </w:rPr>
              <w:t>84消毒液是一种以次氯酸钠为主要成分的含氯消毒剂，主要用于物体表面和环境等的消毒。次氯酸钠具有强氧化性，可水解生成具有强氧化性的次氯酸，能够将具有还原性的物质氧化，使微生物最终丧失机能，无法繁殖或感染。84消毒液为无色或淡黄色液体，且具有刺激性气味，有效氯含量5.5%～6.5%，现被广泛用于宾馆、旅游、医院、食品加工行业、家庭等的卫生消毒。</w:t>
            </w:r>
          </w:p>
          <w:p>
            <w:pPr>
              <w:autoSpaceDE w:val="0"/>
              <w:autoSpaceDN w:val="0"/>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酒精：</w:t>
            </w:r>
            <w:r>
              <w:rPr>
                <w:color w:val="000000" w:themeColor="text1"/>
                <w:kern w:val="0"/>
                <w:szCs w:val="21"/>
                <w14:textFill>
                  <w14:solidFill>
                    <w14:schemeClr w14:val="tx1"/>
                  </w14:solidFill>
                </w14:textFill>
              </w:rPr>
              <w:t>乙醇是一种有机化合物，结构简式为CH</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CH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OH，俗称酒精。分子量46.07，熔点-114.1℃，沸点78.3℃，密度0.79g/cm³(20℃)，闪点14.0℃(闭杯)，蒸气压5.333kPa(19℃)，爆炸极限3.3%-19%。乙醇在常温常压下是一种易挥发的无色透明液体，有芳香气味。与水混溶，可混溶于乙醚、氯仿、甘油、甲醇等多数有机溶剂。乙醇可用于制造醋酸、饮料、香精、染料、燃料等，医疗上常用体积分数为70%~75%的乙醇作消毒剂。乙醇在化学工业、医疗卫生、食品工业、农业生产等领域都有广泛的用途。</w:t>
            </w:r>
          </w:p>
          <w:p>
            <w:pPr>
              <w:autoSpaceDE w:val="0"/>
              <w:autoSpaceDN w:val="0"/>
              <w:adjustRightInd w:val="0"/>
              <w:snapToGrid w:val="0"/>
              <w:spacing w:line="360" w:lineRule="auto"/>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消毒粉：</w:t>
            </w:r>
            <w:r>
              <w:rPr>
                <w:color w:val="000000" w:themeColor="text1"/>
                <w:kern w:val="0"/>
                <w:szCs w:val="21"/>
                <w14:textFill>
                  <w14:solidFill>
                    <w14:schemeClr w14:val="tx1"/>
                  </w14:solidFill>
                </w14:textFill>
              </w:rPr>
              <w:t>消毒粉是一种活性氧消毒剂，其主要成分是单过硫酸氢钾复合粉，它是由单过硫酸氢钾与硫酸氢钾、硫酸钾结合成的复合盐，白色粉末状固体 无刺激性气体气味，易溶于水，强氧化性过氧化物，细胞壁、细胞质、细胞核三重破坏杀灭作用；有效活性成分浓度达7.0%~9.0%，与水体接触二十分钟就能有效杀菌，为非氯消毒消毒剂，通过活性新生态氧消毒最终代谢产物为对人体及环境无害的无机盐类，不产生三氯甲烷及其它有机卤代物，环保健康。</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项目使用消毒药剂明细如下表所示：</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项目使用消毒剂明细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2082"/>
              <w:gridCol w:w="2350"/>
              <w:gridCol w:w="122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类别及使用场所</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规格</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年消耗量</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最大</w:t>
                  </w:r>
                  <w:r>
                    <w:rPr>
                      <w:color w:val="000000" w:themeColor="text1"/>
                      <w:sz w:val="18"/>
                      <w:szCs w:val="18"/>
                      <w14:textFill>
                        <w14:solidFill>
                          <w14:schemeClr w14:val="tx1"/>
                        </w14:solidFill>
                      </w14:textFill>
                    </w:rPr>
                    <w:t>存储量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75%酒精</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医疗消毒</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医院场所消毒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500mL/瓶</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5600瓶</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500瓶</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（约0.2t）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84消毒液</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医院场所消毒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00mL/瓶</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1100瓶</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100瓶</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（约0.04t）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消毒粉</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（单过硫酸氢钾复合粉）</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污水处理排放口</w:t>
                  </w:r>
                  <w:r>
                    <w:rPr>
                      <w:color w:val="000000" w:themeColor="text1"/>
                      <w:sz w:val="18"/>
                      <w:szCs w:val="18"/>
                      <w14:textFill>
                        <w14:solidFill>
                          <w14:schemeClr w14:val="tx1"/>
                        </w14:solidFill>
                      </w14:textFill>
                    </w:rPr>
                    <w:t>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0kg/袋</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0.15t</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0.03t</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7、主要设备</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14:textFill>
                  <w14:solidFill>
                    <w14:schemeClr w14:val="tx1"/>
                  </w14:solidFill>
                </w14:textFill>
              </w:rPr>
              <w:t>项目主要医疗设备情况</w:t>
            </w:r>
            <w:r>
              <w:rPr>
                <w:color w:val="000000" w:themeColor="text1"/>
                <w:kern w:val="0"/>
                <w:szCs w:val="21"/>
                <w14:textFill>
                  <w14:solidFill>
                    <w14:schemeClr w14:val="tx1"/>
                  </w14:solidFill>
                </w14:textFill>
              </w:rPr>
              <w:t>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4</w:t>
            </w:r>
            <w:r>
              <w:rPr>
                <w:b/>
                <w:bCs/>
                <w:color w:val="000000" w:themeColor="text1"/>
                <w:kern w:val="0"/>
                <w:szCs w:val="21"/>
                <w14:textFill>
                  <w14:solidFill>
                    <w14:schemeClr w14:val="tx1"/>
                  </w14:solidFill>
                </w14:textFill>
              </w:rPr>
              <w:t xml:space="preserve">  项目主要设备一览表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649"/>
              <w:gridCol w:w="2481"/>
              <w:gridCol w:w="141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设备名称</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型号</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数量（台）</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口腔牙椅</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安乐398-hg</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口腔三合一X光机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放射科摄影诊断X光机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GE16排CT</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GE16排</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全自动血细胞分析仪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迈瑞5380</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全自动凝血分析仪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众驰1000e</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全自动化学发光分析仪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新产业4000plus</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全自动生化分析仪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迪瑞600B</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12道心电图机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动态心电图</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GE彩超</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C9</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病床</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 w:type="pct"/>
                  <w:gridSpan w:val="5"/>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备注：辐射设备需要单独进行辐射环评，不在本次环境影响评价范围内。</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8、公用工程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8.1给排水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（1）给水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项目手术室主要进行口腔种植、口腔正畸、口腔修复等口腔类专科手术，无相关用水环节；</w:t>
            </w:r>
            <w:r>
              <w:rPr>
                <w:color w:val="000000" w:themeColor="text1"/>
                <w:kern w:val="0"/>
                <w:szCs w:val="21"/>
                <w14:textFill>
                  <w14:solidFill>
                    <w14:schemeClr w14:val="tx1"/>
                  </w14:solidFill>
                </w14:textFill>
              </w:rPr>
              <w:t>项目用水环节主要为医务人员用水、病房用水、门诊用水、牙椅诊疗用水、洗衣房用水、绿化用水及</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用水等。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1）医务人员用水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医院内医务人员总数约156人</w:t>
            </w:r>
            <w:r>
              <w:rPr>
                <w:rFonts w:hint="eastAsia"/>
                <w:color w:val="000000" w:themeColor="text1"/>
                <w:kern w:val="0"/>
                <w:szCs w:val="21"/>
                <w14:textFill>
                  <w14:solidFill>
                    <w14:schemeClr w14:val="tx1"/>
                  </w14:solidFill>
                </w14:textFill>
              </w:rPr>
              <w:t>，其中住院部医护人员6人，门诊及诊疗部门医务人员150人。</w:t>
            </w:r>
            <w:r>
              <w:rPr>
                <w:color w:val="000000" w:themeColor="text1"/>
                <w:kern w:val="0"/>
                <w:szCs w:val="21"/>
                <w14:textFill>
                  <w14:solidFill>
                    <w14:schemeClr w14:val="tx1"/>
                  </w14:solidFill>
                </w14:textFill>
              </w:rPr>
              <w:t>参考《建筑给水排水设计标准》（GB50015-2019），住院部医务人员生活用水定额按照</w:t>
            </w:r>
            <w:r>
              <w:rPr>
                <w:rFonts w:hint="eastAsia"/>
                <w:color w:val="000000" w:themeColor="text1"/>
                <w:kern w:val="0"/>
                <w:szCs w:val="21"/>
                <w14:textFill>
                  <w14:solidFill>
                    <w14:schemeClr w14:val="tx1"/>
                  </w14:solidFill>
                </w14:textFill>
              </w:rPr>
              <w:t>200</w:t>
            </w:r>
            <w:r>
              <w:rPr>
                <w:color w:val="000000" w:themeColor="text1"/>
                <w:kern w:val="0"/>
                <w:szCs w:val="21"/>
                <w14:textFill>
                  <w14:solidFill>
                    <w14:schemeClr w14:val="tx1"/>
                  </w14:solidFill>
                </w14:textFill>
              </w:rPr>
              <w:t>L/人•d计算，</w:t>
            </w:r>
            <w:r>
              <w:rPr>
                <w:rFonts w:hint="eastAsia"/>
                <w:color w:val="000000" w:themeColor="text1"/>
                <w:kern w:val="0"/>
                <w:szCs w:val="21"/>
                <w14:textFill>
                  <w14:solidFill>
                    <w14:schemeClr w14:val="tx1"/>
                  </w14:solidFill>
                </w14:textFill>
              </w:rPr>
              <w:t>门诊及诊疗部门</w:t>
            </w:r>
            <w:r>
              <w:rPr>
                <w:color w:val="000000" w:themeColor="text1"/>
                <w:kern w:val="0"/>
                <w:szCs w:val="21"/>
                <w14:textFill>
                  <w14:solidFill>
                    <w14:schemeClr w14:val="tx1"/>
                  </w14:solidFill>
                </w14:textFill>
              </w:rPr>
              <w:t>员工生活用水定额按照80L/人•d计算，则用水量4</w:t>
            </w:r>
            <w:r>
              <w:rPr>
                <w:rFonts w:hint="eastAsia"/>
                <w:color w:val="000000" w:themeColor="text1"/>
                <w:kern w:val="0"/>
                <w:szCs w:val="21"/>
                <w14:textFill>
                  <w14:solidFill>
                    <w14:schemeClr w14:val="tx1"/>
                  </w14:solidFill>
                </w14:textFill>
              </w:rPr>
              <w:t>818</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2）病房用水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项目病床数量约55床，本项目已建成投运，根据企业提供统计资料及历年来实际情况，口腔医院患者多为市区及周边患者，定期复诊，无需住院治疗</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投运多年以来院区病房床位常年利用率</w:t>
            </w:r>
            <w:r>
              <w:rPr>
                <w:rFonts w:hint="eastAsia"/>
                <w:color w:val="000000" w:themeColor="text1"/>
                <w:sz w:val="21"/>
                <w:szCs w:val="21"/>
                <w14:textFill>
                  <w14:solidFill>
                    <w14:schemeClr w14:val="tx1"/>
                  </w14:solidFill>
                </w14:textFill>
              </w:rPr>
              <w:t>较低</w:t>
            </w:r>
            <w:r>
              <w:rPr>
                <w:color w:val="000000" w:themeColor="text1"/>
                <w:sz w:val="21"/>
                <w:szCs w:val="21"/>
                <w14:textFill>
                  <w14:solidFill>
                    <w14:schemeClr w14:val="tx1"/>
                  </w14:solidFill>
                </w14:textFill>
              </w:rPr>
              <w:t>，本次评价统计病房多年来实际用水情况</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根据院方提供实际用水量数据</w:t>
            </w:r>
            <w:r>
              <w:rPr>
                <w:rFonts w:hint="eastAsia"/>
                <w:color w:val="000000" w:themeColor="text1"/>
                <w:sz w:val="21"/>
                <w:szCs w:val="21"/>
                <w14:textFill>
                  <w14:solidFill>
                    <w14:schemeClr w14:val="tx1"/>
                  </w14:solidFill>
                </w14:textFill>
              </w:rPr>
              <w:t>，病房用水量最大为2.75m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/d，合计1003.75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3）门诊用水</w:t>
            </w:r>
          </w:p>
          <w:p>
            <w:pPr>
              <w:pStyle w:val="55"/>
              <w:spacing w:line="360" w:lineRule="auto"/>
              <w:ind w:firstLine="420" w:firstLineChars="200"/>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门诊病人的就诊量约300人次/d，参考</w:t>
            </w:r>
            <w:r>
              <w:rPr>
                <w:rFonts w:ascii="Times New Roman" w:cs="Times New Roman"/>
                <w:bCs/>
                <w:color w:val="000000" w:themeColor="text1"/>
                <w:sz w:val="21"/>
                <w:szCs w:val="21"/>
                <w14:textFill>
                  <w14:solidFill>
                    <w14:schemeClr w14:val="tx1"/>
                  </w14:solidFill>
                </w14:textFill>
              </w:rPr>
              <w:t>《建筑给水排水设计标准》（GB50015-2019），</w:t>
            </w:r>
            <w:r>
              <w:rPr>
                <w:rFonts w:ascii="Times New Roman" w:cs="Times New Roman"/>
                <w:color w:val="000000" w:themeColor="text1"/>
                <w:sz w:val="21"/>
                <w:szCs w:val="21"/>
                <w14:textFill>
                  <w14:solidFill>
                    <w14:schemeClr w14:val="tx1"/>
                  </w14:solidFill>
                </w14:textFill>
              </w:rPr>
              <w:t>门诊病人用水定额按照每人10L/人次计算，用水量为1095m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4）牙椅诊疗用水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牙椅数量40把，牙椅诊疗用水量按100L/把•d计算，则牙椅诊疗用水量约4m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/d，即1460m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/a，该部分用水采用外购纯水；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5）洗衣房用水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定期更换的床单、被罩、病号服、医务人员无尘服等均外委清洗，不在本项目洗衣房内清洗；医院洗衣房设有1台洗衣机，清洗能力较小，只为方便值班医护人员的日常衣物换洗，每日清洗量约为5kg干衣物，参考《建筑给水排水设计标准》（GB50015-2019），洗衣房用水量取80L/kg干衣，则项目洗衣房用水量为0.4</w:t>
            </w: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/d，即146m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6）绿化用水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院内绿化面积约为200m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，绿化用水取2L/m</w:t>
            </w:r>
            <w:r>
              <w:rPr>
                <w:color w:val="000000" w:themeColor="text1"/>
                <w:kern w:val="0"/>
                <w:szCs w:val="21"/>
                <w:vertAlign w:val="superscript"/>
                <w14:textFill>
                  <w14:solidFill>
                    <w14:schemeClr w14:val="tx1"/>
                  </w14:solidFill>
                </w14:textFill>
              </w:rPr>
              <w:t>2</w:t>
            </w:r>
            <w:r>
              <w:rPr>
                <w:color w:val="000000" w:themeColor="text1"/>
                <w:szCs w:val="21"/>
                <w14:textFill>
                  <w14:solidFill>
                    <w14:schemeClr w14:val="tx1"/>
                  </w14:solidFill>
                </w14:textFill>
              </w:rPr>
              <w:t>•d；全年绿化天数取150天，则绿化用水量为60m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7）清洁</w:t>
            </w:r>
            <w:r>
              <w:rPr>
                <w:rFonts w:hint="eastAsia"/>
                <w:color w:val="000000" w:themeColor="text1"/>
                <w:kern w:val="0"/>
                <w:szCs w:val="21"/>
                <w14:textFill>
                  <w14:solidFill>
                    <w14:schemeClr w14:val="tx1"/>
                  </w14:solidFill>
                </w14:textFill>
              </w:rPr>
              <w:t>消毒用水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医院每天定期对病房及主要通道进行清洁消毒，主要使用84消毒液、75%酒精进行消毒</w:t>
            </w:r>
            <w:r>
              <w:rPr>
                <w:color w:val="000000" w:themeColor="text1"/>
                <w:kern w:val="0"/>
                <w:szCs w:val="21"/>
                <w14:textFill>
                  <w14:solidFill>
                    <w14:schemeClr w14:val="tx1"/>
                  </w14:solidFill>
                </w14:textFill>
              </w:rPr>
              <w:t>，其中</w:t>
            </w:r>
            <w:r>
              <w:rPr>
                <w:rFonts w:hint="eastAsia"/>
                <w:color w:val="000000" w:themeColor="text1"/>
                <w:kern w:val="0"/>
                <w:szCs w:val="21"/>
                <w14:textFill>
                  <w14:solidFill>
                    <w14:schemeClr w14:val="tx1"/>
                  </w14:solidFill>
                </w14:textFill>
              </w:rPr>
              <w:t>75%酒精消毒为直喷式消毒方式，不需要水配置消毒液；84消毒液</w:t>
            </w:r>
            <w:r>
              <w:rPr>
                <w:color w:val="000000" w:themeColor="text1"/>
                <w:kern w:val="0"/>
                <w:szCs w:val="21"/>
                <w14:textFill>
                  <w14:solidFill>
                    <w14:schemeClr w14:val="tx1"/>
                  </w14:solidFill>
                </w14:textFill>
              </w:rPr>
              <w:t>消毒分为喷雾</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湿拖两种方式</w:t>
            </w:r>
            <w:r>
              <w:rPr>
                <w:rFonts w:hint="eastAsia"/>
                <w:color w:val="000000" w:themeColor="text1"/>
                <w:kern w:val="0"/>
                <w:szCs w:val="21"/>
                <w14:textFill>
                  <w14:solidFill>
                    <w14:schemeClr w14:val="tx1"/>
                  </w14:solidFill>
                </w14:textFill>
              </w:rPr>
              <w:t>，其中湿拖方式产生消毒废水，消毒废水经洗涮池收集至管道。84消毒液需稀释使用，84</w:t>
            </w:r>
            <w:r>
              <w:rPr>
                <w:color w:val="000000" w:themeColor="text1"/>
                <w:kern w:val="0"/>
                <w:szCs w:val="21"/>
                <w14:textFill>
                  <w14:solidFill>
                    <w14:schemeClr w14:val="tx1"/>
                  </w14:solidFill>
                </w14:textFill>
              </w:rPr>
              <w:t>消毒液</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水配置比例为</w:t>
            </w:r>
            <w:r>
              <w:rPr>
                <w:rFonts w:hint="eastAsia"/>
                <w:color w:val="000000" w:themeColor="text1"/>
                <w:kern w:val="0"/>
                <w:szCs w:val="21"/>
                <w14:textFill>
                  <w14:solidFill>
                    <w14:schemeClr w14:val="tx1"/>
                  </w14:solidFill>
                </w14:textFill>
              </w:rPr>
              <w:t>1:100，项目84消毒液消耗量为1100瓶/400mL，则消毒用水量为44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；日常清洁用水量按3m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/d计，则清洁消毒总用水量为1139m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为专科口腔医院</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不设传染病房，医院使用的影像设备现状为电子打印，不涉及洗印工序，无洗印废水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故不涉及重金属废水排放</w:t>
            </w:r>
            <w:r>
              <w:rPr>
                <w:rFonts w:hint="eastAsia"/>
                <w:color w:val="000000" w:themeColor="text1"/>
                <w:kern w:val="0"/>
                <w:szCs w:val="21"/>
                <w14:textFill>
                  <w14:solidFill>
                    <w14:schemeClr w14:val="tx1"/>
                  </w14:solidFill>
                </w14:textFill>
              </w:rPr>
              <w:t>；项目只进行牙科相关诊疗，无酸性废水、含氰废水、含汞废水、含铬废水等特殊废水产生</w:t>
            </w:r>
            <w:r>
              <w:rPr>
                <w:color w:val="000000" w:themeColor="text1"/>
                <w:kern w:val="0"/>
                <w:szCs w:val="21"/>
                <w14:textFill>
                  <w14:solidFill>
                    <w14:schemeClr w14:val="tx1"/>
                  </w14:solidFill>
                </w14:textFill>
              </w:rPr>
              <w:t>。</w:t>
            </w:r>
          </w:p>
          <w:p>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 xml:space="preserve">  项目用水标准及用水量一览表</w:t>
            </w:r>
          </w:p>
          <w:tbl>
            <w:tblPr>
              <w:tblStyle w:val="2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45"/>
              <w:gridCol w:w="1714"/>
              <w:gridCol w:w="1199"/>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用水部门</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用水量标准</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用水单位数</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日用水量（t/d）</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年用水量（t/a）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592"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80L/人•d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人</w:t>
                  </w:r>
                </w:p>
              </w:tc>
              <w:tc>
                <w:tcPr>
                  <w:tcW w:w="1443"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13.2</w:t>
                  </w:r>
                </w:p>
              </w:tc>
              <w:tc>
                <w:tcPr>
                  <w:tcW w:w="1443"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592"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r>
                    <w:rPr>
                      <w:color w:val="000000" w:themeColor="text1"/>
                      <w:sz w:val="18"/>
                      <w:szCs w:val="18"/>
                      <w14:textFill>
                        <w14:solidFill>
                          <w14:schemeClr w14:val="tx1"/>
                        </w14:solidFill>
                      </w14:textFill>
                    </w:rPr>
                    <w:t>L/人•d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6人</w:t>
                  </w:r>
                </w:p>
              </w:tc>
              <w:tc>
                <w:tcPr>
                  <w:tcW w:w="1443"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1443"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250L/床•d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r>
                    <w:rPr>
                      <w:color w:val="000000" w:themeColor="text1"/>
                      <w:sz w:val="18"/>
                      <w:szCs w:val="18"/>
                      <w14:textFill>
                        <w14:solidFill>
                          <w14:schemeClr w14:val="tx1"/>
                        </w14:solidFill>
                      </w14:textFill>
                    </w:rPr>
                    <w:t>床</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2.75</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10L/人次</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300人次</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牙椅用水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100L/把•d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40把</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80L/kg干衣</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5kg</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绿化用水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2L/m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200m</w:t>
                  </w:r>
                  <w:r>
                    <w:rPr>
                      <w:color w:val="000000" w:themeColor="text1"/>
                      <w:sz w:val="18"/>
                      <w:szCs w:val="18"/>
                      <w:vertAlign w:val="superscript"/>
                      <w14:textFill>
                        <w14:solidFill>
                          <w14:schemeClr w14:val="tx1"/>
                        </w14:solidFill>
                      </w14:textFill>
                    </w:rPr>
                    <w:t>2</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清洁消毒用水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550" w:type="dxa"/>
                  <w:gridSpan w:val="4"/>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9721.75</w:t>
                  </w:r>
                </w:p>
              </w:tc>
            </w:tr>
          </w:tbl>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262.65pt;width:419.0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napToGrid w:val="0"/>
              <w:jc w:val="center"/>
              <w:rPr>
                <w:b/>
                <w:color w:val="000000" w:themeColor="text1"/>
                <w:spacing w:val="-4"/>
                <w14:textFill>
                  <w14:solidFill>
                    <w14:schemeClr w14:val="tx1"/>
                  </w14:solidFill>
                </w14:textFill>
              </w:rPr>
            </w:pPr>
            <w:r>
              <w:rPr>
                <w:b/>
                <w:color w:val="000000" w:themeColor="text1"/>
                <w:spacing w:val="-4"/>
                <w14:textFill>
                  <w14:solidFill>
                    <w14:schemeClr w14:val="tx1"/>
                  </w14:solidFill>
                </w14:textFill>
              </w:rPr>
              <w:t>图2-1  水平衡示意图（m</w:t>
            </w:r>
            <w:r>
              <w:rPr>
                <w:b/>
                <w:color w:val="000000" w:themeColor="text1"/>
                <w:spacing w:val="-4"/>
                <w:vertAlign w:val="superscript"/>
                <w14:textFill>
                  <w14:solidFill>
                    <w14:schemeClr w14:val="tx1"/>
                  </w14:solidFill>
                </w14:textFill>
              </w:rPr>
              <w:t>3</w:t>
            </w:r>
            <w:r>
              <w:rPr>
                <w:b/>
                <w:color w:val="000000" w:themeColor="text1"/>
                <w:spacing w:val="-4"/>
                <w14:textFill>
                  <w14:solidFill>
                    <w14:schemeClr w14:val="tx1"/>
                  </w14:solidFill>
                </w14:textFill>
              </w:rPr>
              <w:t>/a）</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（2）排水</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项目采用雨污分流。项目废水产生量按用水环节用水量的80%计，则污水产生量为</w:t>
            </w:r>
            <w:r>
              <w:rPr>
                <w:rFonts w:hint="eastAsia"/>
                <w:color w:val="000000" w:themeColor="text1"/>
                <w:kern w:val="0"/>
                <w:szCs w:val="21"/>
                <w14:textFill>
                  <w14:solidFill>
                    <w14:schemeClr w14:val="tx1"/>
                  </w14:solidFill>
                </w14:textFill>
              </w:rPr>
              <w:t>7729.4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/a，污水收集方式为管道收集</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污水外排量为</w:t>
            </w:r>
            <w:r>
              <w:rPr>
                <w:rFonts w:hint="eastAsia"/>
                <w:color w:val="000000" w:themeColor="text1"/>
                <w:kern w:val="0"/>
                <w:szCs w:val="21"/>
                <w14:textFill>
                  <w14:solidFill>
                    <w14:schemeClr w14:val="tx1"/>
                  </w14:solidFill>
                </w14:textFill>
              </w:rPr>
              <w:t>7729.4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/a，经院内污水处理站处理后排入市政污水管网，经管网排入光大水务（淄博）有限公司三分厂深化处理。</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8.2供电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医院用电量为10万kWh/a，由张店区供电电网提供。</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9、总平面布置</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病房综合楼位于院区中部，为</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层建筑；国医堂病位于房综合楼东侧，为二层建筑；仓库位于园区东北角，为二层建筑；配电室、一般固废间、杂物仓库位于院区西北角，为二层建筑；危废间位于国医堂东侧，为一层建筑；污水处理站位于院区西南角，为地下建筑；园区出入口位于南侧，与外部道路新村西路相连通。</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项目具体布置情况见附图2。</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10、环保投资</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本项目总投资2769.06万，环保投资30万，占工程总投资的1.1%，环保建设内容见下表。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6</w:t>
            </w:r>
            <w:r>
              <w:rPr>
                <w:b/>
                <w:bCs/>
                <w:color w:val="000000" w:themeColor="text1"/>
                <w:kern w:val="0"/>
                <w:szCs w:val="21"/>
                <w14:textFill>
                  <w14:solidFill>
                    <w14:schemeClr w14:val="tx1"/>
                  </w14:solidFill>
                </w14:textFill>
              </w:rPr>
              <w:t xml:space="preserve">  工程环保设施（措施）及投资估算一览表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4"/>
              <w:gridCol w:w="1164"/>
              <w:gridCol w:w="4048"/>
              <w:gridCol w:w="1390"/>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项目名称</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处理方式</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投资（万元）</w:t>
                  </w:r>
                </w:p>
              </w:tc>
              <w:tc>
                <w:tcPr>
                  <w:tcW w:w="115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三同时进度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采用地埋式污水站，加盖密闭，投放除臭剂</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51"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与建设项目同时设计、同时施工、同时投产使用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隔声、减振</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一般工业固体废物及医疗废物收集、贮存及处理；防渗处理</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污水管网</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污水处理站建设及防渗处理</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bl>
          <w:p>
            <w:pPr>
              <w:adjustRightInd w:val="0"/>
              <w:snapToGrid w:val="0"/>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工艺流程和产物环节</w:t>
            </w:r>
          </w:p>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tc>
        <w:tc>
          <w:tcPr>
            <w:tcW w:w="4766" w:type="pct"/>
          </w:tcPr>
          <w:p>
            <w:pPr>
              <w:adjustRightInd w:val="0"/>
              <w:snapToGrid w:val="0"/>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t>1、工</w:t>
            </w:r>
            <w:r>
              <w:rPr>
                <w:color w:val="000000" w:themeColor="text1"/>
                <w:szCs w:val="21"/>
                <w14:textFill>
                  <w14:solidFill>
                    <w14:schemeClr w14:val="tx1"/>
                  </w14:solidFill>
                </w14:textFill>
              </w:rPr>
              <w:t>艺流程</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（1）就医流程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项目运营期主要对病人进行医治，具体内容为：病人进入医院挂号后经医生诊断病情，并根据病情进行治疗，缴费取药后治疗，如有需要则住院治疗。具体工艺流程及主要产污情况见图4。</w:t>
            </w:r>
          </w:p>
          <w:p>
            <w:pPr>
              <w:adjustRightInd w:val="0"/>
              <w:snapToGrid w:val="0"/>
              <w:jc w:val="center"/>
              <w:rPr>
                <w:b/>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284.3pt;width:424.1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r>
              <w:rPr>
                <w:b/>
                <w:color w:val="000000" w:themeColor="text1"/>
                <w14:textFill>
                  <w14:solidFill>
                    <w14:schemeClr w14:val="tx1"/>
                  </w14:solidFill>
                </w14:textFill>
              </w:rPr>
              <w:t>图2-2  项目运营期工艺流程及产污环节图</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（1）工艺流程简述</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为社会服务项目，非生产性项目，运营期为口腔科诊疗服务，主要流程入下：病患者来门诊部就医挂号咨询后接受检查和诊断，包括检查口唇、口腔黏膜、牙齿、牙周等相关情况，重点关注与病人陈述有关的口腔部位。不需要治疗的患者取药后即可离院；需要治疗的患者进行治疗、手术，主要包括根管治疗填充术、牙拔除术、牙种植术、固定矫治术等口腔治疗过程。患者完成治疗、手术后即可取药离院；如患者需要住院治疗，则安排住院登记手续，待康复即可取药离院。</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本项目所使用的补牙材料不含汞、铬等重金属元素，无重金属污染问题。</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本项目不开设传染病科，不设置动物及生物实验室、煎药室等。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有关放射性医疗设备对环境的影响，需例行申报，不在本次评价范围内。</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（3）产污环节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产污环节见下表。</w:t>
            </w:r>
          </w:p>
          <w:p>
            <w:pPr>
              <w:jc w:val="center"/>
              <w:rPr>
                <w:rStyle w:val="68"/>
                <w:rFonts w:hint="default" w:ascii="Times New Roman" w:hAnsi="Times New Roman" w:eastAsia="宋体" w:cs="Times New Roman"/>
                <w:color w:val="000000" w:themeColor="text1"/>
                <w:sz w:val="21"/>
                <w:szCs w:val="21"/>
                <w:lang w:bidi="ar"/>
                <w14:textFill>
                  <w14:solidFill>
                    <w14:schemeClr w14:val="tx1"/>
                  </w14:solidFill>
                </w14:textFill>
              </w:rPr>
            </w:pPr>
            <w:r>
              <w:rPr>
                <w:rStyle w:val="68"/>
                <w:rFonts w:hint="default" w:ascii="Times New Roman" w:hAnsi="Times New Roman" w:eastAsia="宋体" w:cs="Times New Roman"/>
                <w:color w:val="000000" w:themeColor="text1"/>
                <w:sz w:val="21"/>
                <w:szCs w:val="21"/>
                <w:lang w:bidi="ar"/>
                <w14:textFill>
                  <w14:solidFill>
                    <w14:schemeClr w14:val="tx1"/>
                  </w14:solidFill>
                </w14:textFill>
              </w:rPr>
              <w:t>表2-7  产污环节一览表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537"/>
              <w:gridCol w:w="1717"/>
              <w:gridCol w:w="1221"/>
              <w:gridCol w:w="1759"/>
              <w:gridCol w:w="7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产污环节</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04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治理措施</w:t>
                  </w:r>
                </w:p>
              </w:tc>
              <w:tc>
                <w:tcPr>
                  <w:tcW w:w="468"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914"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1021"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S、臭气浓度等</w:t>
                  </w:r>
                </w:p>
              </w:tc>
              <w:tc>
                <w:tcPr>
                  <w:tcW w:w="104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地埋式污水站</w:t>
                  </w:r>
                </w:p>
              </w:tc>
              <w:tc>
                <w:tcPr>
                  <w:tcW w:w="468"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无组织排放</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医务人员生活污水</w:t>
                  </w:r>
                </w:p>
              </w:tc>
              <w:tc>
                <w:tcPr>
                  <w:tcW w:w="72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CODcr、BOD</w:t>
                  </w:r>
                  <w:r>
                    <w:rPr>
                      <w:color w:val="000000" w:themeColor="text1"/>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 xml:space="preserve"> 、氨氮、SS</w:t>
                  </w:r>
                  <w:r>
                    <w:rPr>
                      <w:rFonts w:hint="eastAsia"/>
                      <w:color w:val="000000" w:themeColor="text1"/>
                      <w:sz w:val="18"/>
                      <w:szCs w:val="18"/>
                      <w14:textFill>
                        <w14:solidFill>
                          <w14:schemeClr w14:val="tx1"/>
                        </w14:solidFill>
                      </w14:textFill>
                    </w:rPr>
                    <w:t>、粪</w:t>
                  </w:r>
                  <w:r>
                    <w:rPr>
                      <w:color w:val="000000" w:themeColor="text1"/>
                      <w:sz w:val="18"/>
                      <w:szCs w:val="18"/>
                      <w14:textFill>
                        <w14:solidFill>
                          <w14:schemeClr w14:val="tx1"/>
                        </w14:solidFill>
                      </w14:textFill>
                    </w:rPr>
                    <w:t>大肠菌群</w:t>
                  </w:r>
                  <w:r>
                    <w:rPr>
                      <w:rFonts w:hint="eastAsia"/>
                      <w:color w:val="000000" w:themeColor="text1"/>
                      <w:sz w:val="18"/>
                      <w:szCs w:val="18"/>
                      <w14:textFill>
                        <w14:solidFill>
                          <w14:schemeClr w14:val="tx1"/>
                        </w14:solidFill>
                      </w14:textFill>
                    </w:rPr>
                    <w:t>、总磷、阴离子表面活性剂、余氯、氟化物等</w:t>
                  </w:r>
                </w:p>
              </w:tc>
              <w:tc>
                <w:tcPr>
                  <w:tcW w:w="104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厂区内设置污水处理站，采用“格栅+调节池+水解酸化池+接触氧化池+沉淀池+消毒池”工艺</w:t>
                  </w:r>
                </w:p>
              </w:tc>
              <w:tc>
                <w:tcPr>
                  <w:tcW w:w="468"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587"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牙椅医疗废水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清洁消毒用水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集中收集外售综合利用</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1514" w:type="pct"/>
                  <w:gridSpan w:val="2"/>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危废间暂存后，委托有资质单位处置</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514"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514"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环卫部门定期清运</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噪音</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医疗设备</w:t>
                  </w:r>
                  <w:r>
                    <w:rPr>
                      <w:rStyle w:val="32"/>
                      <w:color w:val="000000" w:themeColor="text1"/>
                      <w:kern w:val="0"/>
                      <w:szCs w:val="20"/>
                      <w14:textFill>
                        <w14:solidFill>
                          <w14:schemeClr w14:val="tx1"/>
                        </w14:solidFill>
                      </w14:textFill>
                    </w:rPr>
                    <w:t>、泵类</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dB(A)</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隔声、减振等常见措施</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bl>
          <w:p>
            <w:pPr>
              <w:autoSpaceDE w:val="0"/>
              <w:autoSpaceDN w:val="0"/>
              <w:adjustRightInd w:val="0"/>
              <w:snapToGrid w:val="0"/>
              <w:spacing w:line="360" w:lineRule="auto"/>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bCs/>
                <w:color w:val="000000" w:themeColor="text1"/>
                <w:kern w:val="2"/>
                <w:sz w:val="21"/>
                <w:szCs w:val="21"/>
                <w14:textFill>
                  <w14:solidFill>
                    <w14:schemeClr w14:val="tx1"/>
                  </w14:solidFill>
                </w14:textFill>
              </w:rPr>
              <w:t>与项目有关的原有环境污染问题</w:t>
            </w:r>
          </w:p>
        </w:tc>
        <w:tc>
          <w:tcPr>
            <w:tcW w:w="4766" w:type="pct"/>
          </w:tcPr>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院区四周现状南侧为新村西路，东侧沿街商业建筑，西侧为沿街商业建筑，北侧为天府清华园。与项目有关的原有污染问题主要是本项目现有的污染排放情况，具体如下：</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1、项目环保手续情况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本项目已建成，未编制建设项目环境影响报告表，本次评价为补办环评。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淄博市张店区第二人民医院（淄博口腔医院）已进行固定污染源排污登记，登记编号：1237030349322452X1001W，有效期：2020年12月7日至2025年12月6日。</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2、污染物排放情况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（1）废气</w:t>
            </w:r>
          </w:p>
          <w:p>
            <w:pPr>
              <w:pStyle w:val="2"/>
              <w:spacing w:after="0" w:line="360" w:lineRule="auto"/>
              <w:ind w:left="0" w:leftChars="0"/>
              <w:rPr>
                <w:color w:val="000000" w:themeColor="text1"/>
                <w:kern w:val="2"/>
                <w:sz w:val="21"/>
                <w:szCs w:val="24"/>
                <w14:textFill>
                  <w14:solidFill>
                    <w14:schemeClr w14:val="tx1"/>
                  </w14:solidFill>
                </w14:textFill>
              </w:rPr>
            </w:pPr>
            <w:r>
              <w:rPr>
                <w:color w:val="000000" w:themeColor="text1"/>
                <w:sz w:val="21"/>
                <w:szCs w:val="21"/>
                <w14:textFill>
                  <w14:solidFill>
                    <w14:schemeClr w14:val="tx1"/>
                  </w14:solidFill>
                </w14:textFill>
              </w:rPr>
              <w:t>本项目废气主要为污水处理站臭气，污水处理站为地埋式，产生恶臭气体无组织排放。</w:t>
            </w:r>
            <w:r>
              <w:rPr>
                <w:color w:val="000000" w:themeColor="text1"/>
                <w:kern w:val="2"/>
                <w:sz w:val="21"/>
                <w:szCs w:val="24"/>
                <w14:textFill>
                  <w14:solidFill>
                    <w14:schemeClr w14:val="tx1"/>
                  </w14:solidFill>
                </w14:textFill>
              </w:rPr>
              <w:t>山东众益源环境检测有限公司于2022年8月10日对院区无组织废气进行监测，监测数据见下表。</w:t>
            </w:r>
          </w:p>
          <w:p>
            <w:pPr>
              <w:jc w:val="center"/>
              <w:rPr>
                <w:color w:val="000000" w:themeColor="text1"/>
                <w:sz w:val="24"/>
                <w14:textFill>
                  <w14:solidFill>
                    <w14:schemeClr w14:val="tx1"/>
                  </w14:solidFill>
                </w14:textFill>
              </w:rPr>
            </w:pPr>
            <w:r>
              <w:rPr>
                <w:b/>
                <w:color w:val="000000" w:themeColor="text1"/>
                <w14:textFill>
                  <w14:solidFill>
                    <w14:schemeClr w14:val="tx1"/>
                  </w14:solidFill>
                </w14:textFill>
              </w:rPr>
              <w:t>表2-</w:t>
            </w: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 xml:space="preserve">  无组织废气监测结果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120"/>
              <w:gridCol w:w="212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氨(mg/m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硫化氢(mg/m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0.009</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rPr>
                <w:b/>
                <w:bCs/>
                <w:color w:val="000000" w:themeColor="text1"/>
                <w14:textFill>
                  <w14:solidFill>
                    <w14:schemeClr w14:val="tx1"/>
                  </w14:solidFill>
                </w14:textFill>
              </w:rPr>
            </w:pPr>
            <w:r>
              <w:rPr>
                <w:color w:val="000000" w:themeColor="text1"/>
                <w:szCs w:val="21"/>
                <w14:textFill>
                  <w14:solidFill>
                    <w14:schemeClr w14:val="tx1"/>
                  </w14:solidFill>
                </w14:textFill>
              </w:rPr>
              <w:t>根据上表可知，本项目污染物排放浓度可以满足《山东省医疗机构污染物排放控制标准》（DB37/596-2020）中表2污水处理站周边大气污染物最高允许浓度限值（氨0.2mg/m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、硫化氢0.02mg/m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，臭气浓度10无量纲）。</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（2）废水</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淄博圆通环境检测有限公司于2021年3月28日对污水处理站废水排放口进行现状监测并出具监测报告（监测报告编号：YTHW字第（202203258）号），具体结果见表2-8。</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9</w:t>
            </w:r>
            <w:r>
              <w:rPr>
                <w:b/>
                <w:bCs/>
                <w:color w:val="000000" w:themeColor="text1"/>
                <w:kern w:val="0"/>
                <w:szCs w:val="21"/>
                <w14:textFill>
                  <w14:solidFill>
                    <w14:schemeClr w14:val="tx1"/>
                  </w14:solidFill>
                </w14:textFill>
              </w:rPr>
              <w:t xml:space="preserve">  污水处理站废水排放口监测结果一览表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1610"/>
              <w:gridCol w:w="1778"/>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检测项目</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现状浓度</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7.9</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色度</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倍</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动植物油</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挥发酚</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&lt;0.01</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志贺氏菌</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未检出</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沙门氏菌</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未检出</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二甲苯</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总α放射性</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&lt;4.3×10</w:t>
                  </w:r>
                  <w:r>
                    <w:rPr>
                      <w:color w:val="000000" w:themeColor="text1"/>
                      <w:sz w:val="18"/>
                      <w:szCs w:val="18"/>
                      <w:vertAlign w:val="superscript"/>
                      <w14:textFill>
                        <w14:solidFill>
                          <w14:schemeClr w14:val="tx1"/>
                        </w14:solidFill>
                      </w14:textFill>
                    </w:rPr>
                    <w:t>-2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总β放射性</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&lt;1.5×10</w:t>
                  </w:r>
                  <w:r>
                    <w:rPr>
                      <w:color w:val="000000" w:themeColor="text1"/>
                      <w:sz w:val="18"/>
                      <w:szCs w:val="18"/>
                      <w:vertAlign w:val="superscript"/>
                      <w14:textFill>
                        <w14:solidFill>
                          <w14:schemeClr w14:val="tx1"/>
                        </w14:solidFill>
                      </w14:textFill>
                    </w:rPr>
                    <w:t>-2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总有机碳</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17.8</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总氰化物</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&lt;0.001</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甲醛</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&lt;0.05</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0.59</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由上表可知，项目废水经污水处理站处理后，外排废水水质满足</w:t>
            </w:r>
            <w:r>
              <w:rPr>
                <w:color w:val="000000" w:themeColor="text1"/>
                <w:szCs w:val="21"/>
                <w14:textFill>
                  <w14:solidFill>
                    <w14:schemeClr w14:val="tx1"/>
                  </w14:solidFill>
                </w14:textFill>
              </w:rPr>
              <w:t>《山东省医疗机构污染物排放控制标准》（DB37/596-2020）二级标准要求</w:t>
            </w:r>
            <w:r>
              <w:rPr>
                <w:color w:val="000000" w:themeColor="text1"/>
                <w14:textFill>
                  <w14:solidFill>
                    <w14:schemeClr w14:val="tx1"/>
                  </w14:solidFill>
                </w14:textFill>
              </w:rPr>
              <w:t>。</w:t>
            </w:r>
          </w:p>
          <w:p>
            <w:pPr>
              <w:adjustRightInd w:val="0"/>
              <w:snapToGrid w:val="0"/>
              <w:spacing w:line="360" w:lineRule="auto"/>
              <w:ind w:firstLine="420" w:firstLineChars="200"/>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院区废水经污水处理站处理后通过DW001排放口进入市政污水管网后排入光大水务（淄博）有限公司三分厂。现有污水处理站处理工艺详见下图</w:t>
            </w:r>
            <w:r>
              <w:rPr>
                <w:rFonts w:hint="eastAsia"/>
                <w:color w:val="000000" w:themeColor="text1"/>
                <w:szCs w:val="21"/>
                <w:lang w:eastAsia="zh-CN"/>
                <w14:textFill>
                  <w14:solidFill>
                    <w14:schemeClr w14:val="tx1"/>
                  </w14:solidFill>
                </w14:textFill>
              </w:rPr>
              <w:t>。</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213225" cy="426275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4216626" cy="4265917"/>
                          </a:xfrm>
                          <a:prstGeom prst="rect">
                            <a:avLst/>
                          </a:prstGeom>
                        </pic:spPr>
                      </pic:pic>
                    </a:graphicData>
                  </a:graphic>
                </wp:inline>
              </w:drawing>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图2-3  污水处理工艺流程图</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（3）噪声</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山东众益源环境检测有限公司于2022年8月10日对院区厂界噪声进行了监测，项目厂界噪声监测结果见表2-</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表2-</w:t>
            </w:r>
            <w:r>
              <w:rPr>
                <w:rFonts w:hint="eastAsia"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 xml:space="preserve">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046"/>
              <w:gridCol w:w="775"/>
              <w:gridCol w:w="775"/>
              <w:gridCol w:w="833"/>
              <w:gridCol w:w="104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9"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 （Leq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项目东厂界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项目南厂界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项目西厂界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52.4</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43.5</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项目北厂界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由上表可知，项目厂界昼、夜声噪声均满足《工业企业厂界环境噪声排放标准》（GB12348-2008）中1类区标准要求。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（4）固废</w:t>
            </w:r>
          </w:p>
          <w:p>
            <w:pPr>
              <w:adjustRightInd w:val="0"/>
              <w:snapToGrid w:val="0"/>
              <w:spacing w:line="360" w:lineRule="auto"/>
              <w:ind w:firstLine="420" w:firstLineChars="2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本项目现状固体废物情况，如下表所示</w:t>
            </w:r>
            <w:r>
              <w:rPr>
                <w:rFonts w:hint="eastAsia"/>
                <w:color w:val="000000" w:themeColor="text1"/>
                <w:lang w:eastAsia="zh-CN"/>
                <w14:textFill>
                  <w14:solidFill>
                    <w14:schemeClr w14:val="tx1"/>
                  </w14:solidFill>
                </w14:textFill>
              </w:rPr>
              <w:t>。</w:t>
            </w: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表2-1</w:t>
            </w: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固体废物情况汇总表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869"/>
              <w:gridCol w:w="1416"/>
              <w:gridCol w:w="839"/>
              <w:gridCol w:w="1186"/>
              <w:gridCol w:w="630"/>
              <w:gridCol w:w="113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86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1186"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30"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1130"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门诊、治疗室、手术室、检验科室产生的医疗废物</w:t>
                  </w:r>
                </w:p>
              </w:tc>
              <w:tc>
                <w:tcPr>
                  <w:tcW w:w="1046"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废包装物</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纸箱</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52.377</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果皮纸屑</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环卫部门清运</w:t>
                  </w:r>
                </w:p>
              </w:tc>
            </w:tr>
          </w:tbl>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3、现有工程主要环境问题及拟采取的整改措施</w:t>
            </w:r>
          </w:p>
          <w:p>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项目环境档案管理不细致，项目环保设备的维护没有记录，污水处理站没有设置明显的的警示标识。</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厂区污水排放口未安装流量检测仪对废水排放口流量进行自动监测。</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企业与危废处置单位签订危废处理协议已过有效期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未及时签订危废处置协议</w:t>
            </w:r>
            <w:r>
              <w:rPr>
                <w:rFonts w:hint="eastAsia"/>
                <w:color w:val="000000" w:themeColor="text1"/>
                <w14:textFill>
                  <w14:solidFill>
                    <w14:schemeClr w14:val="tx1"/>
                  </w14:solidFill>
                </w14:textFill>
              </w:rPr>
              <w:t>。</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t>2、整改措施：</w:t>
            </w:r>
          </w:p>
          <w:p>
            <w:pPr>
              <w:pStyle w:val="12"/>
              <w:spacing w:line="360" w:lineRule="auto"/>
              <w:ind w:firstLine="420" w:firstLineChars="200"/>
              <w:jc w:val="both"/>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w:t>
            </w:r>
            <w:r>
              <w:rPr>
                <w:color w:val="000000" w:themeColor="text1"/>
                <w:sz w:val="21"/>
                <w:szCs w:val="21"/>
                <w14:textFill>
                  <w14:solidFill>
                    <w14:schemeClr w14:val="tx1"/>
                  </w14:solidFill>
                </w14:textFill>
              </w:rPr>
              <w:t>完善环境管理制度、落实环境管理档案。按照要求在污水处理站外的明显处同时设置警示标识；整改计划完成时间：2022年11月底。</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安装流量检测仪对废水排放口流量进行自动监测；</w:t>
            </w:r>
            <w:r>
              <w:rPr>
                <w:color w:val="000000" w:themeColor="text1"/>
                <w:szCs w:val="21"/>
                <w14:textFill>
                  <w14:solidFill>
                    <w14:schemeClr w14:val="tx1"/>
                  </w14:solidFill>
                </w14:textFill>
              </w:rPr>
              <w:t>整改计划完成时间：2022年11月底。</w:t>
            </w:r>
          </w:p>
          <w:p>
            <w:pPr>
              <w:spacing w:line="360" w:lineRule="auto"/>
              <w:ind w:firstLine="482"/>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及时与危废处置单位签订危废处置协议</w:t>
            </w:r>
            <w:r>
              <w:rPr>
                <w:rFonts w:hint="eastAsia"/>
                <w:color w:val="000000" w:themeColor="text1"/>
                <w14:textFill>
                  <w14:solidFill>
                    <w14:schemeClr w14:val="tx1"/>
                  </w14:solidFill>
                </w14:textFill>
              </w:rPr>
              <w:t>；</w:t>
            </w:r>
            <w:r>
              <w:rPr>
                <w:color w:val="000000" w:themeColor="text1"/>
                <w:szCs w:val="21"/>
                <w14:textFill>
                  <w14:solidFill>
                    <w14:schemeClr w14:val="tx1"/>
                  </w14:solidFill>
                </w14:textFill>
              </w:rPr>
              <w:t>整改计划完成时间：2022年11月底。</w:t>
            </w: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1"/>
        <w:jc w:val="center"/>
        <w:rPr>
          <w:rFonts w:ascii="Times New Roman" w:hAnsi="Times New Roman"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质量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现状</w:t>
            </w:r>
          </w:p>
        </w:tc>
        <w:tc>
          <w:tcPr>
            <w:tcW w:w="8552" w:type="dxa"/>
            <w:vAlign w:val="center"/>
          </w:tcPr>
          <w:p>
            <w:pPr>
              <w:pStyle w:val="13"/>
              <w:spacing w:line="360" w:lineRule="auto"/>
              <w:ind w:firstLine="420" w:firstLineChars="200"/>
              <w:rPr>
                <w:rFonts w:ascii="Times New Roman" w:hAnsi="Times New Roman"/>
                <w:b/>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根据当地环境规划，该区域属于《环境空气质量标准》（GB3095-2012）二级标准适用区；区域地表水域为玉龙河，属于东猪龙河支流，水质执行《地表水环境质量标准》（GB3838-2002）中</w:t>
            </w:r>
            <w:r>
              <w:rPr>
                <w:rFonts w:ascii="Times New Roman" w:hAnsi="Times New Roman"/>
                <w:color w:val="000000" w:themeColor="text1"/>
                <w:szCs w:val="21"/>
                <w14:textFill>
                  <w14:solidFill>
                    <w14:schemeClr w14:val="tx1"/>
                  </w14:solidFill>
                </w14:textFill>
              </w:rPr>
              <w:fldChar w:fldCharType="begin"/>
            </w:r>
            <w:r>
              <w:rPr>
                <w:rFonts w:ascii="Times New Roman" w:hAnsi="Times New Roman"/>
                <w:color w:val="000000" w:themeColor="text1"/>
                <w:szCs w:val="21"/>
                <w14:textFill>
                  <w14:solidFill>
                    <w14:schemeClr w14:val="tx1"/>
                  </w14:solidFill>
                </w14:textFill>
              </w:rPr>
              <w:instrText xml:space="preserve"> = 4 \* ROMAN </w:instrText>
            </w:r>
            <w:r>
              <w:rPr>
                <w:rFonts w:ascii="Times New Roman" w:hAnsi="Times New Roman"/>
                <w:color w:val="000000" w:themeColor="text1"/>
                <w:szCs w:val="21"/>
                <w14:textFill>
                  <w14:solidFill>
                    <w14:schemeClr w14:val="tx1"/>
                  </w14:solidFill>
                </w14:textFill>
              </w:rPr>
              <w:fldChar w:fldCharType="separate"/>
            </w:r>
            <w:r>
              <w:rPr>
                <w:rFonts w:ascii="Times New Roman" w:hAnsi="Times New Roman"/>
                <w:color w:val="000000" w:themeColor="text1"/>
                <w:szCs w:val="21"/>
                <w14:textFill>
                  <w14:solidFill>
                    <w14:schemeClr w14:val="tx1"/>
                  </w14:solidFill>
                </w14:textFill>
              </w:rPr>
              <w:t>IV</w:t>
            </w:r>
            <w:r>
              <w:rPr>
                <w:rFonts w:ascii="Times New Roman" w:hAnsi="Times New Roman"/>
                <w:color w:val="000000" w:themeColor="text1"/>
                <w:szCs w:val="21"/>
                <w14:textFill>
                  <w14:solidFill>
                    <w14:schemeClr w14:val="tx1"/>
                  </w14:solidFill>
                </w14:textFill>
              </w:rPr>
              <w:fldChar w:fldCharType="end"/>
            </w:r>
            <w:r>
              <w:rPr>
                <w:rFonts w:ascii="Times New Roman" w:hAnsi="Times New Roman"/>
                <w:color w:val="000000" w:themeColor="text1"/>
                <w:szCs w:val="21"/>
                <w14:textFill>
                  <w14:solidFill>
                    <w14:schemeClr w14:val="tx1"/>
                  </w14:solidFill>
                </w14:textFill>
              </w:rPr>
              <w:t>类标准要求；地下水环境执行《地下水质量标准》（GB/T14848-2017）Ⅲ类标准；区域噪声执行《声环境质量标准》（GB3096-2008）1类标准要求</w:t>
            </w:r>
            <w:r>
              <w:rPr>
                <w:rFonts w:ascii="Times New Roman" w:hAnsi="Times New Roman"/>
                <w:bCs/>
                <w:color w:val="000000" w:themeColor="text1"/>
                <w:szCs w:val="21"/>
                <w14:textFill>
                  <w14:solidFill>
                    <w14:schemeClr w14:val="tx1"/>
                  </w14:solidFill>
                </w14:textFill>
              </w:rPr>
              <w:t>。</w:t>
            </w:r>
          </w:p>
          <w:p>
            <w:pPr>
              <w:snapToGrid w:val="0"/>
              <w:spacing w:line="360" w:lineRule="auto"/>
              <w:ind w:firstLine="422" w:firstLineChars="20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1、环境空气质量现状</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根据淄博市生态环境局网站发布的《生态淄博建设工作简报》（2022年1月24日），2021年，全市良好天数222天（国控），同比增加4天。重污染天数13天，同比增加1天。其中，二氧化硫（SO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）14微克/立方米，同比改善17.6%；二氧化氮（NO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）35微克/立方米，同比改善7.9%；可吸入颗粒物（PM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）77微克/立方米，同比改善11.5%；细颗粒物（PM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）47微克/立方米，同比改善14.5%；一氧化碳（CO）1.6毫克/立方米，同比改善15.8%；臭氧（O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）183微克/立方米，同比改善37%。全市综合指数为5.09，同比改善10.9%。其中，经济开发区2021年度环境空气中二氧化硫（SO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）、二氧化氮（NO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）年平均浓度分别为20μg/m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、43μg/m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、77μg/m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、43μg/m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项目所在区域空气质量见下表</w:t>
            </w:r>
          </w:p>
          <w:p>
            <w:pPr>
              <w:spacing w:after="120"/>
              <w:ind w:left="420" w:leftChars="200" w:firstLine="422" w:firstLineChars="20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表3-1  张店区</w:t>
            </w:r>
            <w:r>
              <w:rPr>
                <w:b/>
                <w:bCs/>
                <w:color w:val="000000" w:themeColor="text1"/>
                <w:spacing w:val="-63"/>
                <w14:textFill>
                  <w14:solidFill>
                    <w14:schemeClr w14:val="tx1"/>
                  </w14:solidFill>
                </w14:textFill>
              </w:rPr>
              <w:t xml:space="preserve"> </w:t>
            </w:r>
            <w:r>
              <w:rPr>
                <w:rFonts w:eastAsia="Times New Roman"/>
                <w:b/>
                <w:bCs/>
                <w:color w:val="000000" w:themeColor="text1"/>
                <w14:textFill>
                  <w14:solidFill>
                    <w14:schemeClr w14:val="tx1"/>
                  </w14:solidFill>
                </w14:textFill>
              </w:rPr>
              <w:t>202</w:t>
            </w:r>
            <w:r>
              <w:rPr>
                <w:b/>
                <w:bCs/>
                <w:color w:val="000000" w:themeColor="text1"/>
                <w14:textFill>
                  <w14:solidFill>
                    <w14:schemeClr w14:val="tx1"/>
                  </w14:solidFill>
                </w14:textFill>
              </w:rPr>
              <w:t>1</w:t>
            </w:r>
            <w:r>
              <w:rPr>
                <w:rFonts w:eastAsia="Times New Roman"/>
                <w:b/>
                <w:bCs/>
                <w:color w:val="000000" w:themeColor="text1"/>
                <w:spacing w:val="-2"/>
                <w14:textFill>
                  <w14:solidFill>
                    <w14:schemeClr w14:val="tx1"/>
                  </w14:solidFill>
                </w14:textFill>
              </w:rPr>
              <w:t xml:space="preserve"> </w:t>
            </w:r>
            <w:r>
              <w:rPr>
                <w:b/>
                <w:bCs/>
                <w:color w:val="000000" w:themeColor="text1"/>
                <w14:textFill>
                  <w14:solidFill>
                    <w14:schemeClr w14:val="tx1"/>
                  </w14:solidFill>
                </w14:textFill>
              </w:rPr>
              <w:t>年度环境质量情况</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758"/>
              <w:gridCol w:w="2935"/>
              <w:gridCol w:w="978"/>
              <w:gridCol w:w="978"/>
              <w:gridCol w:w="102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单位</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年评价指标</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现状浓度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评价标准</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占标率</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SO</w:t>
                  </w:r>
                  <w:r>
                    <w:rPr>
                      <w:bCs/>
                      <w:color w:val="000000" w:themeColor="text1"/>
                      <w:sz w:val="18"/>
                      <w:szCs w:val="18"/>
                      <w:vertAlign w:val="subscript"/>
                      <w14:textFill>
                        <w14:solidFill>
                          <w14:schemeClr w14:val="tx1"/>
                        </w14:solidFill>
                      </w14:textFill>
                    </w:rPr>
                    <w:t>2</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15</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NO</w:t>
                  </w:r>
                  <w:r>
                    <w:rPr>
                      <w:bCs/>
                      <w:color w:val="000000" w:themeColor="text1"/>
                      <w:sz w:val="18"/>
                      <w:szCs w:val="18"/>
                      <w:vertAlign w:val="subscript"/>
                      <w14:textFill>
                        <w14:solidFill>
                          <w14:schemeClr w14:val="tx1"/>
                        </w14:solidFill>
                      </w14:textFill>
                    </w:rPr>
                    <w:t>2</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39</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97.5%</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PM</w:t>
                  </w:r>
                  <w:r>
                    <w:rPr>
                      <w:bCs/>
                      <w:color w:val="000000" w:themeColor="text1"/>
                      <w:sz w:val="18"/>
                      <w:szCs w:val="18"/>
                      <w:vertAlign w:val="subscript"/>
                      <w14:textFill>
                        <w14:solidFill>
                          <w14:schemeClr w14:val="tx1"/>
                        </w14:solidFill>
                      </w14:textFill>
                    </w:rPr>
                    <w:t>10</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85</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121.4%</w:t>
                  </w:r>
                </w:p>
              </w:tc>
              <w:tc>
                <w:tcPr>
                  <w:tcW w:w="743"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PM</w:t>
                  </w:r>
                  <w:r>
                    <w:rPr>
                      <w:bCs/>
                      <w:color w:val="000000" w:themeColor="text1"/>
                      <w:sz w:val="18"/>
                      <w:szCs w:val="18"/>
                      <w:vertAlign w:val="subscript"/>
                      <w14:textFill>
                        <w14:solidFill>
                          <w14:schemeClr w14:val="tx1"/>
                        </w14:solidFill>
                      </w14:textFill>
                    </w:rPr>
                    <w:t>2.5</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46</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35</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131.4%</w:t>
                  </w:r>
                </w:p>
              </w:tc>
              <w:tc>
                <w:tcPr>
                  <w:tcW w:w="743"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95%保证率日平均浓度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40.0%</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O</w:t>
                  </w:r>
                  <w:r>
                    <w:rPr>
                      <w:bCs/>
                      <w:color w:val="000000" w:themeColor="text1"/>
                      <w:sz w:val="18"/>
                      <w:szCs w:val="18"/>
                      <w:vertAlign w:val="subscript"/>
                      <w14:textFill>
                        <w14:solidFill>
                          <w14:schemeClr w14:val="tx1"/>
                        </w14:solidFill>
                      </w14:textFill>
                    </w:rPr>
                    <w:t>3</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90%保证率日最大8h滑动平均浓度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183</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144.4%</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bl>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张店区2021年PM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的年均浓度不能满足《环境空气质量标准》（GB3095-2012）二级标准要求，存在超标现象，项目所在地处于不达标区。</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为改善区域大气环境治理，淄博市出台了《关于印发&lt;淄博市空气环境质量“退末位”工作方案&gt;的通知》（淄环委办[2022]20号），深入实施三个专项行动、打好七个</w:t>
            </w:r>
            <w:bookmarkStart w:id="9" w:name="_GoBack"/>
            <w:r>
              <w:rPr>
                <w:color w:val="000000" w:themeColor="text1"/>
                <w14:textFill>
                  <w14:solidFill>
                    <w14:schemeClr w14:val="tx1"/>
                  </w14:solidFill>
                </w14:textFill>
              </w:rPr>
              <w:t>污染</w:t>
            </w:r>
            <w:r>
              <w:rPr>
                <w:rFonts w:hint="eastAsia"/>
                <w:color w:val="000000" w:themeColor="text1"/>
                <w:lang w:eastAsia="zh-CN"/>
                <w14:textFill>
                  <w14:solidFill>
                    <w14:schemeClr w14:val="tx1"/>
                  </w14:solidFill>
                </w14:textFill>
              </w:rPr>
              <w:t>防治</w:t>
            </w:r>
            <w:r>
              <w:rPr>
                <w:color w:val="000000" w:themeColor="text1"/>
                <w14:textFill>
                  <w14:solidFill>
                    <w14:schemeClr w14:val="tx1"/>
                  </w14:solidFill>
                </w14:textFill>
              </w:rPr>
              <w:t>攻坚战</w:t>
            </w:r>
            <w:bookmarkEnd w:id="9"/>
            <w:r>
              <w:rPr>
                <w:color w:val="000000" w:themeColor="text1"/>
                <w14:textFill>
                  <w14:solidFill>
                    <w14:schemeClr w14:val="tx1"/>
                  </w14:solidFill>
                </w14:textFill>
              </w:rPr>
              <w:t>，全力改善环境空气质量。工作目标：2022 年，确保空气质量综合指数达到4.53 以下，比2021年下降11.0%，PM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浓度控制在42微克/立方米，PM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浓度控制在67 微克/立方米，SO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浓度控制在11 微克/立方米，NO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浓度控制在31微克/立方米，O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浓度控制在175微克/立方米，CO浓度控制在1.3毫克/立方米，综合指数退出全省末位。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通知中采取的具体措施有：</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三个专项行动：一是能源结构调整专项行动（1. 压减煤炭消费总量；2. 淘汰中小煤电机组；3. 加强燃煤锅炉整治；4. 严控燃煤项目；5. 加强煤质监管；6. 大力发展清洁能源）；二是产业结构调整专项行动（7. 整合提升一批企业和生产线；8. 坚定不移去“落后产能”；9. 深入推进“退城入园”；10. 严控“两高”行业项目）；三是交通结构调整专项行动（11.推进“公转铁”“公转水”工程建设；12. 优化车辆使用结构）。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七个攻坚战：一是打好重点行业污染治理攻坚战；二是打好移动源污染治理攻坚战；三是打好扬尘污染治理攻坚战；四是打好面源污染治理攻坚战；五是打好夏季臭氧污染防治攻坚战；六是打好秋冬季重污染治理攻坚战；七是打好重点区域污染治理攻坚战。</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在严格落实文件精神并加强管控措施后，区域环境空气质量将得到有效提升。</w:t>
            </w:r>
          </w:p>
          <w:p>
            <w:pPr>
              <w:pStyle w:val="70"/>
              <w:snapToGrid w:val="0"/>
              <w:spacing w:line="360" w:lineRule="auto"/>
              <w:ind w:firstLine="422" w:firstLineChars="200"/>
              <w:textAlignment w:val="baseline"/>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2、地表水环境质量现状</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14:textFill>
                  <w14:solidFill>
                    <w14:schemeClr w14:val="tx1"/>
                  </w14:solidFill>
                </w14:textFill>
              </w:rPr>
              <w:t>根据《生态淄博建设工作简报》（2022 年第1期，2022年1月24日），2021年，我市7个国控河流断面水环境质量指数位列全省第1，优良水体为6个（4个Ⅱ类，2个Ⅲ类），占比85.7%，达标率100%，圆满完成年度目标任务。我市8个省控河流断面优良水体为4 个，占比50.0%，除乌河东沙断面劣V 类外其余全部达到年度目标要求，稳定达到Ⅳ类及以上。距离本项目最近的地表水为西侧140m处的玉龙河，属于东猪龙河支流，水质能够满足《地表水环境质量标准》（GB3838-2002）</w:t>
            </w:r>
            <w:r>
              <w:rPr>
                <w:rFonts w:hint="eastAsia"/>
                <w:color w:val="000000" w:themeColor="text1"/>
                <w14:textFill>
                  <w14:solidFill>
                    <w14:schemeClr w14:val="tx1"/>
                  </w14:solidFill>
                </w14:textFill>
              </w:rPr>
              <w:t>Ⅴ</w:t>
            </w:r>
            <w:r>
              <w:rPr>
                <w:color w:val="000000" w:themeColor="text1"/>
                <w14:textFill>
                  <w14:solidFill>
                    <w14:schemeClr w14:val="tx1"/>
                  </w14:solidFill>
                </w14:textFill>
              </w:rPr>
              <w:t>类标准。</w:t>
            </w:r>
          </w:p>
          <w:p>
            <w:pPr>
              <w:pStyle w:val="13"/>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3、声环境质量现状</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淄博市张店区第二人民医院（淄博口腔医院）厂界外50m范围内存在恒基花苑、天府清华园、体坛小区3个居民区，山东众益源环境检测有限公司于2022年8月10日对3个居民区声环境现状进行了监测，监测结果详见下表：</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表3-2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032"/>
              <w:gridCol w:w="768"/>
              <w:gridCol w:w="768"/>
              <w:gridCol w:w="828"/>
              <w:gridCol w:w="1034"/>
              <w:gridCol w:w="768"/>
              <w:gridCol w:w="76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9"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 （Leq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51.0</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52.8</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41.8</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根据监测结果，恒基花苑、天府清华园、体坛小区声环境质量均满足《声环境质量标准》（GB 3096-2008）中1类标准要求。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4、土壤、地下水环境现状</w:t>
            </w:r>
          </w:p>
          <w:p>
            <w:pPr>
              <w:autoSpaceDE w:val="0"/>
              <w:autoSpaceDN w:val="0"/>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项目污水经厂区污水处理站处理后进入市政污水管网排入光大水务（淄博）有限公司三分厂</w:t>
            </w:r>
            <w:r>
              <w:rPr>
                <w:color w:val="000000" w:themeColor="text1"/>
                <w14:textFill>
                  <w14:solidFill>
                    <w14:schemeClr w14:val="tx1"/>
                  </w14:solidFill>
                </w14:textFill>
              </w:rPr>
              <w:t>深化</w:t>
            </w:r>
            <w:r>
              <w:rPr>
                <w:bCs/>
                <w:color w:val="000000" w:themeColor="text1"/>
                <w:szCs w:val="21"/>
                <w14:textFill>
                  <w14:solidFill>
                    <w14:schemeClr w14:val="tx1"/>
                  </w14:solidFill>
                </w14:textFill>
              </w:rPr>
              <w:t>处理；项目重点区域地面均进行了防渗防腐。项目正常运营情况下，不存在污染土壤及地下水环境的途径，故不开展地下水、土壤环境质量现状调查。</w:t>
            </w:r>
          </w:p>
          <w:p>
            <w:pPr>
              <w:autoSpaceDE w:val="0"/>
              <w:autoSpaceDN w:val="0"/>
              <w:adjustRightInd w:val="0"/>
              <w:snapToGrid w:val="0"/>
              <w:spacing w:line="360" w:lineRule="auto"/>
              <w:ind w:firstLine="422" w:firstLineChars="200"/>
              <w:jc w:val="left"/>
              <w:rPr>
                <w:b/>
                <w:bCs/>
                <w:color w:val="000000" w:themeColor="text1"/>
                <w14:textFill>
                  <w14:solidFill>
                    <w14:schemeClr w14:val="tx1"/>
                  </w14:solidFill>
                </w14:textFill>
              </w:rPr>
            </w:pPr>
            <w:r>
              <w:rPr>
                <w:b/>
                <w:bCs/>
                <w:color w:val="000000" w:themeColor="text1"/>
                <w14:textFill>
                  <w14:solidFill>
                    <w14:schemeClr w14:val="tx1"/>
                  </w14:solidFill>
                </w14:textFill>
              </w:rPr>
              <w:t>5、生态环境</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项目位于淄博市张店区新村西路188号，属于城区，该区域的自然生态已为人工生态代替，属于典型的城市生态系统，该生态系统以人为主体，几乎全是人工生态系统，其能量和物质运转均在人的控制下进行，居民所处的生物和非生物环境都已经过人工改造，具有人口、能量和物质容量大，密度高，流量大，运转快等特点。</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6、电磁辐射</w:t>
            </w:r>
          </w:p>
          <w:p>
            <w:pPr>
              <w:pStyle w:val="2"/>
              <w:spacing w:after="0" w:line="360" w:lineRule="auto"/>
              <w:ind w:left="0" w:leftChars="0"/>
              <w:rPr>
                <w:color w:val="000000" w:themeColor="text1"/>
                <w14:textFill>
                  <w14:solidFill>
                    <w14:schemeClr w14:val="tx1"/>
                  </w14:solidFill>
                </w14:textFill>
              </w:rPr>
            </w:pPr>
            <w:r>
              <w:rPr>
                <w:color w:val="000000" w:themeColor="text1"/>
                <w:sz w:val="21"/>
                <w:szCs w:val="21"/>
                <w14:textFill>
                  <w14:solidFill>
                    <w14:schemeClr w14:val="tx1"/>
                  </w14:solidFill>
                </w14:textFill>
              </w:rPr>
              <w:t>本项目涉及的辐射设备，需要由建设单位另行委托有资质的单位进行环境影响评价， 故本项目不再单独对电磁辐射进行评价。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2"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保护</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w:t>
            </w:r>
          </w:p>
        </w:tc>
        <w:tc>
          <w:tcPr>
            <w:tcW w:w="8552" w:type="dxa"/>
            <w:vAlign w:val="center"/>
          </w:tcPr>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本项目环境保护目标见表3-3及附图3。</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表3-3  主要环境保护目标一览表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9"/>
              <w:gridCol w:w="1531"/>
              <w:gridCol w:w="1214"/>
              <w:gridCol w:w="1214"/>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影响要素</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保护目标</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距厂界方位</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距离（m）</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大气</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w:t>
                  </w:r>
                </w:p>
              </w:tc>
              <w:tc>
                <w:tcPr>
                  <w:tcW w:w="3055"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《环境空气质量标准》（GB3095-2012）中二级标准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恒大帝景</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张店区人力资源和社会保障局</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鸿泰嘉园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WSW</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张店区实验中学</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尚德花园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ESE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张店区疾病预防控制中心</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张店区人民法院</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333</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常春藤花园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水利技术学院生活区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山东药品食品技术学院</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新东升福园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w:t>
                  </w:r>
                </w:p>
              </w:tc>
              <w:tc>
                <w:tcPr>
                  <w:tcW w:w="3055"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《声环境质量标准》1类标准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地表水</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玉龙河</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140</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《地表水环境质量标准》（GB3838-2002）</w:t>
                  </w:r>
                  <w:r>
                    <w:rPr>
                      <w:rFonts w:hint="eastAsia"/>
                      <w:color w:val="000000" w:themeColor="text1"/>
                      <w:sz w:val="18"/>
                      <w:szCs w:val="18"/>
                      <w14:textFill>
                        <w14:solidFill>
                          <w14:schemeClr w14:val="tx1"/>
                        </w14:solidFill>
                      </w14:textFill>
                    </w:rPr>
                    <w:t>Ⅴ</w:t>
                  </w:r>
                  <w:r>
                    <w:rPr>
                      <w:color w:val="000000" w:themeColor="text1"/>
                      <w:sz w:val="18"/>
                      <w:szCs w:val="18"/>
                      <w14:textFill>
                        <w14:solidFill>
                          <w14:schemeClr w14:val="tx1"/>
                        </w14:solidFill>
                      </w14:textFill>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w:t>
                  </w:r>
                </w:p>
              </w:tc>
              <w:tc>
                <w:tcPr>
                  <w:tcW w:w="2428" w:type="dxa"/>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项目500米内无特殊地下水资源</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《地下水质量标准》（GB/T14848-2017）Ⅲ类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生态环境</w:t>
                  </w:r>
                </w:p>
              </w:tc>
              <w:tc>
                <w:tcPr>
                  <w:tcW w:w="7014" w:type="dxa"/>
                  <w:gridSpan w:val="4"/>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项目不涉及</w:t>
                  </w:r>
                </w:p>
              </w:tc>
            </w:tr>
          </w:tbl>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8" w:type="dxa"/>
            <w:tcMar>
              <w:left w:w="28" w:type="dxa"/>
              <w:right w:w="28" w:type="dxa"/>
            </w:tcMar>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物排</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放控</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制标</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准</w:t>
            </w:r>
          </w:p>
        </w:tc>
        <w:tc>
          <w:tcPr>
            <w:tcW w:w="8552" w:type="dxa"/>
            <w:vAlign w:val="center"/>
          </w:tcPr>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1、废气</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污水处理站恶臭气体无组织排放参照执行《山东省医疗机构污染物排放控制标准》（DB37/596-2020）表2中的标准。</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表3-4  大气污染物排放标准</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844"/>
              <w:gridCol w:w="1560"/>
              <w:gridCol w:w="1675"/>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10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93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排放形式</w:t>
                  </w:r>
                </w:p>
              </w:tc>
              <w:tc>
                <w:tcPr>
                  <w:tcW w:w="10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38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臭气浓度</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2、废水：</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营运期医疗废水排放标准执行《山东省医疗机构污染物排放控制标准》（DB37/596-2020）二级标准要求。</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表3-5  水污染物排放浓度限值</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551"/>
              <w:gridCol w:w="1843"/>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（DB37/596-2020）二级标准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色度</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稀释倍数</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动植物油</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挥发酚</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总氰化物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二甲苯</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总α放射性</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总β放射性</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总有机碳</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甲醛</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3、噪声：</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厂界噪声执行《工业企业厂界环境噪声排放标准》（GB 2348-2008）中1类标准（昼间≤55dB（A）、夜间≤45dB（A））。</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4、固废：</w:t>
            </w:r>
          </w:p>
          <w:p>
            <w:pPr>
              <w:pStyle w:val="12"/>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一般固废贮存执行《一般工业固体废物贮存和填埋污染控制标准》（GB18599-2020）标准要求；危险废物贮存执行《危险废物贮存污染控制标准》(GB18597-2001)及修改单的规定、《山东省医疗机构污染物排放控制标准》（DB37/596-2020）中表3医疗机构污泥控制标准，见表3-6。</w:t>
            </w:r>
          </w:p>
          <w:p>
            <w:pPr>
              <w:autoSpaceDE w:val="0"/>
              <w:autoSpaceDN w:val="0"/>
              <w:adjustRightInd w:val="0"/>
              <w:snapToGrid w:val="0"/>
              <w:jc w:val="center"/>
              <w:rPr>
                <w:b/>
                <w:bCs/>
                <w:color w:val="000000" w:themeColor="text1"/>
                <w:kern w:val="0"/>
                <w:szCs w:val="21"/>
                <w:lang w:val="zh-CN"/>
                <w14:textFill>
                  <w14:solidFill>
                    <w14:schemeClr w14:val="tx1"/>
                  </w14:solidFill>
                </w14:textFill>
              </w:rPr>
            </w:pPr>
            <w:r>
              <w:rPr>
                <w:b/>
                <w:bCs/>
                <w:color w:val="000000" w:themeColor="text1"/>
                <w:kern w:val="0"/>
                <w:szCs w:val="21"/>
                <w14:textFill>
                  <w14:solidFill>
                    <w14:schemeClr w14:val="tx1"/>
                  </w14:solidFill>
                </w14:textFill>
              </w:rPr>
              <w:t>表3-6  医疗机构污泥控制标准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244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医疗机构类别</w:t>
                  </w:r>
                </w:p>
              </w:tc>
              <w:tc>
                <w:tcPr>
                  <w:tcW w:w="16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粪大肠菌群数（MPN/g）</w:t>
                  </w:r>
                </w:p>
              </w:tc>
              <w:tc>
                <w:tcPr>
                  <w:tcW w:w="195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综合医疗机构和其他医疗机构</w:t>
                  </w:r>
                </w:p>
              </w:tc>
              <w:tc>
                <w:tcPr>
                  <w:tcW w:w="16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95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r>
          </w:tbl>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控制</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指标</w:t>
            </w:r>
          </w:p>
        </w:tc>
        <w:tc>
          <w:tcPr>
            <w:tcW w:w="8552" w:type="dxa"/>
            <w:vAlign w:val="center"/>
          </w:tcPr>
          <w:p>
            <w:pPr>
              <w:spacing w:line="360" w:lineRule="auto"/>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1、与排污许可制度的衔接</w:t>
            </w:r>
          </w:p>
          <w:p>
            <w:pPr>
              <w:spacing w:line="360" w:lineRule="auto"/>
              <w:ind w:firstLine="525" w:firstLineChars="25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淄博市张店区第二人民医院（淄博口腔医院）已进行固定污染源排污登记，登记编号：1237030349322452X1001W，有效期：2020年12月7日至2025年12月6日。</w:t>
            </w:r>
          </w:p>
          <w:p>
            <w:pPr>
              <w:spacing w:line="360" w:lineRule="auto"/>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2、总量控制对象</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根据《中华人民共和国国民经济和社会发展第十四个五年规划和2035年远景目标纲要)及《山东省国民经济和社会发展第十四个五年规划和2035年远景目标纲要》。另外根据淄博市人民政府要求，淄博市将SO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、烟（粉）尘、NOx、COD、氨氮和VOCs均列为总量控制项目。</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与本项目有关的总量控制项目为COD、氨氮。</w:t>
            </w:r>
          </w:p>
          <w:p>
            <w:pPr>
              <w:spacing w:line="360" w:lineRule="auto"/>
              <w:ind w:firstLine="527" w:firstLineChars="2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3、总量指标申请</w:t>
            </w:r>
          </w:p>
          <w:p>
            <w:pPr>
              <w:pStyle w:val="12"/>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本项目外排废水量为</w:t>
            </w:r>
            <w:r>
              <w:rPr>
                <w:rFonts w:hint="eastAsia"/>
                <w:color w:val="000000" w:themeColor="text1"/>
                <w:sz w:val="21"/>
                <w:szCs w:val="21"/>
                <w14:textFill>
                  <w14:solidFill>
                    <w14:schemeClr w14:val="tx1"/>
                  </w14:solidFill>
                </w14:textFill>
              </w:rPr>
              <w:t>7729.4</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/a，项目废水经厂区污水处理站处理后，经市政污水管网排入光大水务（淄博）有限公司三分厂处理后达标排放，最终外排环境的COD、氨氮量（外排COD、氨氮浓度分别以40mg/L、2mg/L计）分别为COD 0.</w:t>
            </w:r>
            <w:r>
              <w:rPr>
                <w:rFonts w:hint="eastAsia"/>
                <w:color w:val="000000" w:themeColor="text1"/>
                <w:sz w:val="21"/>
                <w:szCs w:val="21"/>
                <w14:textFill>
                  <w14:solidFill>
                    <w14:schemeClr w14:val="tx1"/>
                  </w14:solidFill>
                </w14:textFill>
              </w:rPr>
              <w:t>309</w:t>
            </w:r>
            <w:r>
              <w:rPr>
                <w:color w:val="000000" w:themeColor="text1"/>
                <w:sz w:val="21"/>
                <w:szCs w:val="21"/>
                <w14:textFill>
                  <w14:solidFill>
                    <w14:schemeClr w14:val="tx1"/>
                  </w14:solidFill>
                </w14:textFill>
              </w:rPr>
              <w:t>t/a、氨氮0.01</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t/a，该部分总量占用光大水务（淄博）有限公司三分厂内控指标，无需申请总量控制指标。</w:t>
            </w:r>
          </w:p>
          <w:p>
            <w:pPr>
              <w:spacing w:line="360" w:lineRule="auto"/>
              <w:rPr>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1"/>
        <w:numPr>
          <w:ilvl w:val="0"/>
          <w:numId w:val="2"/>
        </w:numPr>
        <w:jc w:val="center"/>
        <w:outlineLvl w:val="0"/>
        <w:rPr>
          <w:rFonts w:ascii="Times New Roman" w:hAnsi="Times New Roman"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NumType w:fmt="numberInDash"/>
          <w:cols w:space="720" w:num="1"/>
          <w:docGrid w:linePitch="312" w:charSpace="0"/>
        </w:sectPr>
      </w:pPr>
    </w:p>
    <w:p>
      <w:pPr>
        <w:pStyle w:val="21"/>
        <w:numPr>
          <w:ilvl w:val="0"/>
          <w:numId w:val="2"/>
        </w:numPr>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主要环境影响和保护措施</w:t>
      </w:r>
    </w:p>
    <w:tbl>
      <w:tblPr>
        <w:tblStyle w:val="2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施工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境保</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护措</w:t>
            </w:r>
          </w:p>
          <w:p>
            <w:pPr>
              <w:adjustRightInd w:val="0"/>
              <w:snapToGrid w:val="0"/>
              <w:jc w:val="center"/>
              <w:rPr>
                <w:snapToGrid w:val="0"/>
                <w:color w:val="000000" w:themeColor="text1"/>
                <w:szCs w:val="21"/>
                <w14:textFill>
                  <w14:solidFill>
                    <w14:schemeClr w14:val="tx1"/>
                  </w14:solidFill>
                </w14:textFill>
              </w:rPr>
            </w:pPr>
            <w:r>
              <w:rPr>
                <w:bCs/>
                <w:color w:val="000000" w:themeColor="text1"/>
                <w:szCs w:val="21"/>
                <w14:textFill>
                  <w14:solidFill>
                    <w14:schemeClr w14:val="tx1"/>
                  </w14:solidFill>
                </w14:textFill>
              </w:rPr>
              <w:t>施</w:t>
            </w:r>
          </w:p>
        </w:tc>
        <w:tc>
          <w:tcPr>
            <w:tcW w:w="8497" w:type="dxa"/>
            <w:vAlign w:val="center"/>
          </w:tcPr>
          <w:p>
            <w:pPr>
              <w:widowControl/>
              <w:spacing w:line="360" w:lineRule="auto"/>
              <w:ind w:firstLine="420" w:firstLineChars="200"/>
              <w:jc w:val="left"/>
              <w:rPr>
                <w:rFonts w:eastAsia="黑体"/>
                <w:snapToGrid w:val="0"/>
                <w:color w:val="000000" w:themeColor="text1"/>
                <w:sz w:val="30"/>
                <w:szCs w:val="30"/>
                <w14:textFill>
                  <w14:solidFill>
                    <w14:schemeClr w14:val="tx1"/>
                  </w14:solidFill>
                </w14:textFill>
              </w:rPr>
            </w:pPr>
            <w:r>
              <w:rPr>
                <w:color w:val="000000" w:themeColor="text1"/>
                <w:szCs w:val="21"/>
                <w14:textFill>
                  <w14:solidFill>
                    <w14:schemeClr w14:val="tx1"/>
                  </w14:solidFill>
                </w14:textFill>
              </w:rPr>
              <w:t>本项目已建成投运，现为补办环评手续，不再对施工期环境影响进行分析。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1" w:type="dxa"/>
            <w:tcMar>
              <w:left w:w="28" w:type="dxa"/>
              <w:right w:w="28" w:type="dxa"/>
            </w:tcMar>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运</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影</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响</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和</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护</w:t>
            </w:r>
          </w:p>
          <w:p>
            <w:pPr>
              <w:pStyle w:val="21"/>
              <w:adjustRightInd w:val="0"/>
              <w:snapToGrid w:val="0"/>
              <w:spacing w:before="0" w:beforeAutospacing="0" w:after="0" w:afterAutospacing="0"/>
              <w:jc w:val="center"/>
              <w:rPr>
                <w:rFonts w:ascii="Times New Roman" w:hAnsi="Times New Roman"/>
                <w:bCs/>
                <w:color w:val="000000" w:themeColor="text1"/>
                <w:sz w:val="21"/>
                <w:szCs w:val="21"/>
                <w14:textFill>
                  <w14:solidFill>
                    <w14:schemeClr w14:val="tx1"/>
                  </w14:solidFill>
                </w14:textFill>
              </w:rPr>
            </w:pPr>
            <w:r>
              <w:rPr>
                <w:rFonts w:ascii="Times New Roman" w:hAnsi="Times New Roman"/>
                <w:bCs/>
                <w:color w:val="000000" w:themeColor="text1"/>
                <w:sz w:val="21"/>
                <w:szCs w:val="21"/>
                <w14:textFill>
                  <w14:solidFill>
                    <w14:schemeClr w14:val="tx1"/>
                  </w14:solidFill>
                </w14:textFill>
              </w:rPr>
              <w:t>措</w:t>
            </w:r>
          </w:p>
          <w:p>
            <w:pPr>
              <w:pStyle w:val="21"/>
              <w:adjustRightInd w:val="0"/>
              <w:snapToGrid w:val="0"/>
              <w:spacing w:before="0" w:beforeAutospacing="0" w:after="0" w:afterAutospacing="0"/>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bCs/>
                <w:color w:val="000000" w:themeColor="text1"/>
                <w:sz w:val="21"/>
                <w:szCs w:val="21"/>
                <w14:textFill>
                  <w14:solidFill>
                    <w14:schemeClr w14:val="tx1"/>
                  </w14:solidFill>
                </w14:textFill>
              </w:rPr>
              <w:t>施</w:t>
            </w:r>
          </w:p>
        </w:tc>
        <w:tc>
          <w:tcPr>
            <w:tcW w:w="8497" w:type="dxa"/>
            <w:vAlign w:val="center"/>
          </w:tcPr>
          <w:p>
            <w:pPr>
              <w:widowControl/>
              <w:spacing w:line="360" w:lineRule="auto"/>
              <w:ind w:firstLine="422" w:firstLineChars="200"/>
              <w:jc w:val="left"/>
              <w:rPr>
                <w:b/>
                <w:color w:val="000000" w:themeColor="text1"/>
                <w14:textFill>
                  <w14:solidFill>
                    <w14:schemeClr w14:val="tx1"/>
                  </w14:solidFill>
                </w14:textFill>
              </w:rPr>
            </w:pPr>
            <w:r>
              <w:rPr>
                <w:b/>
                <w:color w:val="000000" w:themeColor="text1"/>
                <w14:textFill>
                  <w14:solidFill>
                    <w14:schemeClr w14:val="tx1"/>
                  </w14:solidFill>
                </w14:textFill>
              </w:rPr>
              <w:t>一、废水</w:t>
            </w:r>
          </w:p>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1.1污染物产生情况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本项目放射科室不涉及辐射性废水产生，项目废水主要为医务人员废水、病房废水、门诊废水、牙椅诊疗废水、洗衣房废水、清洁消毒废水，根据现状监测数据情况，本项目筛选</w:t>
            </w:r>
            <w:r>
              <w:rPr>
                <w:color w:val="000000" w:themeColor="text1"/>
                <w14:textFill>
                  <w14:solidFill>
                    <w14:schemeClr w14:val="tx1"/>
                  </w14:solidFill>
                </w14:textFill>
              </w:rPr>
              <w:t>CODcr、BOD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、氨氮、SS</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、总磷、阴离子表面活性剂、余氯、氟化物作为污染物因子进行核算，</w:t>
            </w:r>
            <w:r>
              <w:rPr>
                <w:rFonts w:hint="eastAsia"/>
                <w:color w:val="000000" w:themeColor="text1"/>
                <w:kern w:val="0"/>
                <w:szCs w:val="21"/>
                <w14:textFill>
                  <w14:solidFill>
                    <w14:schemeClr w14:val="tx1"/>
                  </w14:solidFill>
                </w14:textFill>
              </w:rPr>
              <w:t>具体如下：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1、医务人员废水</w:t>
            </w:r>
          </w:p>
          <w:p>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院内医务人员总数约156人，其中住院部医护人员6人，门诊及诊疗部门医务人员150人。参考《建筑给水排水设计标准》（GB50015-2019），住院部医务人员生活用水定额按照200L/人•d计算，门诊及诊疗部门员工生活用水定额按照80L/人•d计算，则用水量4818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废水产生量按80%计，产生量为3</w:t>
            </w:r>
            <w:r>
              <w:rPr>
                <w:rFonts w:hint="eastAsia"/>
                <w:color w:val="000000" w:themeColor="text1"/>
                <w:kern w:val="0"/>
                <w:szCs w:val="21"/>
                <w14:textFill>
                  <w14:solidFill>
                    <w14:schemeClr w14:val="tx1"/>
                  </w14:solidFill>
                </w14:textFill>
              </w:rPr>
              <w:t>854.4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w:t>
            </w:r>
            <w:r>
              <w:rPr>
                <w:color w:val="000000" w:themeColor="text1"/>
                <w14:textFill>
                  <w14:solidFill>
                    <w14:schemeClr w14:val="tx1"/>
                  </w14:solidFill>
                </w14:textFill>
              </w:rPr>
              <w:t>废水水质参照一般城市生活废水，污染物产生情况为CODcr 350mg/L、BOD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150mg/L、氨氮35mg/L、SS 300mg/L</w:t>
            </w:r>
            <w:r>
              <w:rPr>
                <w:rFonts w:hint="eastAsia"/>
                <w:color w:val="000000" w:themeColor="text1"/>
                <w14:textFill>
                  <w14:solidFill>
                    <w14:schemeClr w14:val="tx1"/>
                  </w14:solidFill>
                </w14:textFill>
              </w:rPr>
              <w:t>，总余氯产生浓度取值8</w:t>
            </w:r>
            <w:r>
              <w:rPr>
                <w:color w:val="000000" w:themeColor="text1"/>
                <w14:textFill>
                  <w14:solidFill>
                    <w14:schemeClr w14:val="tx1"/>
                  </w14:solidFill>
                </w14:textFill>
              </w:rPr>
              <w:t>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医疗废水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病房废水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项目病床数量约55床，本项目已建成投运，根据企业提供统计资料及历年来实际情况，口腔医院患者多为市区及周边患者，定期复诊，无需住院治疗</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投运多年以来院区病房床位常年利用率</w:t>
            </w:r>
            <w:r>
              <w:rPr>
                <w:rFonts w:hint="eastAsia"/>
                <w:color w:val="000000" w:themeColor="text1"/>
                <w:sz w:val="21"/>
                <w:szCs w:val="21"/>
                <w14:textFill>
                  <w14:solidFill>
                    <w14:schemeClr w14:val="tx1"/>
                  </w14:solidFill>
                </w14:textFill>
              </w:rPr>
              <w:t>较低</w:t>
            </w:r>
            <w:r>
              <w:rPr>
                <w:color w:val="000000" w:themeColor="text1"/>
                <w:sz w:val="21"/>
                <w:szCs w:val="21"/>
                <w14:textFill>
                  <w14:solidFill>
                    <w14:schemeClr w14:val="tx1"/>
                  </w14:solidFill>
                </w14:textFill>
              </w:rPr>
              <w:t>，本次评价统计病房多年来实际用水情况</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根据院方提供实际用水量数据</w:t>
            </w:r>
            <w:r>
              <w:rPr>
                <w:rFonts w:hint="eastAsia"/>
                <w:color w:val="000000" w:themeColor="text1"/>
                <w:sz w:val="21"/>
                <w:szCs w:val="21"/>
                <w14:textFill>
                  <w14:solidFill>
                    <w14:schemeClr w14:val="tx1"/>
                  </w14:solidFill>
                </w14:textFill>
              </w:rPr>
              <w:t>，病房用水量最大为2.75m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/d，合计1003.75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/a；废水产生量按80%计，产生量为803m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门诊废水</w:t>
            </w:r>
          </w:p>
          <w:p>
            <w:pPr>
              <w:pStyle w:val="55"/>
              <w:spacing w:line="360" w:lineRule="auto"/>
              <w:ind w:firstLine="420" w:firstLineChars="200"/>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门诊病人的就诊量约300人次/d，参考</w:t>
            </w:r>
            <w:r>
              <w:rPr>
                <w:rFonts w:ascii="Times New Roman" w:cs="Times New Roman"/>
                <w:bCs/>
                <w:color w:val="000000" w:themeColor="text1"/>
                <w:sz w:val="21"/>
                <w:szCs w:val="21"/>
                <w14:textFill>
                  <w14:solidFill>
                    <w14:schemeClr w14:val="tx1"/>
                  </w14:solidFill>
                </w14:textFill>
              </w:rPr>
              <w:t>《建筑给水排水设计标准》（GB50015-2019），</w:t>
            </w:r>
            <w:r>
              <w:rPr>
                <w:rFonts w:ascii="Times New Roman" w:cs="Times New Roman"/>
                <w:color w:val="000000" w:themeColor="text1"/>
                <w:sz w:val="21"/>
                <w:szCs w:val="21"/>
                <w14:textFill>
                  <w14:solidFill>
                    <w14:schemeClr w14:val="tx1"/>
                  </w14:solidFill>
                </w14:textFill>
              </w:rPr>
              <w:t>门诊病人用水定额按照每人10L/人次计算，用水量为1095m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/a；废水产生量按80%计，产生量为876m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w:t>
            </w:r>
            <w:r>
              <w:rPr>
                <w:rFonts w:hint="eastAsia" w:ascii="Times New Roman" w:cs="Times New Roman"/>
                <w:color w:val="000000" w:themeColor="text1"/>
                <w:sz w:val="21"/>
                <w:szCs w:val="21"/>
                <w14:textFill>
                  <w14:solidFill>
                    <w14:schemeClr w14:val="tx1"/>
                  </w14:solidFill>
                </w14:textFill>
              </w:rPr>
              <w:t>。</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牙椅诊疗废水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牙椅数量40把，利用率最高可达100%，牙椅用水量按100L/把•d计算，则牙椅用水量约4m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/d，即1460m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/a；废水产生量按80%计，产生量为1168m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项目产生的病房废水、门诊废水、牙椅诊疗废水均属于医疗废水，该部分医疗废水水质</w:t>
            </w:r>
            <w:r>
              <w:rPr>
                <w:color w:val="000000" w:themeColor="text1"/>
                <w:sz w:val="21"/>
                <w:szCs w:val="21"/>
                <w14:textFill>
                  <w14:solidFill>
                    <w14:schemeClr w14:val="tx1"/>
                  </w14:solidFill>
                </w14:textFill>
              </w:rPr>
              <w:t>根据《医院污水处理工程技术规范》（HJ2029-2013）其水质指标</w:t>
            </w:r>
            <w:r>
              <w:rPr>
                <w:rFonts w:hint="eastAsia"/>
                <w:color w:val="000000" w:themeColor="text1"/>
                <w:sz w:val="21"/>
                <w:szCs w:val="21"/>
                <w14:textFill>
                  <w14:solidFill>
                    <w14:schemeClr w14:val="tx1"/>
                  </w14:solidFill>
                </w14:textFill>
              </w:rPr>
              <w:t>可知</w:t>
            </w:r>
            <w:r>
              <w:rPr>
                <w:color w:val="000000" w:themeColor="text1"/>
                <w:sz w:val="21"/>
                <w:szCs w:val="21"/>
                <w14:textFill>
                  <w14:solidFill>
                    <w14:schemeClr w14:val="tx1"/>
                  </w14:solidFill>
                </w14:textFill>
              </w:rPr>
              <w:t>，污水污染物产生情况为CODcr 250mg/L、BOD</w:t>
            </w:r>
            <w:r>
              <w:rPr>
                <w:color w:val="000000" w:themeColor="text1"/>
                <w:sz w:val="21"/>
                <w:szCs w:val="21"/>
                <w:vertAlign w:val="subscript"/>
                <w14:textFill>
                  <w14:solidFill>
                    <w14:schemeClr w14:val="tx1"/>
                  </w14:solidFill>
                </w14:textFill>
              </w:rPr>
              <w:t xml:space="preserve">5 </w:t>
            </w:r>
            <w:r>
              <w:rPr>
                <w:color w:val="000000" w:themeColor="text1"/>
                <w:sz w:val="21"/>
                <w:szCs w:val="21"/>
                <w14:textFill>
                  <w14:solidFill>
                    <w14:schemeClr w14:val="tx1"/>
                  </w14:solidFill>
                </w14:textFill>
              </w:rPr>
              <w:t>100mg/L、氨氮30mg/L、SS 80mg/L、类大肠菌群1.6×10</w:t>
            </w:r>
            <w:r>
              <w:rPr>
                <w:color w:val="000000" w:themeColor="text1"/>
                <w:sz w:val="21"/>
                <w:szCs w:val="21"/>
                <w:vertAlign w:val="superscript"/>
                <w14:textFill>
                  <w14:solidFill>
                    <w14:schemeClr w14:val="tx1"/>
                  </w14:solidFill>
                </w14:textFill>
              </w:rPr>
              <w:t>8</w:t>
            </w:r>
            <w:r>
              <w:rPr>
                <w:color w:val="000000" w:themeColor="text1"/>
                <w:sz w:val="21"/>
                <w:szCs w:val="21"/>
                <w14:textFill>
                  <w14:solidFill>
                    <w14:schemeClr w14:val="tx1"/>
                  </w14:solidFill>
                </w14:textFill>
              </w:rPr>
              <w:t>个/L</w:t>
            </w:r>
            <w:r>
              <w:rPr>
                <w:rFonts w:hint="eastAsia"/>
                <w:color w:val="000000" w:themeColor="text1"/>
                <w:sz w:val="21"/>
                <w:szCs w:val="21"/>
                <w14:textFill>
                  <w14:solidFill>
                    <w14:schemeClr w14:val="tx1"/>
                  </w14:solidFill>
                </w14:textFill>
              </w:rPr>
              <w:t>，氟化物产生量取20</w:t>
            </w:r>
            <w:r>
              <w:rPr>
                <w:color w:val="000000" w:themeColor="text1"/>
                <w:sz w:val="21"/>
                <w:szCs w:val="21"/>
                <w14:textFill>
                  <w14:solidFill>
                    <w14:schemeClr w14:val="tx1"/>
                  </w14:solidFill>
                </w14:textFill>
              </w:rPr>
              <w:t>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、洗衣房废水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产生的床单、被罩、病号服、医务人员无尘服等均外委清洗，不在本项目洗衣房内清洗；医院洗衣房设有1台洗衣机，清洗能力较小，只为方便值班医护人员的日常衣物换洗，每日清洗量约为5kg干衣物，参考《建筑给水排水设计标准》（GB50015-2019），洗衣房用水量取80L/kg干衣，则项目洗衣房用水量为0.4 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/d，即146m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/a；废水产生量按80%计，产生量为116.8m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/a，本项目洗衣房只针对值班医护人员的日常衣物，参考日常洗衣废水水质情况，洗衣房废水污染物产生情况为CODcr 600mg/L、BOD</w:t>
            </w:r>
            <w:r>
              <w:rPr>
                <w:color w:val="000000" w:themeColor="text1"/>
                <w:kern w:val="0"/>
                <w:szCs w:val="21"/>
                <w:vertAlign w:val="subscript"/>
                <w14:textFill>
                  <w14:solidFill>
                    <w14:schemeClr w14:val="tx1"/>
                  </w14:solidFill>
                </w14:textFill>
              </w:rPr>
              <w:t xml:space="preserve">5 </w:t>
            </w:r>
            <w:r>
              <w:rPr>
                <w:color w:val="000000" w:themeColor="text1"/>
                <w:kern w:val="0"/>
                <w:szCs w:val="21"/>
                <w14:textFill>
                  <w14:solidFill>
                    <w14:schemeClr w14:val="tx1"/>
                  </w14:solidFill>
                </w14:textFill>
              </w:rPr>
              <w:t>300mg/L、SS 400mg/L、总磷15mg/L、阴离子表面活性剂20mg/L。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项目定期对病房及主要通道进行清洁并使用84消毒液进行消毒</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清洁消毒总用水量为1139m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；废水产生量按80%计，产生量为</w:t>
            </w:r>
            <w:r>
              <w:rPr>
                <w:rFonts w:hint="eastAsia"/>
                <w:color w:val="000000" w:themeColor="text1"/>
                <w:kern w:val="0"/>
                <w:szCs w:val="21"/>
                <w14:textFill>
                  <w14:solidFill>
                    <w14:schemeClr w14:val="tx1"/>
                  </w14:solidFill>
                </w14:textFill>
              </w:rPr>
              <w:t>911.2</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/a，参考日常</w:t>
            </w:r>
            <w:r>
              <w:rPr>
                <w:rFonts w:hint="eastAsia"/>
                <w:color w:val="000000" w:themeColor="text1"/>
                <w:kern w:val="0"/>
                <w:szCs w:val="21"/>
                <w14:textFill>
                  <w14:solidFill>
                    <w14:schemeClr w14:val="tx1"/>
                  </w14:solidFill>
                </w14:textFill>
              </w:rPr>
              <w:t>清洁</w:t>
            </w:r>
            <w:r>
              <w:rPr>
                <w:color w:val="000000" w:themeColor="text1"/>
                <w:kern w:val="0"/>
                <w:szCs w:val="21"/>
                <w14:textFill>
                  <w14:solidFill>
                    <w14:schemeClr w14:val="tx1"/>
                  </w14:solidFill>
                </w14:textFill>
              </w:rPr>
              <w:t>废水水质情况，</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 xml:space="preserve">废水污染物产生情况为CODcr </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00mg/L、BOD</w:t>
            </w:r>
            <w:r>
              <w:rPr>
                <w:color w:val="000000" w:themeColor="text1"/>
                <w:kern w:val="0"/>
                <w:szCs w:val="21"/>
                <w:vertAlign w:val="subscript"/>
                <w14:textFill>
                  <w14:solidFill>
                    <w14:schemeClr w14:val="tx1"/>
                  </w14:solidFill>
                </w14:textFill>
              </w:rPr>
              <w:t xml:space="preserve">5 </w:t>
            </w:r>
            <w:r>
              <w:rPr>
                <w:color w:val="000000" w:themeColor="text1"/>
                <w:kern w:val="0"/>
                <w:szCs w:val="21"/>
                <w14:textFill>
                  <w14:solidFill>
                    <w14:schemeClr w14:val="tx1"/>
                  </w14:solidFill>
                </w14:textFill>
              </w:rPr>
              <w:t xml:space="preserve">300mg/L、SS </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00mg/L、</w:t>
            </w:r>
            <w:r>
              <w:rPr>
                <w:rFonts w:hint="eastAsia"/>
                <w:color w:val="000000" w:themeColor="text1"/>
                <w:kern w:val="0"/>
                <w:szCs w:val="21"/>
                <w14:textFill>
                  <w14:solidFill>
                    <w14:schemeClr w14:val="tx1"/>
                  </w14:solidFill>
                </w14:textFill>
              </w:rPr>
              <w:t>总余氯4</w:t>
            </w:r>
            <w:r>
              <w:rPr>
                <w:color w:val="000000" w:themeColor="text1"/>
                <w:kern w:val="0"/>
                <w:szCs w:val="21"/>
                <w14:textFill>
                  <w14:solidFill>
                    <w14:schemeClr w14:val="tx1"/>
                  </w14:solidFill>
                </w14:textFill>
              </w:rPr>
              <w:t>0mg/L。</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  院区废水污染产生情况一览表</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1"/>
              <w:gridCol w:w="616"/>
              <w:gridCol w:w="819"/>
              <w:gridCol w:w="819"/>
              <w:gridCol w:w="819"/>
              <w:gridCol w:w="819"/>
              <w:gridCol w:w="819"/>
              <w:gridCol w:w="819"/>
              <w:gridCol w:w="819"/>
              <w:gridCol w:w="82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Merge w:val="restar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废水类别</w:t>
                  </w:r>
                </w:p>
              </w:tc>
              <w:tc>
                <w:tcPr>
                  <w:tcW w:w="365" w:type="pct"/>
                  <w:vMerge w:val="restar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废水量m</w:t>
                  </w:r>
                  <w:r>
                    <w:rPr>
                      <w:rFonts w:ascii="Times New Roman" w:hAnsi="Times New Roman"/>
                      <w:color w:val="000000" w:themeColor="text1"/>
                      <w:sz w:val="18"/>
                      <w:szCs w:val="18"/>
                      <w:vertAlign w:val="superscript"/>
                      <w14:textFill>
                        <w14:solidFill>
                          <w14:schemeClr w14:val="tx1"/>
                        </w14:solidFill>
                      </w14:textFill>
                    </w:rPr>
                    <w:t>3</w:t>
                  </w:r>
                  <w:r>
                    <w:rPr>
                      <w:rFonts w:ascii="Times New Roman" w:hAnsi="Times New Roman"/>
                      <w:color w:val="000000" w:themeColor="text1"/>
                      <w:sz w:val="18"/>
                      <w:szCs w:val="18"/>
                      <w14:textFill>
                        <w14:solidFill>
                          <w14:schemeClr w14:val="tx1"/>
                        </w14:solidFill>
                      </w14:textFill>
                    </w:rPr>
                    <w:t>/a</w:t>
                  </w:r>
                </w:p>
              </w:tc>
              <w:tc>
                <w:tcPr>
                  <w:tcW w:w="4389" w:type="pct"/>
                  <w:gridSpan w:val="9"/>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水质组成(单位：mg/L)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Merge w:val="continue"/>
                  <w:vAlign w:val="center"/>
                </w:tcPr>
                <w:p>
                  <w:pPr>
                    <w:jc w:val="center"/>
                    <w:rPr>
                      <w:color w:val="000000" w:themeColor="text1"/>
                      <w:sz w:val="18"/>
                      <w:szCs w:val="18"/>
                      <w14:textFill>
                        <w14:solidFill>
                          <w14:schemeClr w14:val="tx1"/>
                        </w14:solidFill>
                      </w14:textFill>
                    </w:rPr>
                  </w:pPr>
                </w:p>
              </w:tc>
              <w:tc>
                <w:tcPr>
                  <w:tcW w:w="365" w:type="pct"/>
                  <w:vMerge w:val="continue"/>
                  <w:vAlign w:val="center"/>
                </w:tcPr>
                <w:p>
                  <w:pPr>
                    <w:jc w:val="center"/>
                    <w:rPr>
                      <w:color w:val="000000" w:themeColor="text1"/>
                      <w:sz w:val="18"/>
                      <w:szCs w:val="18"/>
                      <w14:textFill>
                        <w14:solidFill>
                          <w14:schemeClr w14:val="tx1"/>
                        </w14:solidFill>
                      </w14:textFill>
                    </w:rPr>
                  </w:pP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CODcr</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BOD</w:t>
                  </w:r>
                  <w:r>
                    <w:rPr>
                      <w:rFonts w:ascii="Times New Roman" w:hAnsi="Times New Roman"/>
                      <w:color w:val="000000" w:themeColor="text1"/>
                      <w:sz w:val="18"/>
                      <w:szCs w:val="18"/>
                      <w:vertAlign w:val="subscript"/>
                      <w14:textFill>
                        <w14:solidFill>
                          <w14:schemeClr w14:val="tx1"/>
                        </w14:solidFill>
                      </w14:textFill>
                    </w:rPr>
                    <w:t>5</w:t>
                  </w:r>
                  <w:r>
                    <w:rPr>
                      <w:rFonts w:ascii="Times New Roman" w:hAnsi="Times New Roman"/>
                      <w:color w:val="000000" w:themeColor="text1"/>
                      <w:sz w:val="18"/>
                      <w:szCs w:val="18"/>
                      <w14:textFill>
                        <w14:solidFill>
                          <w14:schemeClr w14:val="tx1"/>
                        </w14:solidFill>
                      </w14:textFill>
                    </w:rPr>
                    <w:t xml:space="preserve">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氨氮</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SS</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总磷</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LAS</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粪</w:t>
                  </w:r>
                  <w:r>
                    <w:rPr>
                      <w:rFonts w:ascii="Times New Roman" w:hAnsi="Times New Roman"/>
                      <w:color w:val="000000" w:themeColor="text1"/>
                      <w:sz w:val="18"/>
                      <w:szCs w:val="18"/>
                      <w14:textFill>
                        <w14:solidFill>
                          <w14:schemeClr w14:val="tx1"/>
                        </w14:solidFill>
                      </w14:textFill>
                    </w:rPr>
                    <w:t>大肠菌群</w:t>
                  </w:r>
                  <w:r>
                    <w:rPr>
                      <w:rFonts w:hint="eastAsia" w:ascii="Times New Roman" w:hAnsi="Times New Roman"/>
                      <w:color w:val="000000" w:themeColor="text1"/>
                      <w:sz w:val="18"/>
                      <w:szCs w:val="18"/>
                      <w14:textFill>
                        <w14:solidFill>
                          <w14:schemeClr w14:val="tx1"/>
                        </w14:solidFill>
                      </w14:textFill>
                    </w:rPr>
                    <w:t>（个/L）</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余氯</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职工生活污水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3854.4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医疗废水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2847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1.6×10</w:t>
                  </w:r>
                  <w:r>
                    <w:rPr>
                      <w:color w:val="000000" w:themeColor="text1"/>
                      <w:sz w:val="18"/>
                      <w:szCs w:val="18"/>
                      <w:vertAlign w:val="superscript"/>
                      <w14:textFill>
                        <w14:solidFill>
                          <w14:schemeClr w14:val="tx1"/>
                        </w14:solidFill>
                      </w14:textFill>
                    </w:rPr>
                    <w:t>8</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洗衣房废水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116.8</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清洁消毒</w:t>
                  </w:r>
                  <w:r>
                    <w:rPr>
                      <w:rFonts w:ascii="Times New Roman" w:hAnsi="Times New Roman"/>
                      <w:color w:val="000000" w:themeColor="text1"/>
                      <w:sz w:val="18"/>
                      <w:szCs w:val="18"/>
                      <w14:textFill>
                        <w14:solidFill>
                          <w14:schemeClr w14:val="tx1"/>
                        </w14:solidFill>
                      </w14:textFill>
                    </w:rPr>
                    <w:t>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911.2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综合废水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7729.4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335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151.5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232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w:t>
                  </w:r>
                  <w:r>
                    <w:rPr>
                      <w:rFonts w:hint="eastAsia" w:ascii="Times New Roman" w:hAnsi="Times New Roman"/>
                      <w:color w:val="000000" w:themeColor="text1"/>
                      <w:sz w:val="18"/>
                      <w:szCs w:val="18"/>
                      <w14:textFill>
                        <w14:solidFill>
                          <w14:schemeClr w14:val="tx1"/>
                        </w14:solidFill>
                      </w14:textFill>
                    </w:rPr>
                    <w:t>26</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0.26</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5.9</w:t>
                  </w:r>
                  <w:r>
                    <w:rPr>
                      <w:rFonts w:ascii="Times New Roman" w:hAnsi="Times New Roman"/>
                      <w:color w:val="000000" w:themeColor="text1"/>
                      <w:sz w:val="18"/>
                      <w:szCs w:val="18"/>
                      <w14:textFill>
                        <w14:solidFill>
                          <w14:schemeClr w14:val="tx1"/>
                        </w14:solidFill>
                      </w14:textFill>
                    </w:rPr>
                    <w:t>×10</w:t>
                  </w:r>
                  <w:r>
                    <w:rPr>
                      <w:rFonts w:hint="eastAsia" w:ascii="Times New Roman" w:hAnsi="Times New Roman"/>
                      <w:color w:val="000000" w:themeColor="text1"/>
                      <w:sz w:val="18"/>
                      <w:szCs w:val="18"/>
                      <w:vertAlign w:val="superscript"/>
                      <w14:textFill>
                        <w14:solidFill>
                          <w14:schemeClr w14:val="tx1"/>
                        </w14:solidFill>
                      </w14:textFill>
                    </w:rPr>
                    <w:t>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8.7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0" w:type="pct"/>
                  <w:gridSpan w:val="2"/>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污染物产生量（t/a）</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2.587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1.171</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w:t>
                  </w:r>
                  <w:r>
                    <w:rPr>
                      <w:rFonts w:hint="eastAsia" w:ascii="Times New Roman" w:hAnsi="Times New Roman"/>
                      <w:color w:val="000000" w:themeColor="text1"/>
                      <w:sz w:val="18"/>
                      <w:szCs w:val="18"/>
                      <w14:textFill>
                        <w14:solidFill>
                          <w14:schemeClr w14:val="tx1"/>
                        </w14:solidFill>
                      </w14:textFill>
                    </w:rPr>
                    <w:t>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1.795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0.002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0.002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4.56</w:t>
                  </w:r>
                  <w:r>
                    <w:rPr>
                      <w:rFonts w:ascii="Times New Roman" w:hAnsi="Times New Roman"/>
                      <w:color w:val="000000" w:themeColor="text1"/>
                      <w:sz w:val="18"/>
                      <w:szCs w:val="18"/>
                      <w14:textFill>
                        <w14:solidFill>
                          <w14:schemeClr w14:val="tx1"/>
                        </w14:solidFill>
                      </w14:textFill>
                    </w:rPr>
                    <w:t>×10</w:t>
                  </w:r>
                  <w:r>
                    <w:rPr>
                      <w:rFonts w:hint="eastAsia" w:ascii="Times New Roman" w:hAnsi="Times New Roman"/>
                      <w:color w:val="000000" w:themeColor="text1"/>
                      <w:sz w:val="18"/>
                      <w:szCs w:val="18"/>
                      <w:vertAlign w:val="superscript"/>
                      <w14:textFill>
                        <w14:solidFill>
                          <w14:schemeClr w14:val="tx1"/>
                        </w14:solidFill>
                      </w14:textFill>
                    </w:rPr>
                    <w:t>14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0.067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0.057</w:t>
                  </w:r>
                </w:p>
              </w:tc>
            </w:tr>
          </w:tbl>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1.2废水治理措施</w:t>
            </w:r>
          </w:p>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1、污水处理站简介</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rFonts w:hint="eastAsia"/>
                <w:color w:val="000000" w:themeColor="text1"/>
                <w:kern w:val="0"/>
                <w:szCs w:val="21"/>
                <w:lang w:val="zh-CN"/>
                <w14:textFill>
                  <w14:solidFill>
                    <w14:schemeClr w14:val="tx1"/>
                  </w14:solidFill>
                </w14:textFill>
              </w:rPr>
              <w:t>院区</w:t>
            </w:r>
            <w:r>
              <w:rPr>
                <w:color w:val="000000" w:themeColor="text1"/>
                <w:kern w:val="0"/>
                <w:szCs w:val="21"/>
                <w:lang w:val="zh-CN"/>
                <w14:textFill>
                  <w14:solidFill>
                    <w14:schemeClr w14:val="tx1"/>
                  </w14:solidFill>
                </w14:textFill>
              </w:rPr>
              <w:t>内建有污水处理站一座，设计处理能力</w:t>
            </w:r>
            <w:r>
              <w:rPr>
                <w:rFonts w:hint="eastAsia"/>
                <w:color w:val="000000" w:themeColor="text1"/>
                <w:kern w:val="0"/>
                <w:szCs w:val="21"/>
                <w:lang w:val="zh-CN"/>
                <w14:textFill>
                  <w14:solidFill>
                    <w14:schemeClr w14:val="tx1"/>
                  </w14:solidFill>
                </w14:textFill>
              </w:rPr>
              <w:t>3</w:t>
            </w:r>
            <w:r>
              <w:rPr>
                <w:color w:val="000000" w:themeColor="text1"/>
                <w:kern w:val="0"/>
                <w:szCs w:val="21"/>
                <w:lang w:val="zh-CN"/>
                <w14:textFill>
                  <w14:solidFill>
                    <w14:schemeClr w14:val="tx1"/>
                  </w14:solidFill>
                </w14:textFill>
              </w:rPr>
              <w:t>0m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/d，废水处理工艺采用“格栅+调节池+水解酸化池+接触氧化池+沉淀池+消毒池”，院区内废水经污水处理站处理后经市政污水管网排入光大水务（淄博）有限公司三分厂进一步深度处理后达标排放。</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根据企业污水处理站设计资料，污水处理站进出水水质要求见下表：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表4-2  设计院区污水处理站进出水水质一览表</w:t>
            </w:r>
          </w:p>
          <w:tbl>
            <w:tblPr>
              <w:tblStyle w:val="24"/>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8"/>
              <w:gridCol w:w="774"/>
              <w:gridCol w:w="698"/>
              <w:gridCol w:w="700"/>
              <w:gridCol w:w="700"/>
              <w:gridCol w:w="700"/>
              <w:gridCol w:w="701"/>
              <w:gridCol w:w="706"/>
              <w:gridCol w:w="922"/>
              <w:gridCol w:w="706"/>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w:t>
                  </w:r>
                </w:p>
              </w:tc>
              <w:tc>
                <w:tcPr>
                  <w:tcW w:w="48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CODcr</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BOD</w:t>
                  </w:r>
                  <w:r>
                    <w:rPr>
                      <w:rFonts w:ascii="Times New Roman" w:hAnsi="Times New Roman"/>
                      <w:color w:val="000000" w:themeColor="text1"/>
                      <w:sz w:val="18"/>
                      <w:szCs w:val="18"/>
                      <w:vertAlign w:val="subscript"/>
                      <w14:textFill>
                        <w14:solidFill>
                          <w14:schemeClr w14:val="tx1"/>
                        </w14:solidFill>
                      </w14:textFill>
                    </w:rPr>
                    <w:t>5</w:t>
                  </w:r>
                  <w:r>
                    <w:rPr>
                      <w:rFonts w:ascii="Times New Roman" w:hAnsi="Times New Roman"/>
                      <w:color w:val="000000" w:themeColor="text1"/>
                      <w:sz w:val="18"/>
                      <w:szCs w:val="18"/>
                      <w14:textFill>
                        <w14:solidFill>
                          <w14:schemeClr w14:val="tx1"/>
                        </w14:solidFill>
                      </w14:textFill>
                    </w:rPr>
                    <w:t xml:space="preserve"> </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氨氮</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SS</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总磷</w:t>
                  </w:r>
                </w:p>
              </w:tc>
              <w:tc>
                <w:tcPr>
                  <w:tcW w:w="439"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LAS</w:t>
                  </w:r>
                </w:p>
              </w:tc>
              <w:tc>
                <w:tcPr>
                  <w:tcW w:w="725"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粪</w:t>
                  </w:r>
                  <w:r>
                    <w:rPr>
                      <w:rFonts w:ascii="Times New Roman" w:hAnsi="Times New Roman"/>
                      <w:color w:val="000000" w:themeColor="text1"/>
                      <w:sz w:val="18"/>
                      <w:szCs w:val="18"/>
                      <w14:textFill>
                        <w14:solidFill>
                          <w14:schemeClr w14:val="tx1"/>
                        </w14:solidFill>
                      </w14:textFill>
                    </w:rPr>
                    <w:t>大肠菌群</w:t>
                  </w:r>
                  <w:r>
                    <w:rPr>
                      <w:rFonts w:hint="eastAsia" w:ascii="Times New Roman" w:hAnsi="Times New Roman"/>
                      <w:color w:val="000000" w:themeColor="text1"/>
                      <w:sz w:val="18"/>
                      <w:szCs w:val="18"/>
                      <w14:textFill>
                        <w14:solidFill>
                          <w14:schemeClr w14:val="tx1"/>
                        </w14:solidFill>
                      </w14:textFill>
                    </w:rPr>
                    <w:t>（MPN/L）</w:t>
                  </w:r>
                </w:p>
              </w:tc>
              <w:tc>
                <w:tcPr>
                  <w:tcW w:w="725"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余氯</w:t>
                  </w:r>
                </w:p>
              </w:tc>
              <w:tc>
                <w:tcPr>
                  <w:tcW w:w="726"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进水水质要求</w:t>
                  </w:r>
                </w:p>
              </w:tc>
              <w:tc>
                <w:tcPr>
                  <w:tcW w:w="481"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mg/L</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1.6×10</w:t>
                  </w:r>
                  <w:r>
                    <w:rPr>
                      <w:color w:val="000000" w:themeColor="text1"/>
                      <w:sz w:val="18"/>
                      <w:szCs w:val="18"/>
                      <w:vertAlign w:val="superscript"/>
                      <w14:textFill>
                        <w14:solidFill>
                          <w14:schemeClr w14:val="tx1"/>
                        </w14:solidFill>
                      </w14:textFill>
                    </w:rPr>
                    <w:t>8</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出水水质要求</w:t>
                  </w:r>
                </w:p>
              </w:tc>
              <w:tc>
                <w:tcPr>
                  <w:tcW w:w="481"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mg/L</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r>
          </w:tbl>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污水处理站处理工艺详见下图。</w:t>
            </w:r>
          </w:p>
          <w:p>
            <w:pPr>
              <w:spacing w:line="360"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974590" cy="50330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4975490" cy="5033652"/>
                          </a:xfrm>
                          <a:prstGeom prst="rect">
                            <a:avLst/>
                          </a:prstGeom>
                        </pic:spPr>
                      </pic:pic>
                    </a:graphicData>
                  </a:graphic>
                </wp:inline>
              </w:drawing>
            </w:r>
          </w:p>
          <w:p>
            <w:pPr>
              <w:adjustRightInd w:val="0"/>
              <w:snapToGrid w:val="0"/>
              <w:spacing w:line="360" w:lineRule="auto"/>
              <w:ind w:firstLine="422" w:firstLineChars="200"/>
              <w:jc w:val="center"/>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图4-1  污水处理站工艺流程图</w:t>
            </w:r>
          </w:p>
          <w:p>
            <w:pPr>
              <w:autoSpaceDE w:val="0"/>
              <w:autoSpaceDN w:val="0"/>
              <w:adjustRightInd w:val="0"/>
              <w:snapToGrid w:val="0"/>
              <w:spacing w:line="360" w:lineRule="auto"/>
              <w:ind w:firstLine="422" w:firstLineChars="200"/>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污水处理工艺简述：</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1、格栅、调节池：污水经格栅去除粒径较大废物，进入调节池内。</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2、水解酸化、接触氧化：调节池中的污水由泵抽入水解酸化池、接触氧化池内，污水中的有机污染物在好氧菌的新陈代谢作用下被充分的分解去除，同时亚硝化细菌和硝化细菌将污水中的NH</w:t>
            </w:r>
            <w:r>
              <w:rPr>
                <w:color w:val="000000" w:themeColor="text1"/>
                <w:kern w:val="0"/>
                <w:szCs w:val="21"/>
                <w:vertAlign w:val="subscript"/>
                <w:lang w:val="zh-CN"/>
                <w14:textFill>
                  <w14:solidFill>
                    <w14:schemeClr w14:val="tx1"/>
                  </w14:solidFill>
                </w14:textFill>
              </w:rPr>
              <w:t>3</w:t>
            </w:r>
            <w:r>
              <w:rPr>
                <w:color w:val="000000" w:themeColor="text1"/>
                <w:kern w:val="0"/>
                <w:szCs w:val="21"/>
                <w:lang w:val="zh-CN"/>
                <w14:textFill>
                  <w14:solidFill>
                    <w14:schemeClr w14:val="tx1"/>
                  </w14:solidFill>
                </w14:textFill>
              </w:rPr>
              <w:t>-N转化为NO</w:t>
            </w:r>
            <w:r>
              <w:rPr>
                <w:color w:val="000000" w:themeColor="text1"/>
                <w:kern w:val="0"/>
                <w:szCs w:val="21"/>
                <w:vertAlign w:val="subscript"/>
                <w:lang w:val="zh-CN"/>
                <w14:textFill>
                  <w14:solidFill>
                    <w14:schemeClr w14:val="tx1"/>
                  </w14:solidFill>
                </w14:textFill>
              </w:rPr>
              <w:t>2</w:t>
            </w:r>
            <w:r>
              <w:rPr>
                <w:color w:val="000000" w:themeColor="text1"/>
                <w:kern w:val="0"/>
                <w:szCs w:val="21"/>
                <w:vertAlign w:val="superscript"/>
                <w:lang w:val="zh-CN"/>
                <w14:textFill>
                  <w14:solidFill>
                    <w14:schemeClr w14:val="tx1"/>
                  </w14:solidFill>
                </w14:textFill>
              </w:rPr>
              <w:t>-</w:t>
            </w:r>
            <w:r>
              <w:rPr>
                <w:color w:val="000000" w:themeColor="text1"/>
                <w:kern w:val="0"/>
                <w:szCs w:val="21"/>
                <w:lang w:val="zh-CN"/>
                <w14:textFill>
                  <w14:solidFill>
                    <w14:schemeClr w14:val="tx1"/>
                  </w14:solidFill>
                </w14:textFill>
              </w:rPr>
              <w:t>N或NO</w:t>
            </w:r>
            <w:r>
              <w:rPr>
                <w:color w:val="000000" w:themeColor="text1"/>
                <w:kern w:val="0"/>
                <w:szCs w:val="21"/>
                <w:vertAlign w:val="subscript"/>
                <w:lang w:val="zh-CN"/>
                <w14:textFill>
                  <w14:solidFill>
                    <w14:schemeClr w14:val="tx1"/>
                  </w14:solidFill>
                </w14:textFill>
              </w:rPr>
              <w:t>3</w:t>
            </w:r>
            <w:r>
              <w:rPr>
                <w:color w:val="000000" w:themeColor="text1"/>
                <w:kern w:val="0"/>
                <w:szCs w:val="21"/>
                <w:vertAlign w:val="superscript"/>
                <w:lang w:val="zh-CN"/>
                <w14:textFill>
                  <w14:solidFill>
                    <w14:schemeClr w14:val="tx1"/>
                  </w14:solidFill>
                </w14:textFill>
              </w:rPr>
              <w:t>-</w:t>
            </w:r>
            <w:r>
              <w:rPr>
                <w:color w:val="000000" w:themeColor="text1"/>
                <w:kern w:val="0"/>
                <w:szCs w:val="21"/>
                <w:lang w:val="zh-CN"/>
                <w14:textFill>
                  <w14:solidFill>
                    <w14:schemeClr w14:val="tx1"/>
                  </w14:solidFill>
                </w14:textFill>
              </w:rPr>
              <w:t>N。接触氧化池内悬挂生物组合填料，使活性污泥生长在填料上呈悬浮状态，与污水充分接触。污水中的悬浮固体和胶状物质被活性污泥吸附，可溶性有机物被活性污泥中的微生物用作自身繁殖的营养，代谢转化为生物细胞，并氧化成为最终产物。非溶解性有机物需先转化成溶解性有机物，而后才被代谢和利用，污水由此得到净化。净化后的污水与活性污泥在二次沉淀池内进行分离，上层出水进入下一环节进一步处理，沉淀污泥一部分返回接触氧化池，以保证池内有一定浓度的活性污泥，其余为剩余污泥，由系统排入污泥池。</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bookmarkStart w:id="3" w:name="_Toc107479627"/>
            <w:bookmarkStart w:id="4" w:name="_Toc32670"/>
            <w:bookmarkStart w:id="5" w:name="_Toc11943"/>
            <w:r>
              <w:rPr>
                <w:color w:val="000000" w:themeColor="text1"/>
                <w:kern w:val="0"/>
                <w:szCs w:val="21"/>
                <w:lang w:val="zh-CN"/>
                <w14:textFill>
                  <w14:solidFill>
                    <w14:schemeClr w14:val="tx1"/>
                  </w14:solidFill>
                </w14:textFill>
              </w:rPr>
              <w:t>3、沉淀池</w:t>
            </w:r>
            <w:bookmarkEnd w:id="3"/>
            <w:bookmarkEnd w:id="4"/>
            <w:r>
              <w:rPr>
                <w:color w:val="000000" w:themeColor="text1"/>
                <w:kern w:val="0"/>
                <w:szCs w:val="21"/>
                <w:lang w:val="zh-CN"/>
                <w14:textFill>
                  <w14:solidFill>
                    <w14:schemeClr w14:val="tx1"/>
                  </w14:solidFill>
                </w14:textFill>
              </w:rPr>
              <w:t>：沉淀池将好氧后的泥水进行分离，上清液自流到中间水池；沉淀污泥通过污泥回流泵连续将活性污泥补充回流到生化系统的前端，保持生化系统的污泥量。剩余污泥定期排入污泥池。</w:t>
            </w:r>
          </w:p>
          <w:p>
            <w:pPr>
              <w:autoSpaceDE w:val="0"/>
              <w:autoSpaceDN w:val="0"/>
              <w:adjustRightInd w:val="0"/>
              <w:snapToGrid w:val="0"/>
              <w:spacing w:line="360" w:lineRule="auto"/>
              <w:ind w:firstLine="420" w:firstLineChars="200"/>
              <w:rPr>
                <w:b/>
                <w:bCs/>
                <w:color w:val="000000" w:themeColor="text1"/>
                <w:kern w:val="0"/>
                <w:szCs w:val="21"/>
                <w14:textFill>
                  <w14:solidFill>
                    <w14:schemeClr w14:val="tx1"/>
                  </w14:solidFill>
                </w14:textFill>
              </w:rPr>
            </w:pPr>
            <w:bookmarkStart w:id="6" w:name="_Toc107479628"/>
            <w:bookmarkStart w:id="7" w:name="_Toc31581"/>
            <w:r>
              <w:rPr>
                <w:color w:val="000000" w:themeColor="text1"/>
                <w:kern w:val="0"/>
                <w:szCs w:val="21"/>
                <w:lang w:val="zh-CN"/>
                <w14:textFill>
                  <w14:solidFill>
                    <w14:schemeClr w14:val="tx1"/>
                  </w14:solidFill>
                </w14:textFill>
              </w:rPr>
              <w:t>4、消毒</w:t>
            </w:r>
            <w:bookmarkEnd w:id="6"/>
            <w:bookmarkEnd w:id="7"/>
            <w:r>
              <w:rPr>
                <w:color w:val="000000" w:themeColor="text1"/>
                <w:kern w:val="0"/>
                <w:szCs w:val="21"/>
                <w:lang w:val="zh-CN"/>
                <w14:textFill>
                  <w14:solidFill>
                    <w14:schemeClr w14:val="tx1"/>
                  </w14:solidFill>
                </w14:textFill>
              </w:rPr>
              <w:t>：消毒是医疗污水处理的重要工艺过程，其目的是杀灭污水中的各种致病菌。医疗污水消毒常用的消毒工艺有外加氯消毒(如氯气、二氧化氯、次氯酸钠)、氧化剂消毒(如臭氧、过氧乙酸)、辐射消毒(如紫外线、γ射线)。本污水处理工程消毒方式采用的单过硫酸氢钾复合粉是一种新型活性氧类绿色环保消毒剂，具有高效杀菌；不含氯、无氯化消毒副产物产生；使用安全、方便等特点，在国外已经获得广泛使用。</w:t>
            </w:r>
            <w:bookmarkEnd w:id="5"/>
          </w:p>
          <w:p>
            <w:pPr>
              <w:autoSpaceDE w:val="0"/>
              <w:autoSpaceDN w:val="0"/>
              <w:adjustRightInd w:val="0"/>
              <w:snapToGrid w:val="0"/>
              <w:jc w:val="center"/>
              <w:rPr>
                <w:b/>
                <w:color w:val="000000" w:themeColor="text1"/>
                <w:kern w:val="0"/>
                <w:szCs w:val="21"/>
                <w:lang w:val="zh-CN"/>
                <w14:textFill>
                  <w14:solidFill>
                    <w14:schemeClr w14:val="tx1"/>
                  </w14:solidFill>
                </w14:textFill>
              </w:rPr>
            </w:pPr>
            <w:r>
              <w:rPr>
                <w:b/>
                <w:bCs/>
                <w:color w:val="000000" w:themeColor="text1"/>
                <w:kern w:val="0"/>
                <w:szCs w:val="21"/>
                <w14:textFill>
                  <w14:solidFill>
                    <w14:schemeClr w14:val="tx1"/>
                  </w14:solidFill>
                </w14:textFill>
              </w:rPr>
              <w:t>表4-3  废水治理设施基本情况表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39"/>
              <w:gridCol w:w="1355"/>
              <w:gridCol w:w="1348"/>
              <w:gridCol w:w="1348"/>
              <w:gridCol w:w="111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5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治理措施</w:t>
                  </w:r>
                </w:p>
              </w:tc>
              <w:tc>
                <w:tcPr>
                  <w:tcW w:w="133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处理能力</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治理工艺</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治理效率</w:t>
                  </w:r>
                </w:p>
              </w:tc>
              <w:tc>
                <w:tcPr>
                  <w:tcW w:w="10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是否为可行技术</w:t>
                  </w:r>
                </w:p>
              </w:tc>
              <w:tc>
                <w:tcPr>
                  <w:tcW w:w="168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可行技术依据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5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133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/d</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格栅+调节池+水解酸化池+接触氧化池+沉淀池+消毒池</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68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《排污许可证申请与核发技术规范 医疗机构》（HJ1105-2020）</w:t>
                  </w:r>
                </w:p>
              </w:tc>
            </w:tr>
          </w:tbl>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2、污水处理站可行性分析</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（1）水量：本项目污水处理站设计处理能力30m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/d，本项目废水量为</w:t>
            </w:r>
            <w:r>
              <w:rPr>
                <w:rFonts w:hint="eastAsia"/>
                <w:color w:val="000000" w:themeColor="text1"/>
                <w:kern w:val="0"/>
                <w:szCs w:val="21"/>
                <w:lang w:val="zh-CN"/>
                <w14:textFill>
                  <w14:solidFill>
                    <w14:schemeClr w14:val="tx1"/>
                  </w14:solidFill>
                </w14:textFill>
              </w:rPr>
              <w:t>7729.4</w:t>
            </w:r>
            <w:r>
              <w:rPr>
                <w:color w:val="000000" w:themeColor="text1"/>
                <w:kern w:val="0"/>
                <w:szCs w:val="21"/>
                <w:lang w:val="zh-CN"/>
                <w14:textFill>
                  <w14:solidFill>
                    <w14:schemeClr w14:val="tx1"/>
                  </w14:solidFill>
                </w14:textFill>
              </w:rPr>
              <w:t>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/a，折合</w:t>
            </w:r>
            <w:r>
              <w:rPr>
                <w:rFonts w:hint="eastAsia"/>
                <w:color w:val="000000" w:themeColor="text1"/>
                <w:kern w:val="0"/>
                <w:szCs w:val="21"/>
                <w:lang w:val="zh-CN"/>
                <w14:textFill>
                  <w14:solidFill>
                    <w14:schemeClr w14:val="tx1"/>
                  </w14:solidFill>
                </w14:textFill>
              </w:rPr>
              <w:t>21.2</w:t>
            </w:r>
            <w:r>
              <w:rPr>
                <w:color w:val="000000" w:themeColor="text1"/>
                <w:kern w:val="0"/>
                <w:szCs w:val="21"/>
                <w:lang w:val="zh-CN"/>
                <w14:textFill>
                  <w14:solidFill>
                    <w14:schemeClr w14:val="tx1"/>
                  </w14:solidFill>
                </w14:textFill>
              </w:rPr>
              <w:t>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/d，占用污水站负荷</w:t>
            </w:r>
            <w:r>
              <w:rPr>
                <w:rFonts w:hint="eastAsia"/>
                <w:color w:val="000000" w:themeColor="text1"/>
                <w:kern w:val="0"/>
                <w:szCs w:val="21"/>
                <w:lang w:val="zh-CN"/>
                <w14:textFill>
                  <w14:solidFill>
                    <w14:schemeClr w14:val="tx1"/>
                  </w14:solidFill>
                </w14:textFill>
              </w:rPr>
              <w:t>70.6</w:t>
            </w:r>
            <w:r>
              <w:rPr>
                <w:color w:val="000000" w:themeColor="text1"/>
                <w:kern w:val="0"/>
                <w:szCs w:val="21"/>
                <w:lang w:val="zh-CN"/>
                <w14:textFill>
                  <w14:solidFill>
                    <w14:schemeClr w14:val="tx1"/>
                  </w14:solidFill>
                </w14:textFill>
              </w:rPr>
              <w:t>%，从水量分析，污水处理站完全有能力处理项目废水。</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（2）水质：结合表4-1及表4-2可以看出，本项目废水水质较为简单，满足院区污水处理站进水水质要求，污水处理站处理工艺对废水具有很好的处理效果。</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（3）处理效果：项目污水处理站已投运，根据厂区污水排放口例行监测数据可知，项目废水经处理后外排水质能够满足《山东省医疗机构污染物排放控制标准》（DB37/596-2020）二级标准要求。</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综上，本项目废水进入园区污水处理站处理是可行的。</w:t>
            </w:r>
          </w:p>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1.3废水排放情况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项目污水处理设备未产生变化，根据</w:t>
            </w:r>
            <w:r>
              <w:rPr>
                <w:color w:val="000000" w:themeColor="text1"/>
                <w:kern w:val="0"/>
                <w:szCs w:val="21"/>
                <w14:textFill>
                  <w14:solidFill>
                    <w14:schemeClr w14:val="tx1"/>
                  </w14:solidFill>
                </w14:textFill>
              </w:rPr>
              <w:t>淄博圆通环境检测有限公司于2021年3月28日对污水处理站废水排放口进行现状监测并出具监测报告（监测报告编号：YTHW字第（202203258）号）</w:t>
            </w:r>
            <w:r>
              <w:rPr>
                <w:rFonts w:hint="eastAsia"/>
                <w:color w:val="000000" w:themeColor="text1"/>
                <w:kern w:val="0"/>
                <w:szCs w:val="21"/>
                <w14:textFill>
                  <w14:solidFill>
                    <w14:schemeClr w14:val="tx1"/>
                  </w14:solidFill>
                </w14:textFill>
              </w:rPr>
              <w:t>中的监测数据进行污染物排放量核算</w:t>
            </w:r>
            <w:r>
              <w:rPr>
                <w:color w:val="000000" w:themeColor="text1"/>
                <w:kern w:val="0"/>
                <w:szCs w:val="21"/>
                <w14:textFill>
                  <w14:solidFill>
                    <w14:schemeClr w14:val="tx1"/>
                  </w14:solidFill>
                </w14:textFill>
              </w:rPr>
              <w:t>，监测结果具体详见下表。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表4-4  污水处理站废水排放口监测结果一览表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1609"/>
              <w:gridCol w:w="1778"/>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检测项目</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现状浓度</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bl>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14:textFill>
                  <w14:solidFill>
                    <w14:schemeClr w14:val="tx1"/>
                  </w14:solidFill>
                </w14:textFill>
              </w:rPr>
              <w:t>由上表可知，项目废水经污水处理站处理后外排废水水质满足</w:t>
            </w:r>
            <w:r>
              <w:rPr>
                <w:color w:val="000000" w:themeColor="text1"/>
                <w:szCs w:val="21"/>
                <w14:textFill>
                  <w14:solidFill>
                    <w14:schemeClr w14:val="tx1"/>
                  </w14:solidFill>
                </w14:textFill>
              </w:rPr>
              <w:t>《山东省医疗机构污染物排放控制标准》（DB37/596-2020）二级标准要求</w:t>
            </w:r>
            <w:r>
              <w:rPr>
                <w:color w:val="000000" w:themeColor="text1"/>
                <w14:textFill>
                  <w14:solidFill>
                    <w14:schemeClr w14:val="tx1"/>
                  </w14:solidFill>
                </w14:textFill>
              </w:rPr>
              <w:t>。</w:t>
            </w:r>
          </w:p>
          <w:p>
            <w:pPr>
              <w:spacing w:line="360" w:lineRule="auto"/>
              <w:ind w:firstLine="420"/>
              <w:rPr>
                <w:color w:val="000000" w:themeColor="text1"/>
                <w14:textFill>
                  <w14:solidFill>
                    <w14:schemeClr w14:val="tx1"/>
                  </w14:solidFill>
                </w14:textFill>
              </w:rPr>
            </w:pPr>
            <w:r>
              <w:rPr>
                <w:color w:val="000000" w:themeColor="text1"/>
                <w:szCs w:val="21"/>
                <w14:textFill>
                  <w14:solidFill>
                    <w14:schemeClr w14:val="tx1"/>
                  </w14:solidFill>
                </w14:textFill>
              </w:rPr>
              <w:t>本项目废水经处理后排放情况具体如下：</w:t>
            </w:r>
            <w:r>
              <w:rPr>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表4-5  废水排放情况一览表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1196"/>
              <w:gridCol w:w="1064"/>
              <w:gridCol w:w="1083"/>
              <w:gridCol w:w="1083"/>
              <w:gridCol w:w="1083"/>
              <w:gridCol w:w="10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4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排放废水量(m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71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污染物种类</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排放浓度</w:t>
                  </w:r>
                </w:p>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排放量(t/a)</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排放标准限值(mg/L)</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排放方式</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排放去向</w:t>
                  </w:r>
                </w:p>
              </w:tc>
              <w:tc>
                <w:tcPr>
                  <w:tcW w:w="64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restart"/>
                  <w:vAlign w:val="center"/>
                </w:tcPr>
                <w:p>
                  <w:pPr>
                    <w:spacing w:line="28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7729.4</w:t>
                  </w: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0.172</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643"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间接排放</w:t>
                  </w:r>
                </w:p>
              </w:tc>
              <w:tc>
                <w:tcPr>
                  <w:tcW w:w="643"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光大水务（淄博）有限公司三分厂</w:t>
                  </w:r>
                </w:p>
              </w:tc>
              <w:tc>
                <w:tcPr>
                  <w:tcW w:w="640"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vertAlign w:val="subscript"/>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0.440</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r>
                    <w:rPr>
                      <w:rFonts w:hint="eastAsia"/>
                      <w:color w:val="000000" w:themeColor="text1"/>
                      <w:sz w:val="18"/>
                      <w:szCs w:val="18"/>
                      <w14:textFill>
                        <w14:solidFill>
                          <w14:schemeClr w14:val="tx1"/>
                        </w14:solidFill>
                      </w14:textFill>
                    </w:rPr>
                    <w:t>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r>
                    <w:rPr>
                      <w:rFonts w:hint="eastAsia"/>
                      <w:color w:val="000000" w:themeColor="text1"/>
                      <w:sz w:val="18"/>
                      <w:szCs w:val="18"/>
                      <w14:textFill>
                        <w14:solidFill>
                          <w14:schemeClr w14:val="tx1"/>
                        </w14:solidFill>
                      </w14:textFill>
                    </w:rPr>
                    <w:t>85</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w:t>
                  </w:r>
                  <w:r>
                    <w:rPr>
                      <w:rFonts w:hint="eastAsia"/>
                      <w:color w:val="000000" w:themeColor="text1"/>
                      <w:sz w:val="18"/>
                      <w:szCs w:val="18"/>
                      <w14:textFill>
                        <w14:solidFill>
                          <w14:schemeClr w14:val="tx1"/>
                        </w14:solidFill>
                      </w14:textFill>
                    </w:rPr>
                    <w:t>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0.0001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r>
                    <w:rPr>
                      <w:rFonts w:hint="eastAsia"/>
                      <w:color w:val="000000" w:themeColor="text1"/>
                      <w:sz w:val="18"/>
                      <w:szCs w:val="18"/>
                      <w14:textFill>
                        <w14:solidFill>
                          <w14:schemeClr w14:val="tx1"/>
                        </w14:solidFill>
                      </w14:textFill>
                    </w:rPr>
                    <w:t>11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MPN/L</w:t>
                  </w:r>
                  <w:r>
                    <w:rPr>
                      <w:rFonts w:hint="eastAsia"/>
                      <w:color w:val="000000" w:themeColor="text1"/>
                      <w:sz w:val="18"/>
                      <w:szCs w:val="18"/>
                      <w14:textFill>
                        <w14:solidFill>
                          <w14:schemeClr w14:val="tx1"/>
                        </w14:solidFill>
                      </w14:textFill>
                    </w:rPr>
                    <w:t>）</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5.41</w:t>
                  </w:r>
                  <w:r>
                    <w:rPr>
                      <w:color w:val="000000" w:themeColor="text1"/>
                      <w:sz w:val="18"/>
                      <w:szCs w:val="18"/>
                      <w14:textFill>
                        <w14:solidFill>
                          <w14:schemeClr w14:val="tx1"/>
                        </w14:solidFill>
                      </w14:textFill>
                    </w:rPr>
                    <w:t>×10</w:t>
                  </w:r>
                  <w:r>
                    <w:rPr>
                      <w:rFonts w:hint="eastAsia"/>
                      <w:color w:val="000000" w:themeColor="text1"/>
                      <w:sz w:val="18"/>
                      <w:szCs w:val="18"/>
                      <w:vertAlign w:val="superscript"/>
                      <w14:textFill>
                        <w14:solidFill>
                          <w14:schemeClr w14:val="tx1"/>
                        </w14:solidFill>
                      </w14:textFill>
                    </w:rPr>
                    <w:t>8</w:t>
                  </w:r>
                  <w:r>
                    <w:rPr>
                      <w:color w:val="000000" w:themeColor="text1"/>
                      <w:sz w:val="18"/>
                      <w:szCs w:val="18"/>
                      <w14:textFill>
                        <w14:solidFill>
                          <w14:schemeClr w14:val="tx1"/>
                        </w14:solidFill>
                      </w14:textFill>
                    </w:rPr>
                    <w:t>MPN</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r>
                    <w:rPr>
                      <w:color w:val="000000" w:themeColor="text1"/>
                      <w:sz w:val="18"/>
                      <w:szCs w:val="18"/>
                      <w14:textFill>
                        <w14:solidFill>
                          <w14:schemeClr w14:val="tx1"/>
                        </w14:solidFill>
                      </w14:textFill>
                    </w:rPr>
                    <w:t>MPN/L</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bl>
          <w:p>
            <w:pPr>
              <w:jc w:val="center"/>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表4-6  废水排放口基本情况一览表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1587"/>
              <w:gridCol w:w="144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排放口编号</w:t>
                  </w:r>
                </w:p>
              </w:tc>
              <w:tc>
                <w:tcPr>
                  <w:tcW w:w="9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排放口名称</w:t>
                  </w:r>
                </w:p>
              </w:tc>
              <w:tc>
                <w:tcPr>
                  <w:tcW w:w="858"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排放口类型</w:t>
                  </w:r>
                </w:p>
              </w:tc>
              <w:tc>
                <w:tcPr>
                  <w:tcW w:w="230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9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废水总排口</w:t>
                  </w:r>
                </w:p>
              </w:tc>
              <w:tc>
                <w:tcPr>
                  <w:tcW w:w="858"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一般排放口</w:t>
                  </w:r>
                </w:p>
              </w:tc>
              <w:tc>
                <w:tcPr>
                  <w:tcW w:w="230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118.020297°E；36.802781°N</w:t>
                  </w:r>
                </w:p>
              </w:tc>
            </w:tr>
          </w:tbl>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1.4</w:t>
            </w:r>
            <w:r>
              <w:rPr>
                <w:color w:val="000000" w:themeColor="text1"/>
                <w14:textFill>
                  <w14:solidFill>
                    <w14:schemeClr w14:val="tx1"/>
                  </w14:solidFill>
                </w14:textFill>
              </w:rPr>
              <w:t xml:space="preserve"> </w:t>
            </w:r>
            <w:r>
              <w:rPr>
                <w:b/>
                <w:bCs/>
                <w:color w:val="000000" w:themeColor="text1"/>
                <w:sz w:val="21"/>
                <w:szCs w:val="21"/>
                <w14:textFill>
                  <w14:solidFill>
                    <w14:schemeClr w14:val="tx1"/>
                  </w14:solidFill>
                </w14:textFill>
              </w:rPr>
              <w:t>依托污水处理厂可行性分析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光大水务（淄博）有限公司水质净化三分厂位于淄博市高新技术产业开发区北侧，果里镇陈斜村西约160m处，西侧靠近猪龙河，是光大国际采用“BOT”模式全资拥有的首个水务项目，项目总规模为日处理污水30万吨，分两期建设。一期工程总投资人民币1.5亿元，总占地面积150亩，日处理污水为10万吨，总变化系数1.3，用“改良A2O+V型”滤池工艺，于2006年10月动工建设，2007年9月正式运营，出水能够稳定达到《城镇污水处理厂污染物排放标准》（GB18918-2002）中一级A排放标准、《流域水污染物综合排放标准 第3部分：小清河流域》（DB37/3416.3-2018）以及淄博市人民政府关于印发淄博市落实《水污染防治行动计划》实施方案的通知（淄政发〔2016〕12号）要求（COD≤40mg/L，NH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-N≤2mg/L）要求。</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污水处理工艺流程见下图：</w:t>
            </w:r>
          </w:p>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4619625" cy="4619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9856" cy="4619856"/>
                          </a:xfrm>
                          <a:prstGeom prst="rect">
                            <a:avLst/>
                          </a:prstGeom>
                          <a:noFill/>
                          <a:ln>
                            <a:noFill/>
                          </a:ln>
                        </pic:spPr>
                      </pic:pic>
                    </a:graphicData>
                  </a:graphic>
                </wp:inline>
              </w:drawing>
            </w:r>
          </w:p>
          <w:p>
            <w:pPr>
              <w:adjustRightInd w:val="0"/>
              <w:snapToGrid w:val="0"/>
              <w:spacing w:line="360" w:lineRule="auto"/>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图4-2  光大水务（淄博）有限公司水质净化三分厂污水处理工艺流程图</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1、处理能力</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本项目院区总的排放水量约为</w:t>
            </w:r>
            <w:r>
              <w:rPr>
                <w:rFonts w:hint="eastAsia"/>
                <w:color w:val="000000" w:themeColor="text1"/>
                <w:sz w:val="21"/>
                <w:szCs w:val="21"/>
                <w14:textFill>
                  <w14:solidFill>
                    <w14:schemeClr w14:val="tx1"/>
                  </w14:solidFill>
                </w14:textFill>
              </w:rPr>
              <w:t>7729.4</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/a，折合</w:t>
            </w:r>
            <w:r>
              <w:rPr>
                <w:rFonts w:hint="eastAsia"/>
                <w:color w:val="000000" w:themeColor="text1"/>
                <w:sz w:val="21"/>
                <w:szCs w:val="21"/>
                <w14:textFill>
                  <w14:solidFill>
                    <w14:schemeClr w14:val="tx1"/>
                  </w14:solidFill>
                </w14:textFill>
              </w:rPr>
              <w:t>21.2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/d，占污水处理厂现有富余处理能力（约13522m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/d）的0.1</w:t>
            </w:r>
            <w:r>
              <w:rPr>
                <w:rFonts w:hint="eastAsia"/>
                <w:color w:val="000000" w:themeColor="text1"/>
                <w:sz w:val="21"/>
                <w:szCs w:val="21"/>
                <w14:textFill>
                  <w14:solidFill>
                    <w14:schemeClr w14:val="tx1"/>
                  </w14:solidFill>
                </w14:textFill>
              </w:rPr>
              <w:t>57</w:t>
            </w:r>
            <w:r>
              <w:rPr>
                <w:color w:val="000000" w:themeColor="text1"/>
                <w:sz w:val="21"/>
                <w:szCs w:val="21"/>
                <w14:textFill>
                  <w14:solidFill>
                    <w14:schemeClr w14:val="tx1"/>
                  </w14:solidFill>
                </w14:textFill>
              </w:rPr>
              <w:t>%，占用比例较小，对污水处理厂水量冲击较小。</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2、接纳范围</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本项目所在区域市政污水管网敷设完善，光大水务（淄博）有限公司水质净化三分厂污水管网已覆盖本项目所在区域，项目污水可以纳管排放。</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3、处理工艺</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光大水务（淄博）有限公司水质净化三分厂污水处理工艺见前文图4-2，本项目废水污染物主要为COD、氨氮、BOD</w:t>
            </w:r>
            <w:r>
              <w:rPr>
                <w:color w:val="000000" w:themeColor="text1"/>
                <w:sz w:val="21"/>
                <w:szCs w:val="21"/>
                <w:vertAlign w:val="subscript"/>
                <w14:textFill>
                  <w14:solidFill>
                    <w14:schemeClr w14:val="tx1"/>
                  </w14:solidFill>
                </w14:textFill>
              </w:rPr>
              <w:t>5</w:t>
            </w:r>
            <w:r>
              <w:rPr>
                <w:color w:val="000000" w:themeColor="text1"/>
                <w:sz w:val="21"/>
                <w:szCs w:val="21"/>
                <w14:textFill>
                  <w14:solidFill>
                    <w14:schemeClr w14:val="tx1"/>
                  </w14:solidFill>
                </w14:textFill>
              </w:rPr>
              <w:t>、SS、总余氯、阴离子表面活性剂、总磷、石油类等，废水经污水处理站处理后外排废水水质满足《山东省医疗机构污染物排放控制标准》（DB37/596-2020）二级标准要求，外排污染物量较小，污水处理厂处理工艺能够处理本项目排入污染物。</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4、进出水水质</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进水水质：本项目外排废水水质满足《山东省医疗机构污染物排放控制标准》（DB37/596-2020）二级标准要求，满足光大水务（淄博）有限公司水质净化三分厂进水水质要求。</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出水水质：本次评价收集了光大水务（淄博）有限公司水质净化三分厂近12个月的在线数据，见下图：</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342890" cy="1950085"/>
                  <wp:effectExtent l="0" t="0" r="1016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343276" cy="1950543"/>
                          </a:xfrm>
                          <a:prstGeom prst="rect">
                            <a:avLst/>
                          </a:prstGeom>
                        </pic:spPr>
                      </pic:pic>
                    </a:graphicData>
                  </a:graphic>
                </wp:inline>
              </w:drawing>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86400" cy="2019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486400" cy="2019300"/>
                          </a:xfrm>
                          <a:prstGeom prst="rect">
                            <a:avLst/>
                          </a:prstGeom>
                        </pic:spPr>
                      </pic:pic>
                    </a:graphicData>
                  </a:graphic>
                </wp:inline>
              </w:drawing>
            </w:r>
          </w:p>
          <w:tbl>
            <w:tblPr>
              <w:tblStyle w:val="24"/>
              <w:tblW w:w="0" w:type="auto"/>
              <w:tblInd w:w="0" w:type="dxa"/>
              <w:tblLayout w:type="autofit"/>
              <w:tblCellMar>
                <w:top w:w="0" w:type="dxa"/>
                <w:left w:w="108" w:type="dxa"/>
                <w:bottom w:w="0" w:type="dxa"/>
                <w:right w:w="108" w:type="dxa"/>
              </w:tblCellMar>
            </w:tblPr>
            <w:tblGrid>
              <w:gridCol w:w="8424"/>
            </w:tblGrid>
            <w:tr>
              <w:tblPrEx>
                <w:tblCellMar>
                  <w:top w:w="0" w:type="dxa"/>
                  <w:left w:w="108" w:type="dxa"/>
                  <w:bottom w:w="0" w:type="dxa"/>
                  <w:right w:w="108" w:type="dxa"/>
                </w:tblCellMar>
              </w:tblPrEx>
              <w:trPr>
                <w:trHeight w:val="836" w:hRule="atLeast"/>
              </w:trPr>
              <w:tc>
                <w:tcPr>
                  <w:tcW w:w="0" w:type="auto"/>
                </w:tcPr>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根据监测结果可以看出，光大水务（淄博）有限公司水质净化三分厂出水水质满足《城镇污水处理厂污染物排放标准》（GB18918-2002）中一级A排放标准、《流域水污染物综合排放标准 第3部分：小清河流域》（DB37/3416.3-2018）以及淄博市人民政府关于印发淄博市落实《水污染防治行动计划》实施方案的通知（淄政发〔2016〕12号）要求（COD≤40mg/L，NH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-N≤2mg/L）。 </w:t>
                  </w:r>
                </w:p>
              </w:tc>
            </w:tr>
          </w:tbl>
          <w:p>
            <w:pPr>
              <w:spacing w:line="360" w:lineRule="auto"/>
              <w:ind w:firstLine="420"/>
              <w:rPr>
                <w:color w:val="000000" w:themeColor="text1"/>
                <w:szCs w:val="21"/>
                <w14:textFill>
                  <w14:solidFill>
                    <w14:schemeClr w14:val="tx1"/>
                  </w14:solidFill>
                </w14:textFill>
              </w:rPr>
            </w:pPr>
            <w:r>
              <w:rPr>
                <w:color w:val="000000" w:themeColor="text1"/>
                <w14:textFill>
                  <w14:solidFill>
                    <w14:schemeClr w14:val="tx1"/>
                  </w14:solidFill>
                </w14:textFill>
              </w:rPr>
              <w:t>综上，从处理能力、接纳范围、处理工艺、进出水水质等方面分析，项目外排废水进入光大水务（淄博）有限公司水质净化三分厂进一步深度处理是可行的。</w:t>
            </w:r>
          </w:p>
          <w:p>
            <w:pPr>
              <w:spacing w:line="360" w:lineRule="auto"/>
              <w:ind w:firstLine="42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1.5污水处理站管理整改要求</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根据现场调查发现企业污水处理站现场存在问题及整改要求如下：</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1、污水处理站没有设置明显的的警示标识；整改要求：按照要求在污水处理站外的明显处同时设置警示标识；整改计划完成时间：2022年11月底。</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2、厂区污水排放口未安装流量检测仪对废水排放口流量进行自动监测；整改要求：安装流量检测仪对废水排放口流量进行自动监测；整改计划完成时间：2022年11月底。</w:t>
            </w:r>
          </w:p>
          <w:p>
            <w:pPr>
              <w:spacing w:line="360" w:lineRule="auto"/>
              <w:ind w:firstLine="420"/>
              <w:rPr>
                <w:b/>
                <w:bCs/>
                <w:color w:val="000000" w:themeColor="text1"/>
                <w:szCs w:val="2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6</w:t>
            </w:r>
            <w:r>
              <w:rPr>
                <w:b/>
                <w:bCs/>
                <w:color w:val="000000" w:themeColor="text1"/>
                <w:szCs w:val="21"/>
                <w14:textFill>
                  <w14:solidFill>
                    <w14:schemeClr w14:val="tx1"/>
                  </w14:solidFill>
                </w14:textFill>
              </w:rPr>
              <w:t>地表水环境影响分析</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(1)本项目外排废水水量小，水质简单、无难降解的有毒有害物质</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(2)采取措施有效：经院区污水处理站和光大水务（淄博）有限公司水质净化三分厂处理后大幅降低了废水中污染物含量。</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(3)依托污水处理设施的环境可行性：项目外排废水进入光大水务（淄博）有限公司水质净化三分厂进一步深度处理是可行的。</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因此，本项目产生的废水对地表水环境的影响较小。</w:t>
            </w:r>
          </w:p>
          <w:p>
            <w:pPr>
              <w:spacing w:line="360" w:lineRule="auto"/>
              <w:ind w:firstLine="42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w:t>
            </w:r>
            <w:r>
              <w:rPr>
                <w:rFonts w:hint="eastAsia"/>
                <w:b/>
                <w:bCs/>
                <w:color w:val="000000" w:themeColor="text1"/>
                <w:kern w:val="0"/>
                <w:szCs w:val="21"/>
                <w14:textFill>
                  <w14:solidFill>
                    <w14:schemeClr w14:val="tx1"/>
                  </w14:solidFill>
                </w14:textFill>
              </w:rPr>
              <w:t>7</w:t>
            </w:r>
            <w:r>
              <w:rPr>
                <w:b/>
                <w:bCs/>
                <w:color w:val="000000" w:themeColor="text1"/>
                <w:kern w:val="0"/>
                <w:szCs w:val="21"/>
                <w14:textFill>
                  <w14:solidFill>
                    <w14:schemeClr w14:val="tx1"/>
                  </w14:solidFill>
                </w14:textFill>
              </w:rPr>
              <w:t>监测计划</w:t>
            </w:r>
          </w:p>
          <w:p>
            <w:pPr>
              <w:spacing w:line="360" w:lineRule="auto"/>
              <w:ind w:firstLine="420"/>
              <w:rPr>
                <w:color w:val="000000" w:themeColor="text1"/>
                <w14:textFill>
                  <w14:solidFill>
                    <w14:schemeClr w14:val="tx1"/>
                  </w14:solidFill>
                </w14:textFill>
              </w:rPr>
            </w:pPr>
            <w:r>
              <w:rPr>
                <w:color w:val="000000" w:themeColor="text1"/>
                <w:szCs w:val="21"/>
                <w14:textFill>
                  <w14:solidFill>
                    <w14:schemeClr w14:val="tx1"/>
                  </w14:solidFill>
                </w14:textFill>
              </w:rPr>
              <w:t>根据《排污单位自行监测技术指南 总则》（HJ819-2017）、《排污许可证申请与核发技术规范 医疗机构》(HJ1105-2020)，制定本企业自行监测方案。</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表4-7  废水排放监测点位、监测指标及最低监测频次</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524"/>
              <w:gridCol w:w="1440"/>
              <w:gridCol w:w="279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监测点位</w:t>
                  </w:r>
                </w:p>
              </w:tc>
              <w:tc>
                <w:tcPr>
                  <w:tcW w:w="906"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监测项目</w:t>
                  </w:r>
                </w:p>
              </w:tc>
              <w:tc>
                <w:tcPr>
                  <w:tcW w:w="856"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监测频次</w:t>
                  </w:r>
                </w:p>
              </w:tc>
              <w:tc>
                <w:tcPr>
                  <w:tcW w:w="1659"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执行标准</w:t>
                  </w:r>
                </w:p>
              </w:tc>
              <w:tc>
                <w:tcPr>
                  <w:tcW w:w="792"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厂区污水排放口</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流量</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自动监测</w:t>
                  </w:r>
                </w:p>
              </w:tc>
              <w:tc>
                <w:tcPr>
                  <w:tcW w:w="1659" w:type="pct"/>
                  <w:vAlign w:val="center"/>
                </w:tcPr>
                <w:p>
                  <w:pPr>
                    <w:pStyle w:val="73"/>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12小时</w:t>
                  </w:r>
                </w:p>
              </w:tc>
              <w:tc>
                <w:tcPr>
                  <w:tcW w:w="1659"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《山东省医疗机构污染物排放控制标准》（DB37/596-2020）二级标准</w:t>
                  </w: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每周</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每周</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每月</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856"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季度</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石油类</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动植物油</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3"/>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3"/>
                    <w:jc w:val="center"/>
                    <w:rPr>
                      <w:rFonts w:ascii="Times New Roman" w:hAnsi="Times New Roman"/>
                      <w:b/>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挥发酚</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3"/>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3"/>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总氰化物</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阴离子表面活性剂</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10mg/L</w:t>
                  </w:r>
                </w:p>
              </w:tc>
            </w:tr>
          </w:tbl>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二、废气</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本项目废气主要为污水处理站产生恶臭废气，采取措施为采用地埋式污水处理设施、产生恶臭设施加盖处理、污水处理站区域投放除臭剂，废气最终无组织排放。</w:t>
            </w:r>
          </w:p>
          <w:p>
            <w:pPr>
              <w:spacing w:line="360" w:lineRule="auto"/>
              <w:ind w:firstLine="420"/>
              <w:rPr>
                <w:b/>
                <w:bCs/>
                <w:color w:val="000000" w:themeColor="text1"/>
                <w:kern w:val="0"/>
                <w:szCs w:val="21"/>
                <w14:textFill>
                  <w14:solidFill>
                    <w14:schemeClr w14:val="tx1"/>
                  </w14:solidFill>
                </w14:textFill>
              </w:rPr>
            </w:pPr>
            <w:r>
              <w:rPr>
                <w:b/>
                <w:bCs/>
                <w:color w:val="000000" w:themeColor="text1"/>
                <w:spacing w:val="-10"/>
                <w:szCs w:val="21"/>
                <w14:textFill>
                  <w14:solidFill>
                    <w14:schemeClr w14:val="tx1"/>
                  </w14:solidFill>
                </w14:textFill>
              </w:rPr>
              <w:t>2.1 废气源强估算</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本次环评废气产生源强依据如下</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表4-8  废气产生源强计算依据</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644"/>
              <w:gridCol w:w="265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dxa"/>
                  <w:gridSpan w:val="2"/>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废气</w:t>
                  </w:r>
                </w:p>
              </w:tc>
              <w:tc>
                <w:tcPr>
                  <w:tcW w:w="2651" w:type="dxa"/>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源强</w:t>
                  </w:r>
                </w:p>
              </w:tc>
              <w:tc>
                <w:tcPr>
                  <w:tcW w:w="2692" w:type="dxa"/>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restart"/>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污水处理站废气</w:t>
                  </w:r>
                </w:p>
              </w:tc>
              <w:tc>
                <w:tcPr>
                  <w:tcW w:w="1643"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NH</w:t>
                  </w:r>
                  <w:r>
                    <w:rPr>
                      <w:snapToGrid w:val="0"/>
                      <w:color w:val="000000" w:themeColor="text1"/>
                      <w:kern w:val="0"/>
                      <w:sz w:val="18"/>
                      <w:szCs w:val="18"/>
                      <w:vertAlign w:val="subscript"/>
                      <w14:textFill>
                        <w14:solidFill>
                          <w14:schemeClr w14:val="tx1"/>
                        </w14:solidFill>
                      </w14:textFill>
                    </w:rPr>
                    <w:t>3</w:t>
                  </w:r>
                </w:p>
              </w:tc>
              <w:tc>
                <w:tcPr>
                  <w:tcW w:w="2651"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0.0031g/gBOD</w:t>
                  </w:r>
                  <w:r>
                    <w:rPr>
                      <w:snapToGrid w:val="0"/>
                      <w:color w:val="000000" w:themeColor="text1"/>
                      <w:kern w:val="0"/>
                      <w:sz w:val="18"/>
                      <w:szCs w:val="18"/>
                      <w:vertAlign w:val="subscript"/>
                      <w14:textFill>
                        <w14:solidFill>
                          <w14:schemeClr w14:val="tx1"/>
                        </w14:solidFill>
                      </w14:textFill>
                    </w:rPr>
                    <w:t>5</w:t>
                  </w:r>
                </w:p>
              </w:tc>
              <w:tc>
                <w:tcPr>
                  <w:tcW w:w="2692" w:type="dxa"/>
                  <w:vMerge w:val="restart"/>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美国EPA对城市污水处理厂恶臭污染物产生情况的研究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continue"/>
                  <w:vAlign w:val="center"/>
                </w:tcPr>
                <w:p>
                  <w:pPr>
                    <w:jc w:val="center"/>
                    <w:rPr>
                      <w:snapToGrid w:val="0"/>
                      <w:color w:val="000000" w:themeColor="text1"/>
                      <w:kern w:val="0"/>
                      <w:sz w:val="18"/>
                      <w:szCs w:val="18"/>
                      <w14:textFill>
                        <w14:solidFill>
                          <w14:schemeClr w14:val="tx1"/>
                        </w14:solidFill>
                      </w14:textFill>
                    </w:rPr>
                  </w:pPr>
                </w:p>
              </w:tc>
              <w:tc>
                <w:tcPr>
                  <w:tcW w:w="1643"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H</w:t>
                  </w:r>
                  <w:r>
                    <w:rPr>
                      <w:snapToGrid w:val="0"/>
                      <w:color w:val="000000" w:themeColor="text1"/>
                      <w:kern w:val="0"/>
                      <w:sz w:val="18"/>
                      <w:szCs w:val="18"/>
                      <w:vertAlign w:val="subscript"/>
                      <w14:textFill>
                        <w14:solidFill>
                          <w14:schemeClr w14:val="tx1"/>
                        </w14:solidFill>
                      </w14:textFill>
                    </w:rPr>
                    <w:t>2</w:t>
                  </w:r>
                  <w:r>
                    <w:rPr>
                      <w:snapToGrid w:val="0"/>
                      <w:color w:val="000000" w:themeColor="text1"/>
                      <w:kern w:val="0"/>
                      <w:sz w:val="18"/>
                      <w:szCs w:val="18"/>
                      <w14:textFill>
                        <w14:solidFill>
                          <w14:schemeClr w14:val="tx1"/>
                        </w14:solidFill>
                      </w14:textFill>
                    </w:rPr>
                    <w:t>S</w:t>
                  </w:r>
                </w:p>
              </w:tc>
              <w:tc>
                <w:tcPr>
                  <w:tcW w:w="2651"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0.00012g/gBOD</w:t>
                  </w:r>
                  <w:r>
                    <w:rPr>
                      <w:snapToGrid w:val="0"/>
                      <w:color w:val="000000" w:themeColor="text1"/>
                      <w:kern w:val="0"/>
                      <w:sz w:val="18"/>
                      <w:szCs w:val="18"/>
                      <w:vertAlign w:val="subscript"/>
                      <w14:textFill>
                        <w14:solidFill>
                          <w14:schemeClr w14:val="tx1"/>
                        </w14:solidFill>
                      </w14:textFill>
                    </w:rPr>
                    <w:t>5</w:t>
                  </w:r>
                </w:p>
              </w:tc>
              <w:tc>
                <w:tcPr>
                  <w:tcW w:w="2692" w:type="dxa"/>
                  <w:vMerge w:val="continue"/>
                  <w:vAlign w:val="center"/>
                </w:tcPr>
                <w:p>
                  <w:pPr>
                    <w:jc w:val="center"/>
                    <w:rPr>
                      <w:color w:val="000000" w:themeColor="text1"/>
                      <w:sz w:val="18"/>
                      <w:szCs w:val="18"/>
                      <w14:textFill>
                        <w14:solidFill>
                          <w14:schemeClr w14:val="tx1"/>
                        </w14:solidFill>
                      </w14:textFill>
                    </w:rPr>
                  </w:pPr>
                </w:p>
              </w:tc>
            </w:tr>
          </w:tbl>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根据美国EPA对城市污水处理厂恶臭污染物产生情况的研究，按每处理1g的BOD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产生0.0031g的NH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和0.00012g的H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S进行估算，根据前述核算的本项目废水处理量，本项目院区废水中的BOD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处理量为</w:t>
            </w:r>
            <w:r>
              <w:rPr>
                <w:rFonts w:hint="eastAsia"/>
                <w:color w:val="000000" w:themeColor="text1"/>
                <w:szCs w:val="21"/>
                <w14:textFill>
                  <w14:solidFill>
                    <w14:schemeClr w14:val="tx1"/>
                  </w14:solidFill>
                </w14:textFill>
              </w:rPr>
              <w:t>0.999</w:t>
            </w:r>
            <w:r>
              <w:rPr>
                <w:color w:val="000000" w:themeColor="text1"/>
                <w:szCs w:val="21"/>
                <w14:textFill>
                  <w14:solidFill>
                    <w14:schemeClr w14:val="tx1"/>
                  </w14:solidFill>
                </w14:textFill>
              </w:rPr>
              <w:t>t/a，依此来估算恶臭因子产生的源强，经计算NH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产生量为</w:t>
            </w: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S产生量为</w:t>
            </w: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p>
            <w:pPr>
              <w:pStyle w:val="9"/>
              <w:spacing w:before="0" w:after="0" w:line="240" w:lineRule="auto"/>
              <w:ind w:right="0"/>
              <w:jc w:val="center"/>
              <w:rPr>
                <w:color w:val="000000" w:themeColor="text1"/>
                <w14:textFill>
                  <w14:solidFill>
                    <w14:schemeClr w14:val="tx1"/>
                  </w14:solidFill>
                </w14:textFill>
              </w:rPr>
            </w:pPr>
            <w:r>
              <w:rPr>
                <w:b/>
                <w:snapToGrid w:val="0"/>
                <w:color w:val="000000" w:themeColor="text1"/>
                <w:sz w:val="21"/>
                <w:szCs w:val="21"/>
                <w14:textFill>
                  <w14:solidFill>
                    <w14:schemeClr w14:val="tx1"/>
                  </w14:solidFill>
                </w14:textFill>
              </w:rPr>
              <w:t>表4-9  无组织废气污染物排放情况一览表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69"/>
              <w:gridCol w:w="917"/>
              <w:gridCol w:w="877"/>
              <w:gridCol w:w="791"/>
              <w:gridCol w:w="762"/>
              <w:gridCol w:w="1065"/>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面源名称</w:t>
                  </w:r>
                </w:p>
              </w:tc>
              <w:tc>
                <w:tcPr>
                  <w:tcW w:w="754"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面源中心坐标</w:t>
                  </w:r>
                </w:p>
              </w:tc>
              <w:tc>
                <w:tcPr>
                  <w:tcW w:w="54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面源海拔高度/m</w:t>
                  </w:r>
                </w:p>
              </w:tc>
              <w:tc>
                <w:tcPr>
                  <w:tcW w:w="521"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面源有效排放高度/m</w:t>
                  </w:r>
                </w:p>
              </w:tc>
              <w:tc>
                <w:tcPr>
                  <w:tcW w:w="470"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年排放小时数/h</w:t>
                  </w: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排放工况</w:t>
                  </w:r>
                </w:p>
              </w:tc>
              <w:tc>
                <w:tcPr>
                  <w:tcW w:w="63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污染物种类</w:t>
                  </w:r>
                </w:p>
              </w:tc>
              <w:tc>
                <w:tcPr>
                  <w:tcW w:w="58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58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lang w:val="zh-CN"/>
                      <w14:textFill>
                        <w14:solidFill>
                          <w14:schemeClr w14:val="tx1"/>
                        </w14:solidFill>
                      </w14:textFill>
                    </w:rPr>
                    <w:t>污水处理站</w:t>
                  </w:r>
                </w:p>
              </w:tc>
              <w:tc>
                <w:tcPr>
                  <w:tcW w:w="754" w:type="pct"/>
                  <w:vMerge w:val="restart"/>
                  <w:vAlign w:val="center"/>
                </w:tcPr>
                <w:p>
                  <w:pPr>
                    <w:widowControl/>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118.020275°E</w:t>
                  </w:r>
                </w:p>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36.802810°N</w:t>
                  </w:r>
                </w:p>
              </w:tc>
              <w:tc>
                <w:tcPr>
                  <w:tcW w:w="545"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521"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70"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8760</w:t>
                  </w: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633" w:type="pct"/>
                  <w:vAlign w:val="center"/>
                </w:tcPr>
                <w:p>
                  <w:pPr>
                    <w:jc w:val="center"/>
                    <w:rPr>
                      <w:color w:val="000000" w:themeColor="text1"/>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NH</w:t>
                  </w:r>
                  <w:r>
                    <w:rPr>
                      <w:snapToGrid w:val="0"/>
                      <w:color w:val="000000" w:themeColor="text1"/>
                      <w:kern w:val="0"/>
                      <w:sz w:val="18"/>
                      <w:szCs w:val="18"/>
                      <w:vertAlign w:val="subscript"/>
                      <w14:textFill>
                        <w14:solidFill>
                          <w14:schemeClr w14:val="tx1"/>
                        </w14:solidFill>
                      </w14:textFill>
                    </w:rPr>
                    <w:t>3</w:t>
                  </w:r>
                </w:p>
              </w:tc>
              <w:tc>
                <w:tcPr>
                  <w:tcW w:w="585"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0.0031</w:t>
                  </w:r>
                </w:p>
              </w:tc>
              <w:tc>
                <w:tcPr>
                  <w:tcW w:w="585"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Merge w:val="continue"/>
                  <w:vAlign w:val="center"/>
                </w:tcPr>
                <w:p>
                  <w:pPr>
                    <w:pStyle w:val="14"/>
                    <w:numPr>
                      <w:ilvl w:val="0"/>
                      <w:numId w:val="0"/>
                    </w:numPr>
                    <w:jc w:val="center"/>
                    <w:rPr>
                      <w:color w:val="000000" w:themeColor="text1"/>
                      <w:sz w:val="18"/>
                      <w:szCs w:val="18"/>
                      <w:lang w:val="zh-CN"/>
                      <w14:textFill>
                        <w14:solidFill>
                          <w14:schemeClr w14:val="tx1"/>
                        </w14:solidFill>
                      </w14:textFill>
                    </w:rPr>
                  </w:pPr>
                </w:p>
              </w:tc>
              <w:tc>
                <w:tcPr>
                  <w:tcW w:w="754"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545"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521"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470"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633" w:type="pct"/>
                  <w:vAlign w:val="center"/>
                </w:tcPr>
                <w:p>
                  <w:pPr>
                    <w:jc w:val="center"/>
                    <w:rPr>
                      <w:color w:val="000000" w:themeColor="text1"/>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H</w:t>
                  </w:r>
                  <w:r>
                    <w:rPr>
                      <w:snapToGrid w:val="0"/>
                      <w:color w:val="000000" w:themeColor="text1"/>
                      <w:kern w:val="0"/>
                      <w:sz w:val="18"/>
                      <w:szCs w:val="18"/>
                      <w:vertAlign w:val="subscript"/>
                      <w14:textFill>
                        <w14:solidFill>
                          <w14:schemeClr w14:val="tx1"/>
                        </w14:solidFill>
                      </w14:textFill>
                    </w:rPr>
                    <w:t>2</w:t>
                  </w:r>
                  <w:r>
                    <w:rPr>
                      <w:snapToGrid w:val="0"/>
                      <w:color w:val="000000" w:themeColor="text1"/>
                      <w:kern w:val="0"/>
                      <w:sz w:val="18"/>
                      <w:szCs w:val="18"/>
                      <w14:textFill>
                        <w14:solidFill>
                          <w14:schemeClr w14:val="tx1"/>
                        </w14:solidFill>
                      </w14:textFill>
                    </w:rPr>
                    <w:t>S</w:t>
                  </w:r>
                </w:p>
              </w:tc>
              <w:tc>
                <w:tcPr>
                  <w:tcW w:w="585"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0.00012</w:t>
                  </w:r>
                </w:p>
              </w:tc>
              <w:tc>
                <w:tcPr>
                  <w:tcW w:w="585" w:type="pct"/>
                  <w:vMerge w:val="continue"/>
                  <w:vAlign w:val="center"/>
                </w:tcPr>
                <w:p>
                  <w:pPr>
                    <w:jc w:val="center"/>
                    <w:rPr>
                      <w:color w:val="000000" w:themeColor="text1"/>
                      <w:sz w:val="18"/>
                      <w:szCs w:val="18"/>
                      <w14:textFill>
                        <w14:solidFill>
                          <w14:schemeClr w14:val="tx1"/>
                        </w14:solidFill>
                      </w14:textFill>
                    </w:rPr>
                  </w:pPr>
                </w:p>
              </w:tc>
            </w:tr>
          </w:tbl>
          <w:p>
            <w:pPr>
              <w:snapToGrid w:val="0"/>
              <w:spacing w:line="360" w:lineRule="auto"/>
              <w:ind w:firstLine="382" w:firstLineChars="200"/>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2.2废气防治措施可行技术分析</w:t>
            </w:r>
          </w:p>
          <w:p>
            <w:pPr>
              <w:pageBreakBefore/>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根据《排污许可证申请与核发技术规范 医疗机构》(HJ1105-2020)附录A表A.1医疗机构排污单位废气治理可行技术参照表，污水处理站废气无组织排放可采用的可行技术如下：</w:t>
            </w:r>
          </w:p>
          <w:p>
            <w:pPr>
              <w:autoSpaceDE w:val="0"/>
              <w:autoSpaceDN w:val="0"/>
              <w:adjustRightInd w:val="0"/>
              <w:jc w:val="center"/>
              <w:rPr>
                <w:b/>
                <w:snapToGrid w:val="0"/>
                <w:color w:val="000000" w:themeColor="text1"/>
                <w:kern w:val="0"/>
                <w:szCs w:val="21"/>
                <w14:textFill>
                  <w14:solidFill>
                    <w14:schemeClr w14:val="tx1"/>
                  </w14:solidFill>
                </w14:textFill>
              </w:rPr>
            </w:pPr>
            <w:r>
              <w:rPr>
                <w:b/>
                <w:snapToGrid w:val="0"/>
                <w:color w:val="000000" w:themeColor="text1"/>
                <w:kern w:val="0"/>
                <w:szCs w:val="21"/>
                <w14:textFill>
                  <w14:solidFill>
                    <w14:schemeClr w14:val="tx1"/>
                  </w14:solidFill>
                </w14:textFill>
              </w:rPr>
              <w:t>表4-10  可行性技术一览表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20"/>
              <w:gridCol w:w="2162"/>
              <w:gridCol w:w="1154"/>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污染物产生设施</w:t>
                  </w:r>
                </w:p>
              </w:tc>
              <w:tc>
                <w:tcPr>
                  <w:tcW w:w="1285"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污染物种类</w:t>
                  </w:r>
                </w:p>
              </w:tc>
              <w:tc>
                <w:tcPr>
                  <w:tcW w:w="686"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排放形式</w:t>
                  </w:r>
                </w:p>
              </w:tc>
              <w:tc>
                <w:tcPr>
                  <w:tcW w:w="2127"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污水处理站</w:t>
                  </w:r>
                </w:p>
              </w:tc>
              <w:tc>
                <w:tcPr>
                  <w:tcW w:w="1285"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氨、硫化氢、臭气浓度、甲烷、氯气</w:t>
                  </w:r>
                </w:p>
              </w:tc>
              <w:tc>
                <w:tcPr>
                  <w:tcW w:w="686"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无组织</w:t>
                  </w:r>
                </w:p>
              </w:tc>
              <w:tc>
                <w:tcPr>
                  <w:tcW w:w="2127"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产生恶臭区域加罩或加盖，投放除臭剂</w:t>
                  </w:r>
                </w:p>
              </w:tc>
            </w:tr>
          </w:tbl>
          <w:p>
            <w:pPr>
              <w:snapToGrid w:val="0"/>
              <w:spacing w:line="360" w:lineRule="auto"/>
              <w:ind w:firstLine="420" w:firstLineChars="200"/>
              <w:rPr>
                <w:color w:val="000000" w:themeColor="text1"/>
                <w:spacing w:val="-10"/>
                <w:szCs w:val="21"/>
                <w14:textFill>
                  <w14:solidFill>
                    <w14:schemeClr w14:val="tx1"/>
                  </w14:solidFill>
                </w14:textFill>
              </w:rPr>
            </w:pPr>
            <w:r>
              <w:rPr>
                <w:color w:val="000000" w:themeColor="text1"/>
                <w:szCs w:val="21"/>
                <w14:textFill>
                  <w14:solidFill>
                    <w14:schemeClr w14:val="tx1"/>
                  </w14:solidFill>
                </w14:textFill>
              </w:rPr>
              <w:t>本项目污水处理站采取的措施为采取措施为采用地埋式污水处理设施、产生恶臭设施加盖处理、污水处理站区域投放除臭剂，对照上表分析可知，属于可行技术。</w:t>
            </w:r>
          </w:p>
          <w:p>
            <w:pPr>
              <w:snapToGrid w:val="0"/>
              <w:spacing w:line="360" w:lineRule="auto"/>
              <w:ind w:firstLine="382" w:firstLineChars="200"/>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2.3废气排放情况</w:t>
            </w:r>
          </w:p>
          <w:p>
            <w:pPr>
              <w:snapToGrid w:val="0"/>
              <w:spacing w:line="360" w:lineRule="auto"/>
              <w:ind w:firstLine="380" w:firstLineChars="200"/>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根据前文计算，本项目废气排放量为氨</w:t>
            </w:r>
            <w:r>
              <w:rPr>
                <w:rFonts w:hint="eastAsia"/>
                <w:color w:val="000000" w:themeColor="text1"/>
                <w:spacing w:val="-10"/>
                <w:szCs w:val="21"/>
                <w14:textFill>
                  <w14:solidFill>
                    <w14:schemeClr w14:val="tx1"/>
                  </w14:solidFill>
                </w14:textFill>
              </w:rPr>
              <w:t>0.0031</w:t>
            </w:r>
            <w:r>
              <w:rPr>
                <w:color w:val="000000" w:themeColor="text1"/>
                <w:spacing w:val="-10"/>
                <w:szCs w:val="21"/>
                <w14:textFill>
                  <w14:solidFill>
                    <w14:schemeClr w14:val="tx1"/>
                  </w14:solidFill>
                </w14:textFill>
              </w:rPr>
              <w:t>t/a、硫化氢</w:t>
            </w:r>
            <w:r>
              <w:rPr>
                <w:rFonts w:hint="eastAsia"/>
                <w:color w:val="000000" w:themeColor="text1"/>
                <w:spacing w:val="-10"/>
                <w:szCs w:val="21"/>
                <w14:textFill>
                  <w14:solidFill>
                    <w14:schemeClr w14:val="tx1"/>
                  </w14:solidFill>
                </w14:textFill>
              </w:rPr>
              <w:t>0.00012</w:t>
            </w:r>
            <w:r>
              <w:rPr>
                <w:color w:val="000000" w:themeColor="text1"/>
                <w:spacing w:val="-10"/>
                <w:szCs w:val="21"/>
                <w14:textFill>
                  <w14:solidFill>
                    <w14:schemeClr w14:val="tx1"/>
                  </w14:solidFill>
                </w14:textFill>
              </w:rPr>
              <w:t>t/a，无组织排放。</w:t>
            </w:r>
          </w:p>
          <w:p>
            <w:pPr>
              <w:snapToGrid w:val="0"/>
              <w:spacing w:line="360" w:lineRule="auto"/>
              <w:ind w:firstLine="380" w:firstLineChars="200"/>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山东众益源环境检测有限公司于2022年8月10日对院区无组织废气进行监测，监测数据见下表。</w:t>
            </w:r>
          </w:p>
          <w:p>
            <w:pPr>
              <w:jc w:val="center"/>
              <w:rPr>
                <w:color w:val="000000" w:themeColor="text1"/>
                <w:sz w:val="24"/>
                <w14:textFill>
                  <w14:solidFill>
                    <w14:schemeClr w14:val="tx1"/>
                  </w14:solidFill>
                </w14:textFill>
              </w:rPr>
            </w:pPr>
            <w:r>
              <w:rPr>
                <w:b/>
                <w:color w:val="000000" w:themeColor="text1"/>
                <w14:textFill>
                  <w14:solidFill>
                    <w14:schemeClr w14:val="tx1"/>
                  </w14:solidFill>
                </w14:textFill>
              </w:rPr>
              <w:t>表4-11  无组织废气监测结果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2121"/>
              <w:gridCol w:w="212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氨(mg/m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硫化氢(mg/m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0.009</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napToGrid w:val="0"/>
              <w:spacing w:line="360" w:lineRule="auto"/>
              <w:ind w:firstLine="420" w:firstLineChars="200"/>
              <w:rPr>
                <w:color w:val="000000" w:themeColor="text1"/>
                <w:spacing w:val="-10"/>
                <w:szCs w:val="21"/>
                <w14:textFill>
                  <w14:solidFill>
                    <w14:schemeClr w14:val="tx1"/>
                  </w14:solidFill>
                </w14:textFill>
              </w:rPr>
            </w:pPr>
            <w:r>
              <w:rPr>
                <w:color w:val="000000" w:themeColor="text1"/>
                <w:szCs w:val="21"/>
                <w14:textFill>
                  <w14:solidFill>
                    <w14:schemeClr w14:val="tx1"/>
                  </w14:solidFill>
                </w14:textFill>
              </w:rPr>
              <w:t>根据上表可知，本项目污染物排放浓度可以满足《山东省医疗机构污染物排放控制标准》（DB37/596-2020）中表2污水处理站周边大气污染物最高允许浓度限值。</w:t>
            </w:r>
          </w:p>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2.4大气环境影响分析</w:t>
            </w:r>
          </w:p>
          <w:p>
            <w:pPr>
              <w:pageBreakBefore/>
              <w:widowControl/>
              <w:spacing w:line="360" w:lineRule="auto"/>
              <w:ind w:firstLine="420" w:firstLineChars="200"/>
              <w:rPr>
                <w:color w:val="000000" w:themeColor="text1"/>
                <w14:textFill>
                  <w14:solidFill>
                    <w14:schemeClr w14:val="tx1"/>
                  </w14:solidFill>
                </w14:textFill>
              </w:rPr>
            </w:pPr>
            <w:r>
              <w:rPr>
                <w:color w:val="000000" w:themeColor="text1"/>
                <w:lang w:val="zh-CN"/>
                <w14:textFill>
                  <w14:solidFill>
                    <w14:schemeClr w14:val="tx1"/>
                  </w14:solidFill>
                </w14:textFill>
              </w:rPr>
              <w:t>建设项目所在区域环境质量为不达标区，大气环境质量中超标的因子主要是PM</w:t>
            </w:r>
            <w:r>
              <w:rPr>
                <w:color w:val="000000" w:themeColor="text1"/>
                <w:vertAlign w:val="subscript"/>
                <w:lang w:val="zh-CN"/>
                <w14:textFill>
                  <w14:solidFill>
                    <w14:schemeClr w14:val="tx1"/>
                  </w14:solidFill>
                </w14:textFill>
              </w:rPr>
              <w:t>10</w:t>
            </w:r>
            <w:r>
              <w:rPr>
                <w:color w:val="000000" w:themeColor="text1"/>
                <w:lang w:val="zh-CN"/>
                <w14:textFill>
                  <w14:solidFill>
                    <w14:schemeClr w14:val="tx1"/>
                  </w14:solidFill>
                </w14:textFill>
              </w:rPr>
              <w:t>、PM</w:t>
            </w:r>
            <w:r>
              <w:rPr>
                <w:color w:val="000000" w:themeColor="text1"/>
                <w:vertAlign w:val="subscript"/>
                <w:lang w:val="zh-CN"/>
                <w14:textFill>
                  <w14:solidFill>
                    <w14:schemeClr w14:val="tx1"/>
                  </w14:solidFill>
                </w14:textFill>
              </w:rPr>
              <w:t>2</w:t>
            </w:r>
            <w:r>
              <w:rPr>
                <w:color w:val="000000" w:themeColor="text1"/>
                <w:vertAlign w:val="subscript"/>
                <w14:textFill>
                  <w14:solidFill>
                    <w14:schemeClr w14:val="tx1"/>
                  </w14:solidFill>
                </w14:textFill>
              </w:rPr>
              <w:t>.</w:t>
            </w:r>
            <w:r>
              <w:rPr>
                <w:color w:val="000000" w:themeColor="text1"/>
                <w:vertAlign w:val="subscript"/>
                <w:lang w:val="zh-CN"/>
                <w14:textFill>
                  <w14:solidFill>
                    <w14:schemeClr w14:val="tx1"/>
                  </w14:solidFill>
                </w14:textFill>
              </w:rPr>
              <w:t>5</w:t>
            </w:r>
            <w:r>
              <w:rPr>
                <w:color w:val="000000" w:themeColor="text1"/>
                <w:lang w:val="zh-CN"/>
                <w14:textFill>
                  <w14:solidFill>
                    <w14:schemeClr w14:val="tx1"/>
                  </w14:solidFill>
                </w14:textFill>
              </w:rPr>
              <w:t>，项目污染物主要为污水处理站处理过程中产生的硫化氢、氨、臭气等，污水处理站采用地埋式，产生恶臭设施加盖处理、污水处理站区域投放除臭剂，根据现状监测数据可知，本项目对周围大气环境影响较小，污染物排放浓度满足《山东省医疗机构污染物排放控制标准》（DB37/596-2020）中表2污水处理站周边大气污染物最高允许浓度限值，因此废气的排放可以为周边环境接受。</w:t>
            </w:r>
          </w:p>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2.5 废气污染物监测计划</w:t>
            </w:r>
          </w:p>
          <w:p>
            <w:pPr>
              <w:pageBreakBefore/>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w:t>
            </w:r>
            <w:r>
              <w:rPr>
                <w:color w:val="000000" w:themeColor="text1"/>
                <w:szCs w:val="21"/>
                <w14:textFill>
                  <w14:solidFill>
                    <w14:schemeClr w14:val="tx1"/>
                  </w14:solidFill>
                </w14:textFill>
              </w:rPr>
              <w:t>据《排污单位自行监测技术指南 总则》（HJ819-2017）、《排污许可证申请与核发技术规范 医疗机构》(HJ1105-2020)相关规定，制定本企业自行监测方案</w:t>
            </w:r>
            <w:r>
              <w:rPr>
                <w:color w:val="000000" w:themeColor="text1"/>
                <w14:textFill>
                  <w14:solidFill>
                    <w14:schemeClr w14:val="tx1"/>
                  </w14:solidFill>
                </w14:textFill>
              </w:rPr>
              <w:t>。</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表4-12  营运期大气检测计划一览表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210"/>
              <w:gridCol w:w="1459"/>
              <w:gridCol w:w="314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p>
              </w:tc>
              <w:tc>
                <w:tcPr>
                  <w:tcW w:w="719"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监测项目</w:t>
                  </w:r>
                </w:p>
              </w:tc>
              <w:tc>
                <w:tcPr>
                  <w:tcW w:w="86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c>
                <w:tcPr>
                  <w:tcW w:w="186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c>
                <w:tcPr>
                  <w:tcW w:w="77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周界</w:t>
                  </w: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臭气浓度</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《山东省医疗机构污染物排放控制标准》（DB37/596-2020）表2</w:t>
                  </w: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continue"/>
                  <w:vAlign w:val="center"/>
                </w:tcPr>
                <w:p>
                  <w:pPr>
                    <w:jc w:val="center"/>
                    <w:rPr>
                      <w:color w:val="000000" w:themeColor="text1"/>
                      <w:sz w:val="18"/>
                      <w:szCs w:val="18"/>
                      <w14:textFill>
                        <w14:solidFill>
                          <w14:schemeClr w14:val="tx1"/>
                        </w14:solidFill>
                      </w14:textFill>
                    </w:rPr>
                  </w:pP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氨（氨气）</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continue"/>
                </w:tcPr>
                <w:p>
                  <w:pPr>
                    <w:jc w:val="center"/>
                    <w:rPr>
                      <w:color w:val="000000" w:themeColor="text1"/>
                      <w:sz w:val="18"/>
                      <w:szCs w:val="18"/>
                      <w14:textFill>
                        <w14:solidFill>
                          <w14:schemeClr w14:val="tx1"/>
                        </w14:solidFill>
                      </w14:textFill>
                    </w:rPr>
                  </w:pP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0.2mg/m</w:t>
                  </w:r>
                  <w:r>
                    <w:rPr>
                      <w:color w:val="000000" w:themeColor="text1"/>
                      <w:sz w:val="18"/>
                      <w:szCs w:val="18"/>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continue"/>
                  <w:vAlign w:val="center"/>
                </w:tcPr>
                <w:p>
                  <w:pPr>
                    <w:jc w:val="center"/>
                    <w:rPr>
                      <w:color w:val="000000" w:themeColor="text1"/>
                      <w:sz w:val="18"/>
                      <w:szCs w:val="18"/>
                      <w14:textFill>
                        <w14:solidFill>
                          <w14:schemeClr w14:val="tx1"/>
                        </w14:solidFill>
                      </w14:textFill>
                    </w:rPr>
                  </w:pP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硫化氢</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continue"/>
                </w:tcPr>
                <w:p>
                  <w:pPr>
                    <w:jc w:val="center"/>
                    <w:rPr>
                      <w:color w:val="000000" w:themeColor="text1"/>
                      <w:sz w:val="18"/>
                      <w:szCs w:val="18"/>
                      <w14:textFill>
                        <w14:solidFill>
                          <w14:schemeClr w14:val="tx1"/>
                        </w14:solidFill>
                      </w14:textFill>
                    </w:rPr>
                  </w:pP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0.02mg/m</w:t>
                  </w:r>
                  <w:r>
                    <w:rPr>
                      <w:color w:val="000000" w:themeColor="text1"/>
                      <w:sz w:val="18"/>
                      <w:szCs w:val="18"/>
                      <w:vertAlign w:val="superscript"/>
                      <w14:textFill>
                        <w14:solidFill>
                          <w14:schemeClr w14:val="tx1"/>
                        </w14:solidFill>
                      </w14:textFill>
                    </w:rPr>
                    <w:t>3</w:t>
                  </w:r>
                </w:p>
              </w:tc>
            </w:tr>
          </w:tbl>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三、噪声</w:t>
            </w:r>
          </w:p>
          <w:p>
            <w:pPr>
              <w:spacing w:line="360" w:lineRule="auto"/>
              <w:ind w:firstLine="482"/>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3.1噪声产生情况</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t>本项目营运期产生的噪声主要来源于人员活动噪声及医疗设备、污水处理设施设备噪声。其噪声源强见表下表：</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表4-13  主要噪声源排放源强统计</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091"/>
              <w:gridCol w:w="318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产噪源</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声源强值dB（A）</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人员活动</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60-65</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医疗设备</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泵、消毒机</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汽车运输</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59～84</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出入口</w:t>
                  </w:r>
                </w:p>
              </w:tc>
            </w:tr>
          </w:tbl>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交通噪声与车辆的类型、构造、行驶速度、车流量以及道路的结构、宽度、坡度等密切相关，其中又以行驶速度为关键因素。根据调查，车辆在进出停车场时会产生一定的噪声，其源强一般在59～84dB（A），影响范围主要为靠近出入口的周边声环境。进出医院的车辆噪声对周边环境的影响具有短时性特点，而且与环境噪声背景值密切相关，昼间由于人群活动以及周边道路来往车辆等综合影响，环境噪声背景值较大， 其影响不太明显；到了夜间，随着交通流量及人群活动量的减少，环境噪声背景值较低， 其影响较为突出。</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汽车进出时怠速行驶产生的噪声源强为59～70dB（A），鸣笛的噪声源强为 78～84dB（A），对出入口附近低层的办公和住院环境产生一定影响。由于车辆进出时间随机，一般都是单独车辆进出，因此本评价预测某一车辆进出车库时噪声对周围环境的影响。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预测模式：</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不考虑空气吸收、地面效应，其点声源噪声影响预测模式为：</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L</w:t>
            </w:r>
            <w:r>
              <w:rPr>
                <w:color w:val="000000" w:themeColor="text1"/>
                <w:szCs w:val="21"/>
                <w:vertAlign w:val="subscript"/>
                <w14:textFill>
                  <w14:solidFill>
                    <w14:schemeClr w14:val="tx1"/>
                  </w14:solidFill>
                </w14:textFill>
              </w:rPr>
              <w:t>（r）</w:t>
            </w:r>
            <w:r>
              <w:rPr>
                <w:color w:val="000000" w:themeColor="text1"/>
                <w:szCs w:val="21"/>
                <w14:textFill>
                  <w14:solidFill>
                    <w14:schemeClr w14:val="tx1"/>
                  </w14:solidFill>
                </w14:textFill>
              </w:rPr>
              <w:t>=L</w:t>
            </w:r>
            <w:r>
              <w:rPr>
                <w:color w:val="000000" w:themeColor="text1"/>
                <w:szCs w:val="21"/>
                <w:vertAlign w:val="subscript"/>
                <w14:textFill>
                  <w14:solidFill>
                    <w14:schemeClr w14:val="tx1"/>
                  </w14:solidFill>
                </w14:textFill>
              </w:rPr>
              <w:t>（r0）</w:t>
            </w:r>
            <w:r>
              <w:rPr>
                <w:color w:val="000000" w:themeColor="text1"/>
                <w:szCs w:val="21"/>
                <w14:textFill>
                  <w14:solidFill>
                    <w14:schemeClr w14:val="tx1"/>
                  </w14:solidFill>
                </w14:textFill>
              </w:rPr>
              <w:t>-20lg（r/r</w:t>
            </w:r>
            <w:r>
              <w:rPr>
                <w:color w:val="000000" w:themeColor="text1"/>
                <w:szCs w:val="21"/>
                <w:vertAlign w:val="subscript"/>
                <w14:textFill>
                  <w14:solidFill>
                    <w14:schemeClr w14:val="tx1"/>
                  </w14:solidFill>
                </w14:textFill>
              </w:rPr>
              <w:t>0</w:t>
            </w:r>
            <w:r>
              <w:rPr>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式中，</w:t>
            </w:r>
            <w:r>
              <w:rPr>
                <w:rFonts w:eastAsia="Times New Roman"/>
                <w:color w:val="000000" w:themeColor="text1"/>
                <w14:textFill>
                  <w14:solidFill>
                    <w14:schemeClr w14:val="tx1"/>
                  </w14:solidFill>
                </w14:textFill>
              </w:rPr>
              <w:t>L</w:t>
            </w:r>
            <w:r>
              <w:rPr>
                <w:color w:val="000000" w:themeColor="text1"/>
                <w:vertAlign w:val="subscript"/>
                <w14:textFill>
                  <w14:solidFill>
                    <w14:schemeClr w14:val="tx1"/>
                  </w14:solidFill>
                </w14:textFill>
              </w:rPr>
              <w:t>（</w:t>
            </w:r>
            <w:r>
              <w:rPr>
                <w:rFonts w:eastAsia="Times New Roman"/>
                <w:color w:val="000000" w:themeColor="text1"/>
                <w:vertAlign w:val="subscript"/>
                <w14:textFill>
                  <w14:solidFill>
                    <w14:schemeClr w14:val="tx1"/>
                  </w14:solidFill>
                </w14:textFill>
              </w:rPr>
              <w:t>r</w:t>
            </w:r>
            <w:r>
              <w:rPr>
                <w:color w:val="000000" w:themeColor="text1"/>
                <w:vertAlign w:val="subscript"/>
                <w14:textFill>
                  <w14:solidFill>
                    <w14:schemeClr w14:val="tx1"/>
                  </w14:solidFill>
                </w14:textFill>
              </w:rPr>
              <w:t>）</w:t>
            </w:r>
            <w:r>
              <w:rPr>
                <w:rFonts w:eastAsia="Times New Roman"/>
                <w:color w:val="000000" w:themeColor="text1"/>
                <w14:textFill>
                  <w14:solidFill>
                    <w14:schemeClr w14:val="tx1"/>
                  </w14:solidFill>
                </w14:textFill>
              </w:rPr>
              <w:t>——</w:t>
            </w:r>
            <w:r>
              <w:rPr>
                <w:color w:val="000000" w:themeColor="text1"/>
                <w14:textFill>
                  <w14:solidFill>
                    <w14:schemeClr w14:val="tx1"/>
                  </w14:solidFill>
                </w14:textFill>
              </w:rPr>
              <w:t xml:space="preserve">距离声源 </w:t>
            </w:r>
            <w:r>
              <w:rPr>
                <w:rFonts w:eastAsia="Times New Roman"/>
                <w:color w:val="000000" w:themeColor="text1"/>
                <w14:textFill>
                  <w14:solidFill>
                    <w14:schemeClr w14:val="tx1"/>
                  </w14:solidFill>
                </w14:textFill>
              </w:rPr>
              <w:t xml:space="preserve">r m </w:t>
            </w:r>
            <w:r>
              <w:rPr>
                <w:color w:val="000000" w:themeColor="text1"/>
                <w14:textFill>
                  <w14:solidFill>
                    <w14:schemeClr w14:val="tx1"/>
                  </w14:solidFill>
                </w14:textFill>
              </w:rPr>
              <w:t>处噪声预测值，</w:t>
            </w:r>
            <w:r>
              <w:rPr>
                <w:rFonts w:eastAsia="Times New Roman"/>
                <w:color w:val="000000" w:themeColor="text1"/>
                <w14:textFill>
                  <w14:solidFill>
                    <w14:schemeClr w14:val="tx1"/>
                  </w14:solidFill>
                </w14:textFill>
              </w:rPr>
              <w:t>dB(A)</w:t>
            </w:r>
            <w:r>
              <w:rPr>
                <w:color w:val="000000" w:themeColor="text1"/>
                <w14:textFill>
                  <w14:solidFill>
                    <w14:schemeClr w14:val="tx1"/>
                  </w14:solidFill>
                </w14:textFill>
              </w:rPr>
              <w:t>；</w:t>
            </w:r>
          </w:p>
          <w:p>
            <w:pPr>
              <w:spacing w:line="360" w:lineRule="auto"/>
              <w:ind w:firstLine="1050" w:firstLineChars="500"/>
              <w:rPr>
                <w:color w:val="000000" w:themeColor="text1"/>
                <w:szCs w:val="21"/>
                <w14:textFill>
                  <w14:solidFill>
                    <w14:schemeClr w14:val="tx1"/>
                  </w14:solidFill>
                </w14:textFill>
              </w:rPr>
            </w:pPr>
            <w:r>
              <w:rPr>
                <w:rFonts w:eastAsia="Times New Roman"/>
                <w:color w:val="000000" w:themeColor="text1"/>
                <w:position w:val="1"/>
                <w14:textFill>
                  <w14:solidFill>
                    <w14:schemeClr w14:val="tx1"/>
                  </w14:solidFill>
                </w14:textFill>
              </w:rPr>
              <w:t>L</w:t>
            </w:r>
            <w:r>
              <w:rPr>
                <w:rFonts w:eastAsia="Times New Roman"/>
                <w:color w:val="000000" w:themeColor="text1"/>
                <w:position w:val="1"/>
                <w:vertAlign w:val="subscript"/>
                <w14:textFill>
                  <w14:solidFill>
                    <w14:schemeClr w14:val="tx1"/>
                  </w14:solidFill>
                </w14:textFill>
              </w:rPr>
              <w:t>(r</w:t>
            </w:r>
            <w:r>
              <w:rPr>
                <w:rFonts w:eastAsia="Times New Roman"/>
                <w:color w:val="000000" w:themeColor="text1"/>
                <w:sz w:val="16"/>
                <w:vertAlign w:val="subscript"/>
                <w14:textFill>
                  <w14:solidFill>
                    <w14:schemeClr w14:val="tx1"/>
                  </w14:solidFill>
                </w14:textFill>
              </w:rPr>
              <w:t>0</w:t>
            </w:r>
            <w:r>
              <w:rPr>
                <w:rFonts w:eastAsia="Times New Roman"/>
                <w:color w:val="000000" w:themeColor="text1"/>
                <w:position w:val="1"/>
                <w:vertAlign w:val="subscript"/>
                <w14:textFill>
                  <w14:solidFill>
                    <w14:schemeClr w14:val="tx1"/>
                  </w14:solidFill>
                </w14:textFill>
              </w:rPr>
              <w:t xml:space="preserve">) </w:t>
            </w:r>
            <w:r>
              <w:rPr>
                <w:rFonts w:eastAsia="Times New Roman"/>
                <w:color w:val="000000" w:themeColor="text1"/>
                <w:position w:val="1"/>
                <w14:textFill>
                  <w14:solidFill>
                    <w14:schemeClr w14:val="tx1"/>
                  </w14:solidFill>
                </w14:textFill>
              </w:rPr>
              <w:t>——</w:t>
            </w:r>
            <w:r>
              <w:rPr>
                <w:color w:val="000000" w:themeColor="text1"/>
                <w:position w:val="1"/>
                <w14:textFill>
                  <w14:solidFill>
                    <w14:schemeClr w14:val="tx1"/>
                  </w14:solidFill>
                </w14:textFill>
              </w:rPr>
              <w:t xml:space="preserve">声源 </w:t>
            </w:r>
            <w:r>
              <w:rPr>
                <w:rFonts w:eastAsia="Times New Roman"/>
                <w:color w:val="000000" w:themeColor="text1"/>
                <w:position w:val="1"/>
                <w14:textFill>
                  <w14:solidFill>
                    <w14:schemeClr w14:val="tx1"/>
                  </w14:solidFill>
                </w14:textFill>
              </w:rPr>
              <w:t xml:space="preserve">r0 m </w:t>
            </w:r>
            <w:r>
              <w:rPr>
                <w:color w:val="000000" w:themeColor="text1"/>
                <w:position w:val="1"/>
                <w14:textFill>
                  <w14:solidFill>
                    <w14:schemeClr w14:val="tx1"/>
                  </w14:solidFill>
                </w14:textFill>
              </w:rPr>
              <w:t>处的参考声级，</w:t>
            </w:r>
            <w:r>
              <w:rPr>
                <w:rFonts w:eastAsia="Times New Roman"/>
                <w:color w:val="000000" w:themeColor="text1"/>
                <w:position w:val="1"/>
                <w14:textFill>
                  <w14:solidFill>
                    <w14:schemeClr w14:val="tx1"/>
                  </w14:solidFill>
                </w14:textFill>
              </w:rPr>
              <w:t>dB(A)</w:t>
            </w:r>
            <w:r>
              <w:rPr>
                <w:color w:val="000000" w:themeColor="text1"/>
                <w:position w:val="1"/>
                <w14:textFill>
                  <w14:solidFill>
                    <w14:schemeClr w14:val="tx1"/>
                  </w14:solidFill>
                </w14:textFill>
              </w:rPr>
              <w:t>；</w:t>
            </w:r>
          </w:p>
          <w:p>
            <w:pPr>
              <w:spacing w:line="360" w:lineRule="auto"/>
              <w:ind w:firstLine="1050" w:firstLineChars="50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r ——</w:t>
            </w:r>
            <w:r>
              <w:rPr>
                <w:color w:val="000000" w:themeColor="text1"/>
                <w14:textFill>
                  <w14:solidFill>
                    <w14:schemeClr w14:val="tx1"/>
                  </w14:solidFill>
                </w14:textFill>
              </w:rPr>
              <w:t>预测点与声源之间的距离，</w:t>
            </w:r>
            <w:r>
              <w:rPr>
                <w:rFonts w:eastAsia="Times New Roman"/>
                <w:color w:val="000000" w:themeColor="text1"/>
                <w14:textFill>
                  <w14:solidFill>
                    <w14:schemeClr w14:val="tx1"/>
                  </w14:solidFill>
                </w14:textFill>
              </w:rPr>
              <w:t>m</w:t>
            </w:r>
            <w:r>
              <w:rPr>
                <w:color w:val="000000" w:themeColor="text1"/>
                <w14:textFill>
                  <w14:solidFill>
                    <w14:schemeClr w14:val="tx1"/>
                  </w14:solidFill>
                </w14:textFill>
              </w:rPr>
              <w:t>；</w:t>
            </w:r>
          </w:p>
          <w:p>
            <w:pPr>
              <w:spacing w:line="360" w:lineRule="auto"/>
              <w:ind w:firstLine="1050" w:firstLineChars="50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r</w:t>
            </w:r>
            <w:r>
              <w:rPr>
                <w:rFonts w:eastAsia="Times New Roman"/>
                <w:color w:val="000000" w:themeColor="text1"/>
                <w:vertAlign w:val="subscript"/>
                <w14:textFill>
                  <w14:solidFill>
                    <w14:schemeClr w14:val="tx1"/>
                  </w14:solidFill>
                </w14:textFill>
              </w:rPr>
              <w:t>0</w:t>
            </w:r>
            <w:r>
              <w:rPr>
                <w:rFonts w:eastAsia="Times New Roman"/>
                <w:color w:val="000000" w:themeColor="text1"/>
                <w14:textFill>
                  <w14:solidFill>
                    <w14:schemeClr w14:val="tx1"/>
                  </w14:solidFill>
                </w14:textFill>
              </w:rPr>
              <w:t>——</w:t>
            </w:r>
            <w:r>
              <w:rPr>
                <w:color w:val="000000" w:themeColor="text1"/>
                <w14:textFill>
                  <w14:solidFill>
                    <w14:schemeClr w14:val="tx1"/>
                  </w14:solidFill>
                </w14:textFill>
              </w:rPr>
              <w:t>为参考点距离，</w:t>
            </w:r>
            <w:r>
              <w:rPr>
                <w:rFonts w:eastAsia="Times New Roman"/>
                <w:color w:val="000000" w:themeColor="text1"/>
                <w14:textFill>
                  <w14:solidFill>
                    <w14:schemeClr w14:val="tx1"/>
                  </w14:solidFill>
                </w14:textFill>
              </w:rPr>
              <w:t>m</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汽车进出时怠速产生的噪声源强取</w:t>
            </w:r>
            <w:r>
              <w:rPr>
                <w:rFonts w:eastAsia="Times New Roman"/>
                <w:color w:val="000000" w:themeColor="text1"/>
                <w14:textFill>
                  <w14:solidFill>
                    <w14:schemeClr w14:val="tx1"/>
                  </w14:solidFill>
                </w14:textFill>
              </w:rPr>
              <w:t>70dB(A)</w:t>
            </w:r>
            <w:r>
              <w:rPr>
                <w:color w:val="000000" w:themeColor="text1"/>
                <w14:textFill>
                  <w14:solidFill>
                    <w14:schemeClr w14:val="tx1"/>
                  </w14:solidFill>
                </w14:textFill>
              </w:rPr>
              <w:t>，噪声随距离衰减计算结果见表4.2-22。</w:t>
            </w:r>
          </w:p>
          <w:p>
            <w:pPr>
              <w:spacing w:line="36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表4</w:t>
            </w:r>
            <w:r>
              <w:rPr>
                <w:rFonts w:hint="eastAsia" w:eastAsia="黑体"/>
                <w:color w:val="000000" w:themeColor="text1"/>
                <w:szCs w:val="21"/>
                <w14:textFill>
                  <w14:solidFill>
                    <w14:schemeClr w14:val="tx1"/>
                  </w14:solidFill>
                </w14:textFill>
              </w:rPr>
              <w:t>-14</w:t>
            </w:r>
            <w:r>
              <w:rPr>
                <w:rFonts w:eastAsia="黑体"/>
                <w:color w:val="000000" w:themeColor="text1"/>
                <w:szCs w:val="21"/>
                <w14:textFill>
                  <w14:solidFill>
                    <w14:schemeClr w14:val="tx1"/>
                  </w14:solidFill>
                </w14:textFill>
              </w:rPr>
              <w:t xml:space="preserve">  地下车库汽车行驶噪声随距离衰减计算结果  单位：dB(A)</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780"/>
              <w:gridCol w:w="780"/>
              <w:gridCol w:w="780"/>
              <w:gridCol w:w="780"/>
              <w:gridCol w:w="780"/>
              <w:gridCol w:w="780"/>
              <w:gridCol w:w="780"/>
              <w:gridCol w:w="780"/>
              <w:gridCol w:w="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op w:val="single" w:color="auto" w:sz="4" w:space="0"/>
                    <w:left w:val="single" w:color="auto" w:sz="0"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源强</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35m</w:t>
                  </w:r>
                </w:p>
              </w:tc>
              <w:tc>
                <w:tcPr>
                  <w:tcW w:w="461" w:type="pct"/>
                  <w:tcBorders>
                    <w:top w:val="single" w:color="auto" w:sz="4" w:space="0"/>
                    <w:right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left w:val="single" w:color="auto" w:sz="4" w:space="0"/>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噪声值</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46.5</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40.5</w:t>
                  </w:r>
                </w:p>
              </w:tc>
              <w:tc>
                <w:tcPr>
                  <w:tcW w:w="461" w:type="pct"/>
                  <w:tcBorders>
                    <w:bottom w:val="single" w:color="auto" w:sz="4" w:space="0"/>
                    <w:right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w:t>
                  </w:r>
                </w:p>
              </w:tc>
            </w:tr>
          </w:tbl>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由预测结果可知，汽车行驶噪声在10m外的噪声值衰减为 50dB（A），再加上墙体、玻璃隔声后，汽车行驶噪声对周边环境的影响很小。</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汽车鸣笛的噪声源强为78～84dB（A），院区内道路及车库应设置禁止鸣笛标志，以避免鸣笛噪声对病房及周边居民的影响。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随着该项目的投入运营，进出项目区域的人员车辆迅速增加，为防止发生噪声扰民， 确保对地下车库出入口汽车噪声进行有效阻隔，本评价建议项目在地下车库出入口通道上设置吸声、隔声顶棚，以有效降低机动车在出入过程中的噪声影响，同时，出入口应在相应位置按照规范设置醒目的限速和禁鸣喇叭标志，运营期管理部门加强对进出车辆的管理，确保地下车库出入口汽车噪声对相邻低层的楼层和办公环境不会造成干扰影响。</w:t>
            </w:r>
          </w:p>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3.2现有监测情况防治措施</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本项目内己采取的降噪措施如下</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人员活动：加强流动人员管理，张贴禁止大声喧哗等标识。</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医疗设备：各科室均采用隔音玻璃窗，医疗设备选用先进设备，通过墙体隔声和距离衰减。</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污水处理设施设备：选用低噪声设备，合理布置声源，设施为地埋式污水处理站。</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山东众益源环境检测有限公司于2022年8月10日对院区厂界噪声进行了监测，项目厂界噪声监测结果见表4-14。</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表4-14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045"/>
              <w:gridCol w:w="776"/>
              <w:gridCol w:w="776"/>
              <w:gridCol w:w="833"/>
              <w:gridCol w:w="1045"/>
              <w:gridCol w:w="776"/>
              <w:gridCol w:w="77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8"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项目东厂界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项目南厂界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项目西厂界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52.4</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43.5</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项目北厂界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由上表可知，项目厂界昼、夜声噪声均满足《工业企业厂界环境噪声排放标准》（GB12348-2008）中 1类区标准要求。</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为补办手续，项目已投运多年，本次评价期间，对院区周围恒基花苑、天府清华园、体坛小区等3个居民区声环境现状进行了现状监测，根据监测结果，恒基花苑、天府清华园、体坛小区声环境质量均满足《声环境质量标准》（GB 3096-2008）中1类标准要求，说明项目运营期对周围声环境影响较小，不会改变区域声环境质量现状。</w:t>
            </w:r>
          </w:p>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3.3监测计划</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根据《排污单位自行监测技术指南 总则》（HJ819-2017）、《排污许可证申请与核发技术规范 医疗机构》(HJ1105-2020)相关规定，制定本企业自行监测方案</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表4-15  厂界噪声监测要求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901"/>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监测项目</w:t>
                  </w:r>
                </w:p>
              </w:tc>
              <w:tc>
                <w:tcPr>
                  <w:tcW w:w="290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监测方位</w:t>
                  </w:r>
                </w:p>
              </w:tc>
              <w:tc>
                <w:tcPr>
                  <w:tcW w:w="27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厂界昼间、夜间噪声</w:t>
                  </w:r>
                </w:p>
              </w:tc>
              <w:tc>
                <w:tcPr>
                  <w:tcW w:w="290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四方向厂界外1m</w:t>
                  </w:r>
                </w:p>
              </w:tc>
              <w:tc>
                <w:tcPr>
                  <w:tcW w:w="27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每季度开展一次监测</w:t>
                  </w:r>
                </w:p>
              </w:tc>
            </w:tr>
          </w:tbl>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四、固废</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4.1固体废物产生情况</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项目运营期产生的固体废物主要包括医疗废物、污水站污泥、栅渣、废包装材料、生活垃圾。</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1、危险废物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（1）医疗废物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医疗废物主要来自医疗诊断、治疗过程中产生的各类固体废弃物，本项目产生医疗废物详见下表：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表4-16  项目产生医疗废物分类目录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524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52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常见组成或废物名称</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感染性废物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1、棉球、棉签、引流棉条、纱布及其他各种敷料；</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2、一次性使用卫生用品、一次性使用医疗用品及一次性医疗器械；</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3、废弃的血液、血清，拔下的牙齿。</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病理性废物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1、手术及其他诊疗过程中产生的废弃的人体组织等。</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2、病理切片后废弃的人体组织、病理腊块等。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损伤性废物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1、医用针头、缝合针。</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2、各类医用锐器，一次性牙钻针、牙钩、安瓶等。</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3、载玻片、玻璃试管、玻璃安瓿等。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治疗室、手术室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药物性废物</w:t>
                  </w:r>
                </w:p>
              </w:tc>
              <w:tc>
                <w:tcPr>
                  <w:tcW w:w="5245" w:type="dxa"/>
                  <w:vAlign w:val="center"/>
                </w:tcPr>
                <w:p>
                  <w:pPr>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废弃的一般性药品，如：抗生素、非处方类药品等。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化学性废物</w:t>
                  </w:r>
                </w:p>
              </w:tc>
              <w:tc>
                <w:tcPr>
                  <w:tcW w:w="5245" w:type="dxa"/>
                  <w:vAlign w:val="center"/>
                </w:tcPr>
                <w:p>
                  <w:pPr>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检验室废弃的化学试剂。</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w:t>
                  </w:r>
                </w:p>
              </w:tc>
            </w:tr>
          </w:tbl>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根据企业危险废物台账</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统计给出</w:t>
            </w:r>
            <w:r>
              <w:rPr>
                <w:rFonts w:hint="eastAsia"/>
                <w:color w:val="000000" w:themeColor="text1"/>
                <w:sz w:val="21"/>
                <w:szCs w:val="21"/>
                <w14:textFill>
                  <w14:solidFill>
                    <w14:schemeClr w14:val="tx1"/>
                  </w14:solidFill>
                </w14:textFill>
              </w:rPr>
              <w:t>2019-2021年近年来危废产生台账</w:t>
            </w:r>
            <w:r>
              <w:rPr>
                <w:color w:val="000000" w:themeColor="text1"/>
                <w:sz w:val="21"/>
                <w:szCs w:val="21"/>
                <w14:textFill>
                  <w14:solidFill>
                    <w14:schemeClr w14:val="tx1"/>
                  </w14:solidFill>
                </w14:textFill>
              </w:rPr>
              <w:t>统计，企业</w:t>
            </w:r>
            <w:r>
              <w:rPr>
                <w:rFonts w:hint="eastAsia"/>
                <w:color w:val="000000" w:themeColor="text1"/>
                <w:sz w:val="21"/>
                <w:szCs w:val="21"/>
                <w14:textFill>
                  <w14:solidFill>
                    <w14:schemeClr w14:val="tx1"/>
                  </w14:solidFill>
                </w14:textFill>
              </w:rPr>
              <w:t>2021年医疗废物</w:t>
            </w:r>
            <w:r>
              <w:rPr>
                <w:color w:val="000000" w:themeColor="text1"/>
                <w:sz w:val="21"/>
                <w:szCs w:val="21"/>
                <w14:textFill>
                  <w14:solidFill>
                    <w14:schemeClr w14:val="tx1"/>
                  </w14:solidFill>
                </w14:textFill>
              </w:rPr>
              <w:t>产生量最多</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为1</w:t>
            </w:r>
            <w:r>
              <w:rPr>
                <w:rFonts w:hint="eastAsia"/>
                <w:color w:val="000000" w:themeColor="text1"/>
                <w:sz w:val="21"/>
                <w:szCs w:val="21"/>
                <w14:textFill>
                  <w14:solidFill>
                    <w14:schemeClr w14:val="tx1"/>
                  </w14:solidFill>
                </w14:textFill>
              </w:rPr>
              <w:t>0.09</w:t>
            </w:r>
            <w:r>
              <w:rPr>
                <w:color w:val="000000" w:themeColor="text1"/>
                <w:sz w:val="21"/>
                <w:szCs w:val="21"/>
                <w14:textFill>
                  <w14:solidFill>
                    <w14:schemeClr w14:val="tx1"/>
                  </w14:solidFill>
                </w14:textFill>
              </w:rPr>
              <w:t>t/a</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本次评价取</w:t>
            </w:r>
            <w:r>
              <w:rPr>
                <w:rFonts w:hint="eastAsia"/>
                <w:color w:val="000000" w:themeColor="text1"/>
                <w:sz w:val="21"/>
                <w:szCs w:val="21"/>
                <w14:textFill>
                  <w14:solidFill>
                    <w14:schemeClr w14:val="tx1"/>
                  </w14:solidFill>
                </w14:textFill>
              </w:rPr>
              <w:t>2021年医疗废物产生量为项目医疗废物产生量，定为10.09t/a</w:t>
            </w:r>
            <w:r>
              <w:rPr>
                <w:color w:val="000000" w:themeColor="text1"/>
                <w:sz w:val="21"/>
                <w:szCs w:val="21"/>
                <w14:textFill>
                  <w14:solidFill>
                    <w14:schemeClr w14:val="tx1"/>
                  </w14:solidFill>
                </w14:textFill>
              </w:rPr>
              <w:t>。</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医疗废物属于危险废物HW01，须按照《危险废物贮存污染控制标准》（GB 18597-2001）及其修改单（第36号）要求贮存于符合标准的容器并做好标识，委托有资质单位处理，并严格按照《危险废物收集、贮存、运输技术规范》（HJ 2025-2012）以及《关于印发《山东省危险废物转移联单管理办法》的通知》（鲁环发〔2005〕152号）要求转移。</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（2）污水站污泥</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项目污水处理站运行过程产生污泥，根据污水站多年实际运行情况，污泥产生量最大约为0.3t/a</w:t>
            </w:r>
            <w:r>
              <w:rPr>
                <w:rFonts w:hint="eastAsia"/>
                <w:color w:val="000000" w:themeColor="text1"/>
                <w:sz w:val="21"/>
                <w:szCs w:val="21"/>
                <w14:textFill>
                  <w14:solidFill>
                    <w14:schemeClr w14:val="tx1"/>
                  </w14:solidFill>
                </w14:textFill>
              </w:rPr>
              <w:t>（含水率50%）</w:t>
            </w:r>
            <w:r>
              <w:rPr>
                <w:color w:val="000000" w:themeColor="text1"/>
                <w:sz w:val="21"/>
                <w:szCs w:val="21"/>
                <w14:textFill>
                  <w14:solidFill>
                    <w14:schemeClr w14:val="tx1"/>
                  </w14:solidFill>
                </w14:textFill>
              </w:rPr>
              <w:t>，作为医疗废物（HW01；841-001-01）定期委托相关有资质单位定期清运处理。污泥在危废间暂存后交由有资质单位定期清运处理，清掏前需达到《山东省医疗机构污染物排放控制标准》（DB37/596-2020）表3标准要求(粪大肠菌群数≤100MPN/g，蛔虫卵死亡率＞95%)，污泥每年清理1次，交由专业队伍进行清掏。清运过程参照《危险废物收集贮存运输技术规范》（HJ2025-2012）和《医疗废物管理条例》，由医疗废物专用车辆进行运输，减少或避免运输过程中的二次污染和可能造成的环境风险，运输医疗废物的车辆应按照《医疗废物转运车技术要求（试行）》及修改单的相应要求落实，转移过程严格执行危险废物转移联单制度。</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（3）污水处理站栅渣</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污水处理设备池体前设置格栅，会拦截部分栅渣，根据企业实际运行经验，栅渣最大产生量约为0.2t/a，作为医疗废物（HW01；841-001-01）委托相关有资质单位处置。</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2、一般废物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医院运行中会产生部分用于包装医疗器械的废包装材料，主要为纸箱、外包装塑料膜等，产生量约为0.3t/a，废包装材料统一收集暂存于一般固废间，统一外售处置。</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3、生活垃圾</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来源于医院医护人员及病人日常生活，医护人员及病房常驻人数按照167人计，年工作365天，生活垃圾产生量按照0.5kg/人天计；门诊人数取300人次/d，生活垃圾产生量按照0.2kg/人次计。则生活垃圾产生量为52.377t/a。生活垃圾由环卫部门定期清运。</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综上，本项目固废产生及处置情况见下表所示。</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表4-17  固体废物情况汇总表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875"/>
              <w:gridCol w:w="1440"/>
              <w:gridCol w:w="849"/>
              <w:gridCol w:w="1169"/>
              <w:gridCol w:w="638"/>
              <w:gridCol w:w="112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835"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见表4-16</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废包装物</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纸箱、外包装塑料膜等</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52.377</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果皮纸屑</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环卫部门定期清运</w:t>
                  </w:r>
                </w:p>
              </w:tc>
            </w:tr>
          </w:tbl>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表4-18  危险固废产生与处置情况</w:t>
            </w:r>
          </w:p>
          <w:tbl>
            <w:tblPr>
              <w:tblStyle w:val="2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707"/>
              <w:gridCol w:w="1442"/>
              <w:gridCol w:w="769"/>
              <w:gridCol w:w="673"/>
              <w:gridCol w:w="586"/>
              <w:gridCol w:w="663"/>
              <w:gridCol w:w="534"/>
              <w:gridCol w:w="994"/>
              <w:gridCol w:w="50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危险废物名称</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危险废物类别</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危险废物代码</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产生工序及装置</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产废周期</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850" w:type="pct"/>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45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废药物、废针头等</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每日</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In/T/C/I/R</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加贴危废标识，存放于危废间，定期委托有资质单位处置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1次/年</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In </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污水处理站栅渣</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1次/月</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In </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continue"/>
                  <w:vAlign w:val="center"/>
                </w:tcPr>
                <w:p>
                  <w:pPr>
                    <w:jc w:val="center"/>
                    <w:rPr>
                      <w:color w:val="000000" w:themeColor="text1"/>
                      <w:sz w:val="18"/>
                      <w:szCs w:val="18"/>
                      <w14:textFill>
                        <w14:solidFill>
                          <w14:schemeClr w14:val="tx1"/>
                        </w14:solidFill>
                      </w14:textFill>
                    </w:rPr>
                  </w:pPr>
                </w:p>
              </w:tc>
            </w:tr>
          </w:tbl>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表4-19  危险废物贮存场所基本情况表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850"/>
              <w:gridCol w:w="1134"/>
              <w:gridCol w:w="708"/>
              <w:gridCol w:w="851"/>
              <w:gridCol w:w="991"/>
              <w:gridCol w:w="97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贮存场所名称</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危险废物名称</w:t>
                  </w:r>
                </w:p>
              </w:tc>
              <w:tc>
                <w:tcPr>
                  <w:tcW w:w="50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危险废物类别</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42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位置</w:t>
                  </w:r>
                </w:p>
              </w:tc>
              <w:tc>
                <w:tcPr>
                  <w:tcW w:w="5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占地</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面积</w:t>
                  </w: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贮存方式</w:t>
                  </w:r>
                </w:p>
              </w:tc>
              <w:tc>
                <w:tcPr>
                  <w:tcW w:w="57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贮存能力</w:t>
                  </w: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505"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841-005-01</w:t>
                  </w:r>
                </w:p>
              </w:tc>
              <w:tc>
                <w:tcPr>
                  <w:tcW w:w="421"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院区东侧</w:t>
                  </w:r>
                </w:p>
              </w:tc>
              <w:tc>
                <w:tcPr>
                  <w:tcW w:w="506"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40m</w:t>
                  </w:r>
                  <w:r>
                    <w:rPr>
                      <w:color w:val="000000" w:themeColor="text1"/>
                      <w:sz w:val="18"/>
                      <w:szCs w:val="18"/>
                      <w:vertAlign w:val="superscript"/>
                      <w14:textFill>
                        <w14:solidFill>
                          <w14:schemeClr w14:val="tx1"/>
                        </w14:solidFill>
                      </w14:textFill>
                    </w:rPr>
                    <w:t>2</w:t>
                  </w: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8t</w:t>
                  </w:r>
                </w:p>
              </w:tc>
              <w:tc>
                <w:tcPr>
                  <w:tcW w:w="63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58"/>
                    <w:ind w:firstLine="0" w:firstLineChars="0"/>
                    <w:rPr>
                      <w:color w:val="000000" w:themeColor="text1"/>
                      <w:sz w:val="21"/>
                      <w:szCs w:val="21"/>
                      <w14:textFill>
                        <w14:solidFill>
                          <w14:schemeClr w14:val="tx1"/>
                        </w14:solidFill>
                      </w14:textFill>
                    </w:rPr>
                  </w:pPr>
                </w:p>
              </w:tc>
              <w:tc>
                <w:tcPr>
                  <w:tcW w:w="674"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505"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841-001-01</w:t>
                  </w:r>
                </w:p>
              </w:tc>
              <w:tc>
                <w:tcPr>
                  <w:tcW w:w="421" w:type="pct"/>
                  <w:vMerge w:val="continue"/>
                  <w:vAlign w:val="center"/>
                </w:tcPr>
                <w:p>
                  <w:pPr>
                    <w:jc w:val="center"/>
                    <w:rPr>
                      <w:color w:val="000000" w:themeColor="text1"/>
                      <w:sz w:val="18"/>
                      <w:szCs w:val="18"/>
                      <w14:textFill>
                        <w14:solidFill>
                          <w14:schemeClr w14:val="tx1"/>
                        </w14:solidFill>
                      </w14:textFill>
                    </w:rPr>
                  </w:pPr>
                </w:p>
              </w:tc>
              <w:tc>
                <w:tcPr>
                  <w:tcW w:w="506" w:type="pct"/>
                  <w:vMerge w:val="continue"/>
                  <w:vAlign w:val="center"/>
                </w:tcPr>
                <w:p>
                  <w:pPr>
                    <w:jc w:val="center"/>
                    <w:rPr>
                      <w:color w:val="000000" w:themeColor="text1"/>
                      <w:sz w:val="18"/>
                      <w:szCs w:val="18"/>
                      <w14:textFill>
                        <w14:solidFill>
                          <w14:schemeClr w14:val="tx1"/>
                        </w14:solidFill>
                      </w14:textFill>
                    </w:rPr>
                  </w:pP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continue"/>
                  <w:vAlign w:val="center"/>
                </w:tcPr>
                <w:p>
                  <w:pPr>
                    <w:jc w:val="center"/>
                    <w:rPr>
                      <w:color w:val="000000" w:themeColor="text1"/>
                      <w:sz w:val="18"/>
                      <w:szCs w:val="18"/>
                      <w14:textFill>
                        <w14:solidFill>
                          <w14:schemeClr w14:val="tx1"/>
                        </w14:solidFill>
                      </w14:textFill>
                    </w:rPr>
                  </w:pP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58"/>
                    <w:ind w:firstLine="0" w:firstLineChars="0"/>
                    <w:rPr>
                      <w:color w:val="000000" w:themeColor="text1"/>
                      <w:sz w:val="21"/>
                      <w:szCs w:val="21"/>
                      <w14:textFill>
                        <w14:solidFill>
                          <w14:schemeClr w14:val="tx1"/>
                        </w14:solidFill>
                      </w14:textFill>
                    </w:rPr>
                  </w:pP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污水处理站栅渣</w:t>
                  </w:r>
                </w:p>
              </w:tc>
              <w:tc>
                <w:tcPr>
                  <w:tcW w:w="50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21" w:type="pct"/>
                  <w:vMerge w:val="continue"/>
                  <w:vAlign w:val="center"/>
                </w:tcPr>
                <w:p>
                  <w:pPr>
                    <w:jc w:val="center"/>
                    <w:rPr>
                      <w:color w:val="000000" w:themeColor="text1"/>
                      <w:sz w:val="18"/>
                      <w:szCs w:val="18"/>
                      <w14:textFill>
                        <w14:solidFill>
                          <w14:schemeClr w14:val="tx1"/>
                        </w14:solidFill>
                      </w14:textFill>
                    </w:rPr>
                  </w:pPr>
                </w:p>
              </w:tc>
              <w:tc>
                <w:tcPr>
                  <w:tcW w:w="506" w:type="pct"/>
                  <w:vMerge w:val="continue"/>
                  <w:vAlign w:val="center"/>
                </w:tcPr>
                <w:p>
                  <w:pPr>
                    <w:jc w:val="center"/>
                    <w:rPr>
                      <w:color w:val="000000" w:themeColor="text1"/>
                      <w:sz w:val="18"/>
                      <w:szCs w:val="18"/>
                      <w14:textFill>
                        <w14:solidFill>
                          <w14:schemeClr w14:val="tx1"/>
                        </w14:solidFill>
                      </w14:textFill>
                    </w:rPr>
                  </w:pP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continue"/>
                  <w:vAlign w:val="center"/>
                </w:tcPr>
                <w:p>
                  <w:pPr>
                    <w:jc w:val="center"/>
                    <w:rPr>
                      <w:color w:val="000000" w:themeColor="text1"/>
                      <w:sz w:val="18"/>
                      <w:szCs w:val="18"/>
                      <w14:textFill>
                        <w14:solidFill>
                          <w14:schemeClr w14:val="tx1"/>
                        </w14:solidFill>
                      </w14:textFill>
                    </w:rPr>
                  </w:pP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bl>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由上表可以看出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本项目危险废物贮存周期为</w:t>
            </w:r>
            <w:r>
              <w:rPr>
                <w:rFonts w:hint="eastAsia"/>
                <w:color w:val="000000" w:themeColor="text1"/>
                <w:sz w:val="21"/>
                <w:szCs w:val="21"/>
                <w14:textFill>
                  <w14:solidFill>
                    <w14:schemeClr w14:val="tx1"/>
                  </w14:solidFill>
                </w14:textFill>
              </w:rPr>
              <w:t>2d，转运频次为2d/次，危废间贮存能力为8t，现有危废间能够满足项目危险废物临时贮存的需求。</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4.2危废暂存间</w:t>
            </w:r>
            <w:r>
              <w:rPr>
                <w:rFonts w:hint="eastAsia"/>
                <w:b/>
                <w:color w:val="000000" w:themeColor="text1"/>
                <w:sz w:val="21"/>
                <w:szCs w:val="21"/>
                <w14:textFill>
                  <w14:solidFill>
                    <w14:schemeClr w14:val="tx1"/>
                  </w14:solidFill>
                </w14:textFill>
              </w:rPr>
              <w:t>建设及合规性分析</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本项目院区东侧建有1座40m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的危废间内，危险废物贮存能力可达</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t。院内危废产生量最大为</w:t>
            </w:r>
            <w:r>
              <w:rPr>
                <w:rFonts w:hint="eastAsia"/>
                <w:color w:val="000000" w:themeColor="text1"/>
                <w:sz w:val="21"/>
                <w:szCs w:val="21"/>
                <w14:textFill>
                  <w14:solidFill>
                    <w14:schemeClr w14:val="tx1"/>
                  </w14:solidFill>
                </w14:textFill>
              </w:rPr>
              <w:t>10.59</w:t>
            </w:r>
            <w:r>
              <w:rPr>
                <w:color w:val="000000" w:themeColor="text1"/>
                <w:sz w:val="21"/>
                <w:szCs w:val="21"/>
                <w14:textFill>
                  <w14:solidFill>
                    <w14:schemeClr w14:val="tx1"/>
                  </w14:solidFill>
                </w14:textFill>
              </w:rPr>
              <w:t>t/a，转运频次为</w:t>
            </w:r>
            <w:r>
              <w:rPr>
                <w:rFonts w:hint="eastAsia"/>
                <w:color w:val="000000" w:themeColor="text1"/>
                <w:sz w:val="21"/>
                <w:szCs w:val="21"/>
                <w14:textFill>
                  <w14:solidFill>
                    <w14:schemeClr w14:val="tx1"/>
                  </w14:solidFill>
                </w14:textFill>
              </w:rPr>
              <w:t>2d/次，</w:t>
            </w:r>
            <w:r>
              <w:rPr>
                <w:color w:val="000000" w:themeColor="text1"/>
                <w:sz w:val="21"/>
                <w:szCs w:val="21"/>
                <w14:textFill>
                  <w14:solidFill>
                    <w14:schemeClr w14:val="tx1"/>
                  </w14:solidFill>
                </w14:textFill>
              </w:rPr>
              <w:t>危废暂存间完全有能力可以容纳本项目危废暂存。</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危废暂存库已按照《危险废物收集、贮存、运输技术规范》（HJ2025-2012）以及《危险废物贮存污染控制标准》（GB 18597-2001）的相关要求进行建设，进行了严格的防渗措施，铺设了防渗膜并进行混凝土覆盖，并设置了完善的导流系统，危废间可满足项目危险废物暂存的要求。</w:t>
            </w:r>
          </w:p>
          <w:p>
            <w:pPr>
              <w:pStyle w:val="58"/>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与《医疗废物集中处置技术规范（试行）》（环发[2003]206号）中“医疗废物的暂时贮存”相关分析内容见前文表1-9，根据表1-9分析内容可知，本项目已建成危废间符合《医疗废物集中处置技术规范（试行）》（环发[2003]206号）中“医疗废物的暂时贮存”相关要求。</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院方按照</w:t>
            </w:r>
            <w:r>
              <w:rPr>
                <w:rFonts w:hint="eastAsia"/>
                <w:color w:val="000000" w:themeColor="text1"/>
                <w:sz w:val="21"/>
                <w:szCs w:val="21"/>
                <w14:textFill>
                  <w14:solidFill>
                    <w14:schemeClr w14:val="tx1"/>
                  </w14:solidFill>
                </w14:textFill>
              </w:rPr>
              <w:t>《医疗废物集中处置技术规范（试行）》（环发[2003]206号）中医疗废物的暂时贮存要求进行管理：医疗废物在每次清运后进行清洁消毒，清洁消毒废水收集进入院区污水处理站处理。</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单位已制定了相应的危险废物收集、管理操作规程，各类危险废物收集时根据危险废物的种类、数量、危险特性、物理形态、运输要求等因素选择合适的包装形式，并采取相应的安全防护和污染防治措施。企业危废间各类管理制度已上墙</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企业与危废处置单位建立了良好的合作关系</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危险废物定期委托处置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企业危废台账管理规范</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危废转移联单保存完整，项目危废得到合理处置。</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4.3 固体废物环境管理要求及措施</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一、一般固体废物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般固体废物执行《一般工业固体废物贮存和填埋污染控制标准》（GB18599-2020）。贮存区采取防风防雨措施，各类固废应分类收集，贮存区按照《环境保护图形标志——固体废物贮存（处置）场》(GB15562.2)的要求设置环保图形标志；指定专人进行日常管理。</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二、危险废物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危险废物执行《危险废物贮存污染控制标准》（GB 18597-2001）、修改单中标准（环保部 2013.6.8）及《山东省医疗机构污染物排放控制标准》（DB37/596-2020）的要求。</w:t>
            </w:r>
          </w:p>
          <w:p>
            <w:pPr>
              <w:pStyle w:val="58"/>
              <w:ind w:firstLine="42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企业</w:t>
            </w:r>
            <w:r>
              <w:rPr>
                <w:color w:val="000000" w:themeColor="text1"/>
                <w:sz w:val="21"/>
                <w:szCs w:val="21"/>
                <w:lang w:val="zh-CN"/>
                <w14:textFill>
                  <w14:solidFill>
                    <w14:schemeClr w14:val="tx1"/>
                  </w14:solidFill>
                </w14:textFill>
              </w:rPr>
              <w:t>危废管理须符合以下要求：</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1、医疗废物分类收集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（1）本项目产生的医疗废物分为感染性废物、病理性废物、损伤性废物、药物性废物和化学性废物，院方应对医疗废物实施分类收集，不得混合收集。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根据医疗废物的类别，将医疗废物分置于符合《医疗废物专用包装物、容器的标准和警示标识的规定》（环发［2003］188号）的包装物或者容器内（包装袋、利器盒和周转箱（桶））；在盛装医疗废物前，应当对医疗废物包装物或者容器进行认真检查，确保无破损、渗漏和其它缺陷。</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（3）院区管理上做到日出日清。</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对医疗废物的处理应按要求将医疗垃圾分类，用塑料袋包装，确保不破不漏，用专用垃圾储存箱存放，加锁封存，然后由专业医疗垃圾处理公司承担医疗废弃物运输和集中处置工作，定时到医院开锁收取医疗垃圾，按规定消毒、运输及处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（5）医疗废物转交出去后，每天及时对暂时贮存地点、设施及时进行清洁和消毒处理。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2、危险废物贮存</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（1）医疗废物用专用容器密闭盛装，根据《医疗废物管理条例》，医疗废物暂存时间不超过2天。</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（2）项目危废暂存间按照《危险废物贮存污染控制标准》（GB18597-2001）及其修改单的要求进行建设，落实“防雨、防风、防晒、防渗漏”等措施。危废暂存间在日常运营过程中应注意以下几点，具体有：</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①</w:t>
            </w:r>
            <w:r>
              <w:rPr>
                <w:color w:val="000000" w:themeColor="text1"/>
                <w:sz w:val="21"/>
                <w:szCs w:val="21"/>
                <w:lang w:val="zh-CN"/>
                <w14:textFill>
                  <w14:solidFill>
                    <w14:schemeClr w14:val="tx1"/>
                  </w14:solidFill>
                </w14:textFill>
              </w:rPr>
              <w:t>根据危废按照不同的类别和性质，危废应分别存放于专门的容器中（防渗），不同类别危废分区堆放，堆放时从第一堆放区开始堆放，依次类推，每个贮存区域之间留出搬运通道。</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②</w:t>
            </w:r>
            <w:r>
              <w:rPr>
                <w:color w:val="000000" w:themeColor="text1"/>
                <w:sz w:val="21"/>
                <w:szCs w:val="21"/>
                <w:lang w:val="zh-CN"/>
                <w14:textFill>
                  <w14:solidFill>
                    <w14:schemeClr w14:val="tx1"/>
                  </w14:solidFill>
                </w14:textFill>
              </w:rPr>
              <w:t>暂存库应由专业人员操作，单独收集和贮运，严格执行《危险废物收集贮存运输技术规范》（HJ2025-2012）和《危险废物转移联单管理办法》，并制定好危险废物转移运输途中的污染防范及事故应急措施，严格按照要求办理有关手续。</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③</w:t>
            </w:r>
            <w:r>
              <w:rPr>
                <w:color w:val="000000" w:themeColor="text1"/>
                <w:sz w:val="21"/>
                <w:szCs w:val="21"/>
                <w:lang w:val="zh-CN"/>
                <w14:textFill>
                  <w14:solidFill>
                    <w14:schemeClr w14:val="tx1"/>
                  </w14:solidFill>
                </w14:textFill>
              </w:rPr>
              <w:t>医疗废物暂存库应按照《环境保护图形标志一固体废物贮存（处置场）（GB15562.2-1995）标准及各级生态环境管理部门相关要求设置明显的标识牌。</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3、运输</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运营期产生的危废在转移运输过程中要严格遵守《国家危险废物转移联单管理办法》，需按程序和期限向有关生态环境部门报告，以便及时的控制废物流向，控制危险废物污染的扩散。危险废物运输中应做到以下几点：</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（1）危险废物的运输车辆须经主管单位检查，并持有有关单位签发的许可证，负责运输的司机应通过培训，持有证明文件。</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（2）承载危险废物的车辆须有明显的标志或适当的危险符号，以引起注意。</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（3）载有危险废物的车辆在公路上行驶时，需持有运输许可证，其上应注明废物来源、性质和运往地点。</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（4）组织危险废物的运输单位，在事先需作出周密的运输计划和行驶路线，其中包括有效的废物泄漏情况下的应急措施。</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4、委托利用或者处置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企业需建立完善危险废物管理台账，如实记录危险废物贮存、利用、处置相关情况，制定危险废物管理计划并报环保局备案，如实申报危险废物种类、产生量、流向、贮存、处置等有关情况。</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危险废物委托必须委托具有相应危险废物经营资质的单位利用处置，签订委托处理协议。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本项目危险废物均委托有资质的单位进行处置，不会产生显著的环境影响。</w:t>
            </w:r>
          </w:p>
          <w:p>
            <w:pPr>
              <w:pStyle w:val="58"/>
              <w:ind w:firstLine="420"/>
              <w:jc w:val="both"/>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生活垃圾经收集后由市政环卫部门定期清运；医疗废物严格按照《医疗卫生机构医疗废物管理办法》、《医疗废物管理条例》、《医疗废物集中处置技术规范(试行)》的相关规定进行分类收集、存储，同时，暂存间必须封闭、采取防风、防雨、防渗处理，并定时消毒、清洁，防止蚊蝇滋生：污水站栅渣、污泥在危废暂存间暂存后交有资质单位处置。经采取上述措施后，危险废物的处理措施和处置方案满足《危险废物贮存污染控制标准》（GB18597-2001）及修改单要求，对周围环境影响很小。</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五、地下水、土壤</w:t>
            </w:r>
          </w:p>
          <w:p>
            <w:pPr>
              <w:spacing w:line="360" w:lineRule="auto"/>
              <w:ind w:firstLine="420"/>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5.1污染途径</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本项目为医院项目不涉及工业风险，项目正常工况下无区域地下水、土壤产生污染的重大污染源、污染物及污染途径。项目可能对地下水、土壤产生影响的情况为事故状态下危废暂存间</w:t>
            </w:r>
            <w:r>
              <w:rPr>
                <w:color w:val="000000" w:themeColor="text1"/>
                <w14:textFill>
                  <w14:solidFill>
                    <w14:schemeClr w14:val="tx1"/>
                  </w14:solidFill>
                </w14:textFill>
              </w:rPr>
              <w:t>、化粪池、污水站、污水输送管线</w:t>
            </w:r>
            <w:r>
              <w:rPr>
                <w:color w:val="000000" w:themeColor="text1"/>
                <w:lang w:val="zh-CN"/>
                <w14:textFill>
                  <w14:solidFill>
                    <w14:schemeClr w14:val="tx1"/>
                  </w14:solidFill>
                </w14:textFill>
              </w:rPr>
              <w:t>，造成废水污染物下渗污染地下水、土壤；项目排放的氨（氨气）、硫化氢通过大气沉降等对土壤造成污染。污染物主要为氨（氨气）、硫化氢等。</w:t>
            </w:r>
          </w:p>
          <w:p>
            <w:pPr>
              <w:spacing w:line="360" w:lineRule="auto"/>
              <w:ind w:firstLine="420"/>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5.2污染防治措施</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（1）院内现状已对设施进行防渗处理，主要防渗措施如下：</w:t>
            </w:r>
          </w:p>
          <w:p>
            <w:pPr>
              <w:spacing w:line="360" w:lineRule="auto"/>
              <w:ind w:firstLine="42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color w:val="000000" w:themeColor="text1"/>
                <w:lang w:val="zh-CN"/>
                <w14:textFill>
                  <w14:solidFill>
                    <w14:schemeClr w14:val="tx1"/>
                  </w14:solidFill>
                </w14:textFill>
              </w:rPr>
              <w:t>病房综合楼进行地面进行硬化，满足简单防渗区要求。</w:t>
            </w:r>
          </w:p>
          <w:p>
            <w:pPr>
              <w:spacing w:line="360" w:lineRule="auto"/>
              <w:ind w:firstLine="42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color w:val="000000" w:themeColor="text1"/>
                <w:lang w:val="zh-CN"/>
                <w14:textFill>
                  <w14:solidFill>
                    <w14:schemeClr w14:val="tx1"/>
                  </w14:solidFill>
                </w14:textFill>
              </w:rPr>
              <w:t>危废间、污水站、化粪池、污水输送管线已采取有效防渗措施，重点防渗区地面基础防渗层采用黏土夯实，黏土上方浇筑400mm厚S6防渗水泥，上部层铺设2mm厚</w:t>
            </w:r>
            <w:r>
              <w:rPr>
                <w:color w:val="000000" w:themeColor="text1"/>
                <w:szCs w:val="21"/>
                <w:lang w:val="zh-CN"/>
                <w14:textFill>
                  <w14:solidFill>
                    <w14:schemeClr w14:val="tx1"/>
                  </w14:solidFill>
                </w14:textFill>
              </w:rPr>
              <w:t>高密度聚乙烯</w:t>
            </w:r>
            <w:r>
              <w:rPr>
                <w:color w:val="000000" w:themeColor="text1"/>
                <w:lang w:val="zh-CN"/>
                <w14:textFill>
                  <w14:solidFill>
                    <w14:schemeClr w14:val="tx1"/>
                  </w14:solidFill>
                </w14:textFill>
              </w:rPr>
              <w:t>，防渗系数≤10</w:t>
            </w:r>
            <w:r>
              <w:rPr>
                <w:color w:val="000000" w:themeColor="text1"/>
                <w:vertAlign w:val="superscript"/>
                <w:lang w:val="zh-CN"/>
                <w14:textFill>
                  <w14:solidFill>
                    <w14:schemeClr w14:val="tx1"/>
                  </w14:solidFill>
                </w14:textFill>
              </w:rPr>
              <w:t>-10</w:t>
            </w:r>
            <w:r>
              <w:rPr>
                <w:color w:val="000000" w:themeColor="text1"/>
                <w:lang w:val="zh-CN"/>
                <w14:textFill>
                  <w14:solidFill>
                    <w14:schemeClr w14:val="tx1"/>
                  </w14:solidFill>
                </w14:textFill>
              </w:rPr>
              <w:t xml:space="preserve"> cm/s，且表面无裂隙</w:t>
            </w:r>
            <w:r>
              <w:rPr>
                <w:color w:val="000000" w:themeColor="text1"/>
                <w:szCs w:val="21"/>
                <w:lang w:val="zh-CN"/>
                <w14:textFill>
                  <w14:solidFill>
                    <w14:schemeClr w14:val="tx1"/>
                  </w14:solidFill>
                </w14:textFill>
              </w:rPr>
              <w:t>，各建筑已进行防雨和防晒。</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（2）对各项废气污染物采取相应的环保措施，并定期检查，使各项污染物的排放量降至最低。</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六、外界环境对本项目的环境影响分析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本项目位于淄博市张店区新村西路188号，院区</w:t>
            </w:r>
            <w:r>
              <w:rPr>
                <w:rFonts w:hint="eastAsia"/>
                <w:color w:val="000000" w:themeColor="text1"/>
                <w14:textFill>
                  <w14:solidFill>
                    <w14:schemeClr w14:val="tx1"/>
                  </w14:solidFill>
                </w14:textFill>
              </w:rPr>
              <w:t>南侧为新村西路，东侧沿街商业建筑，西侧为沿街商业建筑，北侧为天府清华园。</w:t>
            </w:r>
            <w:r>
              <w:rPr>
                <w:color w:val="000000" w:themeColor="text1"/>
                <w14:textFill>
                  <w14:solidFill>
                    <w14:schemeClr w14:val="tx1"/>
                  </w14:solidFill>
                </w14:textFill>
              </w:rPr>
              <w:t>为进一步减小区域交通噪声对项目的影响，建议建设单位强化降噪措施，具体如下：</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1、采取隔声措施，如增加树木绿化等，减少外部汽车噪声对本项目的影响。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2、提高房间门窗的隔声性能，沿路一侧的窗户需要安装双层中空隔声玻璃，采用窗户增加橡胶条、窗缝注密封胶，且采取符合国家“三密”（气密性、水密性、隔声性） 标准的玻璃；门窗进行嵌缝，嵌缝后平均隔声量可提高13分贝，减少汽车经过时噪声的影响。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采取以上措施后可确保建设项目区域符合《声环境质量标准》（GB3096-2008）1 类标准（昼间≤55dB（A）、夜间≤45dB（A））限值，周边道路的交通噪声对项目入驻治疗人员的影响较小。</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七、生态</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项目为补办手续，院区已建成，不新增用地，用地范围内无生态环境保护目标。  </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、环境风险</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环境风险是指突发性事故造成的重大环境污染的事件，其特点是危害大、影响范围广、发生概率具有很大的不确定性。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环境风险评价遵照国家环保总局环发[2012]77号文《关于进一步加强环境影响评价管理防范环境风险的通知》和环发[2012]98号《关于切实加强风险防范严格环境影响评价管理的通知》精神，以《建设项目环境风险评价技术导则》（HJ169-2018）为指导，对项目营运期过程进行环境风险分析。</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1、环境风险潜势</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本项目原辅材料、产品情况，本项目涉及《建设项目环境风险评价技术导则》（HJ/T169-2018）导则附录B危险物质主要为84消毒液（主要成分次氯酸钠），84消毒液最大贮存量为100瓶，包装规格400mL/瓶，根据企业提供技术资料，84消毒液有效率含量最高为6.5%，据此折算次氯酸钠最大存在量为2.6kg，临界量为5t，因此本项目Q值=0.00052＜1，则本项目环境风险潜势为Ⅰ，不需要设置环境风险专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2、风险源分布及影响途径分析</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危险物质识别：本项目涉及《建设项目环境风险评价技术导则》（HJ/T169-2018）导则附录B中的危险物质为84消毒液（主要成分次氯酸钠）</w:t>
            </w:r>
            <w:r>
              <w:rPr>
                <w:rFonts w:hint="eastAsia"/>
                <w:color w:val="000000" w:themeColor="text1"/>
                <w:szCs w:val="21"/>
                <w14:textFill>
                  <w14:solidFill>
                    <w14:schemeClr w14:val="tx1"/>
                  </w14:solidFill>
                </w14:textFill>
              </w:rPr>
              <w:t>。另外本项目仓库储存75%酒精，主要成分为乙醇，虽然不属于附录B中危险物质，但是乙醇属于第3.2类中闪点易燃液体，本次风险评价将75%酒精列为风险源物质，乙醇、</w:t>
            </w:r>
            <w:r>
              <w:rPr>
                <w:color w:val="000000" w:themeColor="text1"/>
                <w:szCs w:val="21"/>
                <w14:textFill>
                  <w14:solidFill>
                    <w14:schemeClr w14:val="tx1"/>
                  </w14:solidFill>
                </w14:textFill>
              </w:rPr>
              <w:t>次氯酸钠溶液危险特性</w:t>
            </w:r>
            <w:r>
              <w:rPr>
                <w:rFonts w:hint="eastAsia"/>
                <w:color w:val="000000" w:themeColor="text1"/>
                <w:szCs w:val="21"/>
                <w14:textFill>
                  <w14:solidFill>
                    <w14:schemeClr w14:val="tx1"/>
                  </w14:solidFill>
                </w14:textFill>
              </w:rPr>
              <w:t>如下：</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表4-20  次氯酸钠溶液危险特性一览表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814"/>
              <w:gridCol w:w="331"/>
              <w:gridCol w:w="1646"/>
              <w:gridCol w:w="492"/>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中文名 </w:t>
                  </w:r>
                </w:p>
              </w:tc>
              <w:tc>
                <w:tcPr>
                  <w:tcW w:w="1830" w:type="dxa"/>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次氯酸钠溶液</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英文名</w:t>
                  </w:r>
                </w:p>
              </w:tc>
              <w:tc>
                <w:tcPr>
                  <w:tcW w:w="2823" w:type="dxa"/>
                  <w:gridSpan w:val="2"/>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sodium hypochlorite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CAS号</w:t>
                  </w:r>
                </w:p>
              </w:tc>
              <w:tc>
                <w:tcPr>
                  <w:tcW w:w="1830"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7681-52-9</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危险性类别</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第8.3类  其它腐蚀品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危险货物编号</w:t>
                  </w:r>
                </w:p>
              </w:tc>
              <w:tc>
                <w:tcPr>
                  <w:tcW w:w="1830" w:type="dxa"/>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83501</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UN编号</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包装标志</w:t>
                  </w:r>
                </w:p>
              </w:tc>
              <w:tc>
                <w:tcPr>
                  <w:tcW w:w="1830" w:type="dxa"/>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腐蚀品</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包装类别</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主要组成与性状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外观与性状</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侵入途径</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经常用手接触本品的工人，手掌大量出汗，指甲变薄，毛发脱落。本品有致敏作用。本品放出的游离氯有可能引起中毒。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危险特性</w:t>
                  </w:r>
                </w:p>
              </w:tc>
              <w:tc>
                <w:tcPr>
                  <w:tcW w:w="6650" w:type="dxa"/>
                  <w:gridSpan w:val="5"/>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受高热分解产生有毒的腐蚀性烟气。具有腐蚀性。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燃爆危险</w:t>
                  </w:r>
                </w:p>
              </w:tc>
              <w:tc>
                <w:tcPr>
                  <w:tcW w:w="6650" w:type="dxa"/>
                  <w:gridSpan w:val="5"/>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本品不燃，具腐蚀性，可致人体灼伤，具致敏性。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灭火方法</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有害燃烧产物</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急性毒性</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w:t>
                  </w:r>
                  <w:r>
                    <w:rPr>
                      <w:color w:val="000000" w:themeColor="text1"/>
                      <w:sz w:val="18"/>
                      <w:szCs w:val="18"/>
                      <w:vertAlign w:val="subscript"/>
                      <w14:textFill>
                        <w14:solidFill>
                          <w14:schemeClr w14:val="tx1"/>
                        </w14:solidFill>
                      </w14:textFill>
                    </w:rPr>
                    <w:t>50</w:t>
                  </w:r>
                  <w:r>
                    <w:rPr>
                      <w:color w:val="000000" w:themeColor="text1"/>
                      <w:sz w:val="18"/>
                      <w:szCs w:val="18"/>
                      <w14:textFill>
                        <w14:solidFill>
                          <w14:schemeClr w14:val="tx1"/>
                        </w14:solidFill>
                      </w14:textFill>
                    </w:rPr>
                    <w:t>：8500 mg/kg(小鼠经口) ；LC</w:t>
                  </w:r>
                  <w:r>
                    <w:rPr>
                      <w:color w:val="000000" w:themeColor="text1"/>
                      <w:sz w:val="18"/>
                      <w:szCs w:val="18"/>
                      <w:vertAlign w:val="subscript"/>
                      <w14:textFill>
                        <w14:solidFill>
                          <w14:schemeClr w14:val="tx1"/>
                        </w14:solidFill>
                      </w14:textFill>
                    </w:rPr>
                    <w:t>50</w:t>
                  </w: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接触控制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工程控制</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生产过程密闭，全面通风。提供安全淋浴和洗眼设备。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呼吸系统防护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高浓度环境中，应该佩戴直接式防毒面具（半面罩）。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眼睛防护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身体防护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穿防腐工作服。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手防护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戴橡胶手套。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其它</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工作现场禁止吸烟、进食和饮水。工作完毕，淋浴更衣。注意个人清洁卫生。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皮肤接触</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脱去污染的衣着，用大量流动清水冲洗。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眼睛接触</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食入</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分子式</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NaClO</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分子量</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熔点（℃）</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沸点（℃）</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闪点（℃）</w:t>
                  </w:r>
                </w:p>
              </w:tc>
              <w:tc>
                <w:tcPr>
                  <w:tcW w:w="1830" w:type="dxa"/>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引燃温度（℃）</w:t>
                  </w:r>
                </w:p>
              </w:tc>
              <w:tc>
                <w:tcPr>
                  <w:tcW w:w="2823" w:type="dxa"/>
                  <w:gridSpan w:val="2"/>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相对密度（水＝1）</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相对密度（空气＝1）</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pH值</w:t>
                  </w:r>
                </w:p>
              </w:tc>
              <w:tc>
                <w:tcPr>
                  <w:tcW w:w="1830" w:type="dxa"/>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辛醇/水分配系数</w:t>
                  </w:r>
                </w:p>
              </w:tc>
              <w:tc>
                <w:tcPr>
                  <w:tcW w:w="2823" w:type="dxa"/>
                  <w:gridSpan w:val="2"/>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爆炸上限％（V/V）</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爆炸下限％（V/V）</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燃烧热（kJ/mol）</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临界温度（℃）</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临界压力（MPa）</w:t>
                  </w:r>
                </w:p>
              </w:tc>
              <w:tc>
                <w:tcPr>
                  <w:tcW w:w="1830" w:type="dxa"/>
                  <w:tcMar>
                    <w:top w:w="57" w:type="dxa"/>
                    <w:left w:w="57" w:type="dxa"/>
                    <w:bottom w:w="57" w:type="dxa"/>
                    <w:right w:w="57" w:type="dxa"/>
                  </w:tcMar>
                </w:tcPr>
                <w:p>
                  <w:pP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c>
                <w:tcPr>
                  <w:tcW w:w="1997" w:type="dxa"/>
                  <w:gridSpan w:val="2"/>
                  <w:tcMar>
                    <w:top w:w="57" w:type="dxa"/>
                    <w:left w:w="57" w:type="dxa"/>
                    <w:bottom w:w="57" w:type="dxa"/>
                    <w:right w:w="57" w:type="dxa"/>
                  </w:tcMa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溶解性</w:t>
                  </w:r>
                </w:p>
              </w:tc>
              <w:tc>
                <w:tcPr>
                  <w:tcW w:w="2823" w:type="dxa"/>
                  <w:gridSpan w:val="2"/>
                  <w:tcMar>
                    <w:top w:w="57" w:type="dxa"/>
                    <w:left w:w="57" w:type="dxa"/>
                    <w:bottom w:w="57" w:type="dxa"/>
                    <w:right w:w="57" w:type="dxa"/>
                  </w:tcMar>
                </w:tcPr>
                <w:p>
                  <w:pP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主要用途</w:t>
                  </w:r>
                  <w:r>
                    <w:rPr>
                      <w:b/>
                      <w:bCs/>
                      <w:color w:val="000000" w:themeColor="text1"/>
                      <w:sz w:val="18"/>
                      <w:szCs w:val="18"/>
                      <w14:textFill>
                        <w14:solidFill>
                          <w14:schemeClr w14:val="tx1"/>
                        </w14:solidFill>
                      </w14:textFill>
                    </w:rPr>
                    <w:t xml:space="preserve"> </w:t>
                  </w:r>
                </w:p>
              </w:tc>
              <w:tc>
                <w:tcPr>
                  <w:tcW w:w="6650" w:type="dxa"/>
                  <w:gridSpan w:val="5"/>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用于水的净化，以及作消毒剂、纸浆漂白等，医药工业中用制氯胺等。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稳定性和反应活性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稳定性</w:t>
                  </w:r>
                </w:p>
              </w:tc>
              <w:tc>
                <w:tcPr>
                  <w:tcW w:w="216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不稳定</w:t>
                  </w:r>
                </w:p>
              </w:tc>
              <w:tc>
                <w:tcPr>
                  <w:tcW w:w="2161"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聚合危害</w:t>
                  </w:r>
                </w:p>
              </w:tc>
              <w:tc>
                <w:tcPr>
                  <w:tcW w:w="2326"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禁忌物</w:t>
                  </w:r>
                </w:p>
              </w:tc>
              <w:tc>
                <w:tcPr>
                  <w:tcW w:w="6650" w:type="dxa"/>
                  <w:gridSpan w:val="5"/>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操作处置注意事项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密闭操作，全面通风。操作人员必须经过专门培训，严格遵守操作规程。建议操作人员佩戴直接式防毒面具（半面罩），戴化学安全防护眼镜，穿防腐工作服，戴橡胶手套。防止蒸气泄漏到工作场所空气中。避免与碱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废弃处置方法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处置前应参阅国家和地方有关法规。用安全掩埋法处置。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储存注意事项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储存于阴凉、通风的库房。远离火种、热源。库温不宜超过30℃。应与碱类分开存放，切忌混储。储区应备有泄漏应急处理设备和合适的收容材料。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包装方法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耐酸坛或陶瓷瓶外普通木箱或半花格木箱；玻璃瓶或塑料桶（罐）外普通木箱或半花格木箱；磨砂口玻璃瓶或螺纹口玻璃瓶外普通木箱；螺纹口玻璃瓶、铁盖压口玻璃瓶、塑料瓶或金属桶（罐）外普通木箱；螺纹口玻璃瓶、塑料瓶或镀锡薄钢板桶（罐）外满底板花格箱、纤维板箱或胶合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运输注意事项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起运时包装要完整，装载应稳妥。运输过程中要确保容器不泄漏、不倒塌、不坠落、不损坏。严禁与碱类、食用化学品等混装混运。运输时运输车辆应配备泄漏应急处理设备。运输途中应防曝晒、雨淋，防高温。公路运输时要按规定路线行驶，勿在居民区和人口稠密区停留。</w:t>
                  </w:r>
                </w:p>
              </w:tc>
            </w:tr>
          </w:tbl>
          <w:p>
            <w:pPr>
              <w:pStyle w:val="55"/>
              <w:spacing w:line="360" w:lineRule="auto"/>
              <w:jc w:val="center"/>
              <w:rPr>
                <w:rFonts w:ascii="Times New Roman" w:cs="Times New Roman"/>
                <w:color w:val="000000" w:themeColor="text1"/>
                <w:kern w:val="2"/>
                <w:sz w:val="21"/>
                <w:szCs w:val="21"/>
                <w14:textFill>
                  <w14:solidFill>
                    <w14:schemeClr w14:val="tx1"/>
                  </w14:solidFill>
                </w14:textFill>
              </w:rPr>
            </w:pPr>
            <w:r>
              <w:rPr>
                <w:rFonts w:ascii="Times New Roman" w:cs="Times New Roman"/>
                <w:b/>
                <w:color w:val="000000" w:themeColor="text1"/>
                <w:szCs w:val="21"/>
                <w14:textFill>
                  <w14:solidFill>
                    <w14:schemeClr w14:val="tx1"/>
                  </w14:solidFill>
                </w14:textFill>
              </w:rPr>
              <w:t>表4-2</w:t>
            </w:r>
            <w:r>
              <w:rPr>
                <w:rFonts w:hint="eastAsia" w:ascii="Times New Roman" w:cs="Times New Roman"/>
                <w:b/>
                <w:color w:val="000000" w:themeColor="text1"/>
                <w:szCs w:val="21"/>
                <w14:textFill>
                  <w14:solidFill>
                    <w14:schemeClr w14:val="tx1"/>
                  </w14:solidFill>
                </w14:textFill>
              </w:rPr>
              <w:t>1</w:t>
            </w:r>
            <w:r>
              <w:rPr>
                <w:rFonts w:ascii="Times New Roman" w:cs="Times New Roman"/>
                <w:b/>
                <w:color w:val="000000" w:themeColor="text1"/>
                <w:szCs w:val="21"/>
                <w14:textFill>
                  <w14:solidFill>
                    <w14:schemeClr w14:val="tx1"/>
                  </w14:solidFill>
                </w14:textFill>
              </w:rPr>
              <w:t xml:space="preserve">  </w:t>
            </w:r>
            <w:r>
              <w:rPr>
                <w:rFonts w:hint="eastAsia" w:ascii="Times New Roman" w:cs="Times New Roman"/>
                <w:b/>
                <w:color w:val="000000" w:themeColor="text1"/>
                <w:szCs w:val="21"/>
                <w14:textFill>
                  <w14:solidFill>
                    <w14:schemeClr w14:val="tx1"/>
                  </w14:solidFill>
                </w14:textFill>
              </w:rPr>
              <w:t>乙醇</w:t>
            </w:r>
            <w:r>
              <w:rPr>
                <w:rFonts w:ascii="Times New Roman" w:cs="Times New Roman"/>
                <w:b/>
                <w:color w:val="000000" w:themeColor="text1"/>
                <w:szCs w:val="21"/>
                <w14:textFill>
                  <w14:solidFill>
                    <w14:schemeClr w14:val="tx1"/>
                  </w14:solidFill>
                </w14:textFill>
              </w:rPr>
              <w:t>危险特性一览表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863"/>
              <w:gridCol w:w="1815"/>
              <w:gridCol w:w="339"/>
              <w:gridCol w:w="1646"/>
              <w:gridCol w:w="482"/>
              <w:gridCol w:w="226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标识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中文名 </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乙醇</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英文名</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ethyl alcohol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CAS号</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64-17-5</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危险性类别</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第3.2类  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危险货物编号</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32061</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UN编号</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1170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包装标志</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易燃液体</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包装类别</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O52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主要组成与性状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外观与性状</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健康危害</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侵入途径</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健康危害</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本品为中枢神经系统抑制剂。首先引起兴奋，随后抑制。</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急性中毒：急性中毒多发生于口服。一般可分为兴奋、催眠、麻醉、窒息四阶段。患者进入第三或第四阶段，出现意识丧失、瞳孔扩大、呼吸不规律、休克、心力循环衰竭及呼吸停止。</w:t>
                  </w:r>
                </w:p>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慢性影响：在生产中长期接触高浓度本品可引起鼻、眼、粘膜刺激症状，以及头痛、头晕、疲乏、易激动、震颤、恶心等。长期酗洒可引起多发性神经病、慢性胃炎、脂肪肝、肝硬化、心肌损害及器质性精神病等。皮肤长期接触可引起干燥、脱屑、皲裂和皮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危险特性</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易燃，其蒸气与空气可形成爆炸性混合物，遇明火、高热能引起燃烧爆炸。与氧化剂接触发生化学反应或引起燃烧。在火场中，受热的容器有爆炸危险。其蒸气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燃爆危险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灭火方法</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尽可能将容器从火场移至空旷处。喷水保持火场容器冷却，直至灭火结束。灭火剂：抗溶性泡沫、干粉、二氧化碳、砂土。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有害燃烧产物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急性毒性</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w:t>
                  </w:r>
                  <w:r>
                    <w:rPr>
                      <w:color w:val="000000" w:themeColor="text1"/>
                      <w:sz w:val="18"/>
                      <w:szCs w:val="18"/>
                      <w:vertAlign w:val="subscript"/>
                      <w14:textFill>
                        <w14:solidFill>
                          <w14:schemeClr w14:val="tx1"/>
                        </w14:solidFill>
                      </w14:textFill>
                    </w:rPr>
                    <w:t>50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7060 mg/kg(</w:t>
                  </w:r>
                  <w:r>
                    <w:rPr>
                      <w:rFonts w:hint="eastAsia"/>
                      <w:color w:val="000000" w:themeColor="text1"/>
                      <w:sz w:val="18"/>
                      <w:szCs w:val="18"/>
                      <w14:textFill>
                        <w14:solidFill>
                          <w14:schemeClr w14:val="tx1"/>
                        </w14:solidFill>
                      </w14:textFill>
                    </w:rPr>
                    <w:t>兔经口</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7430 mg/kg(</w:t>
                  </w:r>
                  <w:r>
                    <w:rPr>
                      <w:rFonts w:hint="eastAsia"/>
                      <w:color w:val="000000" w:themeColor="text1"/>
                      <w:sz w:val="18"/>
                      <w:szCs w:val="18"/>
                      <w14:textFill>
                        <w14:solidFill>
                          <w14:schemeClr w14:val="tx1"/>
                        </w14:solidFill>
                      </w14:textFill>
                    </w:rPr>
                    <w:t>兔经皮</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LC</w:t>
                  </w:r>
                  <w:r>
                    <w:rPr>
                      <w:color w:val="000000" w:themeColor="text1"/>
                      <w:sz w:val="18"/>
                      <w:szCs w:val="18"/>
                      <w:vertAlign w:val="subscript"/>
                      <w14:textFill>
                        <w14:solidFill>
                          <w14:schemeClr w14:val="tx1"/>
                        </w14:solidFill>
                      </w14:textFill>
                    </w:rPr>
                    <w:t>50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37620 mg/m3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小时</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大鼠吸入</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接触控制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职业接触限值</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MAC(mg/m</w:t>
                  </w:r>
                  <w:r>
                    <w:rPr>
                      <w:rFonts w:hint="eastAsia" w:ascii="宋体" w:hAnsi="宋体"/>
                      <w:bCs/>
                      <w:color w:val="000000" w:themeColor="text1"/>
                      <w:sz w:val="18"/>
                      <w:szCs w:val="18"/>
                      <w:vertAlign w:val="superscript"/>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未制定标准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工程控制</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生产过程密闭，全面通风。提供安全淋浴和洗眼设备。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呼吸系统防护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一般不需要特殊防护，高浓度接触时可佩戴过滤式防毒面具（半面罩）。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一般不需特殊防护。</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身体防护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其它</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工作现场严禁吸烟。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急救措施</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脱去污染的衣着，用流动清水冲洗。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眼睛接触</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迅速脱离现场至空气新鲜处。就医。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食入</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分子式</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H</w:t>
                  </w:r>
                  <w:r>
                    <w:rPr>
                      <w:rFonts w:hint="eastAsia"/>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OH</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分子量</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熔点（℃）</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-114.1</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沸点（℃）</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78.3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闪点（</w:t>
                  </w:r>
                  <w:r>
                    <w:rPr>
                      <w:rFonts w:hint="eastAsia" w:ascii="宋体" w:hAnsi="宋体"/>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引燃温度（℃）</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相对密度（水＝</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0.79</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相对密度（空气＝</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w:t>
                  </w:r>
                  <w:r>
                    <w:rPr>
                      <w:rFonts w:hint="eastAsia" w:ascii="宋体" w:hAnsi="宋体"/>
                      <w:bCs/>
                      <w:color w:val="000000" w:themeColor="text1"/>
                      <w:sz w:val="18"/>
                      <w:szCs w:val="18"/>
                      <w14:textFill>
                        <w14:solidFill>
                          <w14:schemeClr w14:val="tx1"/>
                        </w14:solidFill>
                      </w14:textFill>
                    </w:rPr>
                    <w:t>值</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无意义</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辛醇/水分配系数</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爆炸上限％（</w:t>
                  </w:r>
                  <w:r>
                    <w:rPr>
                      <w:bCs/>
                      <w:color w:val="000000" w:themeColor="text1"/>
                      <w:sz w:val="18"/>
                      <w:szCs w:val="18"/>
                      <w14:textFill>
                        <w14:solidFill>
                          <w14:schemeClr w14:val="tx1"/>
                        </w14:solidFill>
                      </w14:textFill>
                    </w:rPr>
                    <w:t>V/V</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19.0</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爆炸下限％（</w:t>
                  </w:r>
                  <w:r>
                    <w:rPr>
                      <w:bCs/>
                      <w:color w:val="000000" w:themeColor="text1"/>
                      <w:sz w:val="18"/>
                      <w:szCs w:val="18"/>
                      <w14:textFill>
                        <w14:solidFill>
                          <w14:schemeClr w14:val="tx1"/>
                        </w14:solidFill>
                      </w14:textFill>
                    </w:rPr>
                    <w:t>V/V</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燃烧热（</w:t>
                  </w:r>
                  <w:r>
                    <w:rPr>
                      <w:bCs/>
                      <w:color w:val="000000" w:themeColor="text1"/>
                      <w:sz w:val="18"/>
                      <w:szCs w:val="18"/>
                      <w14:textFill>
                        <w14:solidFill>
                          <w14:schemeClr w14:val="tx1"/>
                        </w14:solidFill>
                      </w14:textFill>
                    </w:rPr>
                    <w:t>kJ/mol</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1365.5</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临界温度（</w:t>
                  </w:r>
                  <w:r>
                    <w:rPr>
                      <w:rFonts w:hint="eastAsia" w:ascii="宋体" w:hAnsi="宋体"/>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243.1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临界压力（</w:t>
                  </w:r>
                  <w:r>
                    <w:rPr>
                      <w:bCs/>
                      <w:color w:val="000000" w:themeColor="text1"/>
                      <w:sz w:val="18"/>
                      <w:szCs w:val="18"/>
                      <w14:textFill>
                        <w14:solidFill>
                          <w14:schemeClr w14:val="tx1"/>
                        </w14:solidFill>
                      </w14:textFill>
                    </w:rPr>
                    <w:t>MPa</w:t>
                  </w:r>
                  <w:r>
                    <w:rPr>
                      <w:rFonts w:hint="eastAsia"/>
                      <w:bCs/>
                      <w:color w:val="000000" w:themeColor="text1"/>
                      <w:sz w:val="18"/>
                      <w:szCs w:val="18"/>
                      <w14:textFill>
                        <w14:solidFill>
                          <w14:schemeClr w14:val="tx1"/>
                        </w14:solidFill>
                      </w14:textFill>
                    </w:rPr>
                    <w:t>）</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6.38</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溶解性</w:t>
                  </w:r>
                </w:p>
              </w:tc>
              <w:tc>
                <w:tcPr>
                  <w:tcW w:w="6552" w:type="dxa"/>
                  <w:gridSpan w:val="5"/>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与水混溶，可混溶于醚、氯仿、甘油等多数有机溶剂。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主要用途</w:t>
                  </w:r>
                  <w:r>
                    <w:rPr>
                      <w:b/>
                      <w:bCs/>
                      <w:color w:val="000000" w:themeColor="text1"/>
                      <w:sz w:val="18"/>
                      <w:szCs w:val="18"/>
                      <w14:textFill>
                        <w14:solidFill>
                          <w14:schemeClr w14:val="tx1"/>
                        </w14:solidFill>
                      </w14:textFill>
                    </w:rPr>
                    <w:t xml:space="preserve"> </w:t>
                  </w:r>
                </w:p>
              </w:tc>
              <w:tc>
                <w:tcPr>
                  <w:tcW w:w="6552" w:type="dxa"/>
                  <w:gridSpan w:val="5"/>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用于制酒工业、有机合成、消毒以及用作溶剂。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稳定性和反应活性</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稳定性</w:t>
                  </w:r>
                </w:p>
              </w:tc>
              <w:tc>
                <w:tcPr>
                  <w:tcW w:w="2154"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稳定</w:t>
                  </w:r>
                </w:p>
              </w:tc>
              <w:tc>
                <w:tcPr>
                  <w:tcW w:w="2128"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聚合危害</w:t>
                  </w:r>
                </w:p>
              </w:tc>
              <w:tc>
                <w:tcPr>
                  <w:tcW w:w="227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禁忌物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操作处置注意事项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密闭操作，全面通风。操作人员必须经过专门培训，严格遵守操作规程。建议操作人员佩戴过滤式防毒面具（半面罩），穿防静电工作服。远离火种、热源，工作场所严禁吸烟。使用防爆型的通风系统和设备。防止蒸气泄漏到工作场所空气中。避免与氧化剂、酸类、碱金属、胺类接触。灌装时应控制流速，且有接地装置，防止静电积聚。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储存注意事项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储存于阴凉、通风的库房。远离火种、热源。库温不宜超过30℃。保持容器密封。应与氧化剂、酸类、碱金属、胺类等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包装方法</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小开口钢桶；小开口铝桶；安瓿瓶外普通木箱；螺纹口玻璃瓶、铁盖压口玻璃瓶、塑料瓶或金属桶（罐）外普通木箱。</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运输注意事项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品铁路运输时限使用钢制企业自备罐车装运，装运前需报有关部门批准。运输时运输车辆应配备相应品种和数量的消防器材及泄漏应急处理设备。夏季最好早晚运输。运输时所用的槽（罐）车应有接地链，槽内可设孔隔板以减少震荡产生静电。严禁与氧化剂、酸类、碱金属、胺类、食用化学品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tc>
            </w:tr>
          </w:tbl>
          <w:p>
            <w:pPr>
              <w:pStyle w:val="55"/>
              <w:spacing w:line="360" w:lineRule="auto"/>
              <w:ind w:firstLine="420" w:firstLineChars="200"/>
              <w:jc w:val="both"/>
              <w:rPr>
                <w:rFonts w:ascii="Times New Roman" w:cs="Times New Roman"/>
                <w:color w:val="000000" w:themeColor="text1"/>
                <w:kern w:val="2"/>
                <w:sz w:val="21"/>
                <w:szCs w:val="21"/>
                <w14:textFill>
                  <w14:solidFill>
                    <w14:schemeClr w14:val="tx1"/>
                  </w14:solidFill>
                </w14:textFill>
              </w:rPr>
            </w:pPr>
            <w:r>
              <w:rPr>
                <w:rFonts w:ascii="Times New Roman" w:cs="Times New Roman"/>
                <w:color w:val="000000" w:themeColor="text1"/>
                <w:kern w:val="2"/>
                <w:sz w:val="21"/>
                <w:szCs w:val="21"/>
                <w14:textFill>
                  <w14:solidFill>
                    <w14:schemeClr w14:val="tx1"/>
                  </w14:solidFill>
                </w14:textFill>
              </w:rPr>
              <w:t>危险物质分布：本项目主要风险物质为84消毒液</w:t>
            </w:r>
            <w:r>
              <w:rPr>
                <w:rFonts w:hint="eastAsia" w:ascii="Times New Roman" w:cs="Times New Roman"/>
                <w:color w:val="000000" w:themeColor="text1"/>
                <w:kern w:val="2"/>
                <w:sz w:val="21"/>
                <w:szCs w:val="21"/>
                <w14:textFill>
                  <w14:solidFill>
                    <w14:schemeClr w14:val="tx1"/>
                  </w14:solidFill>
                </w14:textFill>
              </w:rPr>
              <w:t>、75%酒精</w:t>
            </w:r>
            <w:r>
              <w:rPr>
                <w:rFonts w:ascii="Times New Roman" w:cs="Times New Roman"/>
                <w:color w:val="000000" w:themeColor="text1"/>
                <w:kern w:val="2"/>
                <w:sz w:val="21"/>
                <w:szCs w:val="21"/>
                <w14:textFill>
                  <w14:solidFill>
                    <w14:schemeClr w14:val="tx1"/>
                  </w14:solidFill>
                </w14:textFill>
              </w:rPr>
              <w:t>，贮存位置为仓库，位于园区东北部，最大暂存量为</w:t>
            </w:r>
            <w:r>
              <w:rPr>
                <w:rFonts w:hint="eastAsia" w:ascii="Times New Roman" w:cs="Times New Roman"/>
                <w:color w:val="000000" w:themeColor="text1"/>
                <w:kern w:val="2"/>
                <w:sz w:val="21"/>
                <w:szCs w:val="21"/>
                <w14:textFill>
                  <w14:solidFill>
                    <w14:schemeClr w14:val="tx1"/>
                  </w14:solidFill>
                </w14:textFill>
              </w:rPr>
              <w:t>84消毒液</w:t>
            </w:r>
            <w:r>
              <w:rPr>
                <w:rFonts w:ascii="Times New Roman" w:cs="Times New Roman"/>
                <w:color w:val="000000" w:themeColor="text1"/>
                <w:kern w:val="2"/>
                <w:sz w:val="21"/>
                <w:szCs w:val="21"/>
                <w14:textFill>
                  <w14:solidFill>
                    <w14:schemeClr w14:val="tx1"/>
                  </w14:solidFill>
                </w14:textFill>
              </w:rPr>
              <w:t>100瓶（0.04t）</w:t>
            </w:r>
            <w:r>
              <w:rPr>
                <w:rFonts w:hint="eastAsia" w:ascii="Times New Roman" w:cs="Times New Roman"/>
                <w:color w:val="000000" w:themeColor="text1"/>
                <w:kern w:val="2"/>
                <w:sz w:val="21"/>
                <w:szCs w:val="21"/>
                <w14:textFill>
                  <w14:solidFill>
                    <w14:schemeClr w14:val="tx1"/>
                  </w14:solidFill>
                </w14:textFill>
              </w:rPr>
              <w:t>、75%酒精500瓶（0.2t）</w:t>
            </w:r>
            <w:r>
              <w:rPr>
                <w:rFonts w:ascii="Times New Roman" w:cs="Times New Roman"/>
                <w:color w:val="000000" w:themeColor="text1"/>
                <w:kern w:val="2"/>
                <w:sz w:val="2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84消毒液</w:t>
            </w:r>
            <w:r>
              <w:rPr>
                <w:rFonts w:hint="eastAsia"/>
                <w:color w:val="000000" w:themeColor="text1"/>
                <w:szCs w:val="21"/>
                <w14:textFill>
                  <w14:solidFill>
                    <w14:schemeClr w14:val="tx1"/>
                  </w14:solidFill>
                </w14:textFill>
              </w:rPr>
              <w:t>、75%酒精</w:t>
            </w:r>
            <w:r>
              <w:rPr>
                <w:color w:val="000000" w:themeColor="text1"/>
                <w:szCs w:val="21"/>
                <w14:textFill>
                  <w14:solidFill>
                    <w14:schemeClr w14:val="tx1"/>
                  </w14:solidFill>
                </w14:textFill>
              </w:rPr>
              <w:t>贮存过程中发生泄漏事故，如不能得到有效控制溢流至外部环境，可能污染周围土壤及地表水、地下水环境；若遇火灾事故可能会产生有毒烟气，污染周围大气环境。</w:t>
            </w:r>
          </w:p>
          <w:p>
            <w:pPr>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医疗垃圾中可能存在传染性病菌、病毒、化学污染物等有害物质，由于医疗垃圾具有空间污染、急性传染和潜伏性污染等特征，其病毒、病菌的危害性是普通生活垃圾的几十、几百甚至上千倍，且基本没有回收再利用的价值。在国外，医疗垃圾被视为“顶级危险”和“致命杀手”。据检测，医疗垃圾中存在着大量的病菌、病毒等，如乙肝表面抗原阳性率在未经浓缩的样品中为7.42%，医疗垃圾的阳性率则高达 8.9%。有关资料证实，医疗垃圾引起的交叉感染占社会交叉感染率的 20%。在我国早已将其列为头号危险废物。</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医疗垃圾残留及衍生的大量病菌是十分有害有毒的物质，如果不经分类收集、临时储存等有效处理的话，很容易引起各种疾病的传播和蔓延；医疗废物在运输过程中如不加强管理，造成医疗废物的泄露，会对沿途居住人群的健康造成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本项目环境风险类型及危害具体详见下表：</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表4-2</w:t>
            </w: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 xml:space="preserve">  环境风险类型及危害分析表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5"/>
              <w:gridCol w:w="2395"/>
              <w:gridCol w:w="211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风险类型</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影响途径</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影响方式</w:t>
                  </w:r>
                </w:p>
              </w:tc>
              <w:tc>
                <w:tcPr>
                  <w:tcW w:w="92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84消毒液</w:t>
                  </w:r>
                  <w:r>
                    <w:rPr>
                      <w:rFonts w:hint="eastAsia"/>
                      <w:color w:val="000000" w:themeColor="text1"/>
                      <w:szCs w:val="21"/>
                      <w14:textFill>
                        <w14:solidFill>
                          <w14:schemeClr w14:val="tx1"/>
                        </w14:solidFill>
                      </w14:textFill>
                    </w:rPr>
                    <w:t>、75%酒精</w:t>
                  </w:r>
                  <w:r>
                    <w:rPr>
                      <w:color w:val="000000" w:themeColor="text1"/>
                      <w:szCs w:val="21"/>
                      <w14:textFill>
                        <w14:solidFill>
                          <w14:schemeClr w14:val="tx1"/>
                        </w14:solidFill>
                      </w14:textFill>
                    </w:rPr>
                    <w:t>泄漏</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restart"/>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污染大气、水体、周边土壤，造成人员伤害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医疗废物</w:t>
                  </w:r>
                  <w:r>
                    <w:rPr>
                      <w:rFonts w:hint="eastAsia"/>
                      <w:color w:val="000000" w:themeColor="text1"/>
                      <w14:textFill>
                        <w14:solidFill>
                          <w14:schemeClr w14:val="tx1"/>
                        </w14:solidFill>
                      </w14:textFill>
                    </w:rPr>
                    <w:t>泄露</w:t>
                  </w: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火灾事故及伴生/次生污染事故</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bl>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3、环境风险分析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（1）泄漏事故环境风险分析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1）地表水：有毒有害物质进入水体环境的方式主要有两种情况，一是液体泄漏直接进入水体的情况，二是火灾时含有毒有害化学物质的消防水由于处理措施不当直接排入地表水系统，引起环境污染。</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2）地下水、土壤：液体泄漏、消防水漫流至非防渗区，会导致泄漏物料及消防水中的污染物对地下水、土壤环境造成影响。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（2）火灾事故及伴生/次生污染事故环境风险分析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在发生火灾事故处理过程中，可能会产生以下伴生/次生污染：燃烧烟气、有毒废气、热辐射以及消防污水。</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1）火灾燃烧烟气：火灾产生的浓烟会以火源为中心在一定范围内降落烟尘，火源上空局部气温、气压、能见度等会产生明显的变化，对局部大气环境（包括下风向大气环境）造成短期的影响。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2）热辐射：易燃物品由于其遇热挥发和易于流散，不但燃烧速度快、燃烧面积太，而且放出大量的辐射热。</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3）有毒废气：易燃物品火灾时在放出大量辐射热的同时，还散发出大量的浓烟，它是由燃烧物质释放出的高温蒸汽和毒气，被分解的未燃物质和被火加热而带入上升气流中的空气和污染物质的混合物。它不但含有大量的热量，而且还含有蒸汽，有毒气体和弥散的固体微粒，对火场周围的人员生命安全造成危害、对周围的大气环境质量造成污染。</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4）事故消防污水：主要是发生事故情况下没有及时切换雨水收集管网阀门，事故消防污水将可能经雨水管排入附近水体，对水体水质及生态环境将产生一定的影响。火灾事故对周围大气环境影响会产生短期局部影响基本无法控制，因此，落实完善风险减缓措施，加强运行管理，是避免火灾爆炸环境风险事故的根本保障。</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4、环境风险防范措施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（1）防止火灾事故的风险防范措施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仓库内禁止吸烟、禁止明火，加强对仓库的管理和安全知识教育，增强防范意识，防止火灾发生；加强对用电设备管理，电线线路及设备线路定期进行检查，严禁乱拉乱接电源电器，严防电器线路引起火灾。</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在仓库设置相应的报警措施，并按照相关规定设置消防逃生系统，配备消防器材及备用应急电源。一旦发生意外，可立即采取应急措施，并通过安全通道疏散人群。平时注意加强对单位职工的安全教育，由医院管理人员定期组织进行安全用电、安全用气和相关消防知识教育，增强医院职工的安全意识和处理突发事件的能力。</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）防止泄漏事故的风险防范措施</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本项目涉及的危险化学试剂主要为84消毒液、75%酒精，进货后存放在仓库中，根据需要发放到各科室使用。在贮存和使用危险化学品的过程中，应做到以下几点： </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color w:val="000000" w:themeColor="text1"/>
                <w:kern w:val="0"/>
                <w14:textFill>
                  <w14:solidFill>
                    <w14:schemeClr w14:val="tx1"/>
                  </w14:solidFill>
                </w14:textFill>
              </w:rPr>
              <w:t>贮存仓库必须配备有专业知识的技术人员，库房及场所应设专人管理，管理人员必须配备可靠的个人安全防护用品；</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color w:val="000000" w:themeColor="text1"/>
                <w:kern w:val="0"/>
                <w14:textFill>
                  <w14:solidFill>
                    <w14:schemeClr w14:val="tx1"/>
                  </w14:solidFill>
                </w14:textFill>
              </w:rPr>
              <w:t>原料入库时，应严格检验物品质量、数量、包装情况、有无泄漏。入库后应采取适当的养护措施，在贮存期内，定期检查，发现其品质变化、包装破损、渗漏、稳定剂短缺等，应及时处理；</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w:t>
            </w:r>
            <w:r>
              <w:rPr>
                <w:color w:val="000000" w:themeColor="text1"/>
                <w:kern w:val="0"/>
                <w14:textFill>
                  <w14:solidFill>
                    <w14:schemeClr w14:val="tx1"/>
                  </w14:solidFill>
                </w14:textFill>
              </w:rPr>
              <w:t>库房温度、湿度应严格控制、经常检查，发现变化及时调整。并配备相应灭火器；</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④</w:t>
            </w:r>
            <w:r>
              <w:rPr>
                <w:color w:val="000000" w:themeColor="text1"/>
                <w:kern w:val="0"/>
                <w14:textFill>
                  <w14:solidFill>
                    <w14:schemeClr w14:val="tx1"/>
                  </w14:solidFill>
                </w14:textFill>
              </w:rPr>
              <w:t>装卸和使用</w:t>
            </w:r>
            <w:r>
              <w:rPr>
                <w:rFonts w:hint="eastAsia"/>
                <w:color w:val="000000" w:themeColor="text1"/>
                <w:kern w:val="0"/>
                <w14:textFill>
                  <w14:solidFill>
                    <w14:schemeClr w14:val="tx1"/>
                  </w14:solidFill>
                </w14:textFill>
              </w:rPr>
              <w:t>风险物质</w:t>
            </w:r>
            <w:r>
              <w:rPr>
                <w:color w:val="000000" w:themeColor="text1"/>
                <w:kern w:val="0"/>
                <w14:textFill>
                  <w14:solidFill>
                    <w14:schemeClr w14:val="tx1"/>
                  </w14:solidFill>
                </w14:textFill>
              </w:rPr>
              <w:t>时，操作人员应根据危险性，穿戴相应的防护用品；</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⑤</w:t>
            </w:r>
            <w:r>
              <w:rPr>
                <w:color w:val="000000" w:themeColor="text1"/>
                <w:kern w:val="0"/>
                <w14:textFill>
                  <w14:solidFill>
                    <w14:schemeClr w14:val="tx1"/>
                  </w14:solidFill>
                </w14:textFill>
              </w:rPr>
              <w:t>使用</w:t>
            </w:r>
            <w:r>
              <w:rPr>
                <w:rFonts w:hint="eastAsia"/>
                <w:color w:val="000000" w:themeColor="text1"/>
                <w:kern w:val="0"/>
                <w14:textFill>
                  <w14:solidFill>
                    <w14:schemeClr w14:val="tx1"/>
                  </w14:solidFill>
                </w14:textFill>
              </w:rPr>
              <w:t>风险物质</w:t>
            </w:r>
            <w:r>
              <w:rPr>
                <w:color w:val="000000" w:themeColor="text1"/>
                <w:kern w:val="0"/>
                <w14:textFill>
                  <w14:solidFill>
                    <w14:schemeClr w14:val="tx1"/>
                  </w14:solidFill>
                </w14:textFill>
              </w:rPr>
              <w:t>的过程中，泄漏或渗漏的包装容器应迅速移至安全区域；</w:t>
            </w:r>
          </w:p>
          <w:p>
            <w:pPr>
              <w:spacing w:line="360" w:lineRule="auto"/>
              <w:ind w:firstLine="420"/>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⑥</w:t>
            </w:r>
            <w:r>
              <w:rPr>
                <w:color w:val="000000" w:themeColor="text1"/>
                <w:kern w:val="0"/>
                <w14:textFill>
                  <w14:solidFill>
                    <w14:schemeClr w14:val="tx1"/>
                  </w14:solidFill>
                </w14:textFill>
              </w:rPr>
              <w:t>应制定应急处理措施，应对意外突发事件。</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numPr>
                <w:ilvl w:val="0"/>
                <w:numId w:val="3"/>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医疗废物泄露处置措施</w:t>
            </w:r>
          </w:p>
          <w:p>
            <w:pPr>
              <w:spacing w:line="360" w:lineRule="auto"/>
              <w:ind w:firstLine="420" w:firstLineChars="200"/>
              <w:rPr>
                <w:color w:val="000000" w:themeColor="text1"/>
                <w:kern w:val="0"/>
                <w:lang w:val="zh-CN"/>
                <w14:textFill>
                  <w14:solidFill>
                    <w14:schemeClr w14:val="tx1"/>
                  </w14:solidFill>
                </w14:textFill>
              </w:rPr>
            </w:pPr>
            <w:r>
              <w:rPr>
                <w:color w:val="000000" w:themeColor="text1"/>
                <w:kern w:val="0"/>
                <w:lang w:val="zh-CN"/>
                <w14:textFill>
                  <w14:solidFill>
                    <w14:schemeClr w14:val="tx1"/>
                  </w14:solidFill>
                </w14:textFill>
              </w:rPr>
              <w:t>该项目</w:t>
            </w:r>
            <w:r>
              <w:rPr>
                <w:rFonts w:hint="eastAsia"/>
                <w:color w:val="000000" w:themeColor="text1"/>
                <w:kern w:val="0"/>
                <w:lang w:val="zh-CN"/>
                <w14:textFill>
                  <w14:solidFill>
                    <w14:schemeClr w14:val="tx1"/>
                  </w14:solidFill>
                </w14:textFill>
              </w:rPr>
              <w:t>设置危废暂存间用于</w:t>
            </w:r>
            <w:r>
              <w:rPr>
                <w:color w:val="000000" w:themeColor="text1"/>
                <w:kern w:val="0"/>
                <w:lang w:val="zh-CN"/>
                <w14:textFill>
                  <w14:solidFill>
                    <w14:schemeClr w14:val="tx1"/>
                  </w14:solidFill>
                </w14:textFill>
              </w:rPr>
              <w:t>暂时贮存医疗废物，</w:t>
            </w:r>
            <w:r>
              <w:rPr>
                <w:rFonts w:hint="eastAsia"/>
                <w:color w:val="000000" w:themeColor="text1"/>
                <w:kern w:val="0"/>
                <w:lang w:val="zh-CN"/>
                <w14:textFill>
                  <w14:solidFill>
                    <w14:schemeClr w14:val="tx1"/>
                  </w14:solidFill>
                </w14:textFill>
              </w:rPr>
              <w:t>杜绝</w:t>
            </w:r>
            <w:r>
              <w:rPr>
                <w:color w:val="000000" w:themeColor="text1"/>
                <w:kern w:val="0"/>
                <w:lang w:val="zh-CN"/>
                <w14:textFill>
                  <w14:solidFill>
                    <w14:schemeClr w14:val="tx1"/>
                  </w14:solidFill>
                </w14:textFill>
              </w:rPr>
              <w:t>露天存放</w:t>
            </w:r>
            <w:r>
              <w:rPr>
                <w:rFonts w:hint="eastAsia"/>
                <w:color w:val="000000" w:themeColor="text1"/>
                <w:kern w:val="0"/>
                <w:lang w:val="zh-CN"/>
                <w14:textFill>
                  <w14:solidFill>
                    <w14:schemeClr w14:val="tx1"/>
                  </w14:solidFill>
                </w14:textFill>
              </w:rPr>
              <w:t>医疗废物行为</w:t>
            </w:r>
            <w:r>
              <w:rPr>
                <w:color w:val="000000" w:themeColor="text1"/>
                <w:kern w:val="0"/>
                <w:lang w:val="zh-CN"/>
                <w14:textFill>
                  <w14:solidFill>
                    <w14:schemeClr w14:val="tx1"/>
                  </w14:solidFill>
                </w14:textFill>
              </w:rPr>
              <w:t>；医疗废物暂时贮存的时间不得超过</w:t>
            </w:r>
            <w:r>
              <w:rPr>
                <w:rFonts w:hint="eastAsia"/>
                <w:color w:val="000000" w:themeColor="text1"/>
                <w:kern w:val="0"/>
                <w:lang w:val="zh-CN"/>
                <w14:textFill>
                  <w14:solidFill>
                    <w14:schemeClr w14:val="tx1"/>
                  </w14:solidFill>
                </w14:textFill>
              </w:rPr>
              <w:t>暂存时间要求</w:t>
            </w:r>
            <w:r>
              <w:rPr>
                <w:color w:val="000000" w:themeColor="text1"/>
                <w:kern w:val="0"/>
                <w:lang w:val="zh-CN"/>
                <w14:textFill>
                  <w14:solidFill>
                    <w14:schemeClr w14:val="tx1"/>
                  </w14:solidFill>
                </w14:textFill>
              </w:rPr>
              <w:t>，及时、有效地处理。因为在医疗废物储存过程中，会有恶臭产生。医院医疗废物暂存间内将医疗废物转交出去后，对暂存间内地面进行清洁和消毒处理，清洁消毒产生的废水排入院区污水处理站处理。</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）泄漏应急处置措施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5、环境风险结论</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项目在设计中应充分考虑各种危险因素和可能造成的危害，并采取相应的预防措施，在建设单位严格落实环评提出的各项防范措施和应急预案后，其环境风险可防可控。</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、电磁辐射</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本项目涉及的辐射设备，需要由建设单位另行委托有资质的单位进行环境影响评价， 故本项目不再单独对电磁辐射进行评价</w:t>
            </w: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rPr>
                <w:bCs/>
                <w:color w:val="000000" w:themeColor="text1"/>
                <w:spacing w:val="-10"/>
                <w:szCs w:val="21"/>
                <w14:textFill>
                  <w14:solidFill>
                    <w14:schemeClr w14:val="tx1"/>
                  </w14:solidFill>
                </w14:textFill>
              </w:rPr>
            </w:pPr>
          </w:p>
        </w:tc>
      </w:tr>
    </w:tbl>
    <w:p>
      <w:pPr>
        <w:pStyle w:val="21"/>
        <w:jc w:val="both"/>
        <w:outlineLvl w:val="0"/>
        <w:rPr>
          <w:rFonts w:ascii="Times New Roman" w:hAnsi="Times New Roman"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NumType w:fmt="numberInDash"/>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五、</w:t>
      </w:r>
      <w:bookmarkStart w:id="8" w:name="_Hlk54167917"/>
      <w:r>
        <w:rPr>
          <w:rFonts w:ascii="Times New Roman" w:hAnsi="Times New Roman" w:eastAsia="黑体"/>
          <w:snapToGrid w:val="0"/>
          <w:color w:val="000000" w:themeColor="text1"/>
          <w:sz w:val="30"/>
          <w:szCs w:val="30"/>
          <w14:textFill>
            <w14:solidFill>
              <w14:schemeClr w14:val="tx1"/>
            </w14:solidFill>
          </w14:textFill>
        </w:rPr>
        <w:t>环境保护措施监督检查清单</w:t>
      </w:r>
      <w:bookmarkEnd w:id="8"/>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988"/>
        <w:gridCol w:w="1194"/>
        <w:gridCol w:w="2021"/>
        <w:gridCol w:w="3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tcBorders>
              <w:tl2br w:val="single" w:color="auto" w:sz="4" w:space="0"/>
            </w:tcBorders>
          </w:tcPr>
          <w:p>
            <w:pPr>
              <w:adjustRightInd w:val="0"/>
              <w:snapToGrid w:val="0"/>
              <w:ind w:firstLine="840"/>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要素</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环境保护措施</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988" w:type="dxa"/>
            <w:vMerge w:val="restar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污水站周界</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2021"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采用地埋式污水站，加盖密闭，投放除臭剂</w:t>
            </w:r>
          </w:p>
        </w:tc>
        <w:tc>
          <w:tcPr>
            <w:tcW w:w="3330"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《山东省医疗机构污染物排放控制标准》（DB37/596-2020）中表2（氨0.2mg/m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、硫化氢0.02mg/m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，臭气浓度10无量纲）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000000" w:themeColor="text1"/>
                <w:szCs w:val="21"/>
                <w14:textFill>
                  <w14:solidFill>
                    <w14:schemeClr w14:val="tx1"/>
                  </w14:solidFill>
                </w14:textFill>
              </w:rPr>
            </w:pPr>
          </w:p>
        </w:tc>
        <w:tc>
          <w:tcPr>
            <w:tcW w:w="988" w:type="dxa"/>
            <w:vMerge w:val="continue"/>
            <w:vAlign w:val="center"/>
          </w:tcPr>
          <w:p>
            <w:pPr>
              <w:jc w:val="center"/>
              <w:rPr>
                <w:bCs/>
                <w:color w:val="000000" w:themeColor="text1"/>
                <w:szCs w:val="21"/>
                <w14:textFill>
                  <w14:solidFill>
                    <w14:schemeClr w14:val="tx1"/>
                  </w14:solidFill>
                </w14:textFill>
              </w:rPr>
            </w:pP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2021" w:type="dxa"/>
            <w:vMerge w:val="continue"/>
            <w:vAlign w:val="center"/>
          </w:tcPr>
          <w:p>
            <w:pPr>
              <w:adjustRightInd w:val="0"/>
              <w:snapToGrid w:val="0"/>
              <w:jc w:val="center"/>
              <w:rPr>
                <w:color w:val="000000" w:themeColor="text1"/>
                <w:szCs w:val="21"/>
                <w14:textFill>
                  <w14:solidFill>
                    <w14:schemeClr w14:val="tx1"/>
                  </w14:solidFill>
                </w14:textFill>
              </w:rPr>
            </w:pPr>
          </w:p>
        </w:tc>
        <w:tc>
          <w:tcPr>
            <w:tcW w:w="3330"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000000" w:themeColor="text1"/>
                <w:szCs w:val="21"/>
                <w14:textFill>
                  <w14:solidFill>
                    <w14:schemeClr w14:val="tx1"/>
                  </w14:solidFill>
                </w14:textFill>
              </w:rPr>
            </w:pPr>
          </w:p>
        </w:tc>
        <w:tc>
          <w:tcPr>
            <w:tcW w:w="988" w:type="dxa"/>
            <w:vMerge w:val="continue"/>
            <w:vAlign w:val="center"/>
          </w:tcPr>
          <w:p>
            <w:pPr>
              <w:jc w:val="center"/>
              <w:rPr>
                <w:bCs/>
                <w:color w:val="000000" w:themeColor="text1"/>
                <w:szCs w:val="21"/>
                <w14:textFill>
                  <w14:solidFill>
                    <w14:schemeClr w14:val="tx1"/>
                  </w14:solidFill>
                </w14:textFill>
              </w:rPr>
            </w:pP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臭气浓度</w:t>
            </w:r>
          </w:p>
        </w:tc>
        <w:tc>
          <w:tcPr>
            <w:tcW w:w="2021" w:type="dxa"/>
            <w:vMerge w:val="continue"/>
            <w:vAlign w:val="center"/>
          </w:tcPr>
          <w:p>
            <w:pPr>
              <w:adjustRightInd w:val="0"/>
              <w:snapToGrid w:val="0"/>
              <w:jc w:val="center"/>
              <w:rPr>
                <w:color w:val="000000" w:themeColor="text1"/>
                <w:szCs w:val="21"/>
                <w14:textFill>
                  <w14:solidFill>
                    <w14:schemeClr w14:val="tx1"/>
                  </w14:solidFill>
                </w14:textFill>
              </w:rPr>
            </w:pPr>
          </w:p>
        </w:tc>
        <w:tc>
          <w:tcPr>
            <w:tcW w:w="3330"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CODcr、BOD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 xml:space="preserve"> 、氨氮、SS</w:t>
            </w:r>
            <w:r>
              <w:rPr>
                <w:rFonts w:hint="eastAsia"/>
                <w:color w:val="000000" w:themeColor="text1"/>
                <w:szCs w:val="21"/>
                <w14:textFill>
                  <w14:solidFill>
                    <w14:schemeClr w14:val="tx1"/>
                  </w14:solidFill>
                </w14:textFill>
              </w:rPr>
              <w:t>、粪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、总磷、阴离子表面活性剂、余氯、氟化物等</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kern w:val="24"/>
                <w:szCs w:val="21"/>
                <w14:textFill>
                  <w14:solidFill>
                    <w14:schemeClr w14:val="tx1"/>
                  </w14:solidFill>
                </w14:textFill>
              </w:rPr>
              <w:t>经园区内污水处理站（格栅+调节池+水解酸化池+接触氧化池+沉淀池+消毒池）处理后排入光大水务（淄博）有限公司水质净化三分厂深度处理</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《山东省医疗机构污染物排放控制标准》（DB37/596-2020）二级标准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COD</w:t>
            </w:r>
            <w:r>
              <w:rPr>
                <w:rFonts w:hint="eastAsia"/>
                <w:color w:val="000000" w:themeColor="text1"/>
                <w:szCs w:val="21"/>
                <w14:textFill>
                  <w14:solidFill>
                    <w14:schemeClr w14:val="tx1"/>
                  </w14:solidFill>
                </w14:textFill>
              </w:rPr>
              <w:t>:120mg/L</w:t>
            </w: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:30mg/L</w:t>
            </w:r>
            <w:r>
              <w:rPr>
                <w:color w:val="000000" w:themeColor="text1"/>
                <w:szCs w:val="21"/>
                <w14:textFill>
                  <w14:solidFill>
                    <w14:schemeClr w14:val="tx1"/>
                  </w14:solidFill>
                </w14:textFill>
              </w:rPr>
              <w:t>、氨氮</w:t>
            </w:r>
            <w:r>
              <w:rPr>
                <w:rFonts w:hint="eastAsia"/>
                <w:color w:val="000000" w:themeColor="text1"/>
                <w:szCs w:val="21"/>
                <w14:textFill>
                  <w14:solidFill>
                    <w14:schemeClr w14:val="tx1"/>
                  </w14:solidFill>
                </w14:textFill>
              </w:rPr>
              <w:t>:25mg/L</w:t>
            </w:r>
            <w:r>
              <w:rPr>
                <w:color w:val="000000" w:themeColor="text1"/>
                <w:szCs w:val="21"/>
                <w14:textFill>
                  <w14:solidFill>
                    <w14:schemeClr w14:val="tx1"/>
                  </w14:solidFill>
                </w14:textFill>
              </w:rPr>
              <w:t>、悬浮物</w:t>
            </w:r>
            <w:r>
              <w:rPr>
                <w:rFonts w:hint="eastAsia"/>
                <w:color w:val="000000" w:themeColor="text1"/>
                <w:szCs w:val="21"/>
                <w14:textFill>
                  <w14:solidFill>
                    <w14:schemeClr w14:val="tx1"/>
                  </w14:solidFill>
                </w14:textFill>
              </w:rPr>
              <w:t>:60mg/L、粪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500MPN/L、总磷5mg/L、阴离子表面活性剂10mg/L、余氯8mg/L、氟化物20mg/L）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采用低噪声设备，采取隔振、减振措施</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 2348-2008）中1类标准（昼间≤55dB（A）、夜间≤45dB（A））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项目产生的医疗废物收集至危废暂存间暂存，委托有资质单位处理；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污水处理站污泥及栅渣在危废暂存间暂存，委托有资质单位处理；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一般生活垃圾统一由环卫部门清运处理；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废包装物收集后外售处理。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7533" w:type="dxa"/>
            <w:gridSpan w:val="4"/>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严格按照防渗分区要求，对各构筑物采取了相应的防渗措施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7533" w:type="dxa"/>
            <w:gridSpan w:val="4"/>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adjustRightInd w:val="0"/>
              <w:snapToGrid w:val="0"/>
              <w:jc w:val="center"/>
              <w:rPr>
                <w:color w:val="000000" w:themeColor="text1"/>
                <w:spacing w:val="-8"/>
                <w:szCs w:val="21"/>
                <w14:textFill>
                  <w14:solidFill>
                    <w14:schemeClr w14:val="tx1"/>
                  </w14:solidFill>
                </w14:textFill>
              </w:rPr>
            </w:pPr>
            <w:r>
              <w:rPr>
                <w:color w:val="000000" w:themeColor="text1"/>
                <w:szCs w:val="21"/>
                <w14:textFill>
                  <w14:solidFill>
                    <w14:schemeClr w14:val="tx1"/>
                  </w14:solidFill>
                </w14:textFill>
              </w:rPr>
              <w:t>防范措施</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（1）防止火灾事故的风险防范措施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仓库内禁止吸烟、禁止明火，加强对仓库的管理和安全知识教育，增强防范意识，防止火灾发生；加强对用电设备管理，电线线路及设备线路定期进行检查，严禁乱拉乱接电源电器，严防电器线路引起火灾。</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（2）防止泄漏事故的风险防范措施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（3）泄漏应急处置措施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7" w:type="dxa"/>
            <w:vAlign w:val="center"/>
          </w:tcPr>
          <w:p>
            <w:pPr>
              <w:adjustRightInd w:val="0"/>
              <w:snapToGrid w:val="0"/>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其他环境</w:t>
            </w:r>
          </w:p>
          <w:p>
            <w:pPr>
              <w:adjustRightInd w:val="0"/>
              <w:snapToGrid w:val="0"/>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管理要求</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1、环境管理要求</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环境管理组织机构：公司内部设置专门环境管理部门，并设专门的环保专员主要负责公司的环境保护管理工作。</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环境保护管理制度：按生态环境部门有关规定与环保要求，制定各项环保管理制度和具体的岗位职责，岗位操作规程等。</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2、排污口规范化</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排污口标志：污染物排放口应按国家《环境保护图形标志》（GB15562.1-1995、GB15562.2-1995）的规定，设置国家环保总局统一制作的环境保护图形标志牌，并按要求填写有关内容。</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3、竣工环境保护验收</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建设单位应按照生态环境部&lt;关于发布《建设项目竣工环境保护验收技术指南污染影响类》的公告&gt;（公告2018年第9号）及《建设项目竣工环境保护验收暂行办法》（国环规环评[2017]4号）要求进行验收。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4、信息公开</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需要按照《企业事业单位环境信息公开办法》（环境保护部令 第31号）公开企业相关环保信息。</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adjustRightInd w:val="0"/>
              <w:snapToGrid w:val="0"/>
              <w:rPr>
                <w:color w:val="000000" w:themeColor="text1"/>
                <w:szCs w:val="21"/>
                <w14:textFill>
                  <w14:solidFill>
                    <w14:schemeClr w14:val="tx1"/>
                  </w14:solidFill>
                </w14:textFill>
              </w:rPr>
            </w:pPr>
          </w:p>
        </w:tc>
      </w:tr>
    </w:tbl>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r>
        <w:rPr>
          <w:rFonts w:ascii="Times New Roman" w:hAnsi="Times New Roman" w:eastAsia="黑体"/>
          <w:snapToGrid w:val="0"/>
          <w:color w:val="000000" w:themeColor="text1"/>
          <w:sz w:val="30"/>
          <w:szCs w:val="30"/>
          <w14:textFill>
            <w14:solidFill>
              <w14:schemeClr w14:val="tx1"/>
            </w14:solidFill>
          </w14:textFill>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第二人民医院（淄博口腔医院）项目已建成，项目运行会对周围环境带来一定影响，通过落实报告表中提出的合理、有效环保措施，确保废气、废水达标排放，建设项目对周围环境影响程度可以接受，从环境保护角度分析，项目建设是可行的。</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snapToGrid w:val="0"/>
          <w:color w:val="000000" w:themeColor="text1"/>
          <w:sz w:val="32"/>
          <w:szCs w:val="32"/>
          <w14:textFill>
            <w14:solidFill>
              <w14:schemeClr w14:val="tx1"/>
            </w14:solidFill>
          </w14:textFill>
        </w:rPr>
      </w:pPr>
      <w:r>
        <w:rPr>
          <w:rFonts w:ascii="Times New Roman" w:hAnsi="Times New Roman" w:eastAsia="黑体"/>
          <w:snapToGrid w:val="0"/>
          <w:color w:val="000000" w:themeColor="text1"/>
          <w:sz w:val="32"/>
          <w:szCs w:val="32"/>
          <w14:textFill>
            <w14:solidFill>
              <w14:schemeClr w14:val="tx1"/>
            </w14:solidFill>
          </w14:textFill>
        </w:rPr>
        <w:t>附表</w:t>
      </w:r>
    </w:p>
    <w:p>
      <w:pPr>
        <w:pStyle w:val="21"/>
        <w:adjustRightInd w:val="0"/>
        <w:snapToGrid w:val="0"/>
        <w:spacing w:before="0" w:beforeAutospacing="0" w:after="0" w:afterAutospacing="0" w:line="420" w:lineRule="exact"/>
        <w:jc w:val="center"/>
        <w:outlineLvl w:val="0"/>
        <w:rPr>
          <w:rFonts w:ascii="Times New Roman" w:hAnsi="Times New Roman" w:eastAsia="方正小标宋_GBK"/>
          <w:snapToGrid w:val="0"/>
          <w:color w:val="000000" w:themeColor="text1"/>
          <w:sz w:val="38"/>
          <w:szCs w:val="38"/>
          <w14:textFill>
            <w14:solidFill>
              <w14:schemeClr w14:val="tx1"/>
            </w14:solidFill>
          </w14:textFill>
        </w:rPr>
      </w:pPr>
      <w:r>
        <w:rPr>
          <w:rFonts w:ascii="Times New Roman" w:hAnsi="Times New Roman" w:eastAsia="方正小标宋_GBK"/>
          <w:snapToGrid w:val="0"/>
          <w:color w:val="000000" w:themeColor="text1"/>
          <w:sz w:val="38"/>
          <w:szCs w:val="38"/>
          <w14:textFill>
            <w14:solidFill>
              <w14:schemeClr w14:val="tx1"/>
            </w14:solidFill>
          </w14:textFill>
        </w:rPr>
        <w:t>建设项目污染物排放量汇总表</w:t>
      </w:r>
    </w:p>
    <w:tbl>
      <w:tblPr>
        <w:tblStyle w:val="24"/>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87"/>
        <w:gridCol w:w="1701"/>
        <w:gridCol w:w="1276"/>
        <w:gridCol w:w="1701"/>
        <w:gridCol w:w="1878"/>
        <w:gridCol w:w="1384"/>
        <w:gridCol w:w="168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tcBorders>
              <w:tl2br w:val="single" w:color="auto" w:sz="4" w:space="0"/>
            </w:tcBorders>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 xml:space="preserve">      项目</w:t>
            </w:r>
          </w:p>
          <w:p>
            <w:pPr>
              <w:pStyle w:val="51"/>
              <w:spacing w:beforeLines="0" w:afterLines="0" w:line="300" w:lineRule="exact"/>
              <w:jc w:val="both"/>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分类</w:t>
            </w:r>
          </w:p>
        </w:tc>
        <w:tc>
          <w:tcPr>
            <w:tcW w:w="1787"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许可排放量</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2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snapToGrid w:val="0"/>
                <w:color w:val="000000" w:themeColor="text1"/>
                <w:spacing w:val="-6"/>
                <w:kern w:val="21"/>
                <w:szCs w:val="21"/>
                <w14:textFill>
                  <w14:solidFill>
                    <w14:schemeClr w14:val="tx1"/>
                  </w14:solidFill>
                </w14:textFill>
              </w:rPr>
              <w:t>②</w:t>
            </w:r>
            <w:r>
              <w:rPr>
                <w:rFonts w:ascii="Times New Roman"/>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在建工程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p>
        </w:tc>
        <w:tc>
          <w:tcPr>
            <w:tcW w:w="1878"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本项目</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p>
        </w:tc>
        <w:tc>
          <w:tcPr>
            <w:tcW w:w="1384" w:type="dxa"/>
            <w:tcMar>
              <w:left w:w="28" w:type="dxa"/>
              <w:right w:w="28" w:type="dxa"/>
            </w:tcMar>
            <w:vAlign w:val="center"/>
          </w:tcPr>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以新带老削减量</w:t>
            </w:r>
          </w:p>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（新建项目不填）</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p>
        </w:tc>
        <w:tc>
          <w:tcPr>
            <w:tcW w:w="1683" w:type="dxa"/>
            <w:tcMar>
              <w:left w:w="28" w:type="dxa"/>
              <w:right w:w="28" w:type="dxa"/>
            </w:tcMar>
            <w:vAlign w:val="center"/>
          </w:tcPr>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本项目建成后</w:t>
            </w:r>
          </w:p>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全厂排放量（固体废物产生量）</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p>
        </w:tc>
        <w:tc>
          <w:tcPr>
            <w:tcW w:w="1477"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变化量</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787" w:type="dxa"/>
            <w:vAlign w:val="center"/>
          </w:tcPr>
          <w:p>
            <w:pPr>
              <w:pStyle w:val="51"/>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NH</w:t>
            </w:r>
            <w:r>
              <w:rPr>
                <w:rFonts w:ascii="Times New Roman"/>
                <w:snapToGrid w:val="0"/>
                <w:color w:val="000000" w:themeColor="text1"/>
                <w:kern w:val="21"/>
                <w:szCs w:val="21"/>
                <w:vertAlign w:val="subscript"/>
                <w14:textFill>
                  <w14:solidFill>
                    <w14:schemeClr w14:val="tx1"/>
                  </w14:solidFill>
                </w14:textFill>
              </w:rPr>
              <w:t>3</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pStyle w:val="51"/>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H</w:t>
            </w:r>
            <w:r>
              <w:rPr>
                <w:rFonts w:ascii="Times New Roman"/>
                <w:snapToGrid w:val="0"/>
                <w:color w:val="000000" w:themeColor="text1"/>
                <w:kern w:val="21"/>
                <w:szCs w:val="21"/>
                <w:vertAlign w:val="subscript"/>
                <w14:textFill>
                  <w14:solidFill>
                    <w14:schemeClr w14:val="tx1"/>
                  </w14:solidFill>
                </w14:textFill>
              </w:rPr>
              <w:t>2</w:t>
            </w:r>
            <w:r>
              <w:rPr>
                <w:rFonts w:ascii="Times New Roman"/>
                <w:snapToGrid w:val="0"/>
                <w:color w:val="000000" w:themeColor="text1"/>
                <w:kern w:val="21"/>
                <w:szCs w:val="21"/>
                <w14:textFill>
                  <w14:solidFill>
                    <w14:schemeClr w14:val="tx1"/>
                  </w14:solidFill>
                </w14:textFill>
              </w:rPr>
              <w:t>S</w:t>
            </w:r>
          </w:p>
        </w:tc>
        <w:tc>
          <w:tcPr>
            <w:tcW w:w="1701"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五日生化需氧量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化学需氧量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阴离子表面活性剂</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氟化物</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废包装物</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污水处理站栅渣</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污水处理站污泥</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r>
    </w:tbl>
    <w:p>
      <w:pPr>
        <w:pStyle w:val="51"/>
        <w:spacing w:beforeLines="0" w:afterLines="0" w:line="240" w:lineRule="auto"/>
        <w:jc w:val="left"/>
        <w:rPr>
          <w:rFonts w:ascii="Times New Roman" w:eastAsia="黑体"/>
          <w:color w:val="000000" w:themeColor="text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ixMMBAACQAwAADgAAAGRycy9lMm9Eb2MueG1srVNLbtswEN0XyB0I&#10;7mMqBlo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cRMocdziwI/fvx1//Dr+/Erm&#10;1duiUB+gxsTngKlpuPdDzkblsh/QmYkPKtr8RUoE46jv4ayvHBIR+dFivlhUGBIYO10Qh12ehwjp&#10;vfSWZKOhEQdYdOX7J0hj6iklV3P+QRtThmjcXw7EzB526TFbadgMU+Mb3x6QT4+zb6jDVafEPDqU&#10;Nq/JyYgnYzMZuQaEu13CwqWfjDpCTcVwUIXRtFR5E/68l6zLj7T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LEwwEAAJADAAAOAAAAAAAAAAEAIAAAAB4BAABkcnMvZTJvRG9jLnhtbFBL&#10;BQYAAAAABgAGAFkBAABT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wrap="none" lIns="0" tIns="0" rIns="0" bIns="0">
                      <a:spAutoFit/>
                    </wps:bodyPr>
                  </wps:wsp>
                </a:graphicData>
              </a:graphic>
            </wp:anchor>
          </w:drawing>
        </mc:Choice>
        <mc:Fallback>
          <w:pict>
            <v:shape id="文本框 205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C5gsQBAACQ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akG+Nt9xMK5n4Q6Qk3FcFCZ0bRUaRMe33PWw4+0/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9C5gsQBAACQAwAADgAAAAAAAAABACAAAAAeAQAAZHJzL2Uyb0RvYy54bWxQ&#10;SwUGAAAAAAYABgBZAQAAVA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CF12"/>
    <w:multiLevelType w:val="singleLevel"/>
    <w:tmpl w:val="9215CF12"/>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D7C72478"/>
    <w:multiLevelType w:val="singleLevel"/>
    <w:tmpl w:val="D7C72478"/>
    <w:lvl w:ilvl="0" w:tentative="0">
      <w:start w:val="4"/>
      <w:numFmt w:val="chineseCounting"/>
      <w:suff w:val="nothing"/>
      <w:lvlText w:val="%1、"/>
      <w:lvlJc w:val="left"/>
      <w:rPr>
        <w:rFonts w:hint="eastAsia"/>
      </w:rPr>
    </w:lvl>
  </w:abstractNum>
  <w:abstractNum w:abstractNumId="2">
    <w:nsid w:val="61E83F48"/>
    <w:multiLevelType w:val="singleLevel"/>
    <w:tmpl w:val="61E83F4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zVlYTg3ZmViODAwMDFjNGU0NGZmZWFhMDJlYjQifQ=="/>
  </w:docVars>
  <w:rsids>
    <w:rsidRoot w:val="00172A27"/>
    <w:rsid w:val="000036CB"/>
    <w:rsid w:val="000060B3"/>
    <w:rsid w:val="00025B40"/>
    <w:rsid w:val="000316A3"/>
    <w:rsid w:val="0004364B"/>
    <w:rsid w:val="00061B1F"/>
    <w:rsid w:val="000733C4"/>
    <w:rsid w:val="00074783"/>
    <w:rsid w:val="0008070B"/>
    <w:rsid w:val="000810AC"/>
    <w:rsid w:val="00081A02"/>
    <w:rsid w:val="00082231"/>
    <w:rsid w:val="00092D38"/>
    <w:rsid w:val="0009377B"/>
    <w:rsid w:val="000A20C9"/>
    <w:rsid w:val="000A741C"/>
    <w:rsid w:val="000B058F"/>
    <w:rsid w:val="000B4467"/>
    <w:rsid w:val="000B4DB9"/>
    <w:rsid w:val="000C09AC"/>
    <w:rsid w:val="000C7457"/>
    <w:rsid w:val="000C767F"/>
    <w:rsid w:val="000D4FD6"/>
    <w:rsid w:val="000D5A44"/>
    <w:rsid w:val="000E3ED2"/>
    <w:rsid w:val="00111F5D"/>
    <w:rsid w:val="001165C3"/>
    <w:rsid w:val="00120E5D"/>
    <w:rsid w:val="00131346"/>
    <w:rsid w:val="00131F42"/>
    <w:rsid w:val="001357F1"/>
    <w:rsid w:val="00140FA8"/>
    <w:rsid w:val="00142FEB"/>
    <w:rsid w:val="00143A2D"/>
    <w:rsid w:val="00145A41"/>
    <w:rsid w:val="00151675"/>
    <w:rsid w:val="00154983"/>
    <w:rsid w:val="00157435"/>
    <w:rsid w:val="00167717"/>
    <w:rsid w:val="0017168D"/>
    <w:rsid w:val="00172A27"/>
    <w:rsid w:val="0017504D"/>
    <w:rsid w:val="0017671A"/>
    <w:rsid w:val="00177422"/>
    <w:rsid w:val="00184590"/>
    <w:rsid w:val="001870D1"/>
    <w:rsid w:val="0018781E"/>
    <w:rsid w:val="0019262D"/>
    <w:rsid w:val="001930DD"/>
    <w:rsid w:val="00196349"/>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305B"/>
    <w:rsid w:val="00264557"/>
    <w:rsid w:val="00265063"/>
    <w:rsid w:val="002805AB"/>
    <w:rsid w:val="00284204"/>
    <w:rsid w:val="00291773"/>
    <w:rsid w:val="002A168C"/>
    <w:rsid w:val="002A3DC7"/>
    <w:rsid w:val="002A6D4D"/>
    <w:rsid w:val="002B408A"/>
    <w:rsid w:val="002B49E2"/>
    <w:rsid w:val="002B7B00"/>
    <w:rsid w:val="002B7C44"/>
    <w:rsid w:val="002C2B17"/>
    <w:rsid w:val="002D3DD0"/>
    <w:rsid w:val="002D63FA"/>
    <w:rsid w:val="002E1F3A"/>
    <w:rsid w:val="002E298A"/>
    <w:rsid w:val="002E4924"/>
    <w:rsid w:val="00301978"/>
    <w:rsid w:val="0030332C"/>
    <w:rsid w:val="003051C2"/>
    <w:rsid w:val="00307B70"/>
    <w:rsid w:val="0031061C"/>
    <w:rsid w:val="00312296"/>
    <w:rsid w:val="00314F0E"/>
    <w:rsid w:val="003215AB"/>
    <w:rsid w:val="00321D8E"/>
    <w:rsid w:val="00325928"/>
    <w:rsid w:val="00332863"/>
    <w:rsid w:val="003330DB"/>
    <w:rsid w:val="0033684D"/>
    <w:rsid w:val="00337B42"/>
    <w:rsid w:val="00341B42"/>
    <w:rsid w:val="00342DA4"/>
    <w:rsid w:val="0034348F"/>
    <w:rsid w:val="0034458B"/>
    <w:rsid w:val="00356653"/>
    <w:rsid w:val="0035743F"/>
    <w:rsid w:val="00357BE2"/>
    <w:rsid w:val="0036170C"/>
    <w:rsid w:val="00366E0F"/>
    <w:rsid w:val="00381A72"/>
    <w:rsid w:val="00384676"/>
    <w:rsid w:val="00390857"/>
    <w:rsid w:val="00396F5E"/>
    <w:rsid w:val="003A1B2F"/>
    <w:rsid w:val="003A4BF3"/>
    <w:rsid w:val="003B420D"/>
    <w:rsid w:val="003C1436"/>
    <w:rsid w:val="003C6C16"/>
    <w:rsid w:val="003D3E6B"/>
    <w:rsid w:val="003D794D"/>
    <w:rsid w:val="003E3058"/>
    <w:rsid w:val="003E76A9"/>
    <w:rsid w:val="003F0809"/>
    <w:rsid w:val="003F5316"/>
    <w:rsid w:val="003F6A8C"/>
    <w:rsid w:val="003F755C"/>
    <w:rsid w:val="00401A80"/>
    <w:rsid w:val="00406F01"/>
    <w:rsid w:val="0041236E"/>
    <w:rsid w:val="00416D50"/>
    <w:rsid w:val="00416FD5"/>
    <w:rsid w:val="00417772"/>
    <w:rsid w:val="00420E6A"/>
    <w:rsid w:val="00425A9E"/>
    <w:rsid w:val="00426D6B"/>
    <w:rsid w:val="00431E6C"/>
    <w:rsid w:val="00433CE7"/>
    <w:rsid w:val="00452738"/>
    <w:rsid w:val="00456091"/>
    <w:rsid w:val="00466321"/>
    <w:rsid w:val="00475240"/>
    <w:rsid w:val="00484B9B"/>
    <w:rsid w:val="004855F6"/>
    <w:rsid w:val="0048661E"/>
    <w:rsid w:val="00494670"/>
    <w:rsid w:val="004A06C1"/>
    <w:rsid w:val="004A1624"/>
    <w:rsid w:val="004A3823"/>
    <w:rsid w:val="004C0F72"/>
    <w:rsid w:val="004C4AC3"/>
    <w:rsid w:val="004E4E09"/>
    <w:rsid w:val="004E6946"/>
    <w:rsid w:val="004F1088"/>
    <w:rsid w:val="004F1AD8"/>
    <w:rsid w:val="004F2E2C"/>
    <w:rsid w:val="005039CB"/>
    <w:rsid w:val="0050558F"/>
    <w:rsid w:val="00506286"/>
    <w:rsid w:val="0050799C"/>
    <w:rsid w:val="00510813"/>
    <w:rsid w:val="00511990"/>
    <w:rsid w:val="00511DE0"/>
    <w:rsid w:val="00514870"/>
    <w:rsid w:val="00514B9B"/>
    <w:rsid w:val="00517169"/>
    <w:rsid w:val="00517F02"/>
    <w:rsid w:val="00524303"/>
    <w:rsid w:val="005258A2"/>
    <w:rsid w:val="005270F0"/>
    <w:rsid w:val="00535376"/>
    <w:rsid w:val="005401AE"/>
    <w:rsid w:val="00542E07"/>
    <w:rsid w:val="00545424"/>
    <w:rsid w:val="0054648C"/>
    <w:rsid w:val="00554A7B"/>
    <w:rsid w:val="0055572C"/>
    <w:rsid w:val="00555AD5"/>
    <w:rsid w:val="0056106A"/>
    <w:rsid w:val="005720AE"/>
    <w:rsid w:val="00585947"/>
    <w:rsid w:val="00594D77"/>
    <w:rsid w:val="005969E4"/>
    <w:rsid w:val="005A06B7"/>
    <w:rsid w:val="005A1759"/>
    <w:rsid w:val="005A68A7"/>
    <w:rsid w:val="005A7928"/>
    <w:rsid w:val="005B2704"/>
    <w:rsid w:val="005D36AB"/>
    <w:rsid w:val="005E6B89"/>
    <w:rsid w:val="00617CC3"/>
    <w:rsid w:val="006245B9"/>
    <w:rsid w:val="00635728"/>
    <w:rsid w:val="006377A6"/>
    <w:rsid w:val="00637A3D"/>
    <w:rsid w:val="006411EF"/>
    <w:rsid w:val="006430F5"/>
    <w:rsid w:val="006534CF"/>
    <w:rsid w:val="006623D0"/>
    <w:rsid w:val="00671349"/>
    <w:rsid w:val="006748B8"/>
    <w:rsid w:val="006775C3"/>
    <w:rsid w:val="0069290A"/>
    <w:rsid w:val="0069775A"/>
    <w:rsid w:val="00697813"/>
    <w:rsid w:val="006A00B6"/>
    <w:rsid w:val="006A3EE8"/>
    <w:rsid w:val="006A72BF"/>
    <w:rsid w:val="006B03F2"/>
    <w:rsid w:val="006B37DC"/>
    <w:rsid w:val="006B46F8"/>
    <w:rsid w:val="006B4F68"/>
    <w:rsid w:val="006C0592"/>
    <w:rsid w:val="006C272E"/>
    <w:rsid w:val="006C50B3"/>
    <w:rsid w:val="006C5479"/>
    <w:rsid w:val="006D13B5"/>
    <w:rsid w:val="006D685A"/>
    <w:rsid w:val="006E12FF"/>
    <w:rsid w:val="006E2E10"/>
    <w:rsid w:val="006E607E"/>
    <w:rsid w:val="006F72FB"/>
    <w:rsid w:val="00706C5D"/>
    <w:rsid w:val="00713FED"/>
    <w:rsid w:val="00717532"/>
    <w:rsid w:val="00725245"/>
    <w:rsid w:val="00732922"/>
    <w:rsid w:val="00735823"/>
    <w:rsid w:val="00747124"/>
    <w:rsid w:val="0075162E"/>
    <w:rsid w:val="00754034"/>
    <w:rsid w:val="00756357"/>
    <w:rsid w:val="00756556"/>
    <w:rsid w:val="007618C4"/>
    <w:rsid w:val="00767980"/>
    <w:rsid w:val="00770B19"/>
    <w:rsid w:val="00771F7F"/>
    <w:rsid w:val="0077463F"/>
    <w:rsid w:val="007836EA"/>
    <w:rsid w:val="00784CDA"/>
    <w:rsid w:val="007906C4"/>
    <w:rsid w:val="007940EA"/>
    <w:rsid w:val="007967E8"/>
    <w:rsid w:val="007A2170"/>
    <w:rsid w:val="007A22BF"/>
    <w:rsid w:val="007A3323"/>
    <w:rsid w:val="007B1D53"/>
    <w:rsid w:val="007B27B0"/>
    <w:rsid w:val="007B72B8"/>
    <w:rsid w:val="007B7A58"/>
    <w:rsid w:val="007C21B5"/>
    <w:rsid w:val="007E4BD2"/>
    <w:rsid w:val="007F045F"/>
    <w:rsid w:val="007F746C"/>
    <w:rsid w:val="00801393"/>
    <w:rsid w:val="00802F88"/>
    <w:rsid w:val="0081293E"/>
    <w:rsid w:val="00814220"/>
    <w:rsid w:val="00815465"/>
    <w:rsid w:val="00816779"/>
    <w:rsid w:val="00817E9A"/>
    <w:rsid w:val="00827C2B"/>
    <w:rsid w:val="008306BD"/>
    <w:rsid w:val="00831A80"/>
    <w:rsid w:val="00833743"/>
    <w:rsid w:val="008340A4"/>
    <w:rsid w:val="008426E2"/>
    <w:rsid w:val="008458E0"/>
    <w:rsid w:val="00855219"/>
    <w:rsid w:val="008670D4"/>
    <w:rsid w:val="00870C05"/>
    <w:rsid w:val="0087135F"/>
    <w:rsid w:val="00872D94"/>
    <w:rsid w:val="00880364"/>
    <w:rsid w:val="00880A7E"/>
    <w:rsid w:val="0088443C"/>
    <w:rsid w:val="00891592"/>
    <w:rsid w:val="00891E9E"/>
    <w:rsid w:val="00892E2D"/>
    <w:rsid w:val="008A2F68"/>
    <w:rsid w:val="008B4FA6"/>
    <w:rsid w:val="008B5282"/>
    <w:rsid w:val="008B7C17"/>
    <w:rsid w:val="008C2A34"/>
    <w:rsid w:val="008C2D01"/>
    <w:rsid w:val="008C40E6"/>
    <w:rsid w:val="008D0F7A"/>
    <w:rsid w:val="008D68E4"/>
    <w:rsid w:val="008E0506"/>
    <w:rsid w:val="008E0CFF"/>
    <w:rsid w:val="008E1546"/>
    <w:rsid w:val="008E5D6B"/>
    <w:rsid w:val="008E76F0"/>
    <w:rsid w:val="008F15FE"/>
    <w:rsid w:val="008F2D29"/>
    <w:rsid w:val="008F5187"/>
    <w:rsid w:val="008F60D8"/>
    <w:rsid w:val="00902727"/>
    <w:rsid w:val="0090312B"/>
    <w:rsid w:val="00912BD5"/>
    <w:rsid w:val="0091736D"/>
    <w:rsid w:val="0091747A"/>
    <w:rsid w:val="00925CF2"/>
    <w:rsid w:val="0093037A"/>
    <w:rsid w:val="0094154D"/>
    <w:rsid w:val="0095155F"/>
    <w:rsid w:val="00954429"/>
    <w:rsid w:val="0095451E"/>
    <w:rsid w:val="009563CE"/>
    <w:rsid w:val="00960191"/>
    <w:rsid w:val="0096702F"/>
    <w:rsid w:val="00976328"/>
    <w:rsid w:val="0097680D"/>
    <w:rsid w:val="00982438"/>
    <w:rsid w:val="0098404C"/>
    <w:rsid w:val="00985283"/>
    <w:rsid w:val="00993F77"/>
    <w:rsid w:val="00995992"/>
    <w:rsid w:val="009A03E5"/>
    <w:rsid w:val="009A0F3B"/>
    <w:rsid w:val="009A1BB4"/>
    <w:rsid w:val="009A2628"/>
    <w:rsid w:val="009A3200"/>
    <w:rsid w:val="009B0897"/>
    <w:rsid w:val="009B7BD9"/>
    <w:rsid w:val="009C6765"/>
    <w:rsid w:val="009C7DD5"/>
    <w:rsid w:val="009D6CA0"/>
    <w:rsid w:val="009E227D"/>
    <w:rsid w:val="009E5019"/>
    <w:rsid w:val="009E7313"/>
    <w:rsid w:val="009F5C29"/>
    <w:rsid w:val="00A04F1B"/>
    <w:rsid w:val="00A0501B"/>
    <w:rsid w:val="00A07668"/>
    <w:rsid w:val="00A14947"/>
    <w:rsid w:val="00A1565B"/>
    <w:rsid w:val="00A20AF9"/>
    <w:rsid w:val="00A27538"/>
    <w:rsid w:val="00A32A83"/>
    <w:rsid w:val="00A368DB"/>
    <w:rsid w:val="00A423AA"/>
    <w:rsid w:val="00A53EC6"/>
    <w:rsid w:val="00A54FBB"/>
    <w:rsid w:val="00A5596D"/>
    <w:rsid w:val="00A55C0F"/>
    <w:rsid w:val="00A7643A"/>
    <w:rsid w:val="00A80CC3"/>
    <w:rsid w:val="00A8713F"/>
    <w:rsid w:val="00A90BA1"/>
    <w:rsid w:val="00A96A8D"/>
    <w:rsid w:val="00A97A9A"/>
    <w:rsid w:val="00AA0671"/>
    <w:rsid w:val="00AA11B4"/>
    <w:rsid w:val="00AA2531"/>
    <w:rsid w:val="00AA37DF"/>
    <w:rsid w:val="00AB1E09"/>
    <w:rsid w:val="00AB5330"/>
    <w:rsid w:val="00AB7747"/>
    <w:rsid w:val="00AC14CE"/>
    <w:rsid w:val="00AC2A56"/>
    <w:rsid w:val="00AC4E0C"/>
    <w:rsid w:val="00AD055E"/>
    <w:rsid w:val="00AD47A7"/>
    <w:rsid w:val="00AD4D7C"/>
    <w:rsid w:val="00AF0CBF"/>
    <w:rsid w:val="00AF257F"/>
    <w:rsid w:val="00AF33CF"/>
    <w:rsid w:val="00AF4D50"/>
    <w:rsid w:val="00AF6179"/>
    <w:rsid w:val="00B00631"/>
    <w:rsid w:val="00B1295A"/>
    <w:rsid w:val="00B17CDE"/>
    <w:rsid w:val="00B20A45"/>
    <w:rsid w:val="00B22C5C"/>
    <w:rsid w:val="00B22FCC"/>
    <w:rsid w:val="00B24F30"/>
    <w:rsid w:val="00B31ABF"/>
    <w:rsid w:val="00B33BE3"/>
    <w:rsid w:val="00B3546B"/>
    <w:rsid w:val="00B469D8"/>
    <w:rsid w:val="00B53B5D"/>
    <w:rsid w:val="00B6055E"/>
    <w:rsid w:val="00B6317D"/>
    <w:rsid w:val="00B65C8E"/>
    <w:rsid w:val="00B7723F"/>
    <w:rsid w:val="00B80534"/>
    <w:rsid w:val="00B8433C"/>
    <w:rsid w:val="00B87491"/>
    <w:rsid w:val="00B948B3"/>
    <w:rsid w:val="00BA29E9"/>
    <w:rsid w:val="00BA7142"/>
    <w:rsid w:val="00BB237C"/>
    <w:rsid w:val="00BB41A3"/>
    <w:rsid w:val="00BC28DB"/>
    <w:rsid w:val="00BC29A5"/>
    <w:rsid w:val="00BC32DC"/>
    <w:rsid w:val="00BC35B6"/>
    <w:rsid w:val="00BD1B51"/>
    <w:rsid w:val="00BD4596"/>
    <w:rsid w:val="00BD7137"/>
    <w:rsid w:val="00BE1405"/>
    <w:rsid w:val="00BE304B"/>
    <w:rsid w:val="00BE312D"/>
    <w:rsid w:val="00BF1C20"/>
    <w:rsid w:val="00BF4108"/>
    <w:rsid w:val="00C10578"/>
    <w:rsid w:val="00C12D58"/>
    <w:rsid w:val="00C135BC"/>
    <w:rsid w:val="00C15C95"/>
    <w:rsid w:val="00C2596A"/>
    <w:rsid w:val="00C27537"/>
    <w:rsid w:val="00C328FE"/>
    <w:rsid w:val="00C33507"/>
    <w:rsid w:val="00C4409D"/>
    <w:rsid w:val="00C44E72"/>
    <w:rsid w:val="00C45A06"/>
    <w:rsid w:val="00C47E5B"/>
    <w:rsid w:val="00C52443"/>
    <w:rsid w:val="00C61E4B"/>
    <w:rsid w:val="00C64BFF"/>
    <w:rsid w:val="00C67AF9"/>
    <w:rsid w:val="00C704E9"/>
    <w:rsid w:val="00C763C9"/>
    <w:rsid w:val="00C80057"/>
    <w:rsid w:val="00C82232"/>
    <w:rsid w:val="00C82913"/>
    <w:rsid w:val="00C8775E"/>
    <w:rsid w:val="00C972B1"/>
    <w:rsid w:val="00CA2CCE"/>
    <w:rsid w:val="00CA43FD"/>
    <w:rsid w:val="00CA7EF8"/>
    <w:rsid w:val="00CC489B"/>
    <w:rsid w:val="00CD2BCD"/>
    <w:rsid w:val="00CD3A4C"/>
    <w:rsid w:val="00CD5206"/>
    <w:rsid w:val="00CE10E9"/>
    <w:rsid w:val="00CE2910"/>
    <w:rsid w:val="00CE4393"/>
    <w:rsid w:val="00CE5393"/>
    <w:rsid w:val="00CF36BE"/>
    <w:rsid w:val="00CF6000"/>
    <w:rsid w:val="00D003F3"/>
    <w:rsid w:val="00D0364F"/>
    <w:rsid w:val="00D06834"/>
    <w:rsid w:val="00D2393C"/>
    <w:rsid w:val="00D25701"/>
    <w:rsid w:val="00D308ED"/>
    <w:rsid w:val="00D36475"/>
    <w:rsid w:val="00D36D86"/>
    <w:rsid w:val="00D37384"/>
    <w:rsid w:val="00D428AA"/>
    <w:rsid w:val="00D50A34"/>
    <w:rsid w:val="00D53EFA"/>
    <w:rsid w:val="00D54F81"/>
    <w:rsid w:val="00D719B4"/>
    <w:rsid w:val="00D72945"/>
    <w:rsid w:val="00D94A7C"/>
    <w:rsid w:val="00D95896"/>
    <w:rsid w:val="00D97FB3"/>
    <w:rsid w:val="00DA3027"/>
    <w:rsid w:val="00DA63B3"/>
    <w:rsid w:val="00DB2983"/>
    <w:rsid w:val="00DC0F01"/>
    <w:rsid w:val="00DC1257"/>
    <w:rsid w:val="00DC3DC0"/>
    <w:rsid w:val="00DC5B2B"/>
    <w:rsid w:val="00DD17CD"/>
    <w:rsid w:val="00DD318D"/>
    <w:rsid w:val="00DF0BD6"/>
    <w:rsid w:val="00DF2E12"/>
    <w:rsid w:val="00DF514A"/>
    <w:rsid w:val="00DF6690"/>
    <w:rsid w:val="00DF6804"/>
    <w:rsid w:val="00E015BB"/>
    <w:rsid w:val="00E01FC7"/>
    <w:rsid w:val="00E02982"/>
    <w:rsid w:val="00E0358D"/>
    <w:rsid w:val="00E04323"/>
    <w:rsid w:val="00E070A2"/>
    <w:rsid w:val="00E120CB"/>
    <w:rsid w:val="00E14412"/>
    <w:rsid w:val="00E2656A"/>
    <w:rsid w:val="00E36A54"/>
    <w:rsid w:val="00E412D0"/>
    <w:rsid w:val="00E56322"/>
    <w:rsid w:val="00E60982"/>
    <w:rsid w:val="00E62C62"/>
    <w:rsid w:val="00E63456"/>
    <w:rsid w:val="00E654C1"/>
    <w:rsid w:val="00E65D97"/>
    <w:rsid w:val="00E71E84"/>
    <w:rsid w:val="00E72A5A"/>
    <w:rsid w:val="00E73354"/>
    <w:rsid w:val="00E82179"/>
    <w:rsid w:val="00E9242D"/>
    <w:rsid w:val="00EB5255"/>
    <w:rsid w:val="00EB5C47"/>
    <w:rsid w:val="00ED0639"/>
    <w:rsid w:val="00EE4FE7"/>
    <w:rsid w:val="00EF4755"/>
    <w:rsid w:val="00EF7135"/>
    <w:rsid w:val="00F027DB"/>
    <w:rsid w:val="00F03C99"/>
    <w:rsid w:val="00F14A7A"/>
    <w:rsid w:val="00F14AC7"/>
    <w:rsid w:val="00F16E01"/>
    <w:rsid w:val="00F22985"/>
    <w:rsid w:val="00F23DAF"/>
    <w:rsid w:val="00F3383E"/>
    <w:rsid w:val="00F465A7"/>
    <w:rsid w:val="00F50B7C"/>
    <w:rsid w:val="00F53709"/>
    <w:rsid w:val="00F550E6"/>
    <w:rsid w:val="00F74345"/>
    <w:rsid w:val="00F80A0A"/>
    <w:rsid w:val="00F82B19"/>
    <w:rsid w:val="00F9212D"/>
    <w:rsid w:val="00F965DA"/>
    <w:rsid w:val="00FA406A"/>
    <w:rsid w:val="00FB503A"/>
    <w:rsid w:val="00FB516C"/>
    <w:rsid w:val="00FD0236"/>
    <w:rsid w:val="00FD18F4"/>
    <w:rsid w:val="00FD54DB"/>
    <w:rsid w:val="00FD619F"/>
    <w:rsid w:val="00FD6811"/>
    <w:rsid w:val="00FE5557"/>
    <w:rsid w:val="00FF32B0"/>
    <w:rsid w:val="01290F7E"/>
    <w:rsid w:val="015D1E09"/>
    <w:rsid w:val="01656B88"/>
    <w:rsid w:val="018664DA"/>
    <w:rsid w:val="019E4418"/>
    <w:rsid w:val="01CE2FE4"/>
    <w:rsid w:val="01D822A7"/>
    <w:rsid w:val="01EA7438"/>
    <w:rsid w:val="01FD671F"/>
    <w:rsid w:val="020A12A5"/>
    <w:rsid w:val="022B6321"/>
    <w:rsid w:val="025249A8"/>
    <w:rsid w:val="02697903"/>
    <w:rsid w:val="026C771D"/>
    <w:rsid w:val="029E3017"/>
    <w:rsid w:val="02F96569"/>
    <w:rsid w:val="03355F3A"/>
    <w:rsid w:val="037E247E"/>
    <w:rsid w:val="038454C3"/>
    <w:rsid w:val="03C36EAD"/>
    <w:rsid w:val="03CE50AD"/>
    <w:rsid w:val="03EA7B21"/>
    <w:rsid w:val="041214FE"/>
    <w:rsid w:val="04143DC5"/>
    <w:rsid w:val="042F094C"/>
    <w:rsid w:val="046055B8"/>
    <w:rsid w:val="046B5DE7"/>
    <w:rsid w:val="04A835F3"/>
    <w:rsid w:val="0507129F"/>
    <w:rsid w:val="05CF5907"/>
    <w:rsid w:val="05F63C8E"/>
    <w:rsid w:val="05F83EAE"/>
    <w:rsid w:val="063E7D85"/>
    <w:rsid w:val="06936394"/>
    <w:rsid w:val="06A24F8D"/>
    <w:rsid w:val="06F80873"/>
    <w:rsid w:val="072719FF"/>
    <w:rsid w:val="07293586"/>
    <w:rsid w:val="07295285"/>
    <w:rsid w:val="073D08E2"/>
    <w:rsid w:val="074F6510"/>
    <w:rsid w:val="07636392"/>
    <w:rsid w:val="076B35D2"/>
    <w:rsid w:val="07722329"/>
    <w:rsid w:val="07770C56"/>
    <w:rsid w:val="07815960"/>
    <w:rsid w:val="07AF0EC7"/>
    <w:rsid w:val="08092675"/>
    <w:rsid w:val="084C7E7D"/>
    <w:rsid w:val="08594493"/>
    <w:rsid w:val="0859657B"/>
    <w:rsid w:val="0885532C"/>
    <w:rsid w:val="08A60314"/>
    <w:rsid w:val="092217DD"/>
    <w:rsid w:val="092B6E6A"/>
    <w:rsid w:val="093725EB"/>
    <w:rsid w:val="093A7294"/>
    <w:rsid w:val="09B37909"/>
    <w:rsid w:val="0A20063A"/>
    <w:rsid w:val="0A263993"/>
    <w:rsid w:val="0A27751A"/>
    <w:rsid w:val="0A2D3AC2"/>
    <w:rsid w:val="0A823B24"/>
    <w:rsid w:val="0AA32278"/>
    <w:rsid w:val="0AA755DF"/>
    <w:rsid w:val="0AEC4D43"/>
    <w:rsid w:val="0B033577"/>
    <w:rsid w:val="0B120D44"/>
    <w:rsid w:val="0BAD2EB8"/>
    <w:rsid w:val="0BD27BF6"/>
    <w:rsid w:val="0BFD163B"/>
    <w:rsid w:val="0C0332D9"/>
    <w:rsid w:val="0C105458"/>
    <w:rsid w:val="0C3B3C7D"/>
    <w:rsid w:val="0C5E3BA8"/>
    <w:rsid w:val="0CAB2EAE"/>
    <w:rsid w:val="0CE230AB"/>
    <w:rsid w:val="0CE36928"/>
    <w:rsid w:val="0CF06F2A"/>
    <w:rsid w:val="0D0E537E"/>
    <w:rsid w:val="0D2B14E0"/>
    <w:rsid w:val="0D45771C"/>
    <w:rsid w:val="0D621C7D"/>
    <w:rsid w:val="0D652E9A"/>
    <w:rsid w:val="0D897973"/>
    <w:rsid w:val="0DAA743C"/>
    <w:rsid w:val="0DE77D6C"/>
    <w:rsid w:val="0E0607F7"/>
    <w:rsid w:val="0E3B14DD"/>
    <w:rsid w:val="0E73034D"/>
    <w:rsid w:val="0EBB187C"/>
    <w:rsid w:val="0EEF08C4"/>
    <w:rsid w:val="0F0B39F1"/>
    <w:rsid w:val="0F13775A"/>
    <w:rsid w:val="0F4B34F0"/>
    <w:rsid w:val="0F5F45FE"/>
    <w:rsid w:val="0F885C95"/>
    <w:rsid w:val="0F9A112B"/>
    <w:rsid w:val="0F9C394C"/>
    <w:rsid w:val="0FE71DDE"/>
    <w:rsid w:val="10450FFB"/>
    <w:rsid w:val="106C36E4"/>
    <w:rsid w:val="106D2F64"/>
    <w:rsid w:val="10B63710"/>
    <w:rsid w:val="10CA1DBC"/>
    <w:rsid w:val="10DE065B"/>
    <w:rsid w:val="10EA5025"/>
    <w:rsid w:val="10F10820"/>
    <w:rsid w:val="10FD52B1"/>
    <w:rsid w:val="111C2F7A"/>
    <w:rsid w:val="115350A3"/>
    <w:rsid w:val="11665CA1"/>
    <w:rsid w:val="116D0416"/>
    <w:rsid w:val="11710FEE"/>
    <w:rsid w:val="11755470"/>
    <w:rsid w:val="11BC74D9"/>
    <w:rsid w:val="11CE159C"/>
    <w:rsid w:val="11F55616"/>
    <w:rsid w:val="122E0195"/>
    <w:rsid w:val="127660B5"/>
    <w:rsid w:val="127F4068"/>
    <w:rsid w:val="129C0D70"/>
    <w:rsid w:val="129C4FF0"/>
    <w:rsid w:val="12E10386"/>
    <w:rsid w:val="133636E4"/>
    <w:rsid w:val="136465B7"/>
    <w:rsid w:val="13951726"/>
    <w:rsid w:val="13B064FD"/>
    <w:rsid w:val="13D64ECC"/>
    <w:rsid w:val="13DF04B9"/>
    <w:rsid w:val="13E61EE3"/>
    <w:rsid w:val="14150209"/>
    <w:rsid w:val="1422359F"/>
    <w:rsid w:val="14396509"/>
    <w:rsid w:val="145423E3"/>
    <w:rsid w:val="146A28FC"/>
    <w:rsid w:val="14C233EA"/>
    <w:rsid w:val="14D629D8"/>
    <w:rsid w:val="14DD2C3C"/>
    <w:rsid w:val="14F46C80"/>
    <w:rsid w:val="151271BB"/>
    <w:rsid w:val="153B0F6D"/>
    <w:rsid w:val="154F3BB0"/>
    <w:rsid w:val="156634B9"/>
    <w:rsid w:val="159C39B8"/>
    <w:rsid w:val="15BC4B78"/>
    <w:rsid w:val="15BE2A8E"/>
    <w:rsid w:val="16087E1D"/>
    <w:rsid w:val="164C134E"/>
    <w:rsid w:val="16C6527D"/>
    <w:rsid w:val="16ED2879"/>
    <w:rsid w:val="17035B80"/>
    <w:rsid w:val="17701D14"/>
    <w:rsid w:val="17735226"/>
    <w:rsid w:val="17900F32"/>
    <w:rsid w:val="17AD2C11"/>
    <w:rsid w:val="17C17892"/>
    <w:rsid w:val="18336D27"/>
    <w:rsid w:val="189F624C"/>
    <w:rsid w:val="18C17FDE"/>
    <w:rsid w:val="18C325E6"/>
    <w:rsid w:val="18CC6E3B"/>
    <w:rsid w:val="18DA26E0"/>
    <w:rsid w:val="194E6FD1"/>
    <w:rsid w:val="19541D0B"/>
    <w:rsid w:val="19A60D7D"/>
    <w:rsid w:val="19BF1527"/>
    <w:rsid w:val="19DC7892"/>
    <w:rsid w:val="1A1C66C0"/>
    <w:rsid w:val="1A29294F"/>
    <w:rsid w:val="1A42393B"/>
    <w:rsid w:val="1A543233"/>
    <w:rsid w:val="1A682D40"/>
    <w:rsid w:val="1A845F10"/>
    <w:rsid w:val="1A872998"/>
    <w:rsid w:val="1A965DFF"/>
    <w:rsid w:val="1AAD45DE"/>
    <w:rsid w:val="1ADA26E1"/>
    <w:rsid w:val="1ADC4B37"/>
    <w:rsid w:val="1B046F80"/>
    <w:rsid w:val="1B150405"/>
    <w:rsid w:val="1B166EA2"/>
    <w:rsid w:val="1B3267B5"/>
    <w:rsid w:val="1B40161D"/>
    <w:rsid w:val="1B441859"/>
    <w:rsid w:val="1B4F50F1"/>
    <w:rsid w:val="1B6606B1"/>
    <w:rsid w:val="1B823239"/>
    <w:rsid w:val="1BDA459D"/>
    <w:rsid w:val="1C0A708D"/>
    <w:rsid w:val="1C285A35"/>
    <w:rsid w:val="1C3834F1"/>
    <w:rsid w:val="1C5E7925"/>
    <w:rsid w:val="1C846B6A"/>
    <w:rsid w:val="1C9E37F6"/>
    <w:rsid w:val="1CBB2C11"/>
    <w:rsid w:val="1CFD070F"/>
    <w:rsid w:val="1D5F6196"/>
    <w:rsid w:val="1D6132A5"/>
    <w:rsid w:val="1D7D4F09"/>
    <w:rsid w:val="1D8E56D5"/>
    <w:rsid w:val="1DB527B9"/>
    <w:rsid w:val="1DC37793"/>
    <w:rsid w:val="1DCC6C4B"/>
    <w:rsid w:val="1DED4B16"/>
    <w:rsid w:val="1DF14138"/>
    <w:rsid w:val="1E2A210D"/>
    <w:rsid w:val="1E5E2873"/>
    <w:rsid w:val="1E613CE0"/>
    <w:rsid w:val="1E720A80"/>
    <w:rsid w:val="1E7A43DA"/>
    <w:rsid w:val="1EFA5DDC"/>
    <w:rsid w:val="1F000B0A"/>
    <w:rsid w:val="1F363C01"/>
    <w:rsid w:val="1F550228"/>
    <w:rsid w:val="1F611413"/>
    <w:rsid w:val="1F61484E"/>
    <w:rsid w:val="1F967DEE"/>
    <w:rsid w:val="1FBE49B6"/>
    <w:rsid w:val="1FE7539E"/>
    <w:rsid w:val="1FF14863"/>
    <w:rsid w:val="201A706D"/>
    <w:rsid w:val="201E3793"/>
    <w:rsid w:val="20463694"/>
    <w:rsid w:val="20604C0D"/>
    <w:rsid w:val="20671BE0"/>
    <w:rsid w:val="20932D84"/>
    <w:rsid w:val="20963CB8"/>
    <w:rsid w:val="20A81A1B"/>
    <w:rsid w:val="20A860EC"/>
    <w:rsid w:val="20B07FB6"/>
    <w:rsid w:val="20B646FB"/>
    <w:rsid w:val="20D952EB"/>
    <w:rsid w:val="213B74B1"/>
    <w:rsid w:val="214211D4"/>
    <w:rsid w:val="215436FD"/>
    <w:rsid w:val="215A2310"/>
    <w:rsid w:val="219B0105"/>
    <w:rsid w:val="21DE318A"/>
    <w:rsid w:val="21E63FD7"/>
    <w:rsid w:val="21EF5B80"/>
    <w:rsid w:val="222F4B08"/>
    <w:rsid w:val="22437DA8"/>
    <w:rsid w:val="22576990"/>
    <w:rsid w:val="22B30090"/>
    <w:rsid w:val="22E50189"/>
    <w:rsid w:val="22F47480"/>
    <w:rsid w:val="2302598B"/>
    <w:rsid w:val="231D5302"/>
    <w:rsid w:val="232B142D"/>
    <w:rsid w:val="23371CBC"/>
    <w:rsid w:val="23553FBF"/>
    <w:rsid w:val="236E75C7"/>
    <w:rsid w:val="237B3491"/>
    <w:rsid w:val="23DE1C48"/>
    <w:rsid w:val="23E90EFA"/>
    <w:rsid w:val="23EA2FED"/>
    <w:rsid w:val="23F313D5"/>
    <w:rsid w:val="23F61C54"/>
    <w:rsid w:val="240210CD"/>
    <w:rsid w:val="24033868"/>
    <w:rsid w:val="241F3F60"/>
    <w:rsid w:val="249F705E"/>
    <w:rsid w:val="24BE6014"/>
    <w:rsid w:val="24BF09F7"/>
    <w:rsid w:val="24EA69AF"/>
    <w:rsid w:val="24F00A10"/>
    <w:rsid w:val="252D53FE"/>
    <w:rsid w:val="25561CB4"/>
    <w:rsid w:val="25907F0C"/>
    <w:rsid w:val="25AF0D85"/>
    <w:rsid w:val="25B45F6E"/>
    <w:rsid w:val="25EC2D81"/>
    <w:rsid w:val="266A20B2"/>
    <w:rsid w:val="266F404F"/>
    <w:rsid w:val="268E5E92"/>
    <w:rsid w:val="269B54C3"/>
    <w:rsid w:val="269C70BC"/>
    <w:rsid w:val="26AE619C"/>
    <w:rsid w:val="270E6273"/>
    <w:rsid w:val="272C4837"/>
    <w:rsid w:val="273B2362"/>
    <w:rsid w:val="27467172"/>
    <w:rsid w:val="275539CC"/>
    <w:rsid w:val="277057A2"/>
    <w:rsid w:val="277F694A"/>
    <w:rsid w:val="27862617"/>
    <w:rsid w:val="27965C8C"/>
    <w:rsid w:val="280A02DC"/>
    <w:rsid w:val="287E1E09"/>
    <w:rsid w:val="28A86689"/>
    <w:rsid w:val="28A8701E"/>
    <w:rsid w:val="28F82E94"/>
    <w:rsid w:val="29206EB8"/>
    <w:rsid w:val="294D7AA2"/>
    <w:rsid w:val="29595666"/>
    <w:rsid w:val="29617451"/>
    <w:rsid w:val="29874881"/>
    <w:rsid w:val="299F572F"/>
    <w:rsid w:val="29A51B93"/>
    <w:rsid w:val="29AE647F"/>
    <w:rsid w:val="29B56983"/>
    <w:rsid w:val="29E325E0"/>
    <w:rsid w:val="2A0C2D44"/>
    <w:rsid w:val="2A101CBA"/>
    <w:rsid w:val="2A452503"/>
    <w:rsid w:val="2A452EC3"/>
    <w:rsid w:val="2AC44033"/>
    <w:rsid w:val="2AE4328E"/>
    <w:rsid w:val="2B40369C"/>
    <w:rsid w:val="2B9E41EC"/>
    <w:rsid w:val="2BA936A8"/>
    <w:rsid w:val="2BAD367A"/>
    <w:rsid w:val="2BF13396"/>
    <w:rsid w:val="2C0C79B4"/>
    <w:rsid w:val="2C315A5A"/>
    <w:rsid w:val="2C4B1C25"/>
    <w:rsid w:val="2CD33E9C"/>
    <w:rsid w:val="2CE6265E"/>
    <w:rsid w:val="2D2259A3"/>
    <w:rsid w:val="2D33062F"/>
    <w:rsid w:val="2D566F04"/>
    <w:rsid w:val="2D6A4E8D"/>
    <w:rsid w:val="2D891ADF"/>
    <w:rsid w:val="2D9E56F5"/>
    <w:rsid w:val="2DE73AB7"/>
    <w:rsid w:val="2DFD3E84"/>
    <w:rsid w:val="2E446AB8"/>
    <w:rsid w:val="2E4C75EC"/>
    <w:rsid w:val="2E667F96"/>
    <w:rsid w:val="2E8226AB"/>
    <w:rsid w:val="2E871DEA"/>
    <w:rsid w:val="2EF20D4D"/>
    <w:rsid w:val="2F2C7FE9"/>
    <w:rsid w:val="2F3B2980"/>
    <w:rsid w:val="2F542F0F"/>
    <w:rsid w:val="2F9718AA"/>
    <w:rsid w:val="2FD065E6"/>
    <w:rsid w:val="2FD96870"/>
    <w:rsid w:val="300C36A8"/>
    <w:rsid w:val="3030781D"/>
    <w:rsid w:val="303E6F2D"/>
    <w:rsid w:val="30580BC9"/>
    <w:rsid w:val="30847B88"/>
    <w:rsid w:val="30947EA7"/>
    <w:rsid w:val="309E4F2A"/>
    <w:rsid w:val="30A62DF4"/>
    <w:rsid w:val="30BF0B8A"/>
    <w:rsid w:val="30C05956"/>
    <w:rsid w:val="311E2ED7"/>
    <w:rsid w:val="315619EE"/>
    <w:rsid w:val="315C449C"/>
    <w:rsid w:val="318C2537"/>
    <w:rsid w:val="31B82709"/>
    <w:rsid w:val="31D05482"/>
    <w:rsid w:val="31F063C0"/>
    <w:rsid w:val="31FE5135"/>
    <w:rsid w:val="32400B34"/>
    <w:rsid w:val="324D5B24"/>
    <w:rsid w:val="324E0124"/>
    <w:rsid w:val="32683B6D"/>
    <w:rsid w:val="327757DE"/>
    <w:rsid w:val="328A0BE4"/>
    <w:rsid w:val="328D7025"/>
    <w:rsid w:val="329E6876"/>
    <w:rsid w:val="32C64193"/>
    <w:rsid w:val="32CD0C7B"/>
    <w:rsid w:val="32D702A4"/>
    <w:rsid w:val="333015F2"/>
    <w:rsid w:val="333601DF"/>
    <w:rsid w:val="334B6320"/>
    <w:rsid w:val="33D934D4"/>
    <w:rsid w:val="33E01652"/>
    <w:rsid w:val="33FE2F6A"/>
    <w:rsid w:val="340E07E5"/>
    <w:rsid w:val="34235BF7"/>
    <w:rsid w:val="34282776"/>
    <w:rsid w:val="34D2413B"/>
    <w:rsid w:val="34D301B6"/>
    <w:rsid w:val="34ED79D7"/>
    <w:rsid w:val="351C65D0"/>
    <w:rsid w:val="35325A4D"/>
    <w:rsid w:val="354E798C"/>
    <w:rsid w:val="356078E0"/>
    <w:rsid w:val="358C5FA8"/>
    <w:rsid w:val="359347CB"/>
    <w:rsid w:val="35973C42"/>
    <w:rsid w:val="359B039F"/>
    <w:rsid w:val="359D4FDB"/>
    <w:rsid w:val="35C15DF1"/>
    <w:rsid w:val="36074A7F"/>
    <w:rsid w:val="368B72FD"/>
    <w:rsid w:val="36923549"/>
    <w:rsid w:val="36A40AFC"/>
    <w:rsid w:val="36B75FBF"/>
    <w:rsid w:val="36BD0C45"/>
    <w:rsid w:val="374B44DA"/>
    <w:rsid w:val="37DC3C8C"/>
    <w:rsid w:val="37E00298"/>
    <w:rsid w:val="37EA50F6"/>
    <w:rsid w:val="381130CA"/>
    <w:rsid w:val="3811610E"/>
    <w:rsid w:val="382553F9"/>
    <w:rsid w:val="38280673"/>
    <w:rsid w:val="388F346E"/>
    <w:rsid w:val="389745CB"/>
    <w:rsid w:val="38B302F9"/>
    <w:rsid w:val="38CB234C"/>
    <w:rsid w:val="38F12CD3"/>
    <w:rsid w:val="38F62B27"/>
    <w:rsid w:val="38F94775"/>
    <w:rsid w:val="3910153A"/>
    <w:rsid w:val="391E768B"/>
    <w:rsid w:val="392971ED"/>
    <w:rsid w:val="39325651"/>
    <w:rsid w:val="398D673F"/>
    <w:rsid w:val="3A217CBC"/>
    <w:rsid w:val="3A226C1D"/>
    <w:rsid w:val="3A2E43A7"/>
    <w:rsid w:val="3A872856"/>
    <w:rsid w:val="3A8E0942"/>
    <w:rsid w:val="3AA53479"/>
    <w:rsid w:val="3AC27ABC"/>
    <w:rsid w:val="3AEA78D6"/>
    <w:rsid w:val="3B025AB9"/>
    <w:rsid w:val="3B3763D1"/>
    <w:rsid w:val="3B5F512B"/>
    <w:rsid w:val="3BD04DEC"/>
    <w:rsid w:val="3BDC7924"/>
    <w:rsid w:val="3BEF6435"/>
    <w:rsid w:val="3BF45B1D"/>
    <w:rsid w:val="3C1858AB"/>
    <w:rsid w:val="3C2F6E1E"/>
    <w:rsid w:val="3C4F64BA"/>
    <w:rsid w:val="3C694347"/>
    <w:rsid w:val="3CC11406"/>
    <w:rsid w:val="3CDA245A"/>
    <w:rsid w:val="3CF32C08"/>
    <w:rsid w:val="3CFD55FF"/>
    <w:rsid w:val="3D1E06B7"/>
    <w:rsid w:val="3D2A62DB"/>
    <w:rsid w:val="3D4E017E"/>
    <w:rsid w:val="3D9F70B5"/>
    <w:rsid w:val="3DB3016A"/>
    <w:rsid w:val="3DD34312"/>
    <w:rsid w:val="3E247CA4"/>
    <w:rsid w:val="3E370987"/>
    <w:rsid w:val="3E594E26"/>
    <w:rsid w:val="3E796883"/>
    <w:rsid w:val="3EB81181"/>
    <w:rsid w:val="3EDA0523"/>
    <w:rsid w:val="3F23552C"/>
    <w:rsid w:val="3F5408C8"/>
    <w:rsid w:val="3FA069AE"/>
    <w:rsid w:val="3FCD339A"/>
    <w:rsid w:val="3FFE43A2"/>
    <w:rsid w:val="40404740"/>
    <w:rsid w:val="407A6407"/>
    <w:rsid w:val="40A61E84"/>
    <w:rsid w:val="40CF7777"/>
    <w:rsid w:val="41061B8E"/>
    <w:rsid w:val="41207967"/>
    <w:rsid w:val="416F2D31"/>
    <w:rsid w:val="418278E0"/>
    <w:rsid w:val="41CF0E0E"/>
    <w:rsid w:val="41D83D98"/>
    <w:rsid w:val="4200449D"/>
    <w:rsid w:val="42340121"/>
    <w:rsid w:val="423A3BCC"/>
    <w:rsid w:val="424E57D2"/>
    <w:rsid w:val="42A535CE"/>
    <w:rsid w:val="42A7380D"/>
    <w:rsid w:val="42AF6247"/>
    <w:rsid w:val="42B26C49"/>
    <w:rsid w:val="42FA6EB8"/>
    <w:rsid w:val="4334348E"/>
    <w:rsid w:val="433A6FE6"/>
    <w:rsid w:val="43480868"/>
    <w:rsid w:val="43487FB5"/>
    <w:rsid w:val="4350713C"/>
    <w:rsid w:val="436653E0"/>
    <w:rsid w:val="43672D82"/>
    <w:rsid w:val="437E2835"/>
    <w:rsid w:val="43BC00B4"/>
    <w:rsid w:val="43C4431A"/>
    <w:rsid w:val="43C938A6"/>
    <w:rsid w:val="43DF7A72"/>
    <w:rsid w:val="4439524C"/>
    <w:rsid w:val="44936333"/>
    <w:rsid w:val="44B951CC"/>
    <w:rsid w:val="44CD14E0"/>
    <w:rsid w:val="44DD012B"/>
    <w:rsid w:val="44F20B0B"/>
    <w:rsid w:val="45184D5A"/>
    <w:rsid w:val="452E5F4C"/>
    <w:rsid w:val="454B4CB1"/>
    <w:rsid w:val="45612018"/>
    <w:rsid w:val="45616CAD"/>
    <w:rsid w:val="458946E9"/>
    <w:rsid w:val="45A44318"/>
    <w:rsid w:val="45A47C0E"/>
    <w:rsid w:val="45B32C09"/>
    <w:rsid w:val="45C4406F"/>
    <w:rsid w:val="45CB5D74"/>
    <w:rsid w:val="46302B6E"/>
    <w:rsid w:val="46577FD6"/>
    <w:rsid w:val="46857EEF"/>
    <w:rsid w:val="46B47115"/>
    <w:rsid w:val="46D955A7"/>
    <w:rsid w:val="47133957"/>
    <w:rsid w:val="47456B54"/>
    <w:rsid w:val="474659B7"/>
    <w:rsid w:val="47A07E0C"/>
    <w:rsid w:val="47E72E82"/>
    <w:rsid w:val="48003C68"/>
    <w:rsid w:val="48635A3E"/>
    <w:rsid w:val="4870272E"/>
    <w:rsid w:val="487B5D13"/>
    <w:rsid w:val="487F52A5"/>
    <w:rsid w:val="48EB0BB8"/>
    <w:rsid w:val="49101AAD"/>
    <w:rsid w:val="493B1E3D"/>
    <w:rsid w:val="497D77BD"/>
    <w:rsid w:val="49AB79A2"/>
    <w:rsid w:val="49BA1F3A"/>
    <w:rsid w:val="49DC7715"/>
    <w:rsid w:val="4A023139"/>
    <w:rsid w:val="4A206DCD"/>
    <w:rsid w:val="4A215834"/>
    <w:rsid w:val="4A5D540A"/>
    <w:rsid w:val="4A6F1B08"/>
    <w:rsid w:val="4A7220E7"/>
    <w:rsid w:val="4A7B576F"/>
    <w:rsid w:val="4A9F0385"/>
    <w:rsid w:val="4AC06DB3"/>
    <w:rsid w:val="4AF561A9"/>
    <w:rsid w:val="4B1C6B6D"/>
    <w:rsid w:val="4B2E4F65"/>
    <w:rsid w:val="4B734074"/>
    <w:rsid w:val="4B9559AD"/>
    <w:rsid w:val="4B984F42"/>
    <w:rsid w:val="4BA568D8"/>
    <w:rsid w:val="4BC92061"/>
    <w:rsid w:val="4C4A0649"/>
    <w:rsid w:val="4C7E5ECA"/>
    <w:rsid w:val="4C876AA5"/>
    <w:rsid w:val="4CB51348"/>
    <w:rsid w:val="4D0E00FB"/>
    <w:rsid w:val="4D176606"/>
    <w:rsid w:val="4D230C3D"/>
    <w:rsid w:val="4D453906"/>
    <w:rsid w:val="4D8A529A"/>
    <w:rsid w:val="4DBD5715"/>
    <w:rsid w:val="4DEB24EE"/>
    <w:rsid w:val="4DEC4FB0"/>
    <w:rsid w:val="4DEF09D9"/>
    <w:rsid w:val="4DF152AD"/>
    <w:rsid w:val="4E075D8A"/>
    <w:rsid w:val="4E2739C1"/>
    <w:rsid w:val="4E2B0C3A"/>
    <w:rsid w:val="4E360124"/>
    <w:rsid w:val="4E983EC9"/>
    <w:rsid w:val="4EB02AC0"/>
    <w:rsid w:val="4EB10B4F"/>
    <w:rsid w:val="4EC00FAD"/>
    <w:rsid w:val="4ED17C8D"/>
    <w:rsid w:val="4EE31BFA"/>
    <w:rsid w:val="4F014E47"/>
    <w:rsid w:val="4F32558A"/>
    <w:rsid w:val="4F330932"/>
    <w:rsid w:val="4F340186"/>
    <w:rsid w:val="4F47354A"/>
    <w:rsid w:val="4F5218F1"/>
    <w:rsid w:val="4F6A7CE3"/>
    <w:rsid w:val="4F9843DC"/>
    <w:rsid w:val="4F990AF8"/>
    <w:rsid w:val="4FC62A8C"/>
    <w:rsid w:val="4FD07816"/>
    <w:rsid w:val="4FD735A4"/>
    <w:rsid w:val="4FE20F0D"/>
    <w:rsid w:val="4FE51552"/>
    <w:rsid w:val="500B5D17"/>
    <w:rsid w:val="502138B9"/>
    <w:rsid w:val="502F7854"/>
    <w:rsid w:val="50504C4B"/>
    <w:rsid w:val="50723076"/>
    <w:rsid w:val="5086247D"/>
    <w:rsid w:val="509C6E7C"/>
    <w:rsid w:val="50CB3E03"/>
    <w:rsid w:val="50D54061"/>
    <w:rsid w:val="50EF5C2A"/>
    <w:rsid w:val="50F85666"/>
    <w:rsid w:val="512F4230"/>
    <w:rsid w:val="5162104E"/>
    <w:rsid w:val="517209CC"/>
    <w:rsid w:val="51A130CE"/>
    <w:rsid w:val="51C65836"/>
    <w:rsid w:val="51EB7E7A"/>
    <w:rsid w:val="522D1AF3"/>
    <w:rsid w:val="52AD5149"/>
    <w:rsid w:val="53114ACB"/>
    <w:rsid w:val="532F6CF2"/>
    <w:rsid w:val="534A5AE1"/>
    <w:rsid w:val="53A039CC"/>
    <w:rsid w:val="53A1505A"/>
    <w:rsid w:val="53D52A56"/>
    <w:rsid w:val="53EB602E"/>
    <w:rsid w:val="5404412A"/>
    <w:rsid w:val="54063E08"/>
    <w:rsid w:val="54214BEF"/>
    <w:rsid w:val="543437E8"/>
    <w:rsid w:val="545E5741"/>
    <w:rsid w:val="549C36E8"/>
    <w:rsid w:val="54BF0EAD"/>
    <w:rsid w:val="54E64DB3"/>
    <w:rsid w:val="54F73313"/>
    <w:rsid w:val="54F80955"/>
    <w:rsid w:val="54F911D0"/>
    <w:rsid w:val="554C264E"/>
    <w:rsid w:val="555170A7"/>
    <w:rsid w:val="557D771D"/>
    <w:rsid w:val="5587536D"/>
    <w:rsid w:val="558E1A41"/>
    <w:rsid w:val="559B174B"/>
    <w:rsid w:val="55CE0CF4"/>
    <w:rsid w:val="568B1705"/>
    <w:rsid w:val="569F23E2"/>
    <w:rsid w:val="56B22A9C"/>
    <w:rsid w:val="56C158B2"/>
    <w:rsid w:val="56F87E66"/>
    <w:rsid w:val="57196ED6"/>
    <w:rsid w:val="573C39BF"/>
    <w:rsid w:val="57A23A97"/>
    <w:rsid w:val="57B72A76"/>
    <w:rsid w:val="57C3426C"/>
    <w:rsid w:val="57CE1F93"/>
    <w:rsid w:val="57D24AD2"/>
    <w:rsid w:val="57E319FE"/>
    <w:rsid w:val="57E44564"/>
    <w:rsid w:val="57F36EA1"/>
    <w:rsid w:val="57F8018C"/>
    <w:rsid w:val="581C648B"/>
    <w:rsid w:val="584E3590"/>
    <w:rsid w:val="58800AF1"/>
    <w:rsid w:val="588743D1"/>
    <w:rsid w:val="5887701A"/>
    <w:rsid w:val="58D76E97"/>
    <w:rsid w:val="594B4252"/>
    <w:rsid w:val="596803C6"/>
    <w:rsid w:val="596D5091"/>
    <w:rsid w:val="59C0439F"/>
    <w:rsid w:val="5A240671"/>
    <w:rsid w:val="5A2D1204"/>
    <w:rsid w:val="5A94597A"/>
    <w:rsid w:val="5ABE2233"/>
    <w:rsid w:val="5AE323C2"/>
    <w:rsid w:val="5B1F54B3"/>
    <w:rsid w:val="5B3860F7"/>
    <w:rsid w:val="5B6A15EF"/>
    <w:rsid w:val="5B714667"/>
    <w:rsid w:val="5B852077"/>
    <w:rsid w:val="5BA347AD"/>
    <w:rsid w:val="5BDF5D95"/>
    <w:rsid w:val="5BFE7528"/>
    <w:rsid w:val="5C3044AE"/>
    <w:rsid w:val="5C6C693E"/>
    <w:rsid w:val="5C84193D"/>
    <w:rsid w:val="5C8443D4"/>
    <w:rsid w:val="5D106BAF"/>
    <w:rsid w:val="5D383031"/>
    <w:rsid w:val="5D4277BD"/>
    <w:rsid w:val="5D7A6FA5"/>
    <w:rsid w:val="5D931A12"/>
    <w:rsid w:val="5D98667E"/>
    <w:rsid w:val="5DAF0B0D"/>
    <w:rsid w:val="5DC1088E"/>
    <w:rsid w:val="5DCB262F"/>
    <w:rsid w:val="5E2467F1"/>
    <w:rsid w:val="5E811E1C"/>
    <w:rsid w:val="5E816777"/>
    <w:rsid w:val="5ED412FF"/>
    <w:rsid w:val="5EEC2304"/>
    <w:rsid w:val="5F1A2B43"/>
    <w:rsid w:val="5F201ABB"/>
    <w:rsid w:val="5F215A24"/>
    <w:rsid w:val="5F422A8B"/>
    <w:rsid w:val="5F47535F"/>
    <w:rsid w:val="5F494EAE"/>
    <w:rsid w:val="5FB837BB"/>
    <w:rsid w:val="605D008D"/>
    <w:rsid w:val="60C225B2"/>
    <w:rsid w:val="60CC405A"/>
    <w:rsid w:val="60F011FC"/>
    <w:rsid w:val="611E542A"/>
    <w:rsid w:val="612F7BF2"/>
    <w:rsid w:val="61462AEB"/>
    <w:rsid w:val="614A1305"/>
    <w:rsid w:val="61685B45"/>
    <w:rsid w:val="616D411F"/>
    <w:rsid w:val="61C85AB4"/>
    <w:rsid w:val="61D11ED1"/>
    <w:rsid w:val="61E215D8"/>
    <w:rsid w:val="62187003"/>
    <w:rsid w:val="621B3775"/>
    <w:rsid w:val="62364782"/>
    <w:rsid w:val="62481A39"/>
    <w:rsid w:val="62AE102E"/>
    <w:rsid w:val="62AE4300"/>
    <w:rsid w:val="62F279CD"/>
    <w:rsid w:val="63146C8D"/>
    <w:rsid w:val="63372CAF"/>
    <w:rsid w:val="63720D67"/>
    <w:rsid w:val="6394356A"/>
    <w:rsid w:val="63C61B2C"/>
    <w:rsid w:val="63D40BE9"/>
    <w:rsid w:val="63F6182E"/>
    <w:rsid w:val="64102431"/>
    <w:rsid w:val="6410327C"/>
    <w:rsid w:val="6429238E"/>
    <w:rsid w:val="648C3469"/>
    <w:rsid w:val="64A5243A"/>
    <w:rsid w:val="64BC5E38"/>
    <w:rsid w:val="64F531DE"/>
    <w:rsid w:val="65357F45"/>
    <w:rsid w:val="65373578"/>
    <w:rsid w:val="653906B6"/>
    <w:rsid w:val="655C6DCB"/>
    <w:rsid w:val="65635EC6"/>
    <w:rsid w:val="659C395F"/>
    <w:rsid w:val="65C95A03"/>
    <w:rsid w:val="66081F99"/>
    <w:rsid w:val="66372FAA"/>
    <w:rsid w:val="66455CBF"/>
    <w:rsid w:val="665500A4"/>
    <w:rsid w:val="66AF36EC"/>
    <w:rsid w:val="66F63E53"/>
    <w:rsid w:val="671F124A"/>
    <w:rsid w:val="67221D9B"/>
    <w:rsid w:val="676D6BAE"/>
    <w:rsid w:val="677A33C6"/>
    <w:rsid w:val="6790607D"/>
    <w:rsid w:val="67C073AB"/>
    <w:rsid w:val="67D21F0A"/>
    <w:rsid w:val="681F6961"/>
    <w:rsid w:val="682802D1"/>
    <w:rsid w:val="6851581E"/>
    <w:rsid w:val="68610A2F"/>
    <w:rsid w:val="68727FDF"/>
    <w:rsid w:val="68805514"/>
    <w:rsid w:val="689651BC"/>
    <w:rsid w:val="689C43A5"/>
    <w:rsid w:val="68C65C46"/>
    <w:rsid w:val="690375EA"/>
    <w:rsid w:val="69316E2F"/>
    <w:rsid w:val="694E2071"/>
    <w:rsid w:val="696F6F1B"/>
    <w:rsid w:val="6972186F"/>
    <w:rsid w:val="69766163"/>
    <w:rsid w:val="697A3B33"/>
    <w:rsid w:val="69D44760"/>
    <w:rsid w:val="6A0512B2"/>
    <w:rsid w:val="6A1B2DAD"/>
    <w:rsid w:val="6A520EC7"/>
    <w:rsid w:val="6A5B0D7D"/>
    <w:rsid w:val="6A655D3D"/>
    <w:rsid w:val="6AE0734E"/>
    <w:rsid w:val="6AE0751F"/>
    <w:rsid w:val="6AF87E20"/>
    <w:rsid w:val="6AFC5FFE"/>
    <w:rsid w:val="6B151354"/>
    <w:rsid w:val="6B322639"/>
    <w:rsid w:val="6B711CB1"/>
    <w:rsid w:val="6B760928"/>
    <w:rsid w:val="6B7653FC"/>
    <w:rsid w:val="6B823FC7"/>
    <w:rsid w:val="6C097B97"/>
    <w:rsid w:val="6C4D1392"/>
    <w:rsid w:val="6C636C38"/>
    <w:rsid w:val="6CAA7764"/>
    <w:rsid w:val="6CB173DF"/>
    <w:rsid w:val="6CBA676E"/>
    <w:rsid w:val="6CE30024"/>
    <w:rsid w:val="6D093858"/>
    <w:rsid w:val="6D1C5C4D"/>
    <w:rsid w:val="6D5B2446"/>
    <w:rsid w:val="6D74301A"/>
    <w:rsid w:val="6D7F1544"/>
    <w:rsid w:val="6D8A021E"/>
    <w:rsid w:val="6D993939"/>
    <w:rsid w:val="6DB34098"/>
    <w:rsid w:val="6DB545B6"/>
    <w:rsid w:val="6DE02FB4"/>
    <w:rsid w:val="6E514CED"/>
    <w:rsid w:val="6E8A1534"/>
    <w:rsid w:val="6EB563D5"/>
    <w:rsid w:val="6EBC7832"/>
    <w:rsid w:val="6EC15AFF"/>
    <w:rsid w:val="6ED24386"/>
    <w:rsid w:val="6ED92677"/>
    <w:rsid w:val="6F225983"/>
    <w:rsid w:val="6F315A27"/>
    <w:rsid w:val="6F5D145B"/>
    <w:rsid w:val="6F620BCE"/>
    <w:rsid w:val="6F73273F"/>
    <w:rsid w:val="6FA009B8"/>
    <w:rsid w:val="6FCB7F58"/>
    <w:rsid w:val="6FFC5590"/>
    <w:rsid w:val="6FFD7FFC"/>
    <w:rsid w:val="6FFE7A96"/>
    <w:rsid w:val="70572CB8"/>
    <w:rsid w:val="706D1DD0"/>
    <w:rsid w:val="70856B87"/>
    <w:rsid w:val="709F4D37"/>
    <w:rsid w:val="70B41CCC"/>
    <w:rsid w:val="70BE3E09"/>
    <w:rsid w:val="70D527EE"/>
    <w:rsid w:val="7102160C"/>
    <w:rsid w:val="71130099"/>
    <w:rsid w:val="712A3B86"/>
    <w:rsid w:val="714A36F3"/>
    <w:rsid w:val="71583DF1"/>
    <w:rsid w:val="715B5300"/>
    <w:rsid w:val="716D0318"/>
    <w:rsid w:val="717B4801"/>
    <w:rsid w:val="7195021E"/>
    <w:rsid w:val="71D27F8A"/>
    <w:rsid w:val="71EA6D93"/>
    <w:rsid w:val="71F11EDF"/>
    <w:rsid w:val="72553024"/>
    <w:rsid w:val="72587011"/>
    <w:rsid w:val="729E31CF"/>
    <w:rsid w:val="72AB1AAF"/>
    <w:rsid w:val="72AC1A60"/>
    <w:rsid w:val="72B16C06"/>
    <w:rsid w:val="731212C5"/>
    <w:rsid w:val="73122968"/>
    <w:rsid w:val="731F5D5E"/>
    <w:rsid w:val="73424DBB"/>
    <w:rsid w:val="735766C3"/>
    <w:rsid w:val="73841312"/>
    <w:rsid w:val="73C51AD5"/>
    <w:rsid w:val="73D353A6"/>
    <w:rsid w:val="741E793C"/>
    <w:rsid w:val="742A3F61"/>
    <w:rsid w:val="74413BF2"/>
    <w:rsid w:val="745E3944"/>
    <w:rsid w:val="74BF08ED"/>
    <w:rsid w:val="74C864DF"/>
    <w:rsid w:val="74CE189C"/>
    <w:rsid w:val="74D10D87"/>
    <w:rsid w:val="74D55C18"/>
    <w:rsid w:val="74EB2425"/>
    <w:rsid w:val="751B08FA"/>
    <w:rsid w:val="754E3892"/>
    <w:rsid w:val="755D78AD"/>
    <w:rsid w:val="75C62A6D"/>
    <w:rsid w:val="75E27DE1"/>
    <w:rsid w:val="7635099D"/>
    <w:rsid w:val="76662E6C"/>
    <w:rsid w:val="76990B6A"/>
    <w:rsid w:val="76B17BAE"/>
    <w:rsid w:val="76C84B8E"/>
    <w:rsid w:val="76E93FEB"/>
    <w:rsid w:val="77762421"/>
    <w:rsid w:val="77B56B1F"/>
    <w:rsid w:val="77BB474E"/>
    <w:rsid w:val="780F09F4"/>
    <w:rsid w:val="78A90480"/>
    <w:rsid w:val="78BC0675"/>
    <w:rsid w:val="78BF077B"/>
    <w:rsid w:val="797F5158"/>
    <w:rsid w:val="79C97FD4"/>
    <w:rsid w:val="79ED7CD7"/>
    <w:rsid w:val="7A2640BD"/>
    <w:rsid w:val="7A364017"/>
    <w:rsid w:val="7A8265E1"/>
    <w:rsid w:val="7B3F1A2A"/>
    <w:rsid w:val="7B3F5290"/>
    <w:rsid w:val="7B686D42"/>
    <w:rsid w:val="7B7E5751"/>
    <w:rsid w:val="7B841746"/>
    <w:rsid w:val="7B8E7E1C"/>
    <w:rsid w:val="7C6C5AC7"/>
    <w:rsid w:val="7C7A284C"/>
    <w:rsid w:val="7C9605A1"/>
    <w:rsid w:val="7CB20C0D"/>
    <w:rsid w:val="7CC6544B"/>
    <w:rsid w:val="7D0239FF"/>
    <w:rsid w:val="7D5E40CD"/>
    <w:rsid w:val="7DCD56F2"/>
    <w:rsid w:val="7E020D8B"/>
    <w:rsid w:val="7E1813F8"/>
    <w:rsid w:val="7E4D2E32"/>
    <w:rsid w:val="7E8B05B0"/>
    <w:rsid w:val="7E977DA5"/>
    <w:rsid w:val="7EA80552"/>
    <w:rsid w:val="7EC52F24"/>
    <w:rsid w:val="7F001CE7"/>
    <w:rsid w:val="7F5F396B"/>
    <w:rsid w:val="7F881C84"/>
    <w:rsid w:val="7F934C8F"/>
    <w:rsid w:val="7FE47E50"/>
    <w:rsid w:val="7FF6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3"/>
    <w:basedOn w:val="1"/>
    <w:next w:val="1"/>
    <w:qFormat/>
    <w:locked/>
    <w:uiPriority w:val="0"/>
    <w:pPr>
      <w:spacing w:before="100" w:beforeAutospacing="1" w:after="100" w:afterAutospacing="1"/>
      <w:jc w:val="left"/>
      <w:outlineLvl w:val="2"/>
    </w:pPr>
    <w:rPr>
      <w:rFonts w:hint="eastAsia" w:ascii="宋体" w:hAnsi="宋体"/>
      <w:b/>
      <w:kern w:val="0"/>
      <w:sz w:val="27"/>
      <w:szCs w:val="27"/>
    </w:rPr>
  </w:style>
  <w:style w:type="paragraph" w:styleId="8">
    <w:name w:val="heading 4"/>
    <w:basedOn w:val="1"/>
    <w:next w:val="9"/>
    <w:qFormat/>
    <w:locked/>
    <w:uiPriority w:val="0"/>
    <w:pPr>
      <w:keepNext/>
      <w:keepLines/>
      <w:spacing w:before="280" w:after="290" w:line="374" w:lineRule="auto"/>
      <w:outlineLvl w:val="3"/>
    </w:pPr>
    <w:rPr>
      <w:rFonts w:ascii="Arial" w:hAnsi="Arial" w:eastAsia="黑体"/>
      <w:b/>
      <w:sz w:val="28"/>
      <w:szCs w:val="2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ind w:firstLine="420" w:firstLineChars="200"/>
    </w:pPr>
  </w:style>
  <w:style w:type="paragraph" w:styleId="3">
    <w:name w:val="Body Text Indent"/>
    <w:basedOn w:val="1"/>
    <w:next w:val="4"/>
    <w:link w:val="35"/>
    <w:qFormat/>
    <w:uiPriority w:val="0"/>
    <w:pPr>
      <w:spacing w:after="120"/>
      <w:ind w:left="420" w:leftChars="200"/>
    </w:pPr>
    <w:rPr>
      <w:kern w:val="0"/>
      <w:sz w:val="24"/>
      <w:szCs w:val="20"/>
    </w:rPr>
  </w:style>
  <w:style w:type="paragraph" w:customStyle="1" w:styleId="4">
    <w:name w:val="样式 正文文本缩进 + 行距: 1.5 倍行距"/>
    <w:basedOn w:val="5"/>
    <w:qFormat/>
    <w:uiPriority w:val="0"/>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9">
    <w:name w:val="Body Text"/>
    <w:basedOn w:val="1"/>
    <w:next w:val="10"/>
    <w:link w:val="33"/>
    <w:qFormat/>
    <w:uiPriority w:val="0"/>
    <w:pPr>
      <w:widowControl/>
      <w:snapToGrid w:val="0"/>
      <w:spacing w:before="60" w:after="160" w:line="259" w:lineRule="auto"/>
      <w:ind w:right="113"/>
    </w:pPr>
    <w:rPr>
      <w:kern w:val="0"/>
      <w:sz w:val="18"/>
      <w:szCs w:val="20"/>
    </w:rPr>
  </w:style>
  <w:style w:type="paragraph" w:customStyle="1" w:styleId="10">
    <w:name w:val="Date1"/>
    <w:basedOn w:val="1"/>
    <w:next w:val="1"/>
    <w:qFormat/>
    <w:uiPriority w:val="0"/>
    <w:rPr>
      <w:szCs w:val="20"/>
    </w:rPr>
  </w:style>
  <w:style w:type="paragraph" w:styleId="11">
    <w:name w:val="Normal Indent"/>
    <w:basedOn w:val="1"/>
    <w:qFormat/>
    <w:locked/>
    <w:uiPriority w:val="0"/>
    <w:pPr>
      <w:ind w:firstLine="420" w:firstLineChars="200"/>
    </w:pPr>
    <w:rPr>
      <w:sz w:val="24"/>
      <w:szCs w:val="20"/>
    </w:rPr>
  </w:style>
  <w:style w:type="paragraph" w:styleId="12">
    <w:name w:val="annotation text"/>
    <w:basedOn w:val="1"/>
    <w:link w:val="34"/>
    <w:semiHidden/>
    <w:qFormat/>
    <w:uiPriority w:val="0"/>
    <w:pPr>
      <w:jc w:val="left"/>
    </w:pPr>
    <w:rPr>
      <w:kern w:val="0"/>
      <w:sz w:val="24"/>
      <w:szCs w:val="20"/>
    </w:rPr>
  </w:style>
  <w:style w:type="paragraph" w:styleId="13">
    <w:name w:val="Plain Text"/>
    <w:basedOn w:val="1"/>
    <w:qFormat/>
    <w:locked/>
    <w:uiPriority w:val="0"/>
    <w:rPr>
      <w:rFonts w:ascii="宋体" w:hAnsi="Courier New"/>
      <w:szCs w:val="20"/>
    </w:rPr>
  </w:style>
  <w:style w:type="paragraph" w:styleId="14">
    <w:name w:val="List Bullet 5"/>
    <w:basedOn w:val="1"/>
    <w:qFormat/>
    <w:locked/>
    <w:uiPriority w:val="0"/>
    <w:pPr>
      <w:numPr>
        <w:ilvl w:val="0"/>
        <w:numId w:val="1"/>
      </w:numPr>
    </w:pPr>
  </w:style>
  <w:style w:type="paragraph" w:styleId="15">
    <w:name w:val="Date"/>
    <w:basedOn w:val="1"/>
    <w:next w:val="1"/>
    <w:link w:val="36"/>
    <w:qFormat/>
    <w:uiPriority w:val="0"/>
    <w:pPr>
      <w:ind w:left="100" w:leftChars="2500"/>
    </w:pPr>
    <w:rPr>
      <w:kern w:val="0"/>
      <w:sz w:val="24"/>
      <w:szCs w:val="20"/>
    </w:rPr>
  </w:style>
  <w:style w:type="paragraph" w:styleId="16">
    <w:name w:val="Body Text Indent 2"/>
    <w:basedOn w:val="1"/>
    <w:unhideWhenUsed/>
    <w:qFormat/>
    <w:locked/>
    <w:uiPriority w:val="99"/>
    <w:pPr>
      <w:spacing w:before="240" w:line="360" w:lineRule="auto"/>
      <w:ind w:firstLine="560" w:firstLineChars="200"/>
    </w:pPr>
    <w:rPr>
      <w:sz w:val="28"/>
    </w:rPr>
  </w:style>
  <w:style w:type="paragraph" w:styleId="17">
    <w:name w:val="Balloon Text"/>
    <w:basedOn w:val="1"/>
    <w:link w:val="37"/>
    <w:semiHidden/>
    <w:qFormat/>
    <w:uiPriority w:val="0"/>
    <w:rPr>
      <w:kern w:val="0"/>
      <w:sz w:val="18"/>
      <w:szCs w:val="20"/>
    </w:rPr>
  </w:style>
  <w:style w:type="paragraph" w:styleId="18">
    <w:name w:val="footer"/>
    <w:basedOn w:val="1"/>
    <w:link w:val="38"/>
    <w:qFormat/>
    <w:uiPriority w:val="99"/>
    <w:pPr>
      <w:tabs>
        <w:tab w:val="center" w:pos="4153"/>
        <w:tab w:val="right" w:pos="8306"/>
      </w:tabs>
      <w:snapToGrid w:val="0"/>
      <w:jc w:val="left"/>
    </w:pPr>
    <w:rPr>
      <w:kern w:val="0"/>
      <w:sz w:val="18"/>
      <w:szCs w:val="20"/>
    </w:rPr>
  </w:style>
  <w:style w:type="paragraph" w:styleId="19">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Body Text Indent 3"/>
    <w:basedOn w:val="1"/>
    <w:qFormat/>
    <w:locked/>
    <w:uiPriority w:val="0"/>
    <w:pPr>
      <w:spacing w:after="120"/>
      <w:ind w:left="420" w:leftChars="200"/>
    </w:pPr>
    <w:rPr>
      <w:sz w:val="16"/>
      <w:szCs w:val="16"/>
    </w:rPr>
  </w:style>
  <w:style w:type="paragraph" w:styleId="21">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2"/>
    <w:next w:val="12"/>
    <w:link w:val="41"/>
    <w:semiHidden/>
    <w:qFormat/>
    <w:uiPriority w:val="0"/>
    <w:rPr>
      <w:b/>
    </w:rPr>
  </w:style>
  <w:style w:type="paragraph" w:styleId="23">
    <w:name w:val="Body Text First Indent"/>
    <w:basedOn w:val="9"/>
    <w:next w:val="1"/>
    <w:unhideWhenUsed/>
    <w:qFormat/>
    <w:locked/>
    <w:uiPriority w:val="99"/>
    <w:pPr>
      <w:ind w:firstLine="420" w:firstLineChars="1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qFormat/>
    <w:locked/>
    <w:uiPriority w:val="0"/>
  </w:style>
  <w:style w:type="character" w:styleId="29">
    <w:name w:val="FollowedHyperlink"/>
    <w:qFormat/>
    <w:locked/>
    <w:uiPriority w:val="0"/>
    <w:rPr>
      <w:color w:val="800080"/>
      <w:u w:val="none"/>
    </w:rPr>
  </w:style>
  <w:style w:type="character" w:styleId="30">
    <w:name w:val="Emphasis"/>
    <w:qFormat/>
    <w:locked/>
    <w:uiPriority w:val="0"/>
  </w:style>
  <w:style w:type="character" w:styleId="31">
    <w:name w:val="Hyperlink"/>
    <w:qFormat/>
    <w:locked/>
    <w:uiPriority w:val="0"/>
    <w:rPr>
      <w:color w:val="0000FF"/>
      <w:u w:val="none"/>
    </w:rPr>
  </w:style>
  <w:style w:type="character" w:styleId="32">
    <w:name w:val="annotation reference"/>
    <w:semiHidden/>
    <w:qFormat/>
    <w:uiPriority w:val="0"/>
    <w:rPr>
      <w:sz w:val="21"/>
    </w:rPr>
  </w:style>
  <w:style w:type="character" w:customStyle="1" w:styleId="33">
    <w:name w:val="正文文本 Char"/>
    <w:link w:val="9"/>
    <w:qFormat/>
    <w:locked/>
    <w:uiPriority w:val="0"/>
    <w:rPr>
      <w:sz w:val="18"/>
    </w:rPr>
  </w:style>
  <w:style w:type="character" w:customStyle="1" w:styleId="34">
    <w:name w:val="批注文字 Char"/>
    <w:link w:val="12"/>
    <w:qFormat/>
    <w:locked/>
    <w:uiPriority w:val="0"/>
    <w:rPr>
      <w:rFonts w:ascii="Times New Roman" w:hAnsi="Times New Roman" w:eastAsia="宋体"/>
      <w:sz w:val="24"/>
    </w:rPr>
  </w:style>
  <w:style w:type="character" w:customStyle="1" w:styleId="35">
    <w:name w:val="正文文本缩进 Char"/>
    <w:link w:val="3"/>
    <w:semiHidden/>
    <w:qFormat/>
    <w:locked/>
    <w:uiPriority w:val="0"/>
    <w:rPr>
      <w:rFonts w:ascii="Times New Roman" w:hAnsi="Times New Roman" w:eastAsia="宋体"/>
      <w:sz w:val="24"/>
    </w:rPr>
  </w:style>
  <w:style w:type="character" w:customStyle="1" w:styleId="36">
    <w:name w:val="日期 Char"/>
    <w:link w:val="15"/>
    <w:qFormat/>
    <w:locked/>
    <w:uiPriority w:val="0"/>
    <w:rPr>
      <w:rFonts w:ascii="Times New Roman" w:hAnsi="Times New Roman" w:eastAsia="宋体"/>
      <w:sz w:val="24"/>
    </w:rPr>
  </w:style>
  <w:style w:type="character" w:customStyle="1" w:styleId="37">
    <w:name w:val="批注框文本 Char"/>
    <w:link w:val="17"/>
    <w:semiHidden/>
    <w:qFormat/>
    <w:locked/>
    <w:uiPriority w:val="0"/>
    <w:rPr>
      <w:rFonts w:ascii="Times New Roman" w:hAnsi="Times New Roman" w:eastAsia="宋体"/>
      <w:sz w:val="18"/>
    </w:rPr>
  </w:style>
  <w:style w:type="character" w:customStyle="1" w:styleId="38">
    <w:name w:val="页脚 Char"/>
    <w:link w:val="18"/>
    <w:qFormat/>
    <w:locked/>
    <w:uiPriority w:val="99"/>
    <w:rPr>
      <w:sz w:val="18"/>
    </w:rPr>
  </w:style>
  <w:style w:type="character" w:customStyle="1" w:styleId="39">
    <w:name w:val="页眉 Char"/>
    <w:link w:val="19"/>
    <w:qFormat/>
    <w:locked/>
    <w:uiPriority w:val="0"/>
    <w:rPr>
      <w:sz w:val="18"/>
    </w:rPr>
  </w:style>
  <w:style w:type="character" w:customStyle="1" w:styleId="40">
    <w:name w:val="普通(网站) Char"/>
    <w:link w:val="21"/>
    <w:qFormat/>
    <w:locked/>
    <w:uiPriority w:val="0"/>
    <w:rPr>
      <w:rFonts w:ascii="宋体" w:hAnsi="宋体" w:eastAsia="宋体"/>
      <w:sz w:val="24"/>
    </w:rPr>
  </w:style>
  <w:style w:type="character" w:customStyle="1" w:styleId="41">
    <w:name w:val="批注主题 Char"/>
    <w:link w:val="22"/>
    <w:semiHidden/>
    <w:qFormat/>
    <w:locked/>
    <w:uiPriority w:val="0"/>
    <w:rPr>
      <w:rFonts w:ascii="Times New Roman" w:hAnsi="Times New Roman" w:eastAsia="宋体"/>
      <w:b/>
      <w:kern w:val="2"/>
      <w:sz w:val="24"/>
    </w:rPr>
  </w:style>
  <w:style w:type="character" w:customStyle="1" w:styleId="42">
    <w:name w:val="页脚 字符"/>
    <w:qFormat/>
    <w:uiPriority w:val="99"/>
  </w:style>
  <w:style w:type="character" w:customStyle="1" w:styleId="43">
    <w:name w:val="15"/>
    <w:qFormat/>
    <w:uiPriority w:val="0"/>
    <w:rPr>
      <w:rFonts w:hint="default" w:ascii="Times New Roman" w:hAnsi="Times New Roman" w:cs="Times New Roman"/>
    </w:rPr>
  </w:style>
  <w:style w:type="character" w:customStyle="1" w:styleId="44">
    <w:name w:val="znspantitle"/>
    <w:qFormat/>
    <w:uiPriority w:val="0"/>
    <w:rPr>
      <w:b/>
      <w:color w:val="333333"/>
    </w:rPr>
  </w:style>
  <w:style w:type="character" w:customStyle="1" w:styleId="45">
    <w:name w:val="bsharetext"/>
    <w:qFormat/>
    <w:uiPriority w:val="0"/>
  </w:style>
  <w:style w:type="character" w:customStyle="1" w:styleId="46">
    <w:name w:val="批注文字 字符1"/>
    <w:semiHidden/>
    <w:qFormat/>
    <w:uiPriority w:val="0"/>
    <w:rPr>
      <w:rFonts w:ascii="Times New Roman" w:hAnsi="Times New Roman" w:eastAsia="宋体"/>
      <w:sz w:val="24"/>
    </w:rPr>
  </w:style>
  <w:style w:type="character" w:customStyle="1" w:styleId="47">
    <w:name w:val="正文文本 字符1"/>
    <w:semiHidden/>
    <w:qFormat/>
    <w:uiPriority w:val="0"/>
    <w:rPr>
      <w:rFonts w:ascii="Times New Roman" w:hAnsi="Times New Roman" w:eastAsia="宋体"/>
      <w:sz w:val="24"/>
    </w:rPr>
  </w:style>
  <w:style w:type="character" w:customStyle="1" w:styleId="48">
    <w:name w:val="日期 字符"/>
    <w:semiHidden/>
    <w:qFormat/>
    <w:uiPriority w:val="0"/>
    <w:rPr>
      <w:rFonts w:ascii="Times New Roman" w:hAnsi="Times New Roman" w:eastAsia="宋体"/>
      <w:sz w:val="24"/>
    </w:rPr>
  </w:style>
  <w:style w:type="character" w:customStyle="1" w:styleId="49">
    <w:name w:val="disabled"/>
    <w:qFormat/>
    <w:uiPriority w:val="0"/>
    <w:rPr>
      <w:vanish/>
    </w:rPr>
  </w:style>
  <w:style w:type="character" w:customStyle="1" w:styleId="50">
    <w:name w:val="表格 Char"/>
    <w:link w:val="51"/>
    <w:qFormat/>
    <w:locked/>
    <w:uiPriority w:val="0"/>
    <w:rPr>
      <w:rFonts w:ascii="宋体"/>
      <w:sz w:val="21"/>
    </w:rPr>
  </w:style>
  <w:style w:type="paragraph" w:customStyle="1" w:styleId="51">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paragraph" w:customStyle="1" w:styleId="52">
    <w:name w:val="样式2"/>
    <w:basedOn w:val="1"/>
    <w:qFormat/>
    <w:uiPriority w:val="0"/>
    <w:pPr>
      <w:adjustRightInd w:val="0"/>
      <w:spacing w:line="410" w:lineRule="atLeast"/>
      <w:jc w:val="left"/>
      <w:textAlignment w:val="baseline"/>
    </w:pPr>
    <w:rPr>
      <w:kern w:val="0"/>
      <w:sz w:val="24"/>
      <w:szCs w:val="20"/>
    </w:rPr>
  </w:style>
  <w:style w:type="paragraph" w:customStyle="1" w:styleId="53">
    <w:name w:val="4444表格"/>
    <w:basedOn w:val="1"/>
    <w:qFormat/>
    <w:uiPriority w:val="0"/>
    <w:pPr>
      <w:spacing w:line="300" w:lineRule="exact"/>
      <w:jc w:val="center"/>
    </w:pPr>
    <w:rPr>
      <w:szCs w:val="21"/>
    </w:rPr>
  </w:style>
  <w:style w:type="paragraph" w:customStyle="1" w:styleId="54">
    <w:name w:val="正文+5"/>
    <w:basedOn w:val="55"/>
    <w:next w:val="55"/>
    <w:qFormat/>
    <w:uiPriority w:val="99"/>
    <w:rPr>
      <w:rFonts w:cs="Times New Roman"/>
      <w:color w:val="auto"/>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内容"/>
    <w:basedOn w:val="1"/>
    <w:qFormat/>
    <w:uiPriority w:val="0"/>
    <w:pPr>
      <w:adjustRightInd w:val="0"/>
      <w:jc w:val="center"/>
      <w:textAlignment w:val="baseline"/>
    </w:pPr>
    <w:rPr>
      <w:szCs w:val="21"/>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正文55555"/>
    <w:basedOn w:val="1"/>
    <w:qFormat/>
    <w:uiPriority w:val="0"/>
    <w:pPr>
      <w:widowControl/>
      <w:spacing w:line="360" w:lineRule="auto"/>
      <w:ind w:firstLine="200" w:firstLineChars="200"/>
      <w:jc w:val="left"/>
    </w:pPr>
    <w:rPr>
      <w:kern w:val="0"/>
      <w:sz w:val="24"/>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Table Paragraph"/>
    <w:basedOn w:val="1"/>
    <w:qFormat/>
    <w:uiPriority w:val="1"/>
    <w:pPr>
      <w:widowControl/>
      <w:jc w:val="left"/>
    </w:pPr>
    <w:rPr>
      <w:rFonts w:ascii="Calibri" w:hAnsi="Calibri"/>
      <w:kern w:val="0"/>
      <w:sz w:val="22"/>
      <w:szCs w:val="22"/>
    </w:rPr>
  </w:style>
  <w:style w:type="paragraph" w:customStyle="1" w:styleId="61">
    <w:name w:val="样式 小四 行距: 1.5 倍行距 首行缩进:  2 字符"/>
    <w:basedOn w:val="1"/>
    <w:qFormat/>
    <w:uiPriority w:val="0"/>
    <w:pPr>
      <w:spacing w:line="360" w:lineRule="auto"/>
      <w:ind w:firstLine="480" w:firstLineChars="200"/>
    </w:pPr>
    <w:rPr>
      <w:sz w:val="24"/>
    </w:rPr>
  </w:style>
  <w:style w:type="paragraph" w:customStyle="1" w:styleId="62">
    <w:name w:val="报告书正文"/>
    <w:basedOn w:val="1"/>
    <w:qFormat/>
    <w:uiPriority w:val="0"/>
    <w:pPr>
      <w:adjustRightInd w:val="0"/>
      <w:snapToGrid w:val="0"/>
      <w:spacing w:line="360" w:lineRule="auto"/>
      <w:ind w:firstLine="425"/>
      <w:textAlignment w:val="baseline"/>
    </w:pPr>
    <w:rPr>
      <w:kern w:val="0"/>
      <w:sz w:val="24"/>
      <w:szCs w:val="20"/>
    </w:rPr>
  </w:style>
  <w:style w:type="paragraph" w:customStyle="1" w:styleId="63">
    <w:name w:val="表格文字"/>
    <w:basedOn w:val="11"/>
    <w:qFormat/>
    <w:uiPriority w:val="0"/>
    <w:pPr>
      <w:snapToGrid w:val="0"/>
      <w:ind w:firstLine="0" w:firstLineChars="0"/>
      <w:jc w:val="center"/>
    </w:pPr>
    <w:rPr>
      <w:sz w:val="21"/>
    </w:rPr>
  </w:style>
  <w:style w:type="paragraph" w:customStyle="1" w:styleId="64">
    <w:name w:val="列出段落1"/>
    <w:basedOn w:val="1"/>
    <w:next w:val="1"/>
    <w:qFormat/>
    <w:uiPriority w:val="34"/>
    <w:pPr>
      <w:ind w:firstLine="420" w:firstLineChars="200"/>
    </w:pPr>
  </w:style>
  <w:style w:type="paragraph" w:customStyle="1" w:styleId="65">
    <w:name w:val="li_正文"/>
    <w:basedOn w:val="1"/>
    <w:qFormat/>
    <w:uiPriority w:val="0"/>
    <w:pPr>
      <w:tabs>
        <w:tab w:val="left" w:pos="2340"/>
        <w:tab w:val="left" w:pos="4320"/>
      </w:tabs>
      <w:ind w:firstLine="530" w:firstLineChars="200"/>
      <w:jc w:val="left"/>
    </w:pPr>
    <w:rPr>
      <w:rFonts w:ascii="Calibri" w:hAnsi="Calibri"/>
      <w:sz w:val="28"/>
      <w:szCs w:val="28"/>
    </w:rPr>
  </w:style>
  <w:style w:type="paragraph" w:customStyle="1" w:styleId="66">
    <w:name w:val="样式5"/>
    <w:basedOn w:val="67"/>
    <w:qFormat/>
    <w:uiPriority w:val="0"/>
    <w:pPr>
      <w:snapToGrid w:val="0"/>
      <w:spacing w:line="360" w:lineRule="auto"/>
      <w:ind w:firstLine="510"/>
    </w:pPr>
    <w:rPr>
      <w:sz w:val="24"/>
    </w:rPr>
  </w:style>
  <w:style w:type="paragraph" w:customStyle="1" w:styleId="67">
    <w:name w:val="正文1"/>
    <w:basedOn w:val="1"/>
    <w:next w:val="1"/>
    <w:qFormat/>
    <w:uiPriority w:val="0"/>
    <w:pPr>
      <w:ind w:firstLine="200" w:firstLineChars="200"/>
    </w:pPr>
    <w:rPr>
      <w:rFonts w:hint="eastAsia" w:ascii="仿宋_GB2312" w:eastAsia="仿宋_GB2312"/>
      <w:szCs w:val="20"/>
    </w:rPr>
  </w:style>
  <w:style w:type="character" w:customStyle="1" w:styleId="68">
    <w:name w:val="font41"/>
    <w:qFormat/>
    <w:uiPriority w:val="0"/>
    <w:rPr>
      <w:rFonts w:hint="eastAsia" w:ascii="Microsoft JhengHei" w:hAnsi="Microsoft JhengHei" w:eastAsia="Microsoft JhengHei" w:cs="Microsoft JhengHei"/>
      <w:b/>
      <w:color w:val="000000"/>
      <w:sz w:val="22"/>
      <w:szCs w:val="22"/>
      <w:u w:val="none"/>
    </w:rPr>
  </w:style>
  <w:style w:type="paragraph" w:customStyle="1" w:styleId="69">
    <w:name w:val="图表名"/>
    <w:basedOn w:val="1"/>
    <w:qFormat/>
    <w:uiPriority w:val="0"/>
    <w:pPr>
      <w:tabs>
        <w:tab w:val="left" w:pos="7020"/>
      </w:tabs>
      <w:adjustRightInd w:val="0"/>
      <w:jc w:val="center"/>
      <w:textAlignment w:val="baseline"/>
    </w:pPr>
    <w:rPr>
      <w:rFonts w:cs="黑体"/>
      <w:b/>
      <w:color w:val="000000"/>
      <w:kern w:val="0"/>
      <w:szCs w:val="21"/>
    </w:rPr>
  </w:style>
  <w:style w:type="paragraph" w:customStyle="1" w:styleId="70">
    <w:name w:val="Char Char Char"/>
    <w:basedOn w:val="1"/>
    <w:qFormat/>
    <w:uiPriority w:val="0"/>
    <w:rPr>
      <w:sz w:val="24"/>
    </w:rPr>
  </w:style>
  <w:style w:type="paragraph" w:customStyle="1" w:styleId="71">
    <w:name w:val="表格内文字"/>
    <w:basedOn w:val="1"/>
    <w:qFormat/>
    <w:uiPriority w:val="0"/>
    <w:pPr>
      <w:tabs>
        <w:tab w:val="left" w:pos="0"/>
      </w:tabs>
      <w:adjustRightInd w:val="0"/>
      <w:snapToGrid w:val="0"/>
      <w:jc w:val="center"/>
    </w:pPr>
    <w:rPr>
      <w:rFonts w:eastAsia="仿宋_GB2312"/>
      <w:sz w:val="24"/>
    </w:rPr>
  </w:style>
  <w:style w:type="paragraph" w:styleId="72">
    <w:name w:val="List Paragraph"/>
    <w:basedOn w:val="1"/>
    <w:qFormat/>
    <w:uiPriority w:val="34"/>
    <w:pPr>
      <w:ind w:firstLine="420"/>
    </w:pPr>
  </w:style>
  <w:style w:type="paragraph" w:customStyle="1" w:styleId="73">
    <w:name w:val="正文_17"/>
    <w:qFormat/>
    <w:uiPriority w:val="0"/>
    <w:pPr>
      <w:widowControl w:val="0"/>
      <w:jc w:val="both"/>
    </w:pPr>
    <w:rPr>
      <w:rFonts w:ascii="Calibri" w:hAnsi="Calibri" w:eastAsia="宋体" w:cs="Times New Roman"/>
      <w:kern w:val="2"/>
      <w:sz w:val="21"/>
      <w:lang w:val="en-US" w:eastAsia="zh-CN" w:bidi="ar-SA"/>
    </w:rPr>
  </w:style>
  <w:style w:type="paragraph" w:customStyle="1" w:styleId="74">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75">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76">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77">
    <w:name w:val="正文 首行缩进:  2 字符"/>
    <w:basedOn w:val="1"/>
    <w:qFormat/>
    <w:uiPriority w:val="0"/>
    <w:pPr>
      <w:adjustRightInd w:val="0"/>
      <w:snapToGrid w:val="0"/>
      <w:spacing w:line="500" w:lineRule="exact"/>
      <w:ind w:firstLine="200" w:firstLineChars="200"/>
      <w:jc w:val="left"/>
    </w:pPr>
    <w:rPr>
      <w:rFonts w:cs="宋体"/>
      <w:sz w:val="24"/>
      <w:szCs w:val="20"/>
    </w:rPr>
  </w:style>
  <w:style w:type="paragraph" w:customStyle="1" w:styleId="78">
    <w:name w:val="三级"/>
    <w:basedOn w:val="1"/>
    <w:qFormat/>
    <w:uiPriority w:val="0"/>
    <w:pPr>
      <w:adjustRightInd w:val="0"/>
      <w:snapToGrid w:val="0"/>
      <w:jc w:val="left"/>
      <w:outlineLvl w:val="2"/>
    </w:pPr>
    <w:rPr>
      <w:b/>
      <w:kern w:val="0"/>
    </w:rPr>
  </w:style>
  <w:style w:type="paragraph" w:customStyle="1" w:styleId="79">
    <w:name w:val="表内容"/>
    <w:basedOn w:val="1"/>
    <w:qFormat/>
    <w:uiPriority w:val="0"/>
    <w:pPr>
      <w:adjustRightInd w:val="0"/>
      <w:snapToGrid w:val="0"/>
      <w:jc w:val="center"/>
    </w:pPr>
    <w:rPr>
      <w:rFonts w:eastAsia="Arial"/>
      <w:snapToGrid w:val="0"/>
      <w:kern w:val="0"/>
      <w:szCs w:val="21"/>
    </w:rPr>
  </w:style>
  <w:style w:type="paragraph" w:customStyle="1" w:styleId="80">
    <w:name w:val="店子正文"/>
    <w:basedOn w:val="1"/>
    <w:qFormat/>
    <w:uiPriority w:val="0"/>
    <w:pPr>
      <w:spacing w:line="360" w:lineRule="auto"/>
      <w:ind w:firstLine="200" w:firstLineChars="200"/>
    </w:pPr>
    <w:rPr>
      <w:sz w:val="24"/>
    </w:rPr>
  </w:style>
  <w:style w:type="paragraph" w:customStyle="1" w:styleId="8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JJJJJJJ正文"/>
    <w:basedOn w:val="1"/>
    <w:qFormat/>
    <w:uiPriority w:val="0"/>
    <w:pPr>
      <w:spacing w:line="360" w:lineRule="auto"/>
      <w:ind w:firstLine="200" w:firstLineChars="200"/>
    </w:pPr>
    <w:rPr>
      <w:kern w:val="0"/>
      <w:sz w:val="24"/>
    </w:rPr>
  </w:style>
  <w:style w:type="paragraph" w:customStyle="1" w:styleId="84">
    <w:name w:val="表内"/>
    <w:basedOn w:val="1"/>
    <w:link w:val="89"/>
    <w:qFormat/>
    <w:uiPriority w:val="0"/>
    <w:pPr>
      <w:jc w:val="center"/>
    </w:pPr>
  </w:style>
  <w:style w:type="paragraph" w:customStyle="1" w:styleId="85">
    <w:name w:val="文本正文"/>
    <w:basedOn w:val="1"/>
    <w:link w:val="86"/>
    <w:qFormat/>
    <w:uiPriority w:val="0"/>
    <w:pPr>
      <w:autoSpaceDE w:val="0"/>
      <w:autoSpaceDN w:val="0"/>
      <w:spacing w:line="360" w:lineRule="auto"/>
      <w:ind w:firstLine="200" w:firstLineChars="200"/>
    </w:pPr>
    <w:rPr>
      <w:rFonts w:cs="宋体"/>
      <w:kern w:val="0"/>
      <w:sz w:val="24"/>
      <w:szCs w:val="21"/>
    </w:rPr>
  </w:style>
  <w:style w:type="character" w:customStyle="1" w:styleId="86">
    <w:name w:val="文本正文 Char"/>
    <w:basedOn w:val="26"/>
    <w:link w:val="85"/>
    <w:qFormat/>
    <w:uiPriority w:val="0"/>
    <w:rPr>
      <w:rFonts w:cs="宋体"/>
      <w:sz w:val="24"/>
      <w:szCs w:val="21"/>
    </w:rPr>
  </w:style>
  <w:style w:type="paragraph" w:customStyle="1" w:styleId="87">
    <w:name w:val="表头"/>
    <w:basedOn w:val="1"/>
    <w:link w:val="88"/>
    <w:qFormat/>
    <w:uiPriority w:val="0"/>
    <w:pPr>
      <w:spacing w:line="360" w:lineRule="auto"/>
      <w:jc w:val="center"/>
    </w:pPr>
    <w:rPr>
      <w:rFonts w:ascii="黑体" w:hAnsi="黑体" w:eastAsia="黑体"/>
      <w:b/>
    </w:rPr>
  </w:style>
  <w:style w:type="character" w:customStyle="1" w:styleId="88">
    <w:name w:val="表头 Char"/>
    <w:basedOn w:val="26"/>
    <w:link w:val="87"/>
    <w:qFormat/>
    <w:uiPriority w:val="0"/>
    <w:rPr>
      <w:rFonts w:ascii="黑体" w:hAnsi="黑体" w:eastAsia="黑体"/>
      <w:b/>
      <w:kern w:val="2"/>
      <w:sz w:val="21"/>
      <w:szCs w:val="24"/>
    </w:rPr>
  </w:style>
  <w:style w:type="character" w:customStyle="1" w:styleId="89">
    <w:name w:val="表内 Char"/>
    <w:link w:val="84"/>
    <w:qFormat/>
    <w:uiPriority w:val="0"/>
    <w:rPr>
      <w:kern w:val="2"/>
      <w:sz w:val="21"/>
      <w:szCs w:val="24"/>
    </w:rPr>
  </w:style>
  <w:style w:type="character" w:customStyle="1" w:styleId="90">
    <w:name w:val="表头 Char Char"/>
    <w:qFormat/>
    <w:uiPriority w:val="0"/>
    <w:rPr>
      <w:rFonts w:ascii="黑体" w:hAnsi="黑体" w:eastAsia="黑体" w:cs="宋体"/>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4565B-0D45-48E1-919A-167A8B08D1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8009</Words>
  <Characters>45656</Characters>
  <Lines>380</Lines>
  <Paragraphs>107</Paragraphs>
  <TotalTime>454</TotalTime>
  <ScaleCrop>false</ScaleCrop>
  <LinksUpToDate>false</LinksUpToDate>
  <CharactersWithSpaces>53558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2022-10-28T11:57:00Z</dcterms:created>
  <dc:creator>lhj</dc:creator>
  <cp:lastModifiedBy>pc</cp:lastModifiedBy>
  <cp:lastPrinted>2022-11-07T06:00:00Z</cp:lastPrinted>
  <dcterms:modified xsi:type="dcterms:W3CDTF">2023-11-29T01:32:42Z</dcterms:modified>
  <dc:title>附件2</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E4AE402B8E9544DE80093995164556C0</vt:lpwstr>
  </property>
</Properties>
</file>