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/>
        <w:jc w:val="both"/>
        <w:rPr>
          <w:rFonts w:ascii="黑体" w:hAnsi="黑体" w:eastAsia="黑体" w:cs="黑体"/>
          <w:bCs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张店区市容环卫事业服务中心2020年度</w:t>
      </w:r>
    </w:p>
    <w:p>
      <w:pPr>
        <w:pStyle w:val="4"/>
        <w:widowControl/>
        <w:shd w:val="clear" w:color="auto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both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根据《中华人民共和国政府信息公开条例》及</w:t>
      </w:r>
      <w:r>
        <w:rPr>
          <w:rFonts w:hint="eastAsia"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《关于政府信息公开工作年度报告有关事项的通知》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国办公开办函〔20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20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〕60号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文件要求，对照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政府信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息公开工作年度报告的有关规定，结合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中心实际，特编制张店区市容环卫事业服务中心20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年度政府信息公开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年度报告。本报告中所列数据的统计期限自20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年1月1日起至20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年12月31日止。</w:t>
      </w: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如对本报告有任何疑问，请与张店区市容环卫事业服务中心联系，地址：张店区张周路9号，联系电话：6071311，邮箱：zdqhwjbgs@zb.shandong.cn，邮编：255000。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根据《中华人民共和国政府信息公开条例》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《关于政府信息公开工作年度报告有关事项的通知》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国办公开办函〔20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20</w:t>
      </w:r>
      <w:r>
        <w:rPr>
          <w:rFonts w:eastAsia="仿宋_GB2312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〕60号</w:t>
      </w:r>
      <w:r>
        <w:rPr>
          <w:rFonts w:hint="eastAsia" w:eastAsia="仿宋_GB2312" w:cstheme="minorBidi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和区政府的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000000"/>
          <w:kern w:val="0"/>
          <w:sz w:val="32"/>
          <w:szCs w:val="32"/>
        </w:rPr>
        <w:t>要求，张店区环卫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高度重视政务公开制度体系化建设。截止20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年底，我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政府信息公开工作运行正常，政府信息公开咨询、申请以及答复工作均得到了顺利开展。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年度，共主动公开政府信息全文电子化达100%。对于领导信箱、群众来信、网上咨询等我们做到有问必答，受到社会各界的普遍好评。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不断提升政务公开实效，以现场公示、公开办事程序、重视来信、来访、来电等为载体，对我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的机构职能、规划法律法规和规范性文件、工作动态、项目审批、办事指南和电话等全方位政务信息主动公布于众。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为加大公众在城市规划过程中的知情权、参与权，便于社会监督，提升工作质量，我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有专人负责网站咨询，来信、来访、来电等工作，做到来信必复，问之必答，举报必查，充分听取公众意见，公开接受公众监督。</w:t>
      </w:r>
    </w:p>
    <w:p>
      <w:pPr>
        <w:pStyle w:val="4"/>
        <w:widowControl/>
        <w:shd w:val="clear" w:color="auto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hd w:val="clear"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hd w:val="clear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在政府信息公开工作方面主要存在以下问题：1、信息公开的内容有待进一步完善；2、信息更新还不够及时。针对问题，主要有以下措施：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　1、统一认识，努力规范工作流程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将按照“公开为原则，不公开为例外”的总体要求，进一步梳理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机关以及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所属单位具有依法行使行政职权的单位所掌握的政府信息，及时提供，定期维护，确保政府信息公开工作能按照既定的工作流程有效运作，公众能够方便查询。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2、认真梳理，逐步扩大公开内容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将进一步梳理政府信息，对原有的政府信息公开目录进行补充完善，保证公开信息的完整性和准确性。同时，进一步推进公开信息的电子化，降低公众查询成本。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1B9A4144"/>
    <w:rsid w:val="27980990"/>
    <w:rsid w:val="2E223195"/>
    <w:rsid w:val="37464714"/>
    <w:rsid w:val="40066E40"/>
    <w:rsid w:val="4B24395B"/>
    <w:rsid w:val="4DBB7113"/>
    <w:rsid w:val="56015F00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5</TotalTime>
  <ScaleCrop>false</ScaleCrop>
  <LinksUpToDate>false</LinksUpToDate>
  <CharactersWithSpaces>5864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 Ms. Zhang</cp:lastModifiedBy>
  <cp:lastPrinted>2020-01-09T01:49:00Z</cp:lastPrinted>
  <dcterms:modified xsi:type="dcterms:W3CDTF">2021-01-18T02:54:42Z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