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张店质监分局2010年度政府信息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ascii="仿宋_GB2312" w:eastAsia="仿宋_GB2312" w:cs="仿宋_GB2312"/>
          <w:sz w:val="30"/>
          <w:szCs w:val="30"/>
        </w:rPr>
        <w:t>根据《中华人民共和国政府信息公开条例》、《山东省政府信息公开办法》规定和区政府办的统一部署，我局信息公开领导办公室高度重视，组织人员对2010年以来政府信息公开情况进行了回顾和总结，形成了2010年度我局政府信息公开情况报告。报告全文由概述、主动公开政府信息的情况、依申请公开政府信息的情况、信息公开的收费及减免情况、行政复议、申诉、诉讼的情况、主要问题和改进措施四部分组成。报告中的数据统计期限自2010年1月1日起，2010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按照《中华人民共和国政府信息公开条例》和《山东省政府信息公开办法》等文件的精神，2010年，我局政府信息公开工作结合我局实际，不断完善，在制度建设、机制保障、深化政府信息公开内容、规范政府信息公开申请处理流程等方面取得了一定成效。现将2010年我局政府信息公开的工作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一）加强组织领导，建立健全组织机构。张店质监分局高度重视政府信息公开工作，把政府信息公开纳入年度工作计划，摆上重要议事日程，切实加强组织领导，成立了以副局长孙兆峰为分管领导，法制科、办公室为分管科室的领导机构，确保信息公开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（二）强化全局的信息公开意识。为强化信息公开工作，督促全局各部门履行信息公开职能，局办公室及时督促全局各部门主动进行信息公开和报送工作。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（三）健全政府信息公开的渠道。为确保政府信息公开的效果，我局设置了政务信息公开栏，向社会公布单位职能和收费项目的依据和价格明细。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（四）加强培训和宣传工作。为提高政府信息公开意识，自觉贯彻落实《政府信息公开规定》，我局积极组织集中学习和培训，把提高信息公开工作人员的能力作为抓手，努力提高信息公开工作水平。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二、主动公开政府信息以及公开平台建设情况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（一）公开的内容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2010年，我局共公开关于机构职能、政策法规、业务工作、收费标准等</w:t>
      </w:r>
      <w:r>
        <w:rPr>
          <w:rFonts w:hint="default" w:ascii="仿宋_GB2312" w:eastAsia="仿宋_GB2312" w:cs="仿宋_GB2312"/>
          <w:color w:val="000000"/>
          <w:sz w:val="30"/>
          <w:szCs w:val="30"/>
        </w:rPr>
        <w:t>信息279条</w:t>
      </w:r>
      <w:r>
        <w:rPr>
          <w:rFonts w:hint="default" w:ascii="仿宋_GB2312" w:eastAsia="仿宋_GB2312" w:cs="仿宋_GB2312"/>
          <w:sz w:val="30"/>
          <w:szCs w:val="30"/>
        </w:rPr>
        <w:t>（具体数据见附件一）。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（二）公开形式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我局政府信息公开的主要方式是在淄博金质网、区行政服务中心质监窗口、局办公楼展板等。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三、依申请公开政府信息办理情况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（一）依申请公开的方式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我局依申请公开主要有当面申请、传真申请、电子邮件申请、网上申请、信函申请等五种形式。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（二）我局2010年度没有收到要求信息公开的申请。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四、信息公开的收费及减免情况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我局信息公开不收取费用。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五、行政复议、申诉、诉讼的情况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2010年，我局未发生因政府信息公开申请的行政复议、申诉、诉讼案件。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六、政府信息公开保密审查及监督检查情况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明确局法制科和办公室为信息公开的工作部门，负责指导、协调、监督全系统信息公开工作，制定政府信息公开保密审查制度，信息公开前有专人负责信息涉密情况的审查工作，并把政府信息公开工作责任明确到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2"/>
        <w:textAlignment w:val="auto"/>
      </w:pPr>
      <w:r>
        <w:rPr>
          <w:rStyle w:val="5"/>
          <w:rFonts w:hint="default" w:ascii="仿宋_GB2312" w:eastAsia="仿宋_GB2312" w:cs="仿宋_GB2312"/>
          <w:sz w:val="30"/>
          <w:szCs w:val="30"/>
        </w:rPr>
        <w:t>七、存在问题和改进情况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目前，政府信息公开主要在深化公开内容、规范信息公开行为、加强基础性工作方面存在不足，将从以下方面作进一步的改进：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（一）深化政府信息公开内容。以社会关注度高、公共利益大的政府信息作为突破口，逐步探索形成工作规则；继续推行重大决定草案公开工作。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（二）规范政府信息公开行为。进一步规范信息公开流程；开展公文类信息的备案登记工作；开展政府信息公开建议改进工作，完善相关制度。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（三）加强基础性工作。加强政府信息公开咨询服务工作；加强宣传和普及力度，提高公众对政府信息公开的认知度。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345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淄博市质量技术监督局张店分局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050"/>
        <w:textAlignment w:val="auto"/>
      </w:pPr>
      <w:r>
        <w:rPr>
          <w:rFonts w:hint="default" w:ascii="仿宋_GB2312" w:eastAsia="仿宋_GB2312" w:cs="仿宋_GB2312"/>
          <w:sz w:val="30"/>
          <w:szCs w:val="30"/>
        </w:rPr>
        <w:t>二0一0年二月十四日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  <w:r>
        <w:rPr>
          <w:rStyle w:val="5"/>
          <w:rFonts w:hint="eastAsia" w:ascii="宋体" w:hAnsi="宋体" w:eastAsia="宋体" w:cs="宋体"/>
          <w:sz w:val="36"/>
          <w:szCs w:val="36"/>
        </w:rPr>
        <w:t>附件一：2010年度政府信息公开工作情况统计表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</w:pPr>
      <w:r>
        <w:rPr>
          <w:rStyle w:val="5"/>
          <w:rFonts w:ascii="楷体_GB2312" w:eastAsia="楷体_GB2312" w:cs="楷体_GB2312"/>
          <w:sz w:val="24"/>
          <w:szCs w:val="24"/>
        </w:rPr>
        <w:t>（区政府各部门、各有关单位填写）</w:t>
      </w:r>
    </w:p>
    <w:tbl>
      <w:tblPr>
        <w:tblW w:w="0" w:type="auto"/>
        <w:tblInd w:w="-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58"/>
        <w:gridCol w:w="924"/>
        <w:gridCol w:w="170"/>
        <w:gridCol w:w="785"/>
        <w:gridCol w:w="334"/>
        <w:gridCol w:w="255"/>
        <w:gridCol w:w="354"/>
        <w:gridCol w:w="502"/>
        <w:gridCol w:w="469"/>
        <w:gridCol w:w="385"/>
        <w:gridCol w:w="262"/>
        <w:gridCol w:w="313"/>
        <w:gridCol w:w="809"/>
        <w:gridCol w:w="14"/>
        <w:gridCol w:w="114"/>
        <w:gridCol w:w="7"/>
        <w:gridCol w:w="9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6857" w:type="dxa"/>
            <w:gridSpan w:val="16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淄博市质量技术监督局张店分局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83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2537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杨培华</w:t>
            </w: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bdr w:val="none" w:color="auto" w:sz="0" w:space="0"/>
              </w:rPr>
              <w:t>2210477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71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主动公开信息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sz w:val="15"/>
                <w:szCs w:val="15"/>
                <w:bdr w:val="none" w:color="auto" w:sz="0" w:space="0"/>
              </w:rPr>
              <w:t xml:space="preserve">    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分</w:t>
            </w:r>
            <w:r>
              <w:rPr>
                <w:rStyle w:val="5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类</w:t>
            </w: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统</w:t>
            </w:r>
            <w:r>
              <w:rPr>
                <w:rStyle w:val="5"/>
                <w:spacing w:val="-1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机构职能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政策法规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规划计划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业务工作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统计数据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其他信息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数量（条）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比例（</w:t>
            </w:r>
            <w:r>
              <w:rPr>
                <w:rStyle w:val="5"/>
                <w:bdr w:val="none" w:color="auto" w:sz="0" w:space="0"/>
              </w:rPr>
              <w:t>%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）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18%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12%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7%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10%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9%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44%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备</w:t>
            </w:r>
            <w:r>
              <w:rPr>
                <w:rStyle w:val="5"/>
                <w:bdr w:val="none" w:color="auto" w:sz="0" w:space="0"/>
              </w:rPr>
              <w:t xml:space="preserve">    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注</w:t>
            </w:r>
          </w:p>
        </w:tc>
        <w:tc>
          <w:tcPr>
            <w:tcW w:w="6857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本年度主动公开政府信息总计</w:t>
            </w:r>
            <w:r>
              <w:rPr>
                <w:color w:val="000000"/>
                <w:u w:val="single"/>
                <w:bdr w:val="none" w:color="auto" w:sz="0" w:space="0"/>
              </w:rPr>
              <w:t> 279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条，累计主动公开政府信息总计</w:t>
            </w:r>
            <w:r>
              <w:rPr>
                <w:color w:val="000000"/>
                <w:u w:val="single"/>
                <w:bdr w:val="none" w:color="auto" w:sz="0" w:space="0"/>
              </w:rPr>
              <w:t xml:space="preserve">279    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71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113" w:firstLine="435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依申请公开信息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spacing w:val="-10"/>
                <w:sz w:val="15"/>
                <w:szCs w:val="15"/>
                <w:bdr w:val="none" w:color="auto" w:sz="0" w:space="0"/>
              </w:rPr>
              <w:t xml:space="preserve">   </w:t>
            </w:r>
            <w:r>
              <w:rPr>
                <w:rStyle w:val="5"/>
                <w:spacing w:val="-12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pacing w:val="-12"/>
                <w:sz w:val="18"/>
                <w:szCs w:val="18"/>
                <w:bdr w:val="none" w:color="auto" w:sz="0" w:space="0"/>
              </w:rPr>
              <w:t>申请形式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统</w:t>
            </w:r>
            <w:r>
              <w:rPr>
                <w:rStyle w:val="5"/>
                <w:spacing w:val="-1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计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当面申请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网站提交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电子邮件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传</w:t>
            </w:r>
            <w:r>
              <w:rPr>
                <w:rStyle w:val="5"/>
                <w:bdr w:val="none" w:color="auto" w:sz="0" w:space="0"/>
              </w:rPr>
              <w:t xml:space="preserve">    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真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信</w:t>
            </w:r>
            <w:r>
              <w:rPr>
                <w:rStyle w:val="5"/>
                <w:bdr w:val="none" w:color="auto" w:sz="0" w:space="0"/>
              </w:rPr>
              <w:t xml:space="preserve">    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函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其他形式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数量（条）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比例（</w:t>
            </w:r>
            <w:r>
              <w:rPr>
                <w:rStyle w:val="5"/>
                <w:bdr w:val="none" w:color="auto" w:sz="0" w:space="0"/>
              </w:rPr>
              <w:t>%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）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spacing w:val="-10"/>
                <w:sz w:val="15"/>
                <w:szCs w:val="15"/>
                <w:bdr w:val="none" w:color="auto" w:sz="0" w:space="0"/>
              </w:rPr>
              <w:t xml:space="preserve">    </w:t>
            </w:r>
            <w:r>
              <w:rPr>
                <w:rStyle w:val="5"/>
                <w:rFonts w:hint="eastAsia" w:ascii="宋体" w:hAnsi="宋体" w:eastAsia="宋体" w:cs="宋体"/>
                <w:spacing w:val="-12"/>
                <w:sz w:val="18"/>
                <w:szCs w:val="18"/>
                <w:bdr w:val="none" w:color="auto" w:sz="0" w:space="0"/>
              </w:rPr>
              <w:t>处理情况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统</w:t>
            </w:r>
            <w:r>
              <w:rPr>
                <w:rStyle w:val="5"/>
                <w:spacing w:val="-1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同意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公开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部分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公开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不予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公开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非本机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关掌握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不存在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内容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不明确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数量（条）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比例（</w:t>
            </w:r>
            <w:r>
              <w:rPr>
                <w:rStyle w:val="5"/>
                <w:bdr w:val="none" w:color="auto" w:sz="0" w:space="0"/>
              </w:rPr>
              <w:t>%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spacing w:val="-10"/>
                <w:sz w:val="15"/>
                <w:szCs w:val="15"/>
                <w:bdr w:val="none" w:color="auto" w:sz="0" w:space="0"/>
              </w:rPr>
              <w:t xml:space="preserve">   </w:t>
            </w:r>
            <w:r>
              <w:rPr>
                <w:rStyle w:val="5"/>
                <w:spacing w:val="-12"/>
                <w:sz w:val="15"/>
                <w:szCs w:val="15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pacing w:val="-12"/>
                <w:sz w:val="18"/>
                <w:szCs w:val="18"/>
                <w:bdr w:val="none" w:color="auto" w:sz="0" w:space="0"/>
              </w:rPr>
              <w:t>收费情况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统</w:t>
            </w:r>
            <w:r>
              <w:rPr>
                <w:rStyle w:val="5"/>
                <w:spacing w:val="-1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spacing w:val="-10"/>
                <w:sz w:val="18"/>
                <w:szCs w:val="18"/>
                <w:bdr w:val="none" w:color="auto" w:sz="0" w:space="0"/>
              </w:rPr>
              <w:t>计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收缴费用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减免费用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数量（件）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金额（元）</w:t>
            </w: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  <w:tc>
          <w:tcPr>
            <w:tcW w:w="34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35"/>
              <w:jc w:val="center"/>
              <w:textAlignment w:val="auto"/>
            </w:pPr>
            <w:r>
              <w:rPr>
                <w:rStyle w:val="5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1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备</w:t>
            </w:r>
            <w:r>
              <w:rPr>
                <w:rStyle w:val="5"/>
                <w:bdr w:val="none" w:color="auto" w:sz="0" w:space="0"/>
              </w:rPr>
              <w:t xml:space="preserve">    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注</w:t>
            </w:r>
          </w:p>
        </w:tc>
        <w:tc>
          <w:tcPr>
            <w:tcW w:w="6857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网站提交（电子邮件）申请数：指公民、法人和其他组织通过网上提交申请表格（电子邮件方式）向从事政府信息公开事务的工作人员提出申请公开信息的请求数。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6" w:hRule="atLeast"/>
        </w:trPr>
        <w:tc>
          <w:tcPr>
            <w:tcW w:w="7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投诉行政复议行政诉讼</w:t>
            </w:r>
          </w:p>
        </w:tc>
        <w:tc>
          <w:tcPr>
            <w:tcW w:w="792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20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本年度受理政府信息公开咨询</w:t>
            </w:r>
            <w:r>
              <w:rPr>
                <w:spacing w:val="-4"/>
                <w:u w:val="single"/>
                <w:bdr w:val="none" w:color="auto" w:sz="0" w:space="0"/>
              </w:rPr>
              <w:t> 0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人次，其中现场咨询</w:t>
            </w:r>
            <w:r>
              <w:rPr>
                <w:spacing w:val="-4"/>
                <w:u w:val="single"/>
                <w:bdr w:val="none" w:color="auto" w:sz="0" w:space="0"/>
              </w:rPr>
              <w:t> 0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人次，电话咨询</w:t>
            </w:r>
            <w:r>
              <w:rPr>
                <w:spacing w:val="-4"/>
                <w:u w:val="single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人次，网上咨询</w:t>
            </w:r>
            <w:r>
              <w:rPr>
                <w:spacing w:val="-4"/>
                <w:u w:val="single"/>
                <w:bdr w:val="none" w:color="auto" w:sz="0" w:space="0"/>
              </w:rPr>
              <w:t> 0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人次。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20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本年度受理政府信息公开投诉</w:t>
            </w:r>
            <w:r>
              <w:rPr>
                <w:spacing w:val="-4"/>
                <w:u w:val="single"/>
                <w:bdr w:val="none" w:color="auto" w:sz="0" w:space="0"/>
              </w:rPr>
              <w:t> 0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件，已办结</w:t>
            </w:r>
            <w:r>
              <w:rPr>
                <w:spacing w:val="-4"/>
                <w:u w:val="single"/>
                <w:bdr w:val="none" w:color="auto" w:sz="0" w:space="0"/>
              </w:rPr>
              <w:t xml:space="preserve">   0 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20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本年度受理政府信息公开行政复议</w:t>
            </w:r>
            <w:r>
              <w:rPr>
                <w:bdr w:val="none" w:color="auto" w:sz="0" w:space="0"/>
              </w:rPr>
              <w:t>0</w:t>
            </w:r>
            <w:r>
              <w:rPr>
                <w:spacing w:val="-4"/>
                <w:u w:val="single"/>
                <w:bdr w:val="none" w:color="auto" w:sz="0" w:space="0"/>
              </w:rPr>
              <w:t xml:space="preserve">   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件，已办结</w:t>
            </w:r>
            <w:r>
              <w:rPr>
                <w:spacing w:val="-4"/>
                <w:u w:val="single"/>
                <w:bdr w:val="none" w:color="auto" w:sz="0" w:space="0"/>
              </w:rPr>
              <w:t> 0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20"/>
              <w:textAlignment w:val="auto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本年度被提起政府信息公开行政诉讼</w:t>
            </w:r>
            <w:r>
              <w:rPr>
                <w:spacing w:val="-4"/>
                <w:u w:val="single"/>
                <w:bdr w:val="none" w:color="auto" w:sz="0" w:space="0"/>
              </w:rPr>
              <w:t> 0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</w:trPr>
        <w:tc>
          <w:tcPr>
            <w:tcW w:w="71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7927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</w:pPr>
            <w:r>
              <w:rPr>
                <w:u w:val="singl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420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本年度政府信息公开工作指定专职人员</w:t>
            </w:r>
            <w:r>
              <w:rPr>
                <w:color w:val="000000"/>
                <w:spacing w:val="-4"/>
                <w:u w:val="single"/>
                <w:bdr w:val="none" w:color="auto" w:sz="0" w:space="0"/>
              </w:rPr>
              <w:t xml:space="preserve"> 0    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人，其中全职人员</w:t>
            </w:r>
            <w:r>
              <w:rPr>
                <w:color w:val="000000"/>
                <w:spacing w:val="-4"/>
                <w:u w:val="single"/>
                <w:bdr w:val="none" w:color="auto" w:sz="0" w:space="0"/>
              </w:rPr>
              <w:t>   0 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人，兼职人员</w:t>
            </w:r>
            <w:r>
              <w:rPr>
                <w:color w:val="000000"/>
                <w:spacing w:val="-4"/>
                <w:u w:val="single"/>
                <w:bdr w:val="none" w:color="auto" w:sz="0" w:space="0"/>
              </w:rPr>
              <w:t xml:space="preserve"> 3   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人。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</w:trPr>
        <w:tc>
          <w:tcPr>
            <w:tcW w:w="71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其他情况</w:t>
            </w:r>
          </w:p>
        </w:tc>
        <w:tc>
          <w:tcPr>
            <w:tcW w:w="7927" w:type="dxa"/>
            <w:gridSpan w:val="1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3306"/>
              <w:textAlignment w:val="auto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3306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6671C"/>
    <w:rsid w:val="0B56671C"/>
    <w:rsid w:val="1F6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2020-12-22T12:51:00Z</dcterms:created>
  <dc:creator>imdld</dc:creator>
  <cp:lastModifiedBy>imdld</cp:lastModifiedBy>
  <dcterms:modified xsi:type="dcterms:W3CDTF">2020-12-22T12:52:12Z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