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jc w:val="left"/>
        <w:textAlignment w:val="auto"/>
        <w:rPr>
          <w:rFonts w:hint="eastAsia" w:ascii="宋体" w:hAnsi="宋体" w:eastAsia="宋体" w:cs="Times New Roman"/>
          <w:b/>
          <w:bCs/>
          <w:sz w:val="36"/>
          <w:szCs w:val="36"/>
          <w:lang w:eastAsia="zh-CN"/>
        </w:rPr>
      </w:pPr>
      <w:r>
        <w:rPr>
          <w:rFonts w:hint="eastAsia" w:ascii="宋体" w:hAnsi="宋体" w:eastAsia="宋体" w:cs="Times New Roman"/>
          <w:b/>
          <w:bCs/>
          <w:sz w:val="36"/>
          <w:szCs w:val="36"/>
        </w:rPr>
        <w:t>附件</w:t>
      </w:r>
      <w:r>
        <w:rPr>
          <w:rFonts w:hint="eastAsia" w:ascii="宋体" w:hAnsi="宋体" w:eastAsia="宋体" w:cs="Times New Roman"/>
          <w:b/>
          <w:bCs/>
          <w:sz w:val="36"/>
          <w:szCs w:val="36"/>
          <w:lang w:val="en-US" w:eastAsia="zh-CN"/>
        </w:rPr>
        <w:t>3</w:t>
      </w:r>
    </w:p>
    <w:p>
      <w:pPr>
        <w:keepNext w:val="0"/>
        <w:keepLines w:val="0"/>
        <w:pageBreakBefore w:val="0"/>
        <w:widowControl/>
        <w:kinsoku/>
        <w:wordWrap/>
        <w:overflowPunct/>
        <w:topLinePunct w:val="0"/>
        <w:autoSpaceDE/>
        <w:autoSpaceDN/>
        <w:bidi w:val="0"/>
        <w:adjustRightInd/>
        <w:snapToGrid/>
        <w:jc w:val="center"/>
        <w:textAlignment w:val="auto"/>
        <w:rPr>
          <w:rFonts w:ascii="黑体" w:hAnsi="黑体" w:eastAsia="黑体" w:cs="Times New Roman"/>
          <w:sz w:val="44"/>
          <w:szCs w:val="44"/>
        </w:rPr>
      </w:pPr>
      <w:r>
        <w:rPr>
          <w:rFonts w:hint="eastAsia" w:ascii="黑体" w:hAnsi="黑体" w:eastAsia="黑体" w:cs="Times New Roman"/>
          <w:sz w:val="44"/>
          <w:szCs w:val="44"/>
        </w:rPr>
        <w:t>关于部分检验项目的说明</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562" w:firstLineChars="200"/>
        <w:jc w:val="both"/>
        <w:textAlignment w:val="auto"/>
        <w:rPr>
          <w:rFonts w:hint="eastAsia" w:ascii="仿宋" w:hAnsi="仿宋" w:eastAsia="仿宋" w:cs="仿宋"/>
          <w:b/>
          <w:bCs/>
          <w:kern w:val="2"/>
          <w:sz w:val="28"/>
          <w:szCs w:val="28"/>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562" w:firstLineChars="200"/>
        <w:jc w:val="both"/>
        <w:textAlignment w:val="auto"/>
        <w:rPr>
          <w:rFonts w:hint="eastAsia" w:ascii="仿宋" w:hAnsi="仿宋" w:eastAsia="仿宋" w:cs="仿宋"/>
          <w:b/>
          <w:bCs/>
          <w:kern w:val="2"/>
          <w:sz w:val="28"/>
          <w:szCs w:val="28"/>
          <w:lang w:val="en-US" w:eastAsia="zh-CN" w:bidi="ar-SA"/>
        </w:rPr>
      </w:pPr>
      <w:r>
        <w:rPr>
          <w:rFonts w:hint="eastAsia" w:ascii="仿宋" w:hAnsi="仿宋" w:eastAsia="仿宋" w:cs="仿宋"/>
          <w:b/>
          <w:bCs/>
          <w:kern w:val="2"/>
          <w:sz w:val="28"/>
          <w:szCs w:val="28"/>
          <w:lang w:val="en-US" w:eastAsia="zh-CN" w:bidi="ar-SA"/>
        </w:rPr>
        <w:t>一、噻虫胺</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560" w:firstLineChars="200"/>
        <w:jc w:val="both"/>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噻虫胺是新烟碱类中的一种杀虫剂，是一类高效安全、高选择性的新型杀虫剂，主要用于水稻、蔬菜、果树及其他作物上防治蚜虫、叶蝉、蓟马、飞虱等半翅目、鞘翅目、双翅目和某些鳞翅目类害虫。噻虫胺具有高效、广谱、用量少、毒性低、药效持效期长、对作物无药害、使用安全、与常规农药无交互抗性等优点，有卓越的内吸和渗透作用，是替代高毒有机磷农药的又一品种。但长期食用农药残留超标的食品，对人体健康有一定影响。</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562" w:firstLineChars="200"/>
        <w:jc w:val="both"/>
        <w:textAlignment w:val="auto"/>
        <w:rPr>
          <w:rFonts w:hint="eastAsia" w:ascii="仿宋" w:hAnsi="仿宋" w:eastAsia="仿宋" w:cs="仿宋"/>
          <w:b/>
          <w:bCs/>
          <w:kern w:val="2"/>
          <w:sz w:val="28"/>
          <w:szCs w:val="28"/>
          <w:lang w:val="en-US" w:eastAsia="zh-CN" w:bidi="ar-SA"/>
        </w:rPr>
      </w:pPr>
      <w:r>
        <w:rPr>
          <w:rFonts w:hint="eastAsia" w:ascii="仿宋" w:hAnsi="仿宋" w:eastAsia="仿宋" w:cs="仿宋"/>
          <w:b/>
          <w:bCs/>
          <w:kern w:val="2"/>
          <w:sz w:val="28"/>
          <w:szCs w:val="28"/>
          <w:lang w:val="en-US" w:eastAsia="zh-CN" w:bidi="ar-SA"/>
        </w:rPr>
        <w:t>二、噻虫嗪</w:t>
      </w:r>
    </w:p>
    <w:p>
      <w:pPr>
        <w:pStyle w:val="12"/>
        <w:ind w:left="0" w:leftChars="0" w:firstLine="560" w:firstLineChars="200"/>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噻虫嗪是一种全新结构的第二代烟碱类高效低毒杀虫剂，对害虫具有胃毒、触杀及内吸活性，用于叶面喷雾及土壤灌根处理。如果长期食用噻虫嗪超标的食品，可能会对身体健康造成影响。</w:t>
      </w:r>
    </w:p>
    <w:p>
      <w:pPr>
        <w:pStyle w:val="12"/>
        <w:ind w:left="0" w:leftChars="0" w:firstLine="562" w:firstLineChars="200"/>
        <w:rPr>
          <w:rFonts w:hint="eastAsia" w:ascii="仿宋" w:hAnsi="仿宋" w:eastAsia="仿宋" w:cs="仿宋"/>
          <w:b/>
          <w:bCs/>
          <w:kern w:val="2"/>
          <w:sz w:val="28"/>
          <w:szCs w:val="28"/>
          <w:lang w:val="en-US" w:eastAsia="zh-CN" w:bidi="ar-SA"/>
        </w:rPr>
      </w:pPr>
      <w:r>
        <w:rPr>
          <w:rFonts w:hint="eastAsia" w:ascii="仿宋" w:hAnsi="仿宋" w:eastAsia="仿宋" w:cs="仿宋"/>
          <w:b/>
          <w:bCs/>
          <w:kern w:val="2"/>
          <w:sz w:val="28"/>
          <w:szCs w:val="28"/>
          <w:lang w:val="en-US" w:eastAsia="zh-CN" w:bidi="ar-SA"/>
        </w:rPr>
        <w:t>三、吡虫啉</w:t>
      </w:r>
    </w:p>
    <w:p>
      <w:pPr>
        <w:pStyle w:val="12"/>
        <w:ind w:left="0" w:leftChars="0" w:firstLine="560" w:firstLineChars="200"/>
        <w:rPr>
          <w:rFonts w:hint="eastAsia" w:ascii="仿宋" w:hAnsi="仿宋" w:eastAsia="仿宋" w:cs="仿宋"/>
          <w:b w:val="0"/>
          <w:bCs w:val="0"/>
          <w:kern w:val="2"/>
          <w:sz w:val="28"/>
          <w:szCs w:val="28"/>
          <w:lang w:val="en-US" w:eastAsia="zh-CN" w:bidi="ar-SA"/>
        </w:rPr>
      </w:pPr>
      <w:r>
        <w:rPr>
          <w:rFonts w:hint="eastAsia" w:ascii="仿宋" w:hAnsi="仿宋" w:eastAsia="仿宋" w:cs="仿宋"/>
          <w:b w:val="0"/>
          <w:bCs w:val="0"/>
          <w:kern w:val="2"/>
          <w:sz w:val="28"/>
          <w:szCs w:val="28"/>
          <w:lang w:val="en-US" w:eastAsia="zh-CN" w:bidi="ar-SA"/>
        </w:rPr>
        <w:t>吡虫啉属内吸性杀虫剂，具有触杀和胃毒作用。少量的残留不会引起人体急性中毒，但长期食用吡虫啉超标的食品，对人体健康可能有一定影响。吡虫啉残留量超标的原因，可能是为快速控制虫害，加大用药量或未遵守采摘间隔期规定，致使上市销售的产品中残留量超标。</w:t>
      </w:r>
    </w:p>
    <w:p>
      <w:pPr>
        <w:pStyle w:val="12"/>
        <w:ind w:left="0" w:leftChars="0" w:firstLine="562" w:firstLineChars="200"/>
        <w:rPr>
          <w:rFonts w:hint="eastAsia" w:ascii="仿宋" w:hAnsi="仿宋" w:eastAsia="仿宋" w:cs="仿宋"/>
          <w:b/>
          <w:bCs/>
          <w:kern w:val="2"/>
          <w:sz w:val="28"/>
          <w:szCs w:val="28"/>
          <w:lang w:val="en-US" w:eastAsia="zh-CN" w:bidi="ar-SA"/>
        </w:rPr>
      </w:pPr>
      <w:r>
        <w:rPr>
          <w:rFonts w:hint="eastAsia" w:ascii="仿宋" w:hAnsi="仿宋" w:eastAsia="仿宋" w:cs="仿宋"/>
          <w:b/>
          <w:bCs/>
          <w:kern w:val="2"/>
          <w:sz w:val="28"/>
          <w:szCs w:val="28"/>
          <w:lang w:val="en-US" w:eastAsia="zh-CN" w:bidi="ar-SA"/>
        </w:rPr>
        <w:t>四、啶虫脒</w:t>
      </w:r>
    </w:p>
    <w:p>
      <w:pPr>
        <w:pStyle w:val="12"/>
        <w:ind w:left="0" w:leftChars="0" w:firstLine="560" w:firstLineChars="200"/>
        <w:rPr>
          <w:rFonts w:hint="eastAsia" w:ascii="仿宋" w:hAnsi="仿宋" w:eastAsia="仿宋" w:cs="仿宋"/>
          <w:kern w:val="2"/>
          <w:sz w:val="28"/>
          <w:szCs w:val="28"/>
          <w:lang w:val="en-US" w:eastAsia="zh-CN" w:bidi="ar-SA"/>
        </w:rPr>
      </w:pPr>
      <w:r>
        <w:rPr>
          <w:rFonts w:hint="eastAsia" w:ascii="仿宋" w:hAnsi="仿宋" w:eastAsia="仿宋" w:cs="仿宋"/>
          <w:b w:val="0"/>
          <w:bCs w:val="0"/>
          <w:kern w:val="2"/>
          <w:sz w:val="28"/>
          <w:szCs w:val="28"/>
          <w:lang w:val="en-US" w:eastAsia="zh-CN" w:bidi="ar-SA"/>
        </w:rPr>
        <w:t>啶虫脒属氯化烟碱类化合物，是一种新型杀虫剂。其广泛用于水稻，尤其蔬菜、果树、茶叶的蚜虫、飞虱、蓟马、部分鳞翅目害虫等的防治。啶虫脒为低毒杀虫剂，但对人体仍有一定的危害。</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562" w:firstLineChars="200"/>
        <w:jc w:val="both"/>
        <w:textAlignment w:val="auto"/>
        <w:rPr>
          <w:rFonts w:hint="eastAsia" w:ascii="仿宋" w:hAnsi="仿宋" w:eastAsia="仿宋" w:cs="仿宋"/>
          <w:b/>
          <w:bCs/>
          <w:kern w:val="2"/>
          <w:sz w:val="28"/>
          <w:szCs w:val="28"/>
          <w:lang w:val="en-US" w:eastAsia="zh-CN" w:bidi="ar-SA"/>
        </w:rPr>
      </w:pPr>
      <w:r>
        <w:rPr>
          <w:rFonts w:hint="eastAsia" w:ascii="仿宋" w:hAnsi="仿宋" w:eastAsia="仿宋" w:cs="仿宋"/>
          <w:b/>
          <w:bCs/>
          <w:kern w:val="2"/>
          <w:sz w:val="28"/>
          <w:szCs w:val="28"/>
          <w:lang w:val="en-US" w:eastAsia="zh-CN" w:bidi="ar-SA"/>
        </w:rPr>
        <w:t>五、大肠菌群</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560" w:firstLineChars="200"/>
        <w:jc w:val="both"/>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大肠菌群指的是具有某些特性的一组与粪便污染有关的细菌。大</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肠菌群是作为粪便污染指标菌提出来的，大肠菌群数的高低，表明了受污染的程度，也反映了对人体健康危害的大小。</w:t>
      </w:r>
    </w:p>
    <w:p>
      <w:pPr>
        <w:ind w:firstLine="560" w:firstLineChars="200"/>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按照《食品安全国家标准消毒餐（饮）具》（GB14934-2016）规定，餐具中不得检出大肠菌群，如有检出，则证明餐饮具受到了大肠菌群的污染，清洗消毒不彻底。餐具的清洁与否，直接决定着食品安全，大肠菌群不合格的原因可能是餐饮单位对加工制作空间环境卫生和个人卫生重视不够，生熟食材器具未分开摆放；餐具清洗消毒工作不到位，个别单位消毒设备设施不够完备，个别不具备高温消毒设施，仅采用紫外消毒工具进行消毒，消毒过程不符合消毒规程。也有可能是消毒过后存放过长时间再次产生污染造成。</w:t>
      </w:r>
    </w:p>
    <w:p>
      <w:pPr>
        <w:pStyle w:val="12"/>
        <w:ind w:left="0" w:leftChars="0" w:firstLine="562" w:firstLineChars="200"/>
        <w:rPr>
          <w:rFonts w:hint="eastAsia" w:ascii="仿宋" w:hAnsi="仿宋" w:eastAsia="仿宋" w:cs="仿宋"/>
          <w:b/>
          <w:bCs/>
          <w:kern w:val="2"/>
          <w:sz w:val="28"/>
          <w:szCs w:val="28"/>
          <w:lang w:val="en-US" w:eastAsia="zh-CN" w:bidi="ar-SA"/>
        </w:rPr>
      </w:pPr>
      <w:r>
        <w:rPr>
          <w:rFonts w:hint="eastAsia" w:ascii="仿宋" w:hAnsi="仿宋" w:eastAsia="仿宋" w:cs="仿宋"/>
          <w:b/>
          <w:bCs/>
          <w:kern w:val="2"/>
          <w:sz w:val="28"/>
          <w:szCs w:val="28"/>
          <w:lang w:val="en-US" w:eastAsia="zh-CN" w:bidi="ar-SA"/>
        </w:rPr>
        <w:t>六、黄曲霉毒素B1</w:t>
      </w:r>
    </w:p>
    <w:p>
      <w:pPr>
        <w:ind w:firstLine="560" w:firstLineChars="200"/>
        <w:rPr>
          <w:rFonts w:ascii="仿宋" w:hAnsi="仿宋" w:eastAsia="仿宋" w:cs="Arial"/>
          <w:sz w:val="28"/>
          <w:szCs w:val="28"/>
        </w:rPr>
      </w:pPr>
      <w:r>
        <w:rPr>
          <w:rFonts w:ascii="仿宋" w:hAnsi="仿宋" w:eastAsia="仿宋" w:cs="Arial"/>
          <w:sz w:val="28"/>
          <w:szCs w:val="28"/>
        </w:rPr>
        <w:t>黄曲霉毒素是一类化学结构类似的化合物，均为二氢呋喃香豆素的衍生物，有20多种，其中致癌性最强的是黄曲霉毒素B</w:t>
      </w:r>
      <w:r>
        <w:rPr>
          <w:rFonts w:ascii="仿宋" w:hAnsi="仿宋" w:eastAsia="仿宋" w:cs="Arial"/>
          <w:sz w:val="28"/>
          <w:szCs w:val="28"/>
          <w:vertAlign w:val="subscript"/>
        </w:rPr>
        <w:t>1</w:t>
      </w:r>
      <w:r>
        <w:rPr>
          <w:rFonts w:ascii="仿宋" w:hAnsi="仿宋" w:eastAsia="仿宋" w:cs="Arial"/>
          <w:sz w:val="28"/>
          <w:szCs w:val="28"/>
        </w:rPr>
        <w:t>，其毒性比亚硝胺强75倍，比砒霜强68倍。黄曲霉毒素B</w:t>
      </w:r>
      <w:r>
        <w:rPr>
          <w:rFonts w:ascii="仿宋" w:hAnsi="仿宋" w:eastAsia="仿宋" w:cs="Arial"/>
          <w:sz w:val="28"/>
          <w:szCs w:val="28"/>
          <w:vertAlign w:val="subscript"/>
        </w:rPr>
        <w:t>1</w:t>
      </w:r>
      <w:r>
        <w:rPr>
          <w:rFonts w:ascii="仿宋" w:hAnsi="仿宋" w:eastAsia="仿宋" w:cs="Arial"/>
          <w:sz w:val="28"/>
          <w:szCs w:val="28"/>
        </w:rPr>
        <w:t>在高温、潮湿的环境更易滋生，同时喜欢在果仁和含油的种子内生长。而黄曲霉毒素耐热，280</w:t>
      </w:r>
      <w:r>
        <w:rPr>
          <w:rFonts w:hint="eastAsia" w:ascii="仿宋" w:hAnsi="仿宋" w:eastAsia="仿宋" w:cs="微软雅黑"/>
          <w:sz w:val="28"/>
          <w:szCs w:val="28"/>
        </w:rPr>
        <w:t>℃</w:t>
      </w:r>
      <w:r>
        <w:rPr>
          <w:rFonts w:ascii="仿宋" w:hAnsi="仿宋" w:eastAsia="仿宋" w:cs="Arial"/>
          <w:sz w:val="28"/>
          <w:szCs w:val="28"/>
        </w:rPr>
        <w:t>才可裂解，所以一般加工温度下难以破坏。</w:t>
      </w:r>
    </w:p>
    <w:p>
      <w:pPr>
        <w:spacing w:line="360" w:lineRule="auto"/>
        <w:ind w:firstLine="560" w:firstLineChars="200"/>
        <w:rPr>
          <w:rFonts w:ascii="仿宋" w:hAnsi="仿宋" w:eastAsia="仿宋" w:cs="Arial"/>
          <w:sz w:val="28"/>
        </w:rPr>
      </w:pPr>
      <w:r>
        <w:rPr>
          <w:rFonts w:hint="eastAsia" w:ascii="仿宋" w:hAnsi="仿宋" w:eastAsia="仿宋" w:cs="Arial"/>
          <w:sz w:val="28"/>
        </w:rPr>
        <w:t>根据《食品安全国家标准</w:t>
      </w:r>
      <w:r>
        <w:rPr>
          <w:rFonts w:ascii="仿宋" w:hAnsi="仿宋" w:eastAsia="仿宋" w:cs="Arial"/>
          <w:sz w:val="28"/>
        </w:rPr>
        <w:t xml:space="preserve"> 食品中真菌毒素限量</w:t>
      </w:r>
      <w:r>
        <w:rPr>
          <w:rFonts w:hint="eastAsia" w:ascii="仿宋" w:hAnsi="仿宋" w:eastAsia="仿宋" w:cs="Arial"/>
          <w:sz w:val="28"/>
        </w:rPr>
        <w:t>》（</w:t>
      </w:r>
      <w:r>
        <w:rPr>
          <w:rFonts w:ascii="仿宋" w:hAnsi="仿宋" w:eastAsia="仿宋" w:cs="Arial"/>
          <w:sz w:val="28"/>
        </w:rPr>
        <w:t>GB 2761-2017</w:t>
      </w:r>
      <w:r>
        <w:rPr>
          <w:rFonts w:hint="eastAsia" w:ascii="仿宋" w:hAnsi="仿宋" w:eastAsia="仿宋" w:cs="Arial"/>
          <w:sz w:val="28"/>
        </w:rPr>
        <w:t>）中规定，</w:t>
      </w:r>
      <w:r>
        <w:rPr>
          <w:rFonts w:ascii="仿宋" w:hAnsi="仿宋" w:eastAsia="仿宋" w:cs="Arial"/>
          <w:sz w:val="28"/>
          <w:szCs w:val="28"/>
        </w:rPr>
        <w:t>黄曲霉毒素B</w:t>
      </w:r>
      <w:r>
        <w:rPr>
          <w:rFonts w:ascii="仿宋" w:hAnsi="仿宋" w:eastAsia="仿宋" w:cs="Arial"/>
          <w:sz w:val="28"/>
          <w:szCs w:val="28"/>
          <w:vertAlign w:val="subscript"/>
        </w:rPr>
        <w:t>1</w:t>
      </w:r>
      <w:r>
        <w:rPr>
          <w:rFonts w:hint="eastAsia" w:ascii="仿宋" w:hAnsi="仿宋" w:eastAsia="仿宋" w:cs="Arial"/>
          <w:sz w:val="28"/>
        </w:rPr>
        <w:t>在</w:t>
      </w:r>
      <w:r>
        <w:rPr>
          <w:rFonts w:ascii="仿宋" w:hAnsi="仿宋" w:eastAsia="仿宋" w:cs="Arial"/>
          <w:sz w:val="28"/>
          <w:szCs w:val="28"/>
        </w:rPr>
        <w:t>花生及其制品</w:t>
      </w:r>
      <w:r>
        <w:rPr>
          <w:rFonts w:hint="eastAsia" w:ascii="仿宋" w:hAnsi="仿宋" w:eastAsia="仿宋" w:cs="Arial"/>
          <w:sz w:val="28"/>
          <w:szCs w:val="28"/>
        </w:rPr>
        <w:t>中的限量为2</w:t>
      </w:r>
      <w:r>
        <w:rPr>
          <w:rFonts w:ascii="仿宋" w:hAnsi="仿宋" w:eastAsia="仿宋" w:cs="Arial"/>
          <w:sz w:val="28"/>
          <w:szCs w:val="28"/>
        </w:rPr>
        <w:t>0</w:t>
      </w:r>
      <w:r>
        <w:rPr>
          <w:rFonts w:hint="eastAsia" w:ascii="仿宋" w:hAnsi="仿宋" w:eastAsia="仿宋" w:cs="Arial"/>
          <w:sz w:val="28"/>
          <w:szCs w:val="28"/>
        </w:rPr>
        <w:t>μ</w:t>
      </w:r>
      <w:r>
        <w:rPr>
          <w:rFonts w:ascii="仿宋" w:hAnsi="仿宋" w:eastAsia="仿宋" w:cs="Arial"/>
          <w:sz w:val="28"/>
          <w:szCs w:val="28"/>
        </w:rPr>
        <w:t>g/</w:t>
      </w:r>
      <w:r>
        <w:rPr>
          <w:rFonts w:hint="eastAsia" w:ascii="仿宋" w:hAnsi="仿宋" w:eastAsia="仿宋" w:cs="Arial"/>
          <w:sz w:val="28"/>
          <w:szCs w:val="28"/>
        </w:rPr>
        <w:t>kg</w:t>
      </w:r>
      <w:r>
        <w:rPr>
          <w:rFonts w:hint="eastAsia" w:ascii="仿宋" w:hAnsi="仿宋" w:eastAsia="仿宋" w:cs="Arial"/>
          <w:sz w:val="28"/>
        </w:rPr>
        <w:t>。</w:t>
      </w:r>
    </w:p>
    <w:p>
      <w:pPr>
        <w:pStyle w:val="12"/>
        <w:ind w:left="0" w:leftChars="0" w:firstLine="560" w:firstLineChars="200"/>
        <w:rPr>
          <w:rFonts w:hint="eastAsia" w:ascii="仿宋" w:hAnsi="仿宋" w:eastAsia="仿宋" w:cs="Arial"/>
          <w:sz w:val="28"/>
          <w:szCs w:val="28"/>
        </w:rPr>
      </w:pPr>
      <w:r>
        <w:rPr>
          <w:rFonts w:ascii="仿宋" w:hAnsi="仿宋" w:eastAsia="仿宋" w:cs="Arial"/>
          <w:sz w:val="28"/>
          <w:szCs w:val="28"/>
        </w:rPr>
        <w:t>造成花生及其制品中黄曲霉毒素B</w:t>
      </w:r>
      <w:r>
        <w:rPr>
          <w:rFonts w:ascii="仿宋" w:hAnsi="仿宋" w:eastAsia="仿宋" w:cs="Arial"/>
          <w:sz w:val="28"/>
          <w:szCs w:val="28"/>
          <w:vertAlign w:val="subscript"/>
        </w:rPr>
        <w:t>1</w:t>
      </w:r>
      <w:r>
        <w:rPr>
          <w:rFonts w:ascii="仿宋" w:hAnsi="仿宋" w:eastAsia="仿宋" w:cs="Arial"/>
          <w:sz w:val="28"/>
          <w:szCs w:val="28"/>
        </w:rPr>
        <w:t>不合格的原因可能为：花生成熟后因未及时采收、贮藏条件不佳、运输保护措施保护不够等导致花生发生霉变，由黄曲霉和寄生曲霉等真菌在代谢过程中产生、分泌次级代谢产物黄曲霉毒素B</w:t>
      </w:r>
      <w:r>
        <w:rPr>
          <w:rFonts w:ascii="仿宋" w:hAnsi="仿宋" w:eastAsia="仿宋" w:cs="Arial"/>
          <w:sz w:val="28"/>
          <w:szCs w:val="28"/>
          <w:vertAlign w:val="subscript"/>
        </w:rPr>
        <w:t>1</w:t>
      </w:r>
      <w:r>
        <w:rPr>
          <w:rFonts w:hint="eastAsia" w:ascii="仿宋" w:hAnsi="仿宋" w:eastAsia="仿宋" w:cs="Arial"/>
          <w:sz w:val="28"/>
          <w:szCs w:val="28"/>
        </w:rPr>
        <w:t>。</w:t>
      </w:r>
    </w:p>
    <w:p>
      <w:pPr>
        <w:pStyle w:val="12"/>
        <w:ind w:left="0" w:leftChars="0" w:firstLine="562" w:firstLineChars="200"/>
        <w:rPr>
          <w:rFonts w:hint="eastAsia" w:ascii="仿宋" w:hAnsi="仿宋" w:eastAsia="仿宋" w:cs="仿宋"/>
          <w:b/>
          <w:bCs/>
          <w:kern w:val="2"/>
          <w:sz w:val="28"/>
          <w:szCs w:val="28"/>
          <w:lang w:val="en-US" w:eastAsia="zh-CN" w:bidi="ar-SA"/>
        </w:rPr>
      </w:pPr>
      <w:r>
        <w:rPr>
          <w:rFonts w:hint="eastAsia" w:ascii="仿宋" w:hAnsi="仿宋" w:eastAsia="仿宋" w:cs="仿宋"/>
          <w:b/>
          <w:bCs/>
          <w:kern w:val="2"/>
          <w:sz w:val="28"/>
          <w:szCs w:val="28"/>
          <w:lang w:val="en-US" w:eastAsia="zh-CN" w:bidi="ar-SA"/>
        </w:rPr>
        <w:t>七、联苯菊酯</w:t>
      </w:r>
    </w:p>
    <w:p>
      <w:pPr>
        <w:pStyle w:val="12"/>
        <w:ind w:left="0" w:leftChars="0" w:firstLine="560" w:firstLineChars="200"/>
        <w:rPr>
          <w:rFonts w:hint="eastAsia" w:ascii="仿宋" w:hAnsi="仿宋" w:eastAsia="仿宋" w:cs="仿宋"/>
          <w:kern w:val="2"/>
          <w:sz w:val="28"/>
          <w:szCs w:val="28"/>
          <w:lang w:val="en-US" w:eastAsia="zh-CN" w:bidi="ar-SA"/>
        </w:rPr>
      </w:pPr>
      <w:r>
        <w:rPr>
          <w:rFonts w:hint="eastAsia" w:ascii="仿宋" w:hAnsi="仿宋" w:eastAsia="仿宋" w:cs="仿宋"/>
          <w:b w:val="0"/>
          <w:bCs w:val="0"/>
          <w:kern w:val="2"/>
          <w:sz w:val="28"/>
          <w:szCs w:val="28"/>
          <w:lang w:val="en-US" w:eastAsia="zh-CN" w:bidi="ar-SA"/>
        </w:rPr>
        <w:t>联苯菊酯是一种高效合成除虫菊酯杀虫、杀螨剂。具有触杀、胃毒作用，无内吸、熏蒸作用。杀虫谱广，对螨也有较好防效。作用迅速。在土壤中不移动，对环境较为安全，残效期长</w:t>
      </w:r>
      <w:r>
        <w:rPr>
          <w:rFonts w:hint="eastAsia" w:ascii="仿宋" w:hAnsi="仿宋" w:eastAsia="仿宋" w:cs="仿宋"/>
          <w:kern w:val="2"/>
          <w:sz w:val="28"/>
          <w:szCs w:val="28"/>
          <w:lang w:val="en-US" w:eastAsia="zh-CN" w:bidi="ar-SA"/>
        </w:rPr>
        <w:t>。</w:t>
      </w:r>
    </w:p>
    <w:p>
      <w:pPr>
        <w:pStyle w:val="12"/>
        <w:ind w:left="0" w:leftChars="0" w:firstLine="562" w:firstLineChars="200"/>
        <w:rPr>
          <w:rFonts w:hint="eastAsia" w:ascii="仿宋" w:hAnsi="仿宋" w:eastAsia="仿宋" w:cs="仿宋"/>
          <w:b/>
          <w:bCs/>
          <w:kern w:val="2"/>
          <w:sz w:val="28"/>
          <w:szCs w:val="28"/>
          <w:lang w:val="en-US" w:eastAsia="zh-CN" w:bidi="ar-SA"/>
        </w:rPr>
      </w:pPr>
      <w:r>
        <w:rPr>
          <w:rFonts w:hint="eastAsia" w:ascii="仿宋" w:hAnsi="仿宋" w:eastAsia="仿宋" w:cs="仿宋"/>
          <w:b/>
          <w:bCs/>
          <w:kern w:val="2"/>
          <w:sz w:val="28"/>
          <w:szCs w:val="28"/>
          <w:lang w:val="en-US" w:eastAsia="zh-CN" w:bidi="ar-SA"/>
        </w:rPr>
        <w:t>八、倍硫磷</w:t>
      </w:r>
    </w:p>
    <w:p>
      <w:pPr>
        <w:pStyle w:val="12"/>
        <w:ind w:left="0" w:leftChars="0" w:firstLine="560" w:firstLineChars="200"/>
        <w:rPr>
          <w:rFonts w:hint="eastAsia" w:ascii="仿宋" w:hAnsi="仿宋" w:eastAsia="仿宋" w:cs="仿宋"/>
          <w:b w:val="0"/>
          <w:bCs w:val="0"/>
          <w:kern w:val="2"/>
          <w:sz w:val="28"/>
          <w:szCs w:val="28"/>
          <w:lang w:val="en-US" w:eastAsia="zh-CN" w:bidi="ar-SA"/>
        </w:rPr>
      </w:pPr>
      <w:r>
        <w:rPr>
          <w:rFonts w:hint="eastAsia" w:ascii="仿宋" w:hAnsi="仿宋" w:eastAsia="仿宋" w:cs="仿宋"/>
          <w:b w:val="0"/>
          <w:bCs w:val="0"/>
          <w:kern w:val="2"/>
          <w:sz w:val="28"/>
          <w:szCs w:val="28"/>
          <w:lang w:val="en-US" w:eastAsia="zh-CN" w:bidi="ar-SA"/>
        </w:rPr>
        <w:t>倍硫磷为间接抑制剂，其有机磷在毒症状出现较迟，作用慢，但接续时间长，并且症状常出现反复。近年发现，本品急性中毒后可诱发中间型综合症，主要表现为突触后的神经肌接触头损伤，罹及呼吸肌，重者可导致呼吸肌麻痹。</w:t>
      </w:r>
    </w:p>
    <w:p>
      <w:pPr>
        <w:pStyle w:val="15"/>
        <w:numPr>
          <w:numId w:val="0"/>
        </w:numPr>
        <w:spacing w:line="360" w:lineRule="auto"/>
        <w:ind w:leftChars="0"/>
        <w:rPr>
          <w:rFonts w:hint="default" w:ascii="仿宋" w:hAnsi="仿宋" w:eastAsia="仿宋" w:cs="仿宋"/>
          <w:b/>
          <w:bCs/>
          <w:kern w:val="2"/>
          <w:sz w:val="28"/>
          <w:szCs w:val="28"/>
          <w:lang w:val="en-US" w:eastAsia="zh-CN" w:bidi="ar-SA"/>
        </w:rPr>
      </w:pPr>
      <w:r>
        <w:rPr>
          <w:rFonts w:hint="eastAsia" w:ascii="仿宋" w:hAnsi="仿宋" w:eastAsia="仿宋" w:cs="仿宋"/>
          <w:b/>
          <w:bCs/>
          <w:kern w:val="2"/>
          <w:sz w:val="28"/>
          <w:szCs w:val="28"/>
          <w:lang w:val="en-US" w:eastAsia="zh-CN" w:bidi="ar-SA"/>
        </w:rPr>
        <w:t xml:space="preserve">    九、阴离子合成洗涤剂</w:t>
      </w:r>
    </w:p>
    <w:p>
      <w:pPr>
        <w:spacing w:line="360" w:lineRule="auto"/>
        <w:ind w:firstLine="560" w:firstLineChars="200"/>
        <w:rPr>
          <w:rFonts w:hint="eastAsia" w:ascii="仿宋" w:hAnsi="仿宋" w:eastAsia="仿宋" w:cs="仿宋"/>
          <w:b w:val="0"/>
          <w:bCs w:val="0"/>
          <w:kern w:val="2"/>
          <w:sz w:val="28"/>
          <w:szCs w:val="28"/>
          <w:lang w:val="en-US" w:eastAsia="zh-CN" w:bidi="ar-SA"/>
        </w:rPr>
      </w:pPr>
      <w:r>
        <w:rPr>
          <w:rFonts w:hint="eastAsia" w:ascii="仿宋" w:hAnsi="仿宋" w:eastAsia="仿宋" w:cs="仿宋"/>
          <w:b w:val="0"/>
          <w:bCs w:val="0"/>
          <w:kern w:val="2"/>
          <w:sz w:val="28"/>
          <w:szCs w:val="28"/>
          <w:lang w:val="en-US" w:eastAsia="zh-CN" w:bidi="ar-SA"/>
        </w:rPr>
        <w:t>阴离子合成洗涤剂，即我们日常生活中经常用到的洗衣粉、洗洁精、洗衣液、肥皂等洗涤剂的主要成分，其主要成分十二烷基磺酸钠，是一种低毒物质,因其使用方便、易溶解、稳定性好、成本低等优点，在消毒企业中广泛使用，但是如果餐（饮）具清洗消毒流程控制不当，会造成洗涤剂在餐（饮）具上的残留，对人体健康产生不良影响。</w:t>
      </w:r>
    </w:p>
    <w:p>
      <w:pPr>
        <w:pStyle w:val="12"/>
        <w:ind w:left="0" w:leftChars="0" w:firstLine="562" w:firstLineChars="200"/>
        <w:rPr>
          <w:rFonts w:hint="eastAsia" w:ascii="仿宋" w:hAnsi="仿宋" w:eastAsia="仿宋" w:cs="仿宋"/>
          <w:b/>
          <w:bCs/>
          <w:kern w:val="2"/>
          <w:sz w:val="28"/>
          <w:szCs w:val="28"/>
          <w:lang w:val="en-US" w:eastAsia="zh-CN" w:bidi="ar-SA"/>
        </w:rPr>
      </w:pPr>
      <w:r>
        <w:rPr>
          <w:rFonts w:hint="eastAsia" w:ascii="仿宋" w:hAnsi="仿宋" w:eastAsia="仿宋" w:cs="仿宋"/>
          <w:b/>
          <w:bCs/>
          <w:kern w:val="2"/>
          <w:sz w:val="28"/>
          <w:szCs w:val="28"/>
          <w:lang w:val="en-US" w:eastAsia="zh-CN" w:bidi="ar-SA"/>
        </w:rPr>
        <w:t>十、咪鲜胺和咪鲜胺锰盐</w:t>
      </w:r>
    </w:p>
    <w:p>
      <w:pPr>
        <w:pStyle w:val="12"/>
        <w:ind w:left="0" w:leftChars="0" w:firstLine="0" w:firstLineChars="0"/>
        <w:rPr>
          <w:rFonts w:hint="eastAsia" w:ascii="仿宋" w:hAnsi="仿宋" w:eastAsia="仿宋" w:cs="仿宋"/>
          <w:b w:val="0"/>
          <w:bCs w:val="0"/>
          <w:kern w:val="2"/>
          <w:sz w:val="28"/>
          <w:szCs w:val="28"/>
          <w:lang w:val="en-US" w:eastAsia="zh-CN" w:bidi="ar-SA"/>
        </w:rPr>
      </w:pPr>
      <w:r>
        <w:rPr>
          <w:rFonts w:hint="eastAsia" w:ascii="仿宋" w:hAnsi="仿宋" w:eastAsia="仿宋" w:cs="仿宋"/>
          <w:b w:val="0"/>
          <w:bCs w:val="0"/>
          <w:kern w:val="2"/>
          <w:sz w:val="28"/>
          <w:szCs w:val="28"/>
          <w:lang w:val="en-US" w:eastAsia="zh-CN" w:bidi="ar-SA"/>
        </w:rPr>
        <w:t>咪鲜胺和咪鲜胺锰盐属于咪唑类杀菌剂，为广谱性杀菌剂，对多种作物由子囊菌和半知菌引起的病害具有明显的防效，对大田作物、水果蔬菜上的多种病害具有治疗和铲除作用。少量的农药残留不会引起人体急性中毒，但长期食用咪鲜胺超标的食品，对人体健康可能有一定影响。</w:t>
      </w:r>
    </w:p>
    <w:p>
      <w:pPr>
        <w:pStyle w:val="12"/>
        <w:ind w:left="0" w:leftChars="0" w:firstLine="562" w:firstLineChars="200"/>
        <w:rPr>
          <w:rFonts w:hint="default" w:ascii="仿宋" w:hAnsi="仿宋" w:eastAsia="仿宋" w:cs="仿宋"/>
          <w:b/>
          <w:bCs/>
          <w:kern w:val="2"/>
          <w:sz w:val="28"/>
          <w:szCs w:val="28"/>
          <w:lang w:val="en-US" w:eastAsia="zh-CN" w:bidi="ar-SA"/>
        </w:rPr>
      </w:pPr>
      <w:r>
        <w:rPr>
          <w:rFonts w:hint="eastAsia" w:ascii="仿宋" w:hAnsi="仿宋" w:eastAsia="仿宋" w:cs="仿宋"/>
          <w:b/>
          <w:bCs/>
          <w:kern w:val="2"/>
          <w:sz w:val="28"/>
          <w:szCs w:val="28"/>
          <w:lang w:val="en-US" w:eastAsia="zh-CN" w:bidi="ar-SA"/>
        </w:rPr>
        <w:t>十一、地美硝唑</w:t>
      </w:r>
    </w:p>
    <w:p>
      <w:pPr>
        <w:pStyle w:val="12"/>
        <w:ind w:left="0" w:leftChars="0" w:firstLine="0" w:firstLineChars="0"/>
        <w:rPr>
          <w:rFonts w:hint="eastAsia" w:ascii="仿宋" w:hAnsi="仿宋" w:eastAsia="仿宋" w:cs="仿宋"/>
          <w:b w:val="0"/>
          <w:bCs w:val="0"/>
          <w:kern w:val="2"/>
          <w:sz w:val="28"/>
          <w:szCs w:val="28"/>
          <w:lang w:val="en-US" w:eastAsia="zh-CN" w:bidi="ar-SA"/>
        </w:rPr>
      </w:pPr>
      <w:r>
        <w:rPr>
          <w:rFonts w:hint="eastAsia" w:ascii="仿宋" w:hAnsi="仿宋" w:eastAsia="仿宋" w:cs="仿宋"/>
          <w:b w:val="0"/>
          <w:bCs w:val="0"/>
          <w:kern w:val="2"/>
          <w:sz w:val="28"/>
          <w:szCs w:val="28"/>
          <w:lang w:val="en-US" w:eastAsia="zh-CN" w:bidi="ar-SA"/>
        </w:rPr>
        <w:t xml:space="preserve">    </w:t>
      </w:r>
      <w:bookmarkStart w:id="0" w:name="_GoBack"/>
      <w:bookmarkEnd w:id="0"/>
      <w:r>
        <w:rPr>
          <w:rFonts w:hint="eastAsia" w:ascii="仿宋" w:hAnsi="仿宋" w:eastAsia="仿宋" w:cs="仿宋"/>
          <w:b w:val="0"/>
          <w:bCs w:val="0"/>
          <w:kern w:val="2"/>
          <w:sz w:val="28"/>
          <w:szCs w:val="28"/>
          <w:lang w:val="en-US" w:eastAsia="zh-CN" w:bidi="ar-SA"/>
        </w:rPr>
        <w:t>地美硝唑是硝基咪唑类抗原虫药，可用于治疗禽组织滴虫病等。长期大量食用检出地美硝唑的食品，可能在人体内蓄积，引起平衡失调以及肝肾功能损伤等。《食品安全国家标准 食品中兽药最大残留限量》（GB 31650—2019）中规定，地美硝唑为允许作治疗用，但不得在动物性食品中检出的兽药。鸡蛋中检出地美硝唑的原因，可能是用药治疗蛋鸡疾病导致地美硝唑在其体内残留，进而传递至鸡蛋中。</w:t>
      </w:r>
    </w:p>
    <w:p>
      <w:pPr>
        <w:pStyle w:val="12"/>
        <w:widowControl w:val="0"/>
        <w:numPr>
          <w:ilvl w:val="0"/>
          <w:numId w:val="0"/>
        </w:numPr>
        <w:ind w:firstLine="560" w:firstLineChars="200"/>
        <w:jc w:val="both"/>
        <w:rPr>
          <w:rFonts w:hint="default" w:ascii="仿宋" w:hAnsi="仿宋" w:eastAsia="仿宋" w:cs="仿宋"/>
          <w:kern w:val="2"/>
          <w:sz w:val="28"/>
          <w:szCs w:val="28"/>
          <w:lang w:val="en-US" w:eastAsia="zh-CN" w:bidi="ar-S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Arial">
    <w:panose1 w:val="020B0604020202020204"/>
    <w:charset w:val="00"/>
    <w:family w:val="auto"/>
    <w:pitch w:val="default"/>
    <w:sig w:usb0="E0002EFF" w:usb1="C000785B" w:usb2="00000009" w:usb3="00000000" w:csb0="400001FF" w:csb1="FFFF0000"/>
  </w:font>
  <w:font w:name="Verdana">
    <w:panose1 w:val="020B0604030504040204"/>
    <w:charset w:val="00"/>
    <w:family w:val="auto"/>
    <w:pitch w:val="default"/>
    <w:sig w:usb0="A0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YxYjZlZGQyMTExYjM5ZGFmMGQ5Yjc5NzM3NDlhZDQifQ=="/>
  </w:docVars>
  <w:rsids>
    <w:rsidRoot w:val="00000000"/>
    <w:rsid w:val="03442F9D"/>
    <w:rsid w:val="03537C83"/>
    <w:rsid w:val="05B23DF3"/>
    <w:rsid w:val="0C440575"/>
    <w:rsid w:val="0CFE7C50"/>
    <w:rsid w:val="0DEE2D3E"/>
    <w:rsid w:val="10D50778"/>
    <w:rsid w:val="11DD09C6"/>
    <w:rsid w:val="13D52623"/>
    <w:rsid w:val="15357CDE"/>
    <w:rsid w:val="157A7B95"/>
    <w:rsid w:val="1B7A3277"/>
    <w:rsid w:val="1CAE2DC9"/>
    <w:rsid w:val="1D770F8D"/>
    <w:rsid w:val="1EAE454F"/>
    <w:rsid w:val="1EB97D59"/>
    <w:rsid w:val="23B901FC"/>
    <w:rsid w:val="27400656"/>
    <w:rsid w:val="2A93720F"/>
    <w:rsid w:val="312C77D3"/>
    <w:rsid w:val="360C4F9D"/>
    <w:rsid w:val="39285C47"/>
    <w:rsid w:val="3BCC2B0D"/>
    <w:rsid w:val="3C79675F"/>
    <w:rsid w:val="3ED1417D"/>
    <w:rsid w:val="438E358D"/>
    <w:rsid w:val="439D4A0F"/>
    <w:rsid w:val="44164159"/>
    <w:rsid w:val="44282F11"/>
    <w:rsid w:val="47313C35"/>
    <w:rsid w:val="47AB30B7"/>
    <w:rsid w:val="4A0C4361"/>
    <w:rsid w:val="4B5C0362"/>
    <w:rsid w:val="4EB04A3C"/>
    <w:rsid w:val="50F80D15"/>
    <w:rsid w:val="52A30A07"/>
    <w:rsid w:val="54714206"/>
    <w:rsid w:val="548815B3"/>
    <w:rsid w:val="57217E5C"/>
    <w:rsid w:val="58EE54A3"/>
    <w:rsid w:val="5947124D"/>
    <w:rsid w:val="59876DFC"/>
    <w:rsid w:val="5A456457"/>
    <w:rsid w:val="5ADA7538"/>
    <w:rsid w:val="5B6F671F"/>
    <w:rsid w:val="60733A0B"/>
    <w:rsid w:val="618C30B9"/>
    <w:rsid w:val="64AC28AC"/>
    <w:rsid w:val="677F1C10"/>
    <w:rsid w:val="68F62348"/>
    <w:rsid w:val="692E78DD"/>
    <w:rsid w:val="69EA2A1E"/>
    <w:rsid w:val="6ACE689A"/>
    <w:rsid w:val="6AF6662F"/>
    <w:rsid w:val="6EE82732"/>
    <w:rsid w:val="701B25C6"/>
    <w:rsid w:val="707C21FD"/>
    <w:rsid w:val="713D4B23"/>
    <w:rsid w:val="72D5472E"/>
    <w:rsid w:val="73770116"/>
    <w:rsid w:val="74DB32A6"/>
    <w:rsid w:val="75B23D36"/>
    <w:rsid w:val="77AB1578"/>
    <w:rsid w:val="77F95DB5"/>
    <w:rsid w:val="799F36BA"/>
    <w:rsid w:val="7A155CCD"/>
    <w:rsid w:val="7C320D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3"/>
    <w:qFormat/>
    <w:uiPriority w:val="0"/>
    <w:pPr>
      <w:keepNext/>
      <w:keepLines/>
      <w:spacing w:beforeLines="0" w:beforeAutospacing="0" w:afterLines="0" w:afterAutospacing="0" w:line="480" w:lineRule="auto"/>
      <w:outlineLvl w:val="0"/>
    </w:pPr>
    <w:rPr>
      <w:rFonts w:ascii="宋体" w:hAnsi="宋体" w:eastAsia="宋体" w:cs="Times New Roman"/>
      <w:b/>
      <w:kern w:val="44"/>
      <w:sz w:val="32"/>
    </w:rPr>
  </w:style>
  <w:style w:type="paragraph" w:styleId="3">
    <w:name w:val="heading 2"/>
    <w:basedOn w:val="1"/>
    <w:next w:val="1"/>
    <w:semiHidden/>
    <w:unhideWhenUsed/>
    <w:qFormat/>
    <w:uiPriority w:val="0"/>
    <w:pPr>
      <w:keepNext/>
      <w:keepLines/>
      <w:spacing w:beforeLines="0" w:beforeAutospacing="0" w:afterLines="0" w:afterAutospacing="0" w:line="360" w:lineRule="auto"/>
      <w:outlineLvl w:val="1"/>
    </w:pPr>
    <w:rPr>
      <w:rFonts w:ascii="宋体" w:hAnsi="宋体" w:eastAsia="宋体" w:cs="Times New Roman"/>
      <w:b/>
      <w:sz w:val="30"/>
    </w:rPr>
  </w:style>
  <w:style w:type="paragraph" w:styleId="4">
    <w:name w:val="heading 3"/>
    <w:basedOn w:val="1"/>
    <w:next w:val="1"/>
    <w:link w:val="14"/>
    <w:semiHidden/>
    <w:unhideWhenUsed/>
    <w:qFormat/>
    <w:uiPriority w:val="0"/>
    <w:pPr>
      <w:keepNext/>
      <w:keepLines/>
      <w:spacing w:beforeLines="0" w:beforeAutospacing="0" w:afterLines="0" w:afterAutospacing="0" w:line="360" w:lineRule="auto"/>
      <w:outlineLvl w:val="2"/>
    </w:pPr>
    <w:rPr>
      <w:rFonts w:ascii="宋体" w:hAnsi="宋体" w:cs="宋体"/>
      <w:b/>
      <w:sz w:val="28"/>
    </w:rPr>
  </w:style>
  <w:style w:type="paragraph" w:styleId="5">
    <w:name w:val="heading 4"/>
    <w:basedOn w:val="1"/>
    <w:next w:val="1"/>
    <w:semiHidden/>
    <w:unhideWhenUsed/>
    <w:qFormat/>
    <w:uiPriority w:val="0"/>
    <w:pPr>
      <w:keepNext/>
      <w:keepLines/>
      <w:spacing w:beforeLines="0" w:beforeAutospacing="0" w:afterLines="0" w:afterAutospacing="0" w:line="360" w:lineRule="auto"/>
      <w:outlineLvl w:val="3"/>
    </w:pPr>
    <w:rPr>
      <w:rFonts w:ascii="宋体" w:hAnsi="宋体" w:eastAsia="宋体"/>
      <w:b/>
      <w:sz w:val="24"/>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6">
    <w:name w:val="Plain Text"/>
    <w:basedOn w:val="1"/>
    <w:qFormat/>
    <w:uiPriority w:val="0"/>
    <w:rPr>
      <w:rFonts w:ascii="宋体" w:hAnsi="Courier New"/>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1">
    <w:name w:val="Hyperlink"/>
    <w:basedOn w:val="10"/>
    <w:qFormat/>
    <w:uiPriority w:val="0"/>
    <w:rPr>
      <w:color w:val="0000FF"/>
      <w:u w:val="single"/>
    </w:rPr>
  </w:style>
  <w:style w:type="paragraph" w:customStyle="1" w:styleId="12">
    <w:name w:val="样式 样式 左侧:  2 字符 + 左侧:  0.85 厘米 首行缩进:  2 字符1"/>
    <w:qFormat/>
    <w:uiPriority w:val="0"/>
    <w:pPr>
      <w:widowControl w:val="0"/>
      <w:ind w:left="482" w:firstLine="200" w:firstLineChars="200"/>
      <w:jc w:val="both"/>
    </w:pPr>
    <w:rPr>
      <w:rFonts w:ascii="Times New Roman" w:hAnsi="Times New Roman" w:eastAsia="宋体" w:cs="宋体"/>
      <w:kern w:val="2"/>
      <w:sz w:val="21"/>
      <w:szCs w:val="24"/>
      <w:lang w:val="en-US" w:eastAsia="zh-CN" w:bidi="ar-SA"/>
    </w:rPr>
  </w:style>
  <w:style w:type="character" w:customStyle="1" w:styleId="13">
    <w:name w:val="标题 1 Char"/>
    <w:link w:val="2"/>
    <w:qFormat/>
    <w:uiPriority w:val="0"/>
    <w:rPr>
      <w:rFonts w:ascii="宋体" w:hAnsi="宋体" w:eastAsia="宋体" w:cs="Times New Roman"/>
      <w:b/>
      <w:kern w:val="44"/>
      <w:sz w:val="32"/>
    </w:rPr>
  </w:style>
  <w:style w:type="character" w:customStyle="1" w:styleId="14">
    <w:name w:val="标题 3 Char"/>
    <w:link w:val="4"/>
    <w:qFormat/>
    <w:uiPriority w:val="0"/>
    <w:rPr>
      <w:rFonts w:ascii="宋体" w:hAnsi="宋体" w:eastAsia="宋体" w:cs="宋体"/>
      <w:b/>
      <w:sz w:val="28"/>
    </w:rPr>
  </w:style>
  <w:style w:type="paragraph" w:styleId="15">
    <w:name w:val="List Paragraph"/>
    <w:basedOn w:val="1"/>
    <w:qFormat/>
    <w:uiPriority w:val="34"/>
    <w:pPr>
      <w:ind w:firstLine="420" w:firstLineChars="200"/>
    </w:pPr>
    <w:rPr>
      <w:rFonts w:ascii="Times New Roman" w:hAnsi="Times New Roman" w:eastAsia="宋体" w:cs="Times New Roman"/>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4136</Words>
  <Characters>4338</Characters>
  <Lines>0</Lines>
  <Paragraphs>0</Paragraphs>
  <TotalTime>7</TotalTime>
  <ScaleCrop>false</ScaleCrop>
  <LinksUpToDate>false</LinksUpToDate>
  <CharactersWithSpaces>4354</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2021-06-03T00:16:00Z</dcterms:created>
  <dc:creator>Administrator</dc:creator>
  <cp:lastModifiedBy>可乐</cp:lastModifiedBy>
  <dcterms:modified xsi:type="dcterms:W3CDTF">2023-12-11T02:08:36Z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E6826DD544CA4750ACAE6655E6C4E68F</vt:lpwstr>
  </property>
</Properties>
</file>